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71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6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ArcLight CTC Holdings II,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 55TH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686"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6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3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01/30/2023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12,200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8,895,982</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01/31/2023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197,258</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line="319"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8,698,724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01/31/2023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14,700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8,684,024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02/01/2023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258,600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6.96</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8,425,424</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50" w:lineRule="exact"/>
        <w:rPr>
          <w:rFonts w:ascii="Times New Roman" w:cs="Times New Roman" w:eastAsia="Times New Roman" w:hAnsi="Times New Roman"/>
          <w:sz w:val="13"/>
          <w:szCs w:val="13"/>
          <w:color w:val="008000"/>
        </w:rPr>
      </w:pPr>
    </w:p>
    <w:p>
      <w:pPr>
        <w:ind w:left="40" w:right="5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8,908,182 shares of Class A common stock, par value $0.0001 per share ("Class A common stock"), of the Issuer are held directly by ArcLight CTC Holdings, L.P., a Delaware limited liability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 therein.</w:t>
      </w:r>
    </w:p>
    <w:p>
      <w:pPr>
        <w:spacing w:after="0" w:line="2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and in satisfaction of, such agreements with respect to the forfeiture of shares set forth in the letter agreement, as modified by that certain side letter agreement by and between the Reporting Person and the Issuer, dated January 23, 2023, the Reporting Person forfeited 197,258 Class A Shares (which amount included 47,258 Sponsor Earn-Out Shares).</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volume weighted average price ("VWAP"). 250,000 shares were sold pursuant to a block trade for $7.00 per share and 8,600 shares were sold in open market transactions for a VWAP of $7.15 per share, net of commissions and other execution-related costs. The reporting person undertakes to provide the relevant amount of shares sold to the market at each price to the SEC, the Issuer or any stockholder of the Issuer upon request.</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ARCLIGHT CTC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797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HOLDINGS II, L.P.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75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ACTC HOLDINGS GP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79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73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ARCLIGHT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39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HOLDINGS, LLC, its</w:t>
      </w:r>
      <w:r>
        <w:rPr>
          <w:sz w:val="20"/>
          <w:szCs w:val="20"/>
          <w:color w:val="auto"/>
        </w:rPr>
        <w:tab/>
      </w:r>
      <w:r>
        <w:rPr>
          <w:rFonts w:ascii="Times New Roman" w:cs="Times New Roman" w:eastAsia="Times New Roman" w:hAnsi="Times New Roman"/>
          <w:sz w:val="17"/>
          <w:szCs w:val="17"/>
          <w:color w:val="0000FF"/>
        </w:rPr>
        <w:t>02/01/2023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Manager By: ACHP 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52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its Managing Member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63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ACH GP, LLC, its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85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 By: /s/ Daniel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84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Revers Title: Manager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855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12" Type="http://schemas.openxmlformats.org/officeDocument/2006/relationships/hyperlink" Target="http://www.sec.gov/cgi-bin/browse-edgar?action=getcompany&amp;CIK=0001842317"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2023-02-01T17:32:59Z</dcterms:created>
  <dcterms:modified xsi:type="dcterms:W3CDTF">2023-02-01T17:32:59Z</dcterms:modified>
</cp:coreProperties>
</file>