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560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60133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508"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Unger David C</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500" w:type="dxa"/>
            <w:vAlign w:val="bottom"/>
            <w:gridSpan w:val="4"/>
            <w:vMerge w:val="restart"/>
          </w:tcPr>
          <w:p>
            <w:pPr>
              <w:ind w:left="140"/>
              <w:spacing w:after="0" w:line="169" w:lineRule="exact"/>
              <w:rPr>
                <w:sz w:val="20"/>
                <w:szCs w:val="20"/>
                <w:color w:val="auto"/>
              </w:rPr>
            </w:pPr>
            <w:r>
              <w:rPr>
                <w:rFonts w:ascii="Times New Roman" w:cs="Times New Roman" w:eastAsia="Times New Roman" w:hAnsi="Times New Roman"/>
                <w:sz w:val="16"/>
                <w:szCs w:val="16"/>
                <w:color w:val="0000FF"/>
              </w:rPr>
              <w:t>03/31/2025</w:t>
            </w: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07" w:lineRule="exact"/>
        <w:rPr>
          <w:sz w:val="20"/>
          <w:szCs w:val="20"/>
          <w:color w:val="auto"/>
        </w:rPr>
      </w:pPr>
    </w:p>
    <w:p>
      <w:pPr>
        <w:sectPr>
          <w:pgSz w:w="11900" w:h="16838" w:orient="portrait"/>
          <w:cols w:equalWidth="0" w:num="2">
            <w:col w:w="7680" w:space="59"/>
            <w:col w:w="3341"/>
          </w:cols>
          <w:pgMar w:left="460" w:top="215" w:right="359" w:bottom="508"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vMerge w:val="restart"/>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70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0000FF"/>
              </w:rPr>
              <w:t>10601</w:t>
            </w:r>
          </w:p>
        </w:tc>
        <w:tc>
          <w:tcPr>
            <w:tcW w:w="3660" w:type="dxa"/>
            <w:vAlign w:val="bottom"/>
          </w:tcPr>
          <w:p>
            <w:pPr>
              <w:spacing w:after="0"/>
              <w:rPr>
                <w:sz w:val="19"/>
                <w:szCs w:val="19"/>
                <w:color w:val="auto"/>
              </w:rPr>
            </w:pPr>
          </w:p>
        </w:tc>
        <w:tc>
          <w:tcPr>
            <w:tcW w:w="3200" w:type="dxa"/>
            <w:vAlign w:val="bottom"/>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660" w:type="dxa"/>
            <w:vAlign w:val="bottom"/>
          </w:tcPr>
          <w:p>
            <w:pPr>
              <w:spacing w:after="0"/>
              <w:rPr>
                <w:sz w:val="12"/>
                <w:szCs w:val="12"/>
                <w:color w:val="auto"/>
              </w:rPr>
            </w:pPr>
          </w:p>
        </w:tc>
        <w:tc>
          <w:tcPr>
            <w:tcW w:w="3200" w:type="dxa"/>
            <w:vAlign w:val="bottom"/>
          </w:tcPr>
          <w:p>
            <w:pPr>
              <w:ind w:left="8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0" w:type="dxa"/>
            <w:vAlign w:val="bottom"/>
          </w:tcPr>
          <w:p>
            <w:pPr>
              <w:ind w:left="840"/>
              <w:spacing w:after="0" w:line="138"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52"/>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32"/>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6"/>
              <w:spacing w:after="0"/>
              <w:rPr>
                <w:sz w:val="20"/>
                <w:szCs w:val="20"/>
                <w:color w:val="auto"/>
              </w:rPr>
            </w:pPr>
            <w:r>
              <w:rPr>
                <w:rFonts w:ascii="Times New Roman" w:cs="Times New Roman" w:eastAsia="Times New Roman" w:hAnsi="Times New Roman"/>
                <w:sz w:val="16"/>
                <w:szCs w:val="16"/>
                <w:color w:val="0000FF"/>
                <w:w w:val="99"/>
              </w:rPr>
              <w:t>80,704</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138,026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6"/>
              <w:spacing w:after="0"/>
              <w:rPr>
                <w:sz w:val="20"/>
                <w:szCs w:val="20"/>
                <w:color w:val="auto"/>
              </w:rPr>
            </w:pPr>
            <w:r>
              <w:rPr>
                <w:rFonts w:ascii="Times New Roman" w:cs="Times New Roman" w:eastAsia="Times New Roman" w:hAnsi="Times New Roman"/>
                <w:sz w:val="16"/>
                <w:szCs w:val="16"/>
                <w:color w:val="0000FF"/>
                <w:w w:val="99"/>
              </w:rPr>
              <w:t>29,093</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108,933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6"/>
              <w:spacing w:after="0"/>
              <w:rPr>
                <w:sz w:val="20"/>
                <w:szCs w:val="20"/>
                <w:color w:val="auto"/>
              </w:rPr>
            </w:pPr>
            <w:r>
              <w:rPr>
                <w:rFonts w:ascii="Times New Roman" w:cs="Times New Roman" w:eastAsia="Times New Roman" w:hAnsi="Times New Roman"/>
                <w:sz w:val="16"/>
                <w:szCs w:val="16"/>
                <w:color w:val="0000FF"/>
                <w:w w:val="99"/>
              </w:rPr>
              <w:t>23,522</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132,455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6"/>
              <w:spacing w:after="0"/>
              <w:rPr>
                <w:sz w:val="20"/>
                <w:szCs w:val="20"/>
                <w:color w:val="auto"/>
              </w:rPr>
            </w:pPr>
            <w:r>
              <w:rPr>
                <w:rFonts w:ascii="Times New Roman" w:cs="Times New Roman" w:eastAsia="Times New Roman" w:hAnsi="Times New Roman"/>
                <w:sz w:val="16"/>
                <w:szCs w:val="16"/>
                <w:color w:val="0000FF"/>
                <w:w w:val="99"/>
              </w:rPr>
              <w:t>8,479</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123,976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35,868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80,704</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80,703</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67,205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23,522</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47,043</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171,300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171,300</w:t>
            </w: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171,300</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0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1"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$1.84 per share, the closing price of Class A common stock on March 31, 2025.</w:t>
      </w:r>
    </w:p>
    <w:p>
      <w:pPr>
        <w:spacing w:after="0" w:line="21"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242,110 restricted stock units ("RSUs") pursuant to the terms of the Issuer's 2022 Omnibus Equity Incentive Plan (the "Plan"). A total of 80,704 RSUs vested on March 31, 2024, a total of 80,703 RSUs vested on March 31, 2025, and a total of 80,703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rFonts w:ascii="Times New Roman" w:cs="Times New Roman" w:eastAsia="Times New Roman" w:hAnsi="Times New Roman"/>
          <w:sz w:val="13"/>
          <w:szCs w:val="13"/>
          <w:color w:val="008000"/>
        </w:rPr>
      </w:pPr>
    </w:p>
    <w:p>
      <w:pPr>
        <w:jc w:val="both"/>
        <w:ind w:left="40" w:right="2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2024, the Reporting Person was granted 70,565 RSUs pursuant to the Plan. A total of 23,522 RSUs vested on March 31, 2025, a total of 23,522 RSUs are scheduled to vest on March 31, 2026, and a total of 23,521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rFonts w:ascii="Times New Roman" w:cs="Times New Roman" w:eastAsia="Times New Roman" w:hAnsi="Times New Roman"/>
          <w:sz w:val="13"/>
          <w:szCs w:val="13"/>
          <w:color w:val="008000"/>
        </w:rPr>
      </w:pPr>
    </w:p>
    <w:p>
      <w:pPr>
        <w:jc w:val="both"/>
        <w:ind w:left="40" w:right="2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171,300 RSUs pursuant to the Plan. A total of 57,100 RSUs are scheduled to vest on March 31, 2026, a total of 57,100 RSUs are scheduled to vest on March 31, 2027, and a total of 57,100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178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-79375</wp:posOffset>
            </wp:positionV>
            <wp:extent cx="472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5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269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2025-04-02T19:41:56Z</dcterms:created>
  <dcterms:modified xsi:type="dcterms:W3CDTF">2025-04-02T19:41:56Z</dcterms:modified>
</cp:coreProperties>
</file>