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22, 2023</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20" w:type="dxa"/>
            <w:vAlign w:val="bottom"/>
          </w:tcPr>
          <w:p>
            <w:pPr>
              <w:spacing w:after="0"/>
              <w:rPr>
                <w:sz w:val="21"/>
                <w:szCs w:val="21"/>
                <w:color w:val="auto"/>
              </w:rPr>
            </w:pPr>
          </w:p>
        </w:tc>
        <w:tc>
          <w:tcPr>
            <w:tcW w:w="2180" w:type="dxa"/>
            <w:vAlign w:val="bottom"/>
          </w:tcPr>
          <w:p>
            <w:pPr>
              <w:ind w:left="280"/>
              <w:spacing w:after="0"/>
              <w:rPr>
                <w:sz w:val="20"/>
                <w:szCs w:val="20"/>
                <w:color w:val="auto"/>
              </w:rPr>
            </w:pPr>
            <w:r>
              <w:rPr>
                <w:rFonts w:ascii="Calibri" w:cs="Calibri" w:eastAsia="Calibri" w:hAnsi="Calibri"/>
                <w:sz w:val="18"/>
                <w:szCs w:val="18"/>
                <w:b w:val="1"/>
                <w:bCs w:val="1"/>
                <w:color w:val="auto"/>
              </w:rPr>
              <w:t>Trading Symbol(s)</w:t>
            </w:r>
          </w:p>
        </w:tc>
        <w:tc>
          <w:tcPr>
            <w:tcW w:w="60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2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OPAL</w:t>
            </w:r>
          </w:p>
        </w:tc>
        <w:tc>
          <w:tcPr>
            <w:tcW w:w="6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Friday, November 17, 2023, the U.S. Internal Revenue Service (the “IRS”) proposed new regulations regarding investment tax credits (“ITC Credits”) on renewable energy projects. These proposed regulations have been published by the IRS for public comments and questions. The proposed regulations contain provisions that OPAL Fuels Inc. (the “Company”) believes create inconsistencies between certain key descriptions of the equipment and property on which ITC Credits can be claimed. Given these inconsistencies, the Company believes it is prudent to delay the completion of pending ITC sales transactions until these issues are clarified.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November 13, 2023, the Company announced its financial and operating results for the three and nine months ended September 30, 2023 and provided guidance regarding its anticipated Adjusted EBITDA for full year 2023, which it expected to range between $60 million and $63 million. As part of this guidance, the Company disclosed the anticipated sale of approximately $8.5 million in ITCs (the “Anticipated ITC Proceeds”) representing its share of the ITC Credits generated by the Emerald RNG project.</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delaying the completion of pending ITC sales transactions, the Company is removing the Anticipated ITC Proceeds from its full year Adjusted EBITDA guidance. The remainder of the Company’s Adjusted EBITDA guidance for full year 2023 remains unchanged.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disclosed under this Item 7.01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financial performance and growth strategy depend in part on many governmental policies that support renewable generation and enhance the economic viability of owning Biogas Conversion Projects or Fueling Stations. These projects currently benefit from various federal, state and local governmental incentives such as investment tax credits (“ITC Credits”), cash grants in lieu of ITC Credits, loan guarantees, Renewable Portfolio Standards (“RPS”) programs, and modified accelerated cost-recovery systems of depreciation and bonus depreciation. RNG specifically generates meaningful revenue through generation and monetization of Environmental Attributes provided for under several different programs, most commonly RFS, LCFS and RPS.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17, 2023, the IRS proposed new regulations regarding ITC Credits on renewable energy projects. The regulations are merely proposed, and the IRS will be collecting comments and questions. The proposed regulations contain provisions that we believe create inconsistencies between certain key</w:t>
      </w:r>
    </w:p>
    <w:p>
      <w:pPr>
        <w:jc w:val="both"/>
        <w:spacing w:after="0" w:line="250" w:lineRule="auto"/>
        <w:rPr>
          <w:sz w:val="20"/>
          <w:szCs w:val="20"/>
          <w:color w:val="auto"/>
        </w:rPr>
      </w:pPr>
      <w:r>
        <w:rPr>
          <w:rFonts w:ascii="Times New Roman" w:cs="Times New Roman" w:eastAsia="Times New Roman" w:hAnsi="Times New Roman"/>
          <w:sz w:val="18"/>
          <w:szCs w:val="18"/>
          <w:color w:val="auto"/>
        </w:rPr>
        <w:t>definitions relating to equipment and property on which ITC Credits can be claimed. If the final regulations are enacted in a form that limits, in whole or in part, the amount of ITC Credits for certain of our construction costs, this would reduce the amount of ITC Credits available and thus could have a material adverse effect on our operations and our business.</w:t>
      </w:r>
    </w:p>
    <w:p>
      <w:pPr>
        <w:spacing w:after="0" w:line="19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both"/>
        <w:spacing w:after="0"/>
        <w:rPr>
          <w:sz w:val="20"/>
          <w:szCs w:val="20"/>
          <w:color w:val="auto"/>
        </w:rPr>
      </w:pPr>
      <w:r>
        <w:rPr>
          <w:rFonts w:ascii="Times New Roman" w:cs="Times New Roman" w:eastAsia="Times New Roman" w:hAnsi="Times New Roman"/>
          <w:sz w:val="18"/>
          <w:szCs w:val="18"/>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report contains a non-GAAP financial measure that the Company calls adjusted EBITDA (“Adjusted EBITDA”). This non-GAAP measure adjusts net income for realized and unrealized gain on interest rate swaps, net loss attributable to non-redeemable non-controlling interests, transaction costs and one-time non-recurring charges, non-cash charges, gain on deconsolidation of variable interest entities, amortization of basis differences in equity method investments, major maintenance for Renewable Power and unrealized loss (gain) for derivative instruments.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The Company has not reconciled future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 w:name="page5"/>
    <w:bookmarkEnd w:id="4"/>
    <w:p>
      <w:pPr>
        <w:jc w:val="both"/>
        <w:spacing w:after="0" w:line="245" w:lineRule="auto"/>
        <w:rPr>
          <w:sz w:val="20"/>
          <w:szCs w:val="20"/>
          <w:color w:val="auto"/>
        </w:rPr>
      </w:pPr>
      <w:r>
        <w:rPr>
          <w:rFonts w:ascii="Times New Roman" w:cs="Times New Roman" w:eastAsia="Times New Roman" w:hAnsi="Times New Roman"/>
          <w:sz w:val="18"/>
          <w:szCs w:val="18"/>
          <w:color w:val="auto"/>
        </w:rPr>
        <w:t>EBITDA included in this report to the most directly comparable GAAP measure because this cannot be done without unreasonable effort because the Company does not currently have sufficient data to accurately estimate the individual adjustments included in the most directly comparable GAAP measure that would be necessary for such reconciliation. The Company expects the variability of these items to have a potentially unpredictable, and a potentially significant, impact on its future GAAP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37"/>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8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320" w:type="dxa"/>
            <w:vAlign w:val="bottom"/>
          </w:tcPr>
          <w:p>
            <w:pPr>
              <w:spacing w:after="0"/>
              <w:rPr>
                <w:sz w:val="20"/>
                <w:szCs w:val="20"/>
                <w:color w:val="auto"/>
              </w:rPr>
            </w:pPr>
          </w:p>
        </w:tc>
      </w:tr>
      <w:tr>
        <w:trPr>
          <w:trHeight w:val="1316"/>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22, 2023</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2023-11-22T09:05:09Z</dcterms:created>
  <dcterms:modified xsi:type="dcterms:W3CDTF">2023-11-22T09:05:09Z</dcterms:modified>
</cp:coreProperties>
</file>