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7917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7917180"/>
                    </a:xfrm>
                    <a:prstGeom prst="rect">
                      <a:avLst/>
                    </a:prstGeom>
                    <a:noFill/>
                  </pic:spPr>
                </pic:pic>
              </a:graphicData>
            </a:graphic>
          </wp:anchor>
        </w:drawing>
      </w:r>
    </w:p>
    <w:p>
      <w:pPr>
        <w:spacing w:after="0" w:line="92" w:lineRule="exact"/>
        <w:rPr>
          <w:sz w:val="24"/>
          <w:szCs w:val="24"/>
          <w:color w:val="auto"/>
        </w:rPr>
      </w:pPr>
    </w:p>
    <w:p>
      <w:pPr>
        <w:sectPr>
          <w:pgSz w:w="11900" w:h="16852" w:orient="portrait"/>
          <w:cols w:equalWidth="0" w:num="2">
            <w:col w:w="2200" w:space="420"/>
            <w:col w:w="846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Comora Mark S</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NORTH LEXINGTON AVE, 14TH FLOOR</w:t>
      </w:r>
    </w:p>
    <w:p>
      <w:pPr>
        <w:spacing w:after="0" w:line="333"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WHITE PLAINS 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10601</w:t>
            </w:r>
          </w:p>
        </w:tc>
      </w:tr>
      <w:tr>
        <w:trPr>
          <w:trHeight w:val="144"/>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07"/>
        </w:trPr>
        <w:tc>
          <w:tcPr>
            <w:tcW w:w="60" w:type="dxa"/>
            <w:vAlign w:val="bottom"/>
          </w:tcPr>
          <w:p>
            <w:pPr>
              <w:spacing w:after="0"/>
              <w:rPr>
                <w:sz w:val="17"/>
                <w:szCs w:val="17"/>
                <w:color w:val="auto"/>
              </w:rPr>
            </w:pPr>
          </w:p>
        </w:tc>
        <w:tc>
          <w:tcPr>
            <w:tcW w:w="3780" w:type="dxa"/>
            <w:vAlign w:val="bottom"/>
            <w:gridSpan w:val="3"/>
          </w:tcPr>
          <w:p>
            <w:pPr>
              <w:spacing w:after="0" w:line="20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7"/>
                <w:szCs w:val="17"/>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40" w:type="dxa"/>
            <w:vAlign w:val="bottom"/>
            <w:tcBorders>
              <w:top w:val="single" w:sz="8" w:color="0000EE"/>
              <w:bottom w:val="single" w:sz="8" w:color="2C2C2C"/>
            </w:tcBorders>
          </w:tcPr>
          <w:p>
            <w:pPr>
              <w:spacing w:after="0"/>
              <w:rPr>
                <w:sz w:val="11"/>
                <w:szCs w:val="11"/>
                <w:color w:val="auto"/>
              </w:rPr>
            </w:pPr>
          </w:p>
        </w:tc>
        <w:tc>
          <w:tcPr>
            <w:tcW w:w="1220" w:type="dxa"/>
            <w:vAlign w:val="bottom"/>
            <w:tcBorders>
              <w:top w:val="single" w:sz="8" w:color="0000EE"/>
              <w:bottom w:val="single" w:sz="8" w:color="2C2C2C"/>
            </w:tcBorders>
          </w:tcPr>
          <w:p>
            <w:pPr>
              <w:spacing w:after="0"/>
              <w:rPr>
                <w:sz w:val="11"/>
                <w:szCs w:val="11"/>
                <w:color w:val="auto"/>
              </w:rPr>
            </w:pPr>
          </w:p>
        </w:tc>
        <w:tc>
          <w:tcPr>
            <w:tcW w:w="24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ind w:left="80"/>
              <w:spacing w:after="0" w:line="106"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620" w:type="dxa"/>
            <w:vAlign w:val="bottom"/>
          </w:tcPr>
          <w:p>
            <w:pPr>
              <w:ind w:left="160"/>
              <w:spacing w:after="0" w:line="106"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10% Owner</w:t>
            </w: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20" w:type="dxa"/>
            <w:vAlign w:val="bottom"/>
          </w:tcPr>
          <w:p>
            <w:pPr>
              <w:ind w:left="500"/>
              <w:spacing w:after="0"/>
              <w:rPr>
                <w:sz w:val="20"/>
                <w:szCs w:val="20"/>
                <w:color w:val="auto"/>
              </w:rPr>
            </w:pPr>
            <w:r>
              <w:rPr>
                <w:rFonts w:ascii="Arial" w:cs="Arial" w:eastAsia="Arial" w:hAnsi="Arial"/>
                <w:sz w:val="13"/>
                <w:szCs w:val="13"/>
                <w:color w:val="auto"/>
              </w:rPr>
              <w:t>Other (specify</w:t>
            </w:r>
          </w:p>
        </w:tc>
      </w:tr>
      <w:tr>
        <w:trPr>
          <w:trHeight w:val="214"/>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03/12/2024</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below)</w:t>
            </w:r>
          </w:p>
        </w:tc>
        <w:tc>
          <w:tcPr>
            <w:tcW w:w="1620" w:type="dxa"/>
            <w:vAlign w:val="bottom"/>
          </w:tcPr>
          <w:p>
            <w:pPr>
              <w:ind w:left="500"/>
              <w:spacing w:after="0"/>
              <w:rPr>
                <w:sz w:val="20"/>
                <w:szCs w:val="20"/>
                <w:color w:val="auto"/>
              </w:rPr>
            </w:pPr>
            <w:r>
              <w:rPr>
                <w:rFonts w:ascii="Arial" w:cs="Arial" w:eastAsia="Arial" w:hAnsi="Arial"/>
                <w:sz w:val="13"/>
                <w:szCs w:val="13"/>
                <w:color w:val="auto"/>
              </w:rPr>
              <w:t>below)</w:t>
            </w: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8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440"/>
        <w:spacing w:after="0" w:line="28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52" w:orient="portrait"/>
          <w:cols w:equalWidth="0" w:num="2">
            <w:col w:w="3760" w:space="8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174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Form: Direct</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1740" w:type="dxa"/>
            <w:vAlign w:val="bottom"/>
          </w:tcPr>
          <w:p>
            <w:pPr>
              <w:ind w:left="7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4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4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4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D common stock</w:t>
            </w:r>
          </w:p>
        </w:tc>
        <w:tc>
          <w:tcPr>
            <w:tcW w:w="174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color w:val="0000FF"/>
              </w:rPr>
              <w:t>03/12/2024</w:t>
            </w:r>
          </w:p>
        </w:tc>
        <w:tc>
          <w:tcPr>
            <w:tcW w:w="1060" w:type="dxa"/>
            <w:vAlign w:val="bottom"/>
          </w:tcPr>
          <w:p>
            <w:pPr>
              <w:spacing w:after="0"/>
              <w:rPr>
                <w:sz w:val="17"/>
                <w:szCs w:val="17"/>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71,500,000</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vMerge w:val="restart"/>
          </w:tcPr>
          <w:p>
            <w:pPr>
              <w:jc w:val="right"/>
              <w:ind w:right="126"/>
              <w:spacing w:after="0"/>
              <w:rPr>
                <w:sz w:val="20"/>
                <w:szCs w:val="20"/>
                <w:color w:val="auto"/>
              </w:rPr>
            </w:pPr>
            <w:r>
              <w:rPr>
                <w:rFonts w:ascii="Times New Roman" w:cs="Times New Roman" w:eastAsia="Times New Roman" w:hAnsi="Times New Roman"/>
                <w:sz w:val="10"/>
                <w:szCs w:val="10"/>
                <w:color w:val="008000"/>
              </w:rPr>
              <w:t>(1)(2)</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70,877,450</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OPAL</w:t>
            </w:r>
          </w:p>
        </w:tc>
        <w:tc>
          <w:tcPr>
            <w:tcW w:w="0" w:type="dxa"/>
            <w:vAlign w:val="bottom"/>
          </w:tcPr>
          <w:p>
            <w:pPr>
              <w:spacing w:after="0"/>
              <w:rPr>
                <w:sz w:val="1"/>
                <w:szCs w:val="1"/>
                <w:color w:val="auto"/>
              </w:rPr>
            </w:pPr>
          </w:p>
        </w:tc>
      </w:tr>
      <w:tr>
        <w:trPr>
          <w:trHeight w:val="113"/>
        </w:trPr>
        <w:tc>
          <w:tcPr>
            <w:tcW w:w="244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Holdco</w:t>
            </w:r>
          </w:p>
        </w:tc>
        <w:tc>
          <w:tcPr>
            <w:tcW w:w="0" w:type="dxa"/>
            <w:vAlign w:val="bottom"/>
          </w:tcPr>
          <w:p>
            <w:pPr>
              <w:spacing w:after="0"/>
              <w:rPr>
                <w:sz w:val="1"/>
                <w:szCs w:val="1"/>
                <w:color w:val="auto"/>
              </w:rPr>
            </w:pPr>
          </w:p>
        </w:tc>
      </w:tr>
      <w:tr>
        <w:trPr>
          <w:trHeight w:val="89"/>
        </w:trPr>
        <w:tc>
          <w:tcPr>
            <w:tcW w:w="24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LLC</w:t>
            </w:r>
          </w:p>
        </w:tc>
        <w:tc>
          <w:tcPr>
            <w:tcW w:w="0" w:type="dxa"/>
            <w:vAlign w:val="bottom"/>
          </w:tcPr>
          <w:p>
            <w:pPr>
              <w:spacing w:after="0"/>
              <w:rPr>
                <w:sz w:val="1"/>
                <w:szCs w:val="1"/>
                <w:color w:val="auto"/>
              </w:rPr>
            </w:pPr>
          </w:p>
        </w:tc>
      </w:tr>
      <w:tr>
        <w:trPr>
          <w:trHeight w:val="56"/>
        </w:trPr>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74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color w:val="0000FF"/>
              </w:rPr>
              <w:t>03/12/2024</w:t>
            </w:r>
          </w:p>
        </w:tc>
        <w:tc>
          <w:tcPr>
            <w:tcW w:w="1060" w:type="dxa"/>
            <w:vAlign w:val="bottom"/>
          </w:tcPr>
          <w:p>
            <w:pPr>
              <w:spacing w:after="0"/>
              <w:rPr>
                <w:sz w:val="17"/>
                <w:szCs w:val="17"/>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71,500,000</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right"/>
              <w:ind w:right="126"/>
              <w:spacing w:after="0"/>
              <w:rPr>
                <w:sz w:val="20"/>
                <w:szCs w:val="20"/>
                <w:color w:val="auto"/>
              </w:rPr>
            </w:pPr>
            <w:r>
              <w:rPr>
                <w:rFonts w:ascii="Times New Roman" w:cs="Times New Roman" w:eastAsia="Times New Roman" w:hAnsi="Times New Roman"/>
                <w:sz w:val="10"/>
                <w:szCs w:val="10"/>
                <w:color w:val="008000"/>
              </w:rPr>
              <w:t>(1)(2)</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71,500,000</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OPAL</w:t>
            </w:r>
          </w:p>
        </w:tc>
        <w:tc>
          <w:tcPr>
            <w:tcW w:w="0" w:type="dxa"/>
            <w:vAlign w:val="bottom"/>
          </w:tcPr>
          <w:p>
            <w:pPr>
              <w:spacing w:after="0"/>
              <w:rPr>
                <w:sz w:val="1"/>
                <w:szCs w:val="1"/>
                <w:color w:val="auto"/>
              </w:rPr>
            </w:pPr>
          </w:p>
        </w:tc>
      </w:tr>
      <w:tr>
        <w:trPr>
          <w:trHeight w:val="113"/>
        </w:trPr>
        <w:tc>
          <w:tcPr>
            <w:tcW w:w="244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Holdco</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6"/>
          <w:szCs w:val="16"/>
          <w:color w:val="0000FF"/>
        </w:rPr>
        <w:t>LLC</w:t>
      </w:r>
    </w:p>
    <w:p>
      <w:pPr>
        <w:spacing w:after="0" w:line="131"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6"/>
          <w:szCs w:val="16"/>
          <w:color w:val="0000FF"/>
        </w:rPr>
        <w:t>Through</w:t>
      </w:r>
    </w:p>
    <w:p>
      <w:pPr>
        <w:spacing w:after="0" w:line="30"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6"/>
          <w:szCs w:val="16"/>
          <w:color w:val="0000FF"/>
        </w:rPr>
        <w:t>Hillman</w:t>
      </w:r>
    </w:p>
    <w:p>
      <w:pPr>
        <w:spacing w:after="0" w:line="18" w:lineRule="exact"/>
        <w:rPr>
          <w:sz w:val="24"/>
          <w:szCs w:val="24"/>
          <w:color w:val="auto"/>
        </w:rPr>
      </w:pPr>
    </w:p>
    <w:p>
      <w:pPr>
        <w:ind w:left="8240" w:right="180" w:hanging="10032"/>
        <w:spacing w:after="0" w:line="263" w:lineRule="auto"/>
        <w:tabs>
          <w:tab w:leader="none" w:pos="8220" w:val="left"/>
        </w:tabs>
        <w:rPr>
          <w:sz w:val="20"/>
          <w:szCs w:val="20"/>
          <w:color w:val="auto"/>
        </w:rPr>
      </w:pPr>
      <w:r>
        <w:rPr>
          <w:rFonts w:ascii="Times New Roman" w:cs="Times New Roman" w:eastAsia="Times New Roman" w:hAnsi="Times New Roman"/>
          <w:sz w:val="16"/>
          <w:szCs w:val="16"/>
          <w:color w:val="0000FF"/>
        </w:rPr>
        <w:t>Class D common stock</w:t>
      </w:r>
      <w:r>
        <w:rPr>
          <w:sz w:val="20"/>
          <w:szCs w:val="20"/>
          <w:color w:val="auto"/>
        </w:rPr>
        <w:tab/>
      </w:r>
      <w:r>
        <w:rPr>
          <w:rFonts w:ascii="Times New Roman" w:cs="Times New Roman" w:eastAsia="Times New Roman" w:hAnsi="Times New Roman"/>
          <w:sz w:val="16"/>
          <w:szCs w:val="16"/>
          <w:color w:val="0000FF"/>
        </w:rPr>
        <w:t>2,021,587 I RNG Investments</w:t>
      </w:r>
    </w:p>
    <w:p>
      <w:pPr>
        <w:spacing w:after="0" w:line="202"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6"/>
          <w:szCs w:val="16"/>
          <w:color w:val="0000FF"/>
        </w:rPr>
        <w:t>LLC</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424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0000FF"/>
              </w:rPr>
              <w:t>10,125</w:t>
            </w:r>
          </w:p>
        </w:tc>
        <w:tc>
          <w:tcPr>
            <w:tcW w:w="70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0000FF"/>
              </w:rPr>
              <w:t>D</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6"/>
        </w:trPr>
        <w:tc>
          <w:tcPr>
            <w:tcW w:w="20" w:type="dxa"/>
            <w:vAlign w:val="bottom"/>
          </w:tcPr>
          <w:p>
            <w:pPr>
              <w:spacing w:after="0"/>
              <w:rPr>
                <w:sz w:val="4"/>
                <w:szCs w:val="4"/>
                <w:color w:val="auto"/>
              </w:rPr>
            </w:pPr>
          </w:p>
        </w:tc>
        <w:tc>
          <w:tcPr>
            <w:tcW w:w="4920" w:type="dxa"/>
            <w:vAlign w:val="bottom"/>
            <w:tcBorders>
              <w:bottom w:val="single" w:sz="8" w:color="2C2C2C"/>
            </w:tcBorders>
          </w:tcPr>
          <w:p>
            <w:pPr>
              <w:spacing w:after="0"/>
              <w:rPr>
                <w:sz w:val="4"/>
                <w:szCs w:val="4"/>
                <w:color w:val="auto"/>
              </w:rPr>
            </w:pPr>
          </w:p>
        </w:tc>
        <w:tc>
          <w:tcPr>
            <w:tcW w:w="4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39"/>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Through</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424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880,600</w:t>
            </w:r>
          </w:p>
        </w:tc>
        <w:tc>
          <w:tcPr>
            <w:tcW w:w="700" w:type="dxa"/>
            <w:vAlign w:val="bottom"/>
          </w:tcPr>
          <w:p>
            <w:pPr>
              <w:jc w:val="center"/>
              <w:ind w:left="38"/>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Fortistar</w:t>
            </w:r>
          </w:p>
        </w:tc>
        <w:tc>
          <w:tcPr>
            <w:tcW w:w="2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LLC</w:t>
            </w:r>
          </w:p>
        </w:tc>
        <w:tc>
          <w:tcPr>
            <w:tcW w:w="20" w:type="dxa"/>
            <w:vAlign w:val="bottom"/>
          </w:tcPr>
          <w:p>
            <w:pPr>
              <w:spacing w:after="0"/>
              <w:rPr>
                <w:sz w:val="18"/>
                <w:szCs w:val="18"/>
                <w:color w:val="auto"/>
              </w:rPr>
            </w:pPr>
          </w:p>
        </w:tc>
      </w:tr>
      <w:tr>
        <w:trPr>
          <w:trHeight w:val="56"/>
        </w:trPr>
        <w:tc>
          <w:tcPr>
            <w:tcW w:w="20" w:type="dxa"/>
            <w:vAlign w:val="bottom"/>
            <w:tcBorders>
              <w:bottom w:val="single" w:sz="8" w:color="2C2C2C"/>
            </w:tcBorders>
          </w:tcPr>
          <w:p>
            <w:pPr>
              <w:spacing w:after="0"/>
              <w:rPr>
                <w:sz w:val="4"/>
                <w:szCs w:val="4"/>
                <w:color w:val="auto"/>
              </w:rPr>
            </w:pPr>
          </w:p>
        </w:tc>
        <w:tc>
          <w:tcPr>
            <w:tcW w:w="4920" w:type="dxa"/>
            <w:vAlign w:val="bottom"/>
            <w:tcBorders>
              <w:bottom w:val="single" w:sz="8" w:color="2C2C2C"/>
            </w:tcBorders>
          </w:tcPr>
          <w:p>
            <w:pPr>
              <w:spacing w:after="0"/>
              <w:rPr>
                <w:sz w:val="4"/>
                <w:szCs w:val="4"/>
                <w:color w:val="auto"/>
              </w:rPr>
            </w:pPr>
          </w:p>
        </w:tc>
        <w:tc>
          <w:tcPr>
            <w:tcW w:w="4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3 and 4)</w:t>
            </w:r>
          </w:p>
        </w:tc>
        <w:tc>
          <w:tcPr>
            <w:tcW w:w="9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Through</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Class C</w:t>
            </w:r>
          </w:p>
        </w:tc>
        <w:tc>
          <w:tcPr>
            <w:tcW w:w="9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60" w:type="dxa"/>
            <w:vAlign w:val="bottom"/>
            <w:vMerge w:val="continue"/>
          </w:tcPr>
          <w:p>
            <w:pPr>
              <w:spacing w:after="0"/>
              <w:rPr>
                <w:sz w:val="6"/>
                <w:szCs w:val="6"/>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vMerge w:val="continue"/>
          </w:tcPr>
          <w:p>
            <w:pPr>
              <w:spacing w:after="0"/>
              <w:rPr>
                <w:sz w:val="6"/>
                <w:szCs w:val="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142,377,450</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OPAL</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Units of</w:t>
            </w: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9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jc w:val="right"/>
              <w:ind w:right="82"/>
              <w:spacing w:after="0" w:line="139" w:lineRule="exact"/>
              <w:rPr>
                <w:sz w:val="20"/>
                <w:szCs w:val="20"/>
                <w:color w:val="auto"/>
              </w:rPr>
            </w:pPr>
            <w:r>
              <w:rPr>
                <w:rFonts w:ascii="Times New Roman" w:cs="Times New Roman" w:eastAsia="Times New Roman" w:hAnsi="Times New Roman"/>
                <w:sz w:val="13"/>
                <w:szCs w:val="13"/>
                <w:color w:val="0000FF"/>
              </w:rPr>
              <w:t>142,377,450</w:t>
            </w:r>
          </w:p>
        </w:tc>
        <w:tc>
          <w:tcPr>
            <w:tcW w:w="72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Holdco</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OPAL</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9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Fuels 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Through</w:t>
            </w: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Class C</w:t>
            </w:r>
          </w:p>
        </w:tc>
        <w:tc>
          <w:tcPr>
            <w:tcW w:w="94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color w:val="0000FF"/>
              </w:rPr>
              <w:t>2,021,587</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Hillman</w:t>
            </w: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Units of</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9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right"/>
              <w:ind w:right="142"/>
              <w:spacing w:after="0" w:line="139" w:lineRule="exact"/>
              <w:rPr>
                <w:sz w:val="20"/>
                <w:szCs w:val="20"/>
                <w:color w:val="auto"/>
              </w:rPr>
            </w:pPr>
            <w:r>
              <w:rPr>
                <w:rFonts w:ascii="Times New Roman" w:cs="Times New Roman" w:eastAsia="Times New Roman" w:hAnsi="Times New Roman"/>
                <w:sz w:val="13"/>
                <w:szCs w:val="13"/>
                <w:color w:val="0000FF"/>
              </w:rPr>
              <w:t>2,021,587</w:t>
            </w:r>
          </w:p>
        </w:tc>
        <w:tc>
          <w:tcPr>
            <w:tcW w:w="7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7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RNG</w:t>
            </w: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OPAL</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Investments</w:t>
            </w:r>
          </w:p>
        </w:tc>
        <w:tc>
          <w:tcPr>
            <w:tcW w:w="0" w:type="dxa"/>
            <w:vAlign w:val="bottom"/>
          </w:tcPr>
          <w:p>
            <w:pPr>
              <w:spacing w:after="0"/>
              <w:rPr>
                <w:sz w:val="1"/>
                <w:szCs w:val="1"/>
                <w:color w:val="auto"/>
              </w:rPr>
            </w:pPr>
          </w:p>
        </w:tc>
      </w:tr>
      <w:tr>
        <w:trPr>
          <w:trHeight w:val="164"/>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Fuels LLC</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32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Certificate of Incorporation of OPAL Fuels Inc. (the "Company"), each share of Class D common stock of the Company is convertible into one share of Class B common stock of the Company at the option of the holder thereof at any time upon written notice to the Company. No conversion price is required to be paid in connection with such conversion.</w:t>
      </w:r>
    </w:p>
    <w:p>
      <w:pPr>
        <w:spacing w:after="0" w:line="21" w:lineRule="exact"/>
        <w:rPr>
          <w:rFonts w:ascii="Times New Roman" w:cs="Times New Roman" w:eastAsia="Times New Roman" w:hAnsi="Times New Roman"/>
          <w:sz w:val="13"/>
          <w:szCs w:val="13"/>
          <w:color w:val="008000"/>
        </w:rPr>
      </w:pPr>
    </w:p>
    <w:p>
      <w:pPr>
        <w:ind w:left="40" w:right="220" w:hanging="1"/>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12, 2024, OPAL HoldCo LLC delivered notice to the Company of its election to convert 71,500,000 shares of Class D common stock into a corresponding number of shares of Class B common stock. The reporting person is the Chairman of the Board of Directors of the Company and the President of Fortistar Renewables LLC, which is the Manager of OPAL HoldCo LLC. The reporting person is also the President of OPAL HoldCo LLC. Through Fortistar LLC and various other subsidiaries of Fortistar LLC, the reporting person controls OPAL Holdco LLC. The reporting person disclaims beneficial ownership of all securities reported in this Form 4 except to the extent of his pecuniary interest therein, other than those securities reported herein as being held directly by such reporting person.</w:t>
      </w:r>
    </w:p>
    <w:p>
      <w:pPr>
        <w:spacing w:after="0" w:line="26" w:lineRule="exact"/>
        <w:rPr>
          <w:rFonts w:ascii="Times New Roman" w:cs="Times New Roman" w:eastAsia="Times New Roman" w:hAnsi="Times New Roman"/>
          <w:sz w:val="13"/>
          <w:szCs w:val="13"/>
          <w:color w:val="008000"/>
        </w:rPr>
      </w:pPr>
    </w:p>
    <w:p>
      <w:pPr>
        <w:jc w:val="both"/>
        <w:ind w:left="40" w:right="500" w:hanging="1"/>
        <w:spacing w:after="0" w:line="23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B Common Units of OPAL Fuels LLC are redeemable at any time by the reporting person for, at the election of the Company, newly-issued Class C common stock on a one-for-one basis or a cash payment equal to the volume weighted average market price of one Class C common stock for each Class B Common Unit redeemed. Upon the redemption of any Class B Common Units, a number of Class D common stock equal to the number of Class B Common Units that are redeemed will be cancelled by the Issuer for no consideration.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8" w:lineRule="auto"/>
        <w:rPr>
          <w:sz w:val="20"/>
          <w:szCs w:val="20"/>
          <w:color w:val="auto"/>
        </w:rPr>
      </w:pPr>
      <w:r>
        <w:rPr>
          <w:rFonts w:ascii="Times New Roman" w:cs="Times New Roman" w:eastAsia="Times New Roman" w:hAnsi="Times New Roman"/>
          <w:sz w:val="16"/>
          <w:szCs w:val="16"/>
          <w:color w:val="0000FF"/>
        </w:rPr>
        <w:t xml:space="preserve">/s/ John Coghlin as Attorney-in- </w:t>
      </w:r>
      <w:r>
        <w:rPr>
          <w:rFonts w:ascii="Times New Roman" w:cs="Times New Roman" w:eastAsia="Times New Roman" w:hAnsi="Times New Roman"/>
          <w:sz w:val="32"/>
          <w:szCs w:val="32"/>
          <w:color w:val="0000FF"/>
          <w:vertAlign w:val="subscript"/>
        </w:rPr>
        <w:t>03/14/2024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41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-15240</wp:posOffset>
            </wp:positionV>
            <wp:extent cx="179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-79375</wp:posOffset>
            </wp:positionV>
            <wp:extent cx="473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ectPr>
          <w:pgSz w:w="11900" w:h="16852" w:orient="portrait"/>
          <w:cols w:equalWidth="0" w:num="1">
            <w:col w:w="11080"/>
          </w:cols>
          <w:pgMar w:left="460" w:top="215" w:right="359" w:bottom="0" w:gutter="0" w:footer="0" w:header="0"/>
          <w:type w:val="continuous"/>
        </w:sectPr>
      </w:pPr>
    </w:p>
    <w:bookmarkStart w:id="1" w:name="page2"/>
    <w:bookmarkEnd w:id="1"/>
    <w:p>
      <w:pPr>
        <w:ind w:left="6561"/>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2679" w:hanging="1"/>
        <w:spacing w:after="0" w:line="328"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9"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7111"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2024-03-14T18:38:11Z</dcterms:created>
  <dcterms:modified xsi:type="dcterms:W3CDTF">2024-03-14T18:38:11Z</dcterms:modified>
</cp:coreProperties>
</file>