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August 10, 2022</w:t>
      </w:r>
    </w:p>
    <w:p>
      <w:pPr>
        <w:spacing w:after="0" w:line="20"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5010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15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010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010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8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OPAL FUELS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010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9"/>
              </w:rPr>
              <w:t>4932</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8"/>
              </w:rPr>
              <w:t>98-1578357</w:t>
            </w:r>
          </w:p>
        </w:tc>
      </w:tr>
      <w:tr>
        <w:trPr>
          <w:trHeight w:val="172"/>
        </w:trPr>
        <w:tc>
          <w:tcPr>
            <w:tcW w:w="360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89"/>
              </w:rPr>
              <w:t>(State or other jurisdiction of</w:t>
            </w:r>
          </w:p>
        </w:tc>
        <w:tc>
          <w:tcPr>
            <w:tcW w:w="240" w:type="dxa"/>
            <w:vAlign w:val="bottom"/>
          </w:tcPr>
          <w:p>
            <w:pPr>
              <w:spacing w:after="0"/>
              <w:rPr>
                <w:sz w:val="14"/>
                <w:szCs w:val="14"/>
                <w:color w:val="auto"/>
              </w:rPr>
            </w:pPr>
          </w:p>
        </w:tc>
        <w:tc>
          <w:tcPr>
            <w:tcW w:w="360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2"/>
              </w:rPr>
              <w:t>(Primary Standard Industrial</w:t>
            </w:r>
          </w:p>
        </w:tc>
        <w:tc>
          <w:tcPr>
            <w:tcW w:w="220" w:type="dxa"/>
            <w:vAlign w:val="bottom"/>
          </w:tcPr>
          <w:p>
            <w:pPr>
              <w:spacing w:after="0"/>
              <w:rPr>
                <w:sz w:val="14"/>
                <w:szCs w:val="14"/>
                <w:color w:val="auto"/>
              </w:rPr>
            </w:pPr>
          </w:p>
        </w:tc>
        <w:tc>
          <w:tcPr>
            <w:tcW w:w="360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1"/>
              </w:rPr>
              <w:t>(I.R.S. Employer</w:t>
            </w:r>
          </w:p>
        </w:tc>
      </w:tr>
      <w:tr>
        <w:trPr>
          <w:trHeight w:val="204"/>
        </w:trPr>
        <w:tc>
          <w:tcPr>
            <w:tcW w:w="3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incorporation or organization)</w:t>
            </w:r>
          </w:p>
        </w:tc>
        <w:tc>
          <w:tcPr>
            <w:tcW w:w="3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Classification Code Number)</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1"/>
              </w:rPr>
              <w:t>Identification No.)</w:t>
            </w:r>
          </w:p>
        </w:tc>
      </w:tr>
    </w:tbl>
    <w:p>
      <w:pPr>
        <w:spacing w:after="0" w:line="1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North Lexington Avenue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1450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White Plains, New York 10601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(914) 705-4000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010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 Anthony</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Financial Officer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 OPAL Fuels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North Lexington Avenue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1450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White Plains, New York 10601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(914) 705-4000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010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of all communications, including communications sent to agent for service, should be sent to:</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 Allen McConnell, P.C.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Edward M. Welch, Esq.</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Sheppard, Mullin,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Richter &amp; Hampton LLP</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 Rockefeller Plaza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10112</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(212) 653-8700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15010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28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197" w:lineRule="exact"/>
        <w:rPr>
          <w:sz w:val="24"/>
          <w:szCs w:val="24"/>
          <w:color w:val="auto"/>
        </w:rPr>
      </w:pPr>
    </w:p>
    <w:p>
      <w:pPr>
        <w:jc w:val="both"/>
        <w:ind w:right="20" w:firstLine="283"/>
        <w:spacing w:after="0" w:line="20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firstLine="283"/>
        <w:spacing w:after="0" w:line="20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firstLine="283"/>
        <w:spacing w:after="0" w:line="20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firstLine="283"/>
        <w:spacing w:after="0" w:line="20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firstLine="283"/>
        <w:spacing w:after="0" w:line="38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460" w:type="dxa"/>
        <w:tblCellMar>
          <w:top w:w="0" w:type="dxa"/>
          <w:left w:w="0" w:type="dxa"/>
          <w:bottom w:w="0" w:type="dxa"/>
          <w:right w:w="0" w:type="dxa"/>
        </w:tblCellMar>
      </w:tblPr>
      <w:tr>
        <w:trPr>
          <w:trHeight w:val="188"/>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8"/>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18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5000" w:type="dxa"/>
            <w:vAlign w:val="bottom"/>
          </w:tcPr>
          <w:p>
            <w:pPr>
              <w:ind w:left="280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9" w:lineRule="exact"/>
        <w:rPr>
          <w:sz w:val="24"/>
          <w:szCs w:val="24"/>
          <w:color w:val="auto"/>
        </w:rPr>
      </w:pPr>
    </w:p>
    <w:p>
      <w:pPr>
        <w:jc w:val="both"/>
        <w:ind w:firstLine="283"/>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55" w:lineRule="exact"/>
        <w:rPr>
          <w:sz w:val="24"/>
          <w:szCs w:val="24"/>
          <w:color w:val="auto"/>
        </w:rPr>
      </w:pPr>
    </w:p>
    <w:p>
      <w:pPr>
        <w:jc w:val="both"/>
        <w:ind w:right="20" w:firstLine="283"/>
        <w:spacing w:after="0" w:line="346"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1501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wp:posOffset>
            </wp:positionV>
            <wp:extent cx="715010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15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474980</wp:posOffset>
            </wp:positionV>
            <wp:extent cx="715010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 w:name="page2"/>
    <w:bookmarkEnd w:id="1"/>
    <w:p>
      <w:pPr>
        <w:jc w:val="both"/>
        <w:ind w:right="20"/>
        <w:spacing w:after="0" w:line="258" w:lineRule="auto"/>
        <w:rPr>
          <w:sz w:val="20"/>
          <w:szCs w:val="20"/>
          <w:color w:val="auto"/>
        </w:rPr>
      </w:pPr>
      <w:r>
        <w:rPr>
          <w:rFonts w:ascii="Arial" w:cs="Arial" w:eastAsia="Arial" w:hAnsi="Arial"/>
          <w:sz w:val="16"/>
          <w:szCs w:val="16"/>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0000"/>
        </w:rPr>
        <w:t>SUBJECT TO COMPLETION, DATED AUGUST 10, 2022</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OPAL FUELS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Up to 175,541,507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5010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8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This prospectus relates to the offer and sale from time to time by the selling securityholders named in this prospectus (the “</w:t>
      </w:r>
      <w:r>
        <w:rPr>
          <w:rFonts w:ascii="Arial" w:cs="Arial" w:eastAsia="Arial" w:hAnsi="Arial"/>
          <w:sz w:val="13"/>
          <w:szCs w:val="13"/>
          <w:b w:val="1"/>
          <w:bCs w:val="1"/>
          <w:i w:val="1"/>
          <w:iCs w:val="1"/>
          <w:color w:val="auto"/>
        </w:rPr>
        <w:t>Selling Holders</w:t>
      </w:r>
      <w:r>
        <w:rPr>
          <w:rFonts w:ascii="Arial" w:cs="Arial" w:eastAsia="Arial" w:hAnsi="Arial"/>
          <w:sz w:val="13"/>
          <w:szCs w:val="13"/>
          <w:color w:val="auto"/>
        </w:rPr>
        <w:t>”) of up to 175,541,507 shares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par value $0.0001 per share (“</w:t>
      </w:r>
      <w:r>
        <w:rPr>
          <w:rFonts w:ascii="Arial" w:cs="Arial" w:eastAsia="Arial" w:hAnsi="Arial"/>
          <w:sz w:val="16"/>
          <w:szCs w:val="16"/>
          <w:b w:val="1"/>
          <w:bCs w:val="1"/>
          <w:i w:val="1"/>
          <w:iCs w:val="1"/>
          <w:color w:val="auto"/>
        </w:rPr>
        <w:t>Class A common stock</w:t>
      </w:r>
      <w:r>
        <w:rPr>
          <w:rFonts w:ascii="Arial" w:cs="Arial" w:eastAsia="Arial" w:hAnsi="Arial"/>
          <w:sz w:val="16"/>
          <w:szCs w:val="16"/>
          <w:color w:val="auto"/>
        </w:rPr>
        <w:t>”), consisting of:</w:t>
      </w:r>
    </w:p>
    <w:p>
      <w:pPr>
        <w:spacing w:after="0" w:line="181" w:lineRule="exact"/>
        <w:rPr>
          <w:sz w:val="20"/>
          <w:szCs w:val="20"/>
          <w:color w:val="auto"/>
        </w:rPr>
      </w:pPr>
    </w:p>
    <w:p>
      <w:pPr>
        <w:jc w:val="both"/>
        <w:ind w:left="280" w:firstLine="280"/>
        <w:spacing w:after="0" w:line="252" w:lineRule="auto"/>
        <w:tabs>
          <w:tab w:leader="none" w:pos="766" w:val="left"/>
        </w:tabs>
        <w:numPr>
          <w:ilvl w:val="0"/>
          <w:numId w:val="1"/>
        </w:numPr>
        <w:rPr>
          <w:rFonts w:ascii="Arial" w:cs="Arial" w:eastAsia="Arial" w:hAnsi="Arial"/>
          <w:sz w:val="16"/>
          <w:szCs w:val="16"/>
          <w:color w:val="auto"/>
        </w:rPr>
      </w:pPr>
      <w:r>
        <w:rPr>
          <w:rFonts w:ascii="Arial" w:cs="Arial" w:eastAsia="Arial" w:hAnsi="Arial"/>
          <w:sz w:val="16"/>
          <w:szCs w:val="16"/>
          <w:color w:val="auto"/>
        </w:rPr>
        <w:t>10,838,609 shares of Class A common stock issued under the Business Combination Agreement, dated as of December 2, 2021 (as the same has been or may be amended, modified, supplemented or waived from time to time, the “</w:t>
      </w:r>
      <w:r>
        <w:rPr>
          <w:rFonts w:ascii="Arial" w:cs="Arial" w:eastAsia="Arial" w:hAnsi="Arial"/>
          <w:sz w:val="16"/>
          <w:szCs w:val="16"/>
          <w:b w:val="1"/>
          <w:bCs w:val="1"/>
          <w:i w:val="1"/>
          <w:iCs w:val="1"/>
          <w:color w:val="auto"/>
        </w:rPr>
        <w:t>BCA</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by and among ArcLight Clean Transition Corp. II (“</w:t>
      </w:r>
      <w:r>
        <w:rPr>
          <w:rFonts w:ascii="Arial" w:cs="Arial" w:eastAsia="Arial" w:hAnsi="Arial"/>
          <w:sz w:val="16"/>
          <w:szCs w:val="16"/>
          <w:b w:val="1"/>
          <w:bCs w:val="1"/>
          <w:i w:val="1"/>
          <w:iCs w:val="1"/>
          <w:color w:val="auto"/>
        </w:rPr>
        <w:t>ArcLight</w:t>
      </w:r>
      <w:r>
        <w:rPr>
          <w:rFonts w:ascii="Arial" w:cs="Arial" w:eastAsia="Arial" w:hAnsi="Arial"/>
          <w:sz w:val="16"/>
          <w:szCs w:val="16"/>
          <w:color w:val="auto"/>
        </w:rPr>
        <w:t>”), Opal Fuels LLC (“</w:t>
      </w:r>
      <w:r>
        <w:rPr>
          <w:rFonts w:ascii="Arial" w:cs="Arial" w:eastAsia="Arial" w:hAnsi="Arial"/>
          <w:sz w:val="16"/>
          <w:szCs w:val="16"/>
          <w:b w:val="1"/>
          <w:bCs w:val="1"/>
          <w:i w:val="1"/>
          <w:iCs w:val="1"/>
          <w:color w:val="auto"/>
        </w:rPr>
        <w:t>Opco</w:t>
      </w:r>
      <w:r>
        <w:rPr>
          <w:rFonts w:ascii="Arial" w:cs="Arial" w:eastAsia="Arial" w:hAnsi="Arial"/>
          <w:sz w:val="16"/>
          <w:szCs w:val="16"/>
          <w:color w:val="auto"/>
        </w:rPr>
        <w:t>”) and Opal Holdco LLC (“</w:t>
      </w:r>
      <w:r>
        <w:rPr>
          <w:rFonts w:ascii="Arial" w:cs="Arial" w:eastAsia="Arial" w:hAnsi="Arial"/>
          <w:sz w:val="16"/>
          <w:szCs w:val="16"/>
          <w:b w:val="1"/>
          <w:bCs w:val="1"/>
          <w:i w:val="1"/>
          <w:iCs w:val="1"/>
          <w:color w:val="auto"/>
        </w:rPr>
        <w:t>OPAL Holdco</w:t>
      </w:r>
      <w:r>
        <w:rPr>
          <w:rFonts w:ascii="Arial" w:cs="Arial" w:eastAsia="Arial" w:hAnsi="Arial"/>
          <w:sz w:val="16"/>
          <w:szCs w:val="16"/>
          <w:color w:val="auto"/>
        </w:rPr>
        <w:t>”) to ARCC Beacon LLC (“</w:t>
      </w:r>
      <w:r>
        <w:rPr>
          <w:rFonts w:ascii="Arial" w:cs="Arial" w:eastAsia="Arial" w:hAnsi="Arial"/>
          <w:sz w:val="16"/>
          <w:szCs w:val="16"/>
          <w:b w:val="1"/>
          <w:bCs w:val="1"/>
          <w:i w:val="1"/>
          <w:iCs w:val="1"/>
          <w:color w:val="auto"/>
        </w:rPr>
        <w:t>Ares</w:t>
      </w:r>
      <w:r>
        <w:rPr>
          <w:rFonts w:ascii="Arial" w:cs="Arial" w:eastAsia="Arial" w:hAnsi="Arial"/>
          <w:sz w:val="16"/>
          <w:szCs w:val="16"/>
          <w:color w:val="auto"/>
        </w:rPr>
        <w:t>”), ArcLight CTC Holdings II, L.P.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and certain former directors of ArcLight;</w:t>
      </w:r>
    </w:p>
    <w:p>
      <w:pPr>
        <w:spacing w:after="0" w:line="169" w:lineRule="exact"/>
        <w:rPr>
          <w:rFonts w:ascii="Arial" w:cs="Arial" w:eastAsia="Arial" w:hAnsi="Arial"/>
          <w:sz w:val="16"/>
          <w:szCs w:val="16"/>
          <w:color w:val="auto"/>
        </w:rPr>
      </w:pPr>
    </w:p>
    <w:p>
      <w:pPr>
        <w:jc w:val="both"/>
        <w:ind w:left="280" w:firstLine="280"/>
        <w:spacing w:after="0" w:line="256" w:lineRule="auto"/>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144,399,037 shares of Class A common stock issuable upon the conversion of Class C common stock issuable to Opal Holdco and Hillman RNG Investments, LLC (the “</w:t>
      </w:r>
      <w:r>
        <w:rPr>
          <w:rFonts w:ascii="Arial" w:cs="Arial" w:eastAsia="Arial" w:hAnsi="Arial"/>
          <w:sz w:val="16"/>
          <w:szCs w:val="16"/>
          <w:b w:val="1"/>
          <w:bCs w:val="1"/>
          <w:i w:val="1"/>
          <w:iCs w:val="1"/>
          <w:color w:val="auto"/>
        </w:rPr>
        <w:t>Opco Common Equityholders</w:t>
      </w:r>
      <w:r>
        <w:rPr>
          <w:rFonts w:ascii="Arial" w:cs="Arial" w:eastAsia="Arial" w:hAnsi="Arial"/>
          <w:sz w:val="16"/>
          <w:szCs w:val="16"/>
          <w:color w:val="auto"/>
        </w:rPr>
        <w:t>”) upon the exchange of Opco Common Units (as defined below) and the cancellation of an equal number of shares of Class D common stock (as defined below);</w:t>
      </w:r>
    </w:p>
    <w:p>
      <w:pPr>
        <w:spacing w:after="0" w:line="165" w:lineRule="exact"/>
        <w:rPr>
          <w:rFonts w:ascii="Arial" w:cs="Arial" w:eastAsia="Arial" w:hAnsi="Arial"/>
          <w:sz w:val="16"/>
          <w:szCs w:val="16"/>
          <w:color w:val="auto"/>
        </w:rPr>
      </w:pPr>
    </w:p>
    <w:p>
      <w:pPr>
        <w:ind w:left="840" w:hanging="280"/>
        <w:spacing w:after="0"/>
        <w:tabs>
          <w:tab w:leader="none" w:pos="840" w:val="left"/>
        </w:tabs>
        <w:numPr>
          <w:ilvl w:val="0"/>
          <w:numId w:val="1"/>
        </w:numPr>
        <w:rPr>
          <w:rFonts w:ascii="Arial" w:cs="Arial" w:eastAsia="Arial" w:hAnsi="Arial"/>
          <w:sz w:val="16"/>
          <w:szCs w:val="16"/>
          <w:color w:val="auto"/>
        </w:rPr>
      </w:pPr>
      <w:r>
        <w:rPr>
          <w:rFonts w:ascii="Arial" w:cs="Arial" w:eastAsia="Arial" w:hAnsi="Arial"/>
          <w:sz w:val="16"/>
          <w:szCs w:val="16"/>
          <w:color w:val="auto"/>
        </w:rPr>
        <w:t>9,223,261 shares of Class A common stock underlying the OPAL Private Placement Warrants (defined below); and</w:t>
      </w:r>
    </w:p>
    <w:p>
      <w:pPr>
        <w:spacing w:after="0" w:line="192" w:lineRule="exact"/>
        <w:rPr>
          <w:rFonts w:ascii="Arial" w:cs="Arial" w:eastAsia="Arial" w:hAnsi="Arial"/>
          <w:sz w:val="16"/>
          <w:szCs w:val="16"/>
          <w:color w:val="auto"/>
        </w:rPr>
      </w:pPr>
    </w:p>
    <w:p>
      <w:pPr>
        <w:ind w:left="280" w:firstLine="280"/>
        <w:spacing w:after="0" w:line="266" w:lineRule="auto"/>
        <w:tabs>
          <w:tab w:leader="none" w:pos="830" w:val="left"/>
        </w:tabs>
        <w:numPr>
          <w:ilvl w:val="0"/>
          <w:numId w:val="1"/>
        </w:numPr>
        <w:rPr>
          <w:rFonts w:ascii="Arial" w:cs="Arial" w:eastAsia="Arial" w:hAnsi="Arial"/>
          <w:sz w:val="16"/>
          <w:szCs w:val="16"/>
          <w:color w:val="auto"/>
        </w:rPr>
      </w:pPr>
      <w:r>
        <w:rPr>
          <w:rFonts w:ascii="Arial" w:cs="Arial" w:eastAsia="Arial" w:hAnsi="Arial"/>
          <w:sz w:val="16"/>
          <w:szCs w:val="16"/>
          <w:color w:val="auto"/>
        </w:rPr>
        <w:t>11,080,600 shares of Class A common stock issued to the Selling Holders pursuant to subscription agreements dated as of December 2, 2021 (collectively, the “</w:t>
      </w:r>
      <w:r>
        <w:rPr>
          <w:rFonts w:ascii="Arial" w:cs="Arial" w:eastAsia="Arial" w:hAnsi="Arial"/>
          <w:sz w:val="16"/>
          <w:szCs w:val="16"/>
          <w:b w:val="1"/>
          <w:bCs w:val="1"/>
          <w:i w:val="1"/>
          <w:iCs w:val="1"/>
          <w:color w:val="auto"/>
        </w:rPr>
        <w:t>PIPE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w:t>
      </w:r>
    </w:p>
    <w:p>
      <w:pPr>
        <w:spacing w:after="0" w:line="15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We will not receive any proceeds from the sale of shares of Class A common stock by the Selling Holders pursuant to this prospectus; however, we will bear all costs, expenses and fees in connection with the registration of the securities. The Selling Holders will bear all commissions and discounts, if any, attributable to their respective sales of the securities.</w:t>
      </w:r>
    </w:p>
    <w:p>
      <w:pPr>
        <w:spacing w:after="0" w:line="165"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You should read this prospectus and any prospectus supplement or amendment carefully before you invest in our Class A common stock.</w:t>
      </w:r>
    </w:p>
    <w:p>
      <w:pPr>
        <w:spacing w:after="0" w:line="19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Our shares of Class A common stock are listed on the Nasdaq Capital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under the symbol “OPAL.” On August 9, 2022, the closing price of our Class A common stock was $11.50 per share. Our public warrants are listed on Nasdaq under the symbol “OPALW.” On August 9, 2022, the closing price of our public warrants was $1.55 per warrant.</w:t>
      </w:r>
    </w:p>
    <w:p>
      <w:pPr>
        <w:spacing w:after="0" w:line="165"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We are an “emerging growth company,” as that term is defined under the federal securities laws and, as such, are subject to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5010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Investing in our securities involves risks that are described in the “Risk Factors” section beginning on page 10 of this prospectus.</w:t>
      </w:r>
    </w:p>
    <w:p>
      <w:pPr>
        <w:spacing w:after="0" w:line="193" w:lineRule="exact"/>
        <w:rPr>
          <w:sz w:val="20"/>
          <w:szCs w:val="20"/>
          <w:color w:val="auto"/>
        </w:rPr>
      </w:pPr>
    </w:p>
    <w:p>
      <w:pPr>
        <w:jc w:val="both"/>
        <w:ind w:right="20" w:firstLine="283"/>
        <w:spacing w:after="0" w:line="27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August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15010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20" w:type="dxa"/>
            <w:vAlign w:val="bottom"/>
            <w:gridSpan w:val="6"/>
          </w:tcPr>
          <w:p>
            <w:pPr>
              <w:ind w:left="20"/>
              <w:spacing w:after="0"/>
              <w:rPr>
                <w:sz w:val="20"/>
                <w:szCs w:val="20"/>
                <w:color w:val="auto"/>
              </w:rPr>
            </w:pPr>
            <w:r>
              <w:rPr>
                <w:rFonts w:ascii="Arial" w:cs="Arial" w:eastAsia="Arial" w:hAnsi="Arial"/>
                <w:sz w:val="16"/>
                <w:szCs w:val="16"/>
                <w:b w:val="1"/>
                <w:bCs w:val="1"/>
                <w:color w:val="auto"/>
              </w:rPr>
              <w:t>TABLE OF CONTENTS</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tcBorders>
              <w:bottom w:val="single" w:sz="8" w:color="0000EE"/>
              <w:right w:val="single" w:sz="8" w:color="CCEEFF"/>
            </w:tcBorders>
            <w:gridSpan w:val="4"/>
            <w:shd w:val="clear" w:color="auto" w:fill="CCEEFF"/>
          </w:tcPr>
          <w:p>
            <w:pPr>
              <w:spacing w:after="0" w:line="153" w:lineRule="exact"/>
              <w:rPr>
                <w:sz w:val="20"/>
                <w:szCs w:val="20"/>
                <w:color w:val="auto"/>
              </w:rPr>
            </w:pPr>
            <w:r>
              <w:rPr>
                <w:rFonts w:ascii="Arial" w:cs="Arial" w:eastAsia="Arial" w:hAnsi="Arial"/>
                <w:sz w:val="16"/>
                <w:szCs w:val="16"/>
                <w:color w:val="0000EE"/>
                <w:w w:val="95"/>
              </w:rPr>
              <w:t>TRADEMARKS</w:t>
            </w:r>
          </w:p>
        </w:tc>
        <w:tc>
          <w:tcPr>
            <w:tcW w:w="8060" w:type="dxa"/>
            <w:vAlign w:val="bottom"/>
            <w:tcBorders>
              <w:bottom w:val="single" w:sz="8" w:color="CCEEFF"/>
            </w:tcBorders>
            <w:gridSpan w:val="17"/>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jc w:val="center"/>
              <w:ind w:left="882"/>
              <w:spacing w:after="0" w:line="153" w:lineRule="exact"/>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80" w:type="dxa"/>
            <w:vAlign w:val="bottom"/>
            <w:tcBorders>
              <w:bottom w:val="single" w:sz="8" w:color="0000EE"/>
            </w:tcBorders>
            <w:gridSpan w:val="9"/>
          </w:tcPr>
          <w:p>
            <w:pPr>
              <w:spacing w:after="0" w:line="153" w:lineRule="exact"/>
              <w:rPr>
                <w:sz w:val="20"/>
                <w:szCs w:val="20"/>
                <w:color w:val="auto"/>
              </w:rPr>
            </w:pPr>
            <w:r>
              <w:rPr>
                <w:rFonts w:ascii="Arial" w:cs="Arial" w:eastAsia="Arial" w:hAnsi="Arial"/>
                <w:sz w:val="16"/>
                <w:szCs w:val="16"/>
                <w:color w:val="0000EE"/>
                <w:w w:val="92"/>
              </w:rPr>
              <w:t>SELECTED DEFINITIONS</w:t>
            </w:r>
          </w:p>
        </w:tc>
        <w:tc>
          <w:tcPr>
            <w:tcW w:w="7380" w:type="dxa"/>
            <w:vAlign w:val="bottom"/>
            <w:gridSpan w:val="12"/>
          </w:tcPr>
          <w:p>
            <w:pPr>
              <w:spacing w:after="0"/>
              <w:rPr>
                <w:sz w:val="13"/>
                <w:szCs w:val="13"/>
                <w:color w:val="auto"/>
              </w:rPr>
            </w:pPr>
          </w:p>
        </w:tc>
        <w:tc>
          <w:tcPr>
            <w:tcW w:w="2080" w:type="dxa"/>
            <w:vAlign w:val="bottom"/>
          </w:tcPr>
          <w:p>
            <w:pPr>
              <w:jc w:val="center"/>
              <w:ind w:left="882"/>
              <w:spacing w:after="0" w:line="153" w:lineRule="exact"/>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160" w:type="dxa"/>
            <w:vAlign w:val="bottom"/>
            <w:gridSpan w:val="21"/>
            <w:shd w:val="clear" w:color="auto" w:fill="CCEEFF"/>
          </w:tcPr>
          <w:p>
            <w:pPr>
              <w:spacing w:after="0" w:line="168" w:lineRule="exact"/>
              <w:rPr>
                <w:sz w:val="20"/>
                <w:szCs w:val="20"/>
                <w:color w:val="auto"/>
              </w:rPr>
            </w:pPr>
            <w:r>
              <w:rPr>
                <w:rFonts w:ascii="Arial" w:cs="Arial" w:eastAsia="Arial" w:hAnsi="Arial"/>
                <w:sz w:val="16"/>
                <w:szCs w:val="16"/>
                <w:color w:val="0000EE"/>
              </w:rPr>
              <w:t>CAUTIONARY STATEMENT REGARDING FORWARD-LOOKING STATEMENTS</w:t>
            </w:r>
          </w:p>
        </w:tc>
        <w:tc>
          <w:tcPr>
            <w:tcW w:w="2080" w:type="dxa"/>
            <w:vAlign w:val="bottom"/>
            <w:shd w:val="clear" w:color="auto" w:fill="CCEEFF"/>
          </w:tcPr>
          <w:p>
            <w:pPr>
              <w:jc w:val="center"/>
              <w:ind w:left="882"/>
              <w:spacing w:after="0" w:line="168" w:lineRule="exact"/>
              <w:rPr>
                <w:sz w:val="20"/>
                <w:szCs w:val="20"/>
                <w:color w:val="auto"/>
              </w:rPr>
            </w:pPr>
            <w:r>
              <w:rPr>
                <w:rFonts w:ascii="Arial" w:cs="Arial" w:eastAsia="Arial" w:hAnsi="Arial"/>
                <w:sz w:val="16"/>
                <w:szCs w:val="16"/>
                <w:color w:val="auto"/>
              </w:rPr>
              <w:t>vi</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Borders>
              <w:top w:val="single" w:sz="8" w:color="0000EE"/>
              <w:bottom w:val="single" w:sz="8" w:color="0000EE"/>
            </w:tcBorders>
            <w:gridSpan w:val="3"/>
          </w:tcPr>
          <w:p>
            <w:pPr>
              <w:spacing w:after="0" w:line="153" w:lineRule="exact"/>
              <w:rPr>
                <w:sz w:val="20"/>
                <w:szCs w:val="20"/>
                <w:color w:val="auto"/>
              </w:rPr>
            </w:pPr>
            <w:r>
              <w:rPr>
                <w:rFonts w:ascii="Arial" w:cs="Arial" w:eastAsia="Arial" w:hAnsi="Arial"/>
                <w:sz w:val="16"/>
                <w:szCs w:val="16"/>
                <w:color w:val="0000EE"/>
                <w:w w:val="92"/>
              </w:rPr>
              <w:t>SUMMARY</w:t>
            </w:r>
          </w:p>
        </w:tc>
        <w:tc>
          <w:tcPr>
            <w:tcW w:w="4720" w:type="dxa"/>
            <w:vAlign w:val="bottom"/>
            <w:tcBorders>
              <w:top w:val="single" w:sz="8" w:color="0000EE"/>
            </w:tcBorders>
            <w:gridSpan w:val="15"/>
          </w:tcPr>
          <w:p>
            <w:pPr>
              <w:spacing w:after="0"/>
              <w:rPr>
                <w:sz w:val="13"/>
                <w:szCs w:val="13"/>
                <w:color w:val="auto"/>
              </w:rPr>
            </w:pPr>
          </w:p>
        </w:tc>
        <w:tc>
          <w:tcPr>
            <w:tcW w:w="3660" w:type="dxa"/>
            <w:vAlign w:val="bottom"/>
            <w:tcBorders>
              <w:top w:val="single" w:sz="8" w:color="CCEEFF"/>
            </w:tcBorders>
            <w:gridSpan w:val="3"/>
          </w:tcPr>
          <w:p>
            <w:pPr>
              <w:spacing w:after="0"/>
              <w:rPr>
                <w:sz w:val="13"/>
                <w:szCs w:val="13"/>
                <w:color w:val="auto"/>
              </w:rPr>
            </w:pPr>
          </w:p>
        </w:tc>
        <w:tc>
          <w:tcPr>
            <w:tcW w:w="2080" w:type="dxa"/>
            <w:vAlign w:val="bottom"/>
            <w:tcBorders>
              <w:top w:val="single" w:sz="8" w:color="CCEEFF"/>
            </w:tcBorders>
          </w:tcPr>
          <w:p>
            <w:pPr>
              <w:jc w:val="center"/>
              <w:ind w:left="882"/>
              <w:spacing w:after="0" w:line="153"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160" w:type="dxa"/>
            <w:vAlign w:val="bottom"/>
            <w:gridSpan w:val="21"/>
            <w:shd w:val="clear" w:color="auto" w:fill="CCEEFF"/>
          </w:tcPr>
          <w:p>
            <w:pPr>
              <w:spacing w:after="0" w:line="168" w:lineRule="exact"/>
              <w:rPr>
                <w:sz w:val="20"/>
                <w:szCs w:val="20"/>
                <w:color w:val="auto"/>
              </w:rPr>
            </w:pPr>
            <w:r>
              <w:rPr>
                <w:rFonts w:ascii="Arial" w:cs="Arial" w:eastAsia="Arial" w:hAnsi="Arial"/>
                <w:sz w:val="16"/>
                <w:szCs w:val="16"/>
                <w:color w:val="0000EE"/>
              </w:rPr>
              <w:t>SELECTED HISTORICAL CONSOLIDATED FINANCIAL INFORMATION</w:t>
            </w:r>
          </w:p>
        </w:tc>
        <w:tc>
          <w:tcPr>
            <w:tcW w:w="2080" w:type="dxa"/>
            <w:vAlign w:val="bottom"/>
            <w:shd w:val="clear" w:color="auto" w:fill="CCEEFF"/>
          </w:tcPr>
          <w:p>
            <w:pPr>
              <w:jc w:val="center"/>
              <w:ind w:left="882"/>
              <w:spacing w:after="0" w:line="168" w:lineRule="exact"/>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60" w:type="dxa"/>
            <w:vAlign w:val="bottom"/>
            <w:tcBorders>
              <w:top w:val="single" w:sz="8" w:color="0000EE"/>
            </w:tcBorders>
            <w:gridSpan w:val="17"/>
          </w:tcPr>
          <w:p>
            <w:pPr>
              <w:spacing w:after="0" w:line="153" w:lineRule="exact"/>
              <w:rPr>
                <w:sz w:val="20"/>
                <w:szCs w:val="20"/>
                <w:color w:val="auto"/>
              </w:rPr>
            </w:pPr>
            <w:r>
              <w:rPr>
                <w:rFonts w:ascii="Arial" w:cs="Arial" w:eastAsia="Arial" w:hAnsi="Arial"/>
                <w:sz w:val="16"/>
                <w:szCs w:val="16"/>
                <w:color w:val="0000EE"/>
                <w:w w:val="99"/>
              </w:rPr>
              <w:t>MARKET PRICE, TICKER SYMBOL, AND DIVIDEND INFORMATION</w:t>
            </w:r>
          </w:p>
        </w:tc>
        <w:tc>
          <w:tcPr>
            <w:tcW w:w="4200" w:type="dxa"/>
            <w:vAlign w:val="bottom"/>
            <w:tcBorders>
              <w:top w:val="single" w:sz="8" w:color="CCEEFF"/>
            </w:tcBorders>
            <w:gridSpan w:val="4"/>
          </w:tcPr>
          <w:p>
            <w:pPr>
              <w:spacing w:after="0"/>
              <w:rPr>
                <w:sz w:val="13"/>
                <w:szCs w:val="13"/>
                <w:color w:val="auto"/>
              </w:rPr>
            </w:pPr>
          </w:p>
        </w:tc>
        <w:tc>
          <w:tcPr>
            <w:tcW w:w="2080" w:type="dxa"/>
            <w:vAlign w:val="bottom"/>
            <w:tcBorders>
              <w:top w:val="single" w:sz="8" w:color="CCEEFF"/>
            </w:tcBorders>
          </w:tcPr>
          <w:p>
            <w:pPr>
              <w:jc w:val="center"/>
              <w:ind w:left="882"/>
              <w:spacing w:after="0" w:line="153" w:lineRule="exact"/>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Borders>
              <w:top w:val="single" w:sz="8" w:color="0000EE"/>
            </w:tcBorders>
            <w:gridSpan w:val="16"/>
            <w:shd w:val="clear" w:color="auto" w:fill="CCEEFF"/>
          </w:tcPr>
          <w:p>
            <w:pPr>
              <w:spacing w:after="0" w:line="168" w:lineRule="exact"/>
              <w:rPr>
                <w:sz w:val="20"/>
                <w:szCs w:val="20"/>
                <w:color w:val="auto"/>
              </w:rPr>
            </w:pPr>
            <w:r>
              <w:rPr>
                <w:rFonts w:ascii="Arial" w:cs="Arial" w:eastAsia="Arial" w:hAnsi="Arial"/>
                <w:sz w:val="16"/>
                <w:szCs w:val="16"/>
                <w:color w:val="0000EE"/>
              </w:rPr>
              <w:t>RISK FACTORS</w:t>
            </w:r>
          </w:p>
        </w:tc>
        <w:tc>
          <w:tcPr>
            <w:tcW w:w="4360" w:type="dxa"/>
            <w:vAlign w:val="bottom"/>
            <w:gridSpan w:val="5"/>
            <w:shd w:val="clear" w:color="auto" w:fill="CCEEFF"/>
          </w:tcPr>
          <w:p>
            <w:pPr>
              <w:spacing w:after="0"/>
              <w:rPr>
                <w:sz w:val="14"/>
                <w:szCs w:val="14"/>
                <w:color w:val="auto"/>
              </w:rPr>
            </w:pPr>
          </w:p>
        </w:tc>
        <w:tc>
          <w:tcPr>
            <w:tcW w:w="2080" w:type="dxa"/>
            <w:vAlign w:val="bottom"/>
            <w:shd w:val="clear" w:color="auto" w:fill="CCEEFF"/>
          </w:tcPr>
          <w:p>
            <w:pPr>
              <w:jc w:val="center"/>
              <w:ind w:left="882"/>
              <w:spacing w:after="0" w:line="168" w:lineRule="exact"/>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20" w:type="dxa"/>
            <w:vAlign w:val="bottom"/>
            <w:tcBorders>
              <w:right w:val="single" w:sz="8" w:color="CCEEFF"/>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360" w:type="dxa"/>
            <w:vAlign w:val="bottom"/>
            <w:tcBorders>
              <w:bottom w:val="single" w:sz="8" w:color="0000EE"/>
            </w:tcBorders>
            <w:gridSpan w:val="6"/>
          </w:tcPr>
          <w:p>
            <w:pPr>
              <w:spacing w:after="0" w:line="153" w:lineRule="exact"/>
              <w:rPr>
                <w:sz w:val="20"/>
                <w:szCs w:val="20"/>
                <w:color w:val="auto"/>
              </w:rPr>
            </w:pPr>
            <w:r>
              <w:rPr>
                <w:rFonts w:ascii="Arial" w:cs="Arial" w:eastAsia="Arial" w:hAnsi="Arial"/>
                <w:sz w:val="16"/>
                <w:szCs w:val="16"/>
                <w:color w:val="0000EE"/>
                <w:w w:val="87"/>
              </w:rPr>
              <w:t>USE OF PROCEEDS</w:t>
            </w:r>
          </w:p>
        </w:tc>
        <w:tc>
          <w:tcPr>
            <w:tcW w:w="7800" w:type="dxa"/>
            <w:vAlign w:val="bottom"/>
            <w:gridSpan w:val="15"/>
          </w:tcPr>
          <w:p>
            <w:pPr>
              <w:spacing w:after="0"/>
              <w:rPr>
                <w:sz w:val="13"/>
                <w:szCs w:val="13"/>
                <w:color w:val="auto"/>
              </w:rPr>
            </w:pPr>
          </w:p>
        </w:tc>
        <w:tc>
          <w:tcPr>
            <w:tcW w:w="2080" w:type="dxa"/>
            <w:vAlign w:val="bottom"/>
          </w:tcPr>
          <w:p>
            <w:pPr>
              <w:jc w:val="center"/>
              <w:ind w:left="882"/>
              <w:spacing w:after="0" w:line="153" w:lineRule="exact"/>
              <w:rPr>
                <w:sz w:val="20"/>
                <w:szCs w:val="20"/>
                <w:color w:val="auto"/>
              </w:rPr>
            </w:pPr>
            <w:r>
              <w:rPr>
                <w:rFonts w:ascii="Arial" w:cs="Arial" w:eastAsia="Arial" w:hAnsi="Arial"/>
                <w:sz w:val="16"/>
                <w:szCs w:val="16"/>
                <w:color w:val="auto"/>
                <w:w w:val="89"/>
              </w:rPr>
              <w:t>42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20" w:type="dxa"/>
            <w:vAlign w:val="bottom"/>
            <w:tcBorders>
              <w:bottom w:val="single" w:sz="8" w:color="0000EE"/>
            </w:tcBorders>
            <w:gridSpan w:val="19"/>
            <w:shd w:val="clear" w:color="auto" w:fill="CCEEFF"/>
          </w:tcPr>
          <w:p>
            <w:pPr>
              <w:spacing w:after="0" w:line="168" w:lineRule="exact"/>
              <w:rPr>
                <w:sz w:val="20"/>
                <w:szCs w:val="20"/>
                <w:color w:val="auto"/>
              </w:rPr>
            </w:pPr>
            <w:r>
              <w:rPr>
                <w:rFonts w:ascii="Arial" w:cs="Arial" w:eastAsia="Arial" w:hAnsi="Arial"/>
                <w:sz w:val="16"/>
                <w:szCs w:val="16"/>
                <w:color w:val="0000EE"/>
                <w:w w:val="95"/>
              </w:rPr>
              <w:t>UNAUDITED PRO FORMA CONDENSED COMBINED FINANCIAL INFORMATION</w:t>
            </w:r>
          </w:p>
        </w:tc>
        <w:tc>
          <w:tcPr>
            <w:tcW w:w="3440" w:type="dxa"/>
            <w:vAlign w:val="bottom"/>
            <w:tcBorders>
              <w:bottom w:val="single" w:sz="8" w:color="CCEEFF"/>
            </w:tcBorders>
            <w:gridSpan w:val="2"/>
            <w:shd w:val="clear" w:color="auto" w:fill="CCEEFF"/>
          </w:tcPr>
          <w:p>
            <w:pPr>
              <w:spacing w:after="0"/>
              <w:rPr>
                <w:sz w:val="15"/>
                <w:szCs w:val="15"/>
                <w:color w:val="auto"/>
              </w:rPr>
            </w:pPr>
          </w:p>
        </w:tc>
        <w:tc>
          <w:tcPr>
            <w:tcW w:w="2080" w:type="dxa"/>
            <w:vAlign w:val="bottom"/>
            <w:tcBorders>
              <w:bottom w:val="single" w:sz="8" w:color="CCEEFF"/>
            </w:tcBorders>
            <w:shd w:val="clear" w:color="auto" w:fill="CCEEFF"/>
          </w:tcPr>
          <w:p>
            <w:pPr>
              <w:jc w:val="center"/>
              <w:ind w:left="882"/>
              <w:spacing w:after="0" w:line="168" w:lineRule="exact"/>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160" w:type="dxa"/>
            <w:vAlign w:val="bottom"/>
            <w:gridSpan w:val="21"/>
          </w:tcPr>
          <w:p>
            <w:pPr>
              <w:spacing w:after="0" w:line="153" w:lineRule="exact"/>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2080" w:type="dxa"/>
            <w:vAlign w:val="bottom"/>
          </w:tcPr>
          <w:p>
            <w:pPr>
              <w:jc w:val="center"/>
              <w:ind w:left="882"/>
              <w:spacing w:after="0" w:line="153" w:lineRule="exact"/>
              <w:rPr>
                <w:sz w:val="20"/>
                <w:szCs w:val="20"/>
                <w:color w:val="auto"/>
              </w:rPr>
            </w:pPr>
            <w:r>
              <w:rPr>
                <w:rFonts w:ascii="Arial" w:cs="Arial" w:eastAsia="Arial" w:hAnsi="Arial"/>
                <w:sz w:val="16"/>
                <w:szCs w:val="16"/>
                <w:color w:val="auto"/>
                <w:w w:val="89"/>
              </w:rPr>
              <w:t>57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0" w:type="dxa"/>
            <w:vAlign w:val="bottom"/>
            <w:tcBorders>
              <w:top w:val="single" w:sz="8" w:color="0000EE"/>
              <w:bottom w:val="single" w:sz="8" w:color="0000EE"/>
            </w:tcBorders>
            <w:gridSpan w:val="2"/>
            <w:shd w:val="clear" w:color="auto" w:fill="CCEEFF"/>
          </w:tcPr>
          <w:p>
            <w:pPr>
              <w:spacing w:after="0" w:line="168" w:lineRule="exact"/>
              <w:rPr>
                <w:sz w:val="20"/>
                <w:szCs w:val="20"/>
                <w:color w:val="auto"/>
              </w:rPr>
            </w:pPr>
            <w:r>
              <w:rPr>
                <w:rFonts w:ascii="Arial" w:cs="Arial" w:eastAsia="Arial" w:hAnsi="Arial"/>
                <w:sz w:val="16"/>
                <w:szCs w:val="16"/>
                <w:color w:val="0000EE"/>
                <w:w w:val="86"/>
              </w:rPr>
              <w:t>BUSINESS</w:t>
            </w:r>
          </w:p>
        </w:tc>
        <w:tc>
          <w:tcPr>
            <w:tcW w:w="7020" w:type="dxa"/>
            <w:vAlign w:val="bottom"/>
            <w:tcBorders>
              <w:top w:val="single" w:sz="8" w:color="0000EE"/>
              <w:bottom w:val="single" w:sz="8" w:color="CCEEFF"/>
            </w:tcBorders>
            <w:gridSpan w:val="18"/>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shd w:val="clear" w:color="auto" w:fill="CCEEFF"/>
          </w:tcPr>
          <w:p>
            <w:pPr>
              <w:jc w:val="center"/>
              <w:ind w:left="882"/>
              <w:spacing w:after="0" w:line="168" w:lineRule="exact"/>
              <w:rPr>
                <w:sz w:val="20"/>
                <w:szCs w:val="20"/>
                <w:color w:val="auto"/>
              </w:rPr>
            </w:pPr>
            <w:r>
              <w:rPr>
                <w:rFonts w:ascii="Arial" w:cs="Arial" w:eastAsia="Arial" w:hAnsi="Arial"/>
                <w:sz w:val="16"/>
                <w:szCs w:val="16"/>
                <w:color w:val="auto"/>
                <w:w w:val="89"/>
              </w:rPr>
              <w:t>72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160" w:type="dxa"/>
            <w:vAlign w:val="bottom"/>
            <w:gridSpan w:val="21"/>
          </w:tcPr>
          <w:p>
            <w:pPr>
              <w:spacing w:after="0" w:line="153" w:lineRule="exact"/>
              <w:rPr>
                <w:sz w:val="20"/>
                <w:szCs w:val="20"/>
                <w:color w:val="auto"/>
              </w:rPr>
            </w:pPr>
            <w:r>
              <w:rPr>
                <w:rFonts w:ascii="Arial" w:cs="Arial" w:eastAsia="Arial" w:hAnsi="Arial"/>
                <w:sz w:val="16"/>
                <w:szCs w:val="16"/>
                <w:color w:val="0000EE"/>
              </w:rPr>
              <w:t>MANAGEMENT</w:t>
            </w:r>
          </w:p>
        </w:tc>
        <w:tc>
          <w:tcPr>
            <w:tcW w:w="2080" w:type="dxa"/>
            <w:vAlign w:val="bottom"/>
          </w:tcPr>
          <w:p>
            <w:pPr>
              <w:jc w:val="center"/>
              <w:ind w:left="882"/>
              <w:spacing w:after="0" w:line="153" w:lineRule="exact"/>
              <w:rPr>
                <w:sz w:val="20"/>
                <w:szCs w:val="20"/>
                <w:color w:val="auto"/>
              </w:rPr>
            </w:pPr>
            <w:r>
              <w:rPr>
                <w:rFonts w:ascii="Arial" w:cs="Arial" w:eastAsia="Arial" w:hAnsi="Arial"/>
                <w:sz w:val="16"/>
                <w:szCs w:val="16"/>
                <w:color w:val="auto"/>
                <w:w w:val="89"/>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9160" w:type="dxa"/>
            <w:vAlign w:val="bottom"/>
            <w:gridSpan w:val="21"/>
            <w:shd w:val="clear" w:color="auto" w:fill="CCEEFF"/>
          </w:tcPr>
          <w:p>
            <w:pPr>
              <w:spacing w:after="0" w:line="168" w:lineRule="exact"/>
              <w:rPr>
                <w:sz w:val="20"/>
                <w:szCs w:val="20"/>
                <w:color w:val="auto"/>
              </w:rPr>
            </w:pPr>
            <w:r>
              <w:rPr>
                <w:rFonts w:ascii="Arial" w:cs="Arial" w:eastAsia="Arial" w:hAnsi="Arial"/>
                <w:sz w:val="16"/>
                <w:szCs w:val="16"/>
                <w:color w:val="0000EE"/>
              </w:rPr>
              <w:t>EXECUTIVE COMPENSATION</w:t>
            </w:r>
          </w:p>
        </w:tc>
        <w:tc>
          <w:tcPr>
            <w:tcW w:w="2080" w:type="dxa"/>
            <w:vAlign w:val="bottom"/>
            <w:shd w:val="clear" w:color="auto" w:fill="CCEEFF"/>
          </w:tcPr>
          <w:p>
            <w:pPr>
              <w:jc w:val="center"/>
              <w:ind w:left="882"/>
              <w:spacing w:after="0" w:line="168" w:lineRule="exact"/>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20" w:type="dxa"/>
            <w:vAlign w:val="bottom"/>
            <w:tcBorders>
              <w:right w:val="single" w:sz="8" w:color="CCEEFF"/>
            </w:tcBorders>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9160" w:type="dxa"/>
            <w:vAlign w:val="bottom"/>
            <w:gridSpan w:val="21"/>
          </w:tcPr>
          <w:p>
            <w:pPr>
              <w:spacing w:after="0" w:line="153" w:lineRule="exact"/>
              <w:rPr>
                <w:sz w:val="20"/>
                <w:szCs w:val="20"/>
                <w:color w:val="auto"/>
              </w:rPr>
            </w:pPr>
            <w:r>
              <w:rPr>
                <w:rFonts w:ascii="Arial" w:cs="Arial" w:eastAsia="Arial" w:hAnsi="Arial"/>
                <w:sz w:val="16"/>
                <w:szCs w:val="16"/>
                <w:color w:val="0000EE"/>
              </w:rPr>
              <w:t>DESCRIPTION OF SECURITIES</w:t>
            </w:r>
          </w:p>
        </w:tc>
        <w:tc>
          <w:tcPr>
            <w:tcW w:w="2080" w:type="dxa"/>
            <w:vAlign w:val="bottom"/>
          </w:tcPr>
          <w:p>
            <w:pPr>
              <w:jc w:val="center"/>
              <w:ind w:left="882"/>
              <w:spacing w:after="0" w:line="153" w:lineRule="exact"/>
              <w:rPr>
                <w:sz w:val="20"/>
                <w:szCs w:val="20"/>
                <w:color w:val="auto"/>
              </w:rPr>
            </w:pPr>
            <w:r>
              <w:rPr>
                <w:rFonts w:ascii="Arial" w:cs="Arial" w:eastAsia="Arial" w:hAnsi="Arial"/>
                <w:sz w:val="16"/>
                <w:szCs w:val="16"/>
                <w:color w:val="auto"/>
                <w:w w:val="89"/>
              </w:rPr>
              <w:t>98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60" w:type="dxa"/>
            <w:vAlign w:val="bottom"/>
            <w:tcBorders>
              <w:top w:val="single" w:sz="8" w:color="0000EE"/>
              <w:right w:val="single" w:sz="8" w:color="CCEEFF"/>
            </w:tcBorders>
            <w:gridSpan w:val="11"/>
            <w:shd w:val="clear" w:color="auto" w:fill="CCEEFF"/>
          </w:tcPr>
          <w:p>
            <w:pPr>
              <w:spacing w:after="0" w:line="168" w:lineRule="exact"/>
              <w:rPr>
                <w:sz w:val="20"/>
                <w:szCs w:val="20"/>
                <w:color w:val="auto"/>
              </w:rPr>
            </w:pPr>
            <w:r>
              <w:rPr>
                <w:rFonts w:ascii="Arial" w:cs="Arial" w:eastAsia="Arial" w:hAnsi="Arial"/>
                <w:sz w:val="16"/>
                <w:szCs w:val="16"/>
                <w:color w:val="0000EE"/>
              </w:rPr>
              <w:t>BENEFICIAL OWNERSHIP</w:t>
            </w:r>
          </w:p>
        </w:tc>
        <w:tc>
          <w:tcPr>
            <w:tcW w:w="7000" w:type="dxa"/>
            <w:vAlign w:val="bottom"/>
            <w:gridSpan w:val="10"/>
            <w:shd w:val="clear" w:color="auto" w:fill="CCEEFF"/>
          </w:tcPr>
          <w:p>
            <w:pPr>
              <w:spacing w:after="0"/>
              <w:rPr>
                <w:sz w:val="15"/>
                <w:szCs w:val="15"/>
                <w:color w:val="auto"/>
              </w:rPr>
            </w:pPr>
          </w:p>
        </w:tc>
        <w:tc>
          <w:tcPr>
            <w:tcW w:w="2080" w:type="dxa"/>
            <w:vAlign w:val="bottom"/>
            <w:shd w:val="clear" w:color="auto" w:fill="CCEEFF"/>
          </w:tcPr>
          <w:p>
            <w:pPr>
              <w:jc w:val="center"/>
              <w:ind w:left="862"/>
              <w:spacing w:after="0" w:line="168" w:lineRule="exact"/>
              <w:rPr>
                <w:sz w:val="20"/>
                <w:szCs w:val="20"/>
                <w:color w:val="auto"/>
              </w:rPr>
            </w:pPr>
            <w:r>
              <w:rPr>
                <w:rFonts w:ascii="Arial" w:cs="Arial" w:eastAsia="Arial" w:hAnsi="Arial"/>
                <w:sz w:val="16"/>
                <w:szCs w:val="16"/>
                <w:color w:val="auto"/>
                <w:w w:val="82"/>
              </w:rPr>
              <w:t>111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00" w:type="dxa"/>
            <w:vAlign w:val="bottom"/>
            <w:tcBorders>
              <w:top w:val="single" w:sz="8" w:color="0000EE"/>
              <w:bottom w:val="single" w:sz="8" w:color="0000EE"/>
            </w:tcBorders>
            <w:gridSpan w:val="7"/>
          </w:tcPr>
          <w:p>
            <w:pPr>
              <w:spacing w:after="0" w:line="153" w:lineRule="exact"/>
              <w:rPr>
                <w:sz w:val="20"/>
                <w:szCs w:val="20"/>
                <w:color w:val="auto"/>
              </w:rPr>
            </w:pPr>
            <w:r>
              <w:rPr>
                <w:rFonts w:ascii="Arial" w:cs="Arial" w:eastAsia="Arial" w:hAnsi="Arial"/>
                <w:sz w:val="16"/>
                <w:szCs w:val="16"/>
                <w:color w:val="0000EE"/>
                <w:w w:val="92"/>
              </w:rPr>
              <w:t>SELLING HOLDERS</w:t>
            </w:r>
          </w:p>
        </w:tc>
        <w:tc>
          <w:tcPr>
            <w:tcW w:w="440" w:type="dxa"/>
            <w:vAlign w:val="bottom"/>
            <w:tcBorders>
              <w:top w:val="single" w:sz="8" w:color="0000EE"/>
            </w:tcBorders>
            <w:gridSpan w:val="3"/>
          </w:tcPr>
          <w:p>
            <w:pPr>
              <w:spacing w:after="0"/>
              <w:rPr>
                <w:sz w:val="13"/>
                <w:szCs w:val="13"/>
                <w:color w:val="auto"/>
              </w:rPr>
            </w:pPr>
          </w:p>
        </w:tc>
        <w:tc>
          <w:tcPr>
            <w:tcW w:w="7320" w:type="dxa"/>
            <w:vAlign w:val="bottom"/>
            <w:tcBorders>
              <w:top w:val="single" w:sz="8" w:color="CCEEFF"/>
            </w:tcBorders>
            <w:gridSpan w:val="11"/>
          </w:tcPr>
          <w:p>
            <w:pPr>
              <w:spacing w:after="0"/>
              <w:rPr>
                <w:sz w:val="13"/>
                <w:szCs w:val="13"/>
                <w:color w:val="auto"/>
              </w:rPr>
            </w:pPr>
          </w:p>
        </w:tc>
        <w:tc>
          <w:tcPr>
            <w:tcW w:w="2080" w:type="dxa"/>
            <w:vAlign w:val="bottom"/>
            <w:tcBorders>
              <w:top w:val="single" w:sz="8" w:color="CCEEFF"/>
            </w:tcBorders>
          </w:tcPr>
          <w:p>
            <w:pPr>
              <w:jc w:val="center"/>
              <w:ind w:left="862"/>
              <w:spacing w:after="0" w:line="153" w:lineRule="exact"/>
              <w:rPr>
                <w:sz w:val="20"/>
                <w:szCs w:val="20"/>
                <w:color w:val="auto"/>
              </w:rPr>
            </w:pPr>
            <w:r>
              <w:rPr>
                <w:rFonts w:ascii="Arial" w:cs="Arial" w:eastAsia="Arial" w:hAnsi="Arial"/>
                <w:sz w:val="16"/>
                <w:szCs w:val="16"/>
                <w:color w:val="auto"/>
                <w:w w:val="82"/>
              </w:rPr>
              <w:t>113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160" w:type="dxa"/>
            <w:vAlign w:val="bottom"/>
            <w:gridSpan w:val="21"/>
            <w:shd w:val="clear" w:color="auto" w:fill="CCEEFF"/>
          </w:tcPr>
          <w:p>
            <w:pPr>
              <w:spacing w:after="0" w:line="168" w:lineRule="exact"/>
              <w:rPr>
                <w:sz w:val="20"/>
                <w:szCs w:val="20"/>
                <w:color w:val="auto"/>
              </w:rPr>
            </w:pPr>
            <w:r>
              <w:rPr>
                <w:rFonts w:ascii="Arial" w:cs="Arial" w:eastAsia="Arial" w:hAnsi="Arial"/>
                <w:sz w:val="16"/>
                <w:szCs w:val="16"/>
                <w:color w:val="0000EE"/>
              </w:rPr>
              <w:t>CERTAIN RELATIONSHIPS AND RELATED PARTY TRANSACTIONS</w:t>
            </w:r>
          </w:p>
        </w:tc>
        <w:tc>
          <w:tcPr>
            <w:tcW w:w="2080" w:type="dxa"/>
            <w:vAlign w:val="bottom"/>
            <w:shd w:val="clear" w:color="auto" w:fill="CCEEFF"/>
          </w:tcPr>
          <w:p>
            <w:pPr>
              <w:jc w:val="center"/>
              <w:ind w:left="862"/>
              <w:spacing w:after="0" w:line="168" w:lineRule="exact"/>
              <w:rPr>
                <w:sz w:val="20"/>
                <w:szCs w:val="20"/>
                <w:color w:val="auto"/>
              </w:rPr>
            </w:pPr>
            <w:r>
              <w:rPr>
                <w:rFonts w:ascii="Arial" w:cs="Arial" w:eastAsia="Arial" w:hAnsi="Arial"/>
                <w:sz w:val="16"/>
                <w:szCs w:val="16"/>
                <w:color w:val="auto"/>
                <w:w w:val="82"/>
              </w:rPr>
              <w:t>116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80" w:type="dxa"/>
            <w:vAlign w:val="bottom"/>
            <w:tcBorders>
              <w:top w:val="single" w:sz="8" w:color="0000EE"/>
              <w:bottom w:val="single" w:sz="8" w:color="0000EE"/>
            </w:tcBorders>
            <w:gridSpan w:val="14"/>
          </w:tcPr>
          <w:p>
            <w:pPr>
              <w:spacing w:after="0" w:line="153" w:lineRule="exact"/>
              <w:rPr>
                <w:sz w:val="20"/>
                <w:szCs w:val="20"/>
                <w:color w:val="auto"/>
              </w:rPr>
            </w:pPr>
            <w:r>
              <w:rPr>
                <w:rFonts w:ascii="Arial" w:cs="Arial" w:eastAsia="Arial" w:hAnsi="Arial"/>
                <w:sz w:val="16"/>
                <w:szCs w:val="16"/>
                <w:color w:val="0000EE"/>
                <w:w w:val="93"/>
              </w:rPr>
              <w:t>UNITED STATES FEDERAL INCOME TAX CONSIDERATIONS</w:t>
            </w:r>
          </w:p>
        </w:tc>
        <w:tc>
          <w:tcPr>
            <w:tcW w:w="460" w:type="dxa"/>
            <w:vAlign w:val="bottom"/>
            <w:tcBorders>
              <w:top w:val="single" w:sz="8" w:color="0000EE"/>
            </w:tcBorders>
          </w:tcPr>
          <w:p>
            <w:pPr>
              <w:spacing w:after="0"/>
              <w:rPr>
                <w:sz w:val="13"/>
                <w:szCs w:val="13"/>
                <w:color w:val="auto"/>
              </w:rPr>
            </w:pPr>
          </w:p>
        </w:tc>
        <w:tc>
          <w:tcPr>
            <w:tcW w:w="4420" w:type="dxa"/>
            <w:vAlign w:val="bottom"/>
            <w:tcBorders>
              <w:top w:val="single" w:sz="8" w:color="CCEEFF"/>
            </w:tcBorders>
            <w:gridSpan w:val="6"/>
          </w:tcPr>
          <w:p>
            <w:pPr>
              <w:spacing w:after="0"/>
              <w:rPr>
                <w:sz w:val="13"/>
                <w:szCs w:val="13"/>
                <w:color w:val="auto"/>
              </w:rPr>
            </w:pPr>
          </w:p>
        </w:tc>
        <w:tc>
          <w:tcPr>
            <w:tcW w:w="2080" w:type="dxa"/>
            <w:vAlign w:val="bottom"/>
            <w:tcBorders>
              <w:top w:val="single" w:sz="8" w:color="CCEEFF"/>
            </w:tcBorders>
          </w:tcPr>
          <w:p>
            <w:pPr>
              <w:jc w:val="center"/>
              <w:ind w:left="882"/>
              <w:spacing w:after="0" w:line="153" w:lineRule="exact"/>
              <w:rPr>
                <w:sz w:val="20"/>
                <w:szCs w:val="20"/>
                <w:color w:val="auto"/>
              </w:rPr>
            </w:pPr>
            <w:r>
              <w:rPr>
                <w:rFonts w:ascii="Arial" w:cs="Arial" w:eastAsia="Arial" w:hAnsi="Arial"/>
                <w:sz w:val="16"/>
                <w:szCs w:val="16"/>
                <w:color w:val="auto"/>
                <w:w w:val="89"/>
              </w:rPr>
              <w:t>121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160" w:type="dxa"/>
            <w:vAlign w:val="bottom"/>
            <w:gridSpan w:val="21"/>
            <w:shd w:val="clear" w:color="auto" w:fill="CCEEFF"/>
          </w:tcPr>
          <w:p>
            <w:pPr>
              <w:spacing w:after="0" w:line="168" w:lineRule="exact"/>
              <w:rPr>
                <w:sz w:val="20"/>
                <w:szCs w:val="20"/>
                <w:color w:val="auto"/>
              </w:rPr>
            </w:pPr>
            <w:r>
              <w:rPr>
                <w:rFonts w:ascii="Arial" w:cs="Arial" w:eastAsia="Arial" w:hAnsi="Arial"/>
                <w:sz w:val="16"/>
                <w:szCs w:val="16"/>
                <w:color w:val="0000EE"/>
              </w:rPr>
              <w:t>PLAN OF DISTRIBUTION</w:t>
            </w:r>
          </w:p>
        </w:tc>
        <w:tc>
          <w:tcPr>
            <w:tcW w:w="2080" w:type="dxa"/>
            <w:vAlign w:val="bottom"/>
            <w:shd w:val="clear" w:color="auto" w:fill="CCEEFF"/>
          </w:tcPr>
          <w:p>
            <w:pPr>
              <w:jc w:val="center"/>
              <w:ind w:left="882"/>
              <w:spacing w:after="0" w:line="168" w:lineRule="exact"/>
              <w:rPr>
                <w:sz w:val="20"/>
                <w:szCs w:val="20"/>
                <w:color w:val="auto"/>
              </w:rPr>
            </w:pPr>
            <w:r>
              <w:rPr>
                <w:rFonts w:ascii="Arial" w:cs="Arial" w:eastAsia="Arial" w:hAnsi="Arial"/>
                <w:sz w:val="16"/>
                <w:szCs w:val="16"/>
                <w:color w:val="auto"/>
                <w:w w:val="89"/>
              </w:rPr>
              <w:t>127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60" w:type="dxa"/>
            <w:vAlign w:val="bottom"/>
            <w:tcBorders>
              <w:top w:val="single" w:sz="8" w:color="0000EE"/>
            </w:tcBorders>
            <w:gridSpan w:val="8"/>
          </w:tcPr>
          <w:p>
            <w:pPr>
              <w:spacing w:after="0" w:line="153" w:lineRule="exact"/>
              <w:rPr>
                <w:sz w:val="20"/>
                <w:szCs w:val="20"/>
                <w:color w:val="auto"/>
              </w:rPr>
            </w:pPr>
            <w:r>
              <w:rPr>
                <w:rFonts w:ascii="Arial" w:cs="Arial" w:eastAsia="Arial" w:hAnsi="Arial"/>
                <w:sz w:val="16"/>
                <w:szCs w:val="16"/>
                <w:color w:val="0000EE"/>
              </w:rPr>
              <w:t>LEGAL MATTERS</w:t>
            </w:r>
          </w:p>
        </w:tc>
        <w:tc>
          <w:tcPr>
            <w:tcW w:w="7400" w:type="dxa"/>
            <w:vAlign w:val="bottom"/>
            <w:tcBorders>
              <w:top w:val="single" w:sz="8" w:color="CCEEFF"/>
            </w:tcBorders>
            <w:gridSpan w:val="13"/>
          </w:tcPr>
          <w:p>
            <w:pPr>
              <w:spacing w:after="0"/>
              <w:rPr>
                <w:sz w:val="13"/>
                <w:szCs w:val="13"/>
                <w:color w:val="auto"/>
              </w:rPr>
            </w:pPr>
          </w:p>
        </w:tc>
        <w:tc>
          <w:tcPr>
            <w:tcW w:w="2080" w:type="dxa"/>
            <w:vAlign w:val="bottom"/>
            <w:tcBorders>
              <w:top w:val="single" w:sz="8" w:color="CCEEFF"/>
            </w:tcBorders>
          </w:tcPr>
          <w:p>
            <w:pPr>
              <w:jc w:val="center"/>
              <w:ind w:left="882"/>
              <w:spacing w:after="0" w:line="153" w:lineRule="exact"/>
              <w:rPr>
                <w:sz w:val="20"/>
                <w:szCs w:val="20"/>
                <w:color w:val="auto"/>
              </w:rPr>
            </w:pPr>
            <w:r>
              <w:rPr>
                <w:rFonts w:ascii="Arial" w:cs="Arial" w:eastAsia="Arial" w:hAnsi="Arial"/>
                <w:sz w:val="16"/>
                <w:szCs w:val="16"/>
                <w:color w:val="auto"/>
                <w:w w:val="89"/>
              </w:rPr>
              <w:t>131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tcBorders>
              <w:top w:val="single" w:sz="8" w:color="0000EE"/>
            </w:tcBorders>
            <w:gridSpan w:val="5"/>
            <w:shd w:val="clear" w:color="auto" w:fill="CCEEFF"/>
          </w:tcPr>
          <w:p>
            <w:pPr>
              <w:spacing w:after="0" w:line="168" w:lineRule="exact"/>
              <w:rPr>
                <w:sz w:val="20"/>
                <w:szCs w:val="20"/>
                <w:color w:val="auto"/>
              </w:rPr>
            </w:pPr>
            <w:r>
              <w:rPr>
                <w:rFonts w:ascii="Arial" w:cs="Arial" w:eastAsia="Arial" w:hAnsi="Arial"/>
                <w:sz w:val="16"/>
                <w:szCs w:val="16"/>
                <w:color w:val="0000EE"/>
              </w:rPr>
              <w:t>EXPERTS</w:t>
            </w:r>
          </w:p>
        </w:tc>
        <w:tc>
          <w:tcPr>
            <w:tcW w:w="7920" w:type="dxa"/>
            <w:vAlign w:val="bottom"/>
            <w:gridSpan w:val="16"/>
            <w:shd w:val="clear" w:color="auto" w:fill="CCEEFF"/>
          </w:tcPr>
          <w:p>
            <w:pPr>
              <w:spacing w:after="0"/>
              <w:rPr>
                <w:sz w:val="14"/>
                <w:szCs w:val="14"/>
                <w:color w:val="auto"/>
              </w:rPr>
            </w:pPr>
          </w:p>
        </w:tc>
        <w:tc>
          <w:tcPr>
            <w:tcW w:w="2080" w:type="dxa"/>
            <w:vAlign w:val="bottom"/>
            <w:shd w:val="clear" w:color="auto" w:fill="CCEEFF"/>
          </w:tcPr>
          <w:p>
            <w:pPr>
              <w:jc w:val="center"/>
              <w:ind w:left="882"/>
              <w:spacing w:after="0" w:line="168" w:lineRule="exact"/>
              <w:rPr>
                <w:sz w:val="20"/>
                <w:szCs w:val="20"/>
                <w:color w:val="auto"/>
              </w:rPr>
            </w:pPr>
            <w:r>
              <w:rPr>
                <w:rFonts w:ascii="Arial" w:cs="Arial" w:eastAsia="Arial" w:hAnsi="Arial"/>
                <w:sz w:val="16"/>
                <w:szCs w:val="16"/>
                <w:color w:val="auto"/>
                <w:w w:val="89"/>
              </w:rPr>
              <w:t>131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9160" w:type="dxa"/>
            <w:vAlign w:val="bottom"/>
            <w:gridSpan w:val="21"/>
          </w:tcPr>
          <w:p>
            <w:pPr>
              <w:spacing w:after="0" w:line="153" w:lineRule="exact"/>
              <w:rPr>
                <w:sz w:val="20"/>
                <w:szCs w:val="20"/>
                <w:color w:val="auto"/>
              </w:rPr>
            </w:pPr>
            <w:r>
              <w:rPr>
                <w:rFonts w:ascii="Arial" w:cs="Arial" w:eastAsia="Arial" w:hAnsi="Arial"/>
                <w:sz w:val="16"/>
                <w:szCs w:val="16"/>
                <w:color w:val="0000EE"/>
              </w:rPr>
              <w:t>WHERE YOU CAN FIND MORE INFORMATION</w:t>
            </w:r>
          </w:p>
        </w:tc>
        <w:tc>
          <w:tcPr>
            <w:tcW w:w="2080" w:type="dxa"/>
            <w:vAlign w:val="bottom"/>
          </w:tcPr>
          <w:p>
            <w:pPr>
              <w:jc w:val="center"/>
              <w:ind w:left="882"/>
              <w:spacing w:after="0" w:line="153" w:lineRule="exact"/>
              <w:rPr>
                <w:sz w:val="20"/>
                <w:szCs w:val="20"/>
                <w:color w:val="auto"/>
              </w:rPr>
            </w:pPr>
            <w:r>
              <w:rPr>
                <w:rFonts w:ascii="Arial" w:cs="Arial" w:eastAsia="Arial" w:hAnsi="Arial"/>
                <w:sz w:val="16"/>
                <w:szCs w:val="16"/>
                <w:color w:val="auto"/>
                <w:w w:val="89"/>
              </w:rPr>
              <w:t>131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Borders>
              <w:top w:val="single" w:sz="8" w:color="0000EE"/>
            </w:tcBorders>
            <w:gridSpan w:val="13"/>
            <w:shd w:val="clear" w:color="auto" w:fill="CCEEFF"/>
          </w:tcPr>
          <w:p>
            <w:pPr>
              <w:spacing w:after="0" w:line="168" w:lineRule="exact"/>
              <w:rPr>
                <w:sz w:val="20"/>
                <w:szCs w:val="20"/>
                <w:color w:val="auto"/>
              </w:rPr>
            </w:pPr>
            <w:r>
              <w:rPr>
                <w:rFonts w:ascii="Arial" w:cs="Arial" w:eastAsia="Arial" w:hAnsi="Arial"/>
                <w:sz w:val="16"/>
                <w:szCs w:val="16"/>
                <w:color w:val="0000EE"/>
              </w:rPr>
              <w:t>INDEX TO FINANCIAL STATEMENTS</w:t>
            </w:r>
          </w:p>
        </w:tc>
        <w:tc>
          <w:tcPr>
            <w:tcW w:w="5860" w:type="dxa"/>
            <w:vAlign w:val="bottom"/>
            <w:gridSpan w:val="8"/>
            <w:shd w:val="clear" w:color="auto" w:fill="CCEEFF"/>
          </w:tcPr>
          <w:p>
            <w:pPr>
              <w:spacing w:after="0"/>
              <w:rPr>
                <w:sz w:val="14"/>
                <w:szCs w:val="14"/>
                <w:color w:val="auto"/>
              </w:rPr>
            </w:pPr>
          </w:p>
        </w:tc>
        <w:tc>
          <w:tcPr>
            <w:tcW w:w="2080" w:type="dxa"/>
            <w:vAlign w:val="bottom"/>
            <w:shd w:val="clear" w:color="auto" w:fill="CCEEFF"/>
          </w:tcPr>
          <w:p>
            <w:pPr>
              <w:jc w:val="center"/>
              <w:ind w:left="862"/>
              <w:spacing w:after="0" w:line="168" w:lineRule="exact"/>
              <w:rPr>
                <w:sz w:val="20"/>
                <w:szCs w:val="20"/>
                <w:color w:val="auto"/>
              </w:rPr>
            </w:pPr>
            <w:r>
              <w:rPr>
                <w:rFonts w:ascii="Arial" w:cs="Arial" w:eastAsia="Arial" w:hAnsi="Arial"/>
                <w:sz w:val="16"/>
                <w:szCs w:val="16"/>
                <w:color w:val="auto"/>
                <w:w w:val="91"/>
              </w:rPr>
              <w:t>F-1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TRADEMARKS</w:t>
      </w:r>
    </w:p>
    <w:p>
      <w:pPr>
        <w:spacing w:after="0" w:line="197" w:lineRule="exact"/>
        <w:rPr>
          <w:sz w:val="20"/>
          <w:szCs w:val="20"/>
          <w:color w:val="auto"/>
        </w:rPr>
      </w:pPr>
    </w:p>
    <w:p>
      <w:pPr>
        <w:jc w:val="both"/>
        <w:ind w:firstLine="283"/>
        <w:spacing w:after="0" w:line="225" w:lineRule="auto"/>
        <w:rPr>
          <w:sz w:val="20"/>
          <w:szCs w:val="20"/>
          <w:color w:val="auto"/>
        </w:rPr>
      </w:pPr>
      <w:r>
        <w:rPr>
          <w:rFonts w:ascii="Arial" w:cs="Arial" w:eastAsia="Arial" w:hAnsi="Arial"/>
          <w:sz w:val="16"/>
          <w:szCs w:val="16"/>
          <w:color w:val="auto"/>
        </w:rPr>
        <w:t xml:space="preserve">This document contains references to trademarks and service marks belonging to other entities. Solely for convenience, trademarks and trade names referred to in this prospectus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DEFINITIONS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When used in this prospectus, unless the context otherwise requires:</w:t>
      </w:r>
    </w:p>
    <w:p>
      <w:pPr>
        <w:spacing w:after="0" w:line="193" w:lineRule="exact"/>
        <w:rPr>
          <w:sz w:val="20"/>
          <w:szCs w:val="20"/>
          <w:color w:val="auto"/>
        </w:rPr>
      </w:pPr>
    </w:p>
    <w:p>
      <w:pPr>
        <w:jc w:val="both"/>
        <w:ind w:left="280" w:right="20"/>
        <w:spacing w:after="0" w:line="266" w:lineRule="auto"/>
        <w:rPr>
          <w:sz w:val="20"/>
          <w:szCs w:val="20"/>
          <w:color w:val="auto"/>
        </w:rPr>
      </w:pPr>
      <w:r>
        <w:rPr>
          <w:rFonts w:ascii="Arial" w:cs="Arial" w:eastAsia="Arial" w:hAnsi="Arial"/>
          <w:sz w:val="16"/>
          <w:szCs w:val="16"/>
          <w:i w:val="1"/>
          <w:iCs w:val="1"/>
          <w:color w:val="auto"/>
        </w:rPr>
        <w:t>“ArcLight” refers to ArcLight Clean Transaction Corp. II, a blank check company incorporated as a Cayman Islands exempt company, and our previous name prior to the Closing.</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“Ares” refers to ARRC Beacon LLC, a Delaware limited liability company.</w:t>
      </w:r>
    </w:p>
    <w:p>
      <w:pPr>
        <w:spacing w:after="0" w:line="193" w:lineRule="exact"/>
        <w:rPr>
          <w:sz w:val="20"/>
          <w:szCs w:val="20"/>
          <w:color w:val="auto"/>
        </w:rPr>
      </w:pPr>
    </w:p>
    <w:p>
      <w:pPr>
        <w:jc w:val="both"/>
        <w:ind w:left="280" w:right="20"/>
        <w:spacing w:after="0" w:line="266" w:lineRule="auto"/>
        <w:rPr>
          <w:sz w:val="20"/>
          <w:szCs w:val="20"/>
          <w:color w:val="auto"/>
        </w:rPr>
      </w:pPr>
      <w:r>
        <w:rPr>
          <w:rFonts w:ascii="Arial" w:cs="Arial" w:eastAsia="Arial" w:hAnsi="Arial"/>
          <w:sz w:val="16"/>
          <w:szCs w:val="16"/>
          <w:i w:val="1"/>
          <w:iCs w:val="1"/>
          <w:color w:val="auto"/>
        </w:rPr>
        <w:t>“BCA” or “Business Combination Agreement” refers to the Business Combination Agreement dated as of December 2, 2021 (as the same has been or may be amended, modified, supplemented or waived from time to time), by and among ArcLight, Opco and OPAL Holdco.</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“Business Combination” refers to the transaction contemplated by the BCA.</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“Bylaws” refers to the bylaws of OPAL.</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“Charter” refers to certificate of incorporation of OPAL.</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“Class A common stock” refers to the shares of Class A common stock, par value $0.0001 per share, of OPAL.</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“Class B common stock” refers to the shares of Class B common stock, par value $0.0001 per share, of OPAL.</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“Class C common stock” refers to the shares of Class C common stock, par value $0.0001 per share, of OPAL.</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“Class D common stock” refers to the shares of Class D common stock, par value $0.0001 per share, of OPAL.</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“Class A Units” refers to the Class A Units as defined in the Second A&amp;R LLC Agreement.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“Class B Units” refers to the Class B Units as defined in the Second A&amp;R LLC Agreement.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“Closing” refers to the closing of the Business Combination.</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“Closing Date” refers to July 21, 2022.</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“Common Stock” refers to the collective shares of Class A common stock, Class B common stock, Class C common stock and Class D common stock.</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“Company”, “we”, “our”, “us” or similar terms refers to OPAL Fuels Inc. individually or on a consolidated basis, as the context may require.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“Exchange Act” refers to the Securities Exchange Act of 1934, as amended.</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“FASB” refers to the Financial Accounting Standards Board.</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“Fortistar” refers to Fortistar LLC, a Delaware limited liability company.</w:t>
      </w:r>
    </w:p>
    <w:p>
      <w:pPr>
        <w:spacing w:after="0" w:line="193" w:lineRule="exact"/>
        <w:rPr>
          <w:sz w:val="20"/>
          <w:szCs w:val="20"/>
          <w:color w:val="auto"/>
        </w:rPr>
      </w:pPr>
    </w:p>
    <w:p>
      <w:pPr>
        <w:jc w:val="both"/>
        <w:ind w:left="280"/>
        <w:spacing w:after="0" w:line="267" w:lineRule="auto"/>
        <w:rPr>
          <w:sz w:val="20"/>
          <w:szCs w:val="20"/>
          <w:color w:val="auto"/>
        </w:rPr>
      </w:pPr>
      <w:r>
        <w:rPr>
          <w:rFonts w:ascii="Arial" w:cs="Arial" w:eastAsia="Arial" w:hAnsi="Arial"/>
          <w:sz w:val="15"/>
          <w:szCs w:val="15"/>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compressed natural gas (“</w:t>
      </w:r>
      <w:r>
        <w:rPr>
          <w:rFonts w:ascii="Arial" w:cs="Arial" w:eastAsia="Arial" w:hAnsi="Arial"/>
          <w:sz w:val="15"/>
          <w:szCs w:val="15"/>
          <w:b w:val="1"/>
          <w:bCs w:val="1"/>
          <w:i w:val="1"/>
          <w:iCs w:val="1"/>
          <w:color w:val="auto"/>
        </w:rPr>
        <w:t>CNG</w:t>
      </w:r>
      <w:r>
        <w:rPr>
          <w:rFonts w:ascii="Arial" w:cs="Arial" w:eastAsia="Arial" w:hAnsi="Arial"/>
          <w:sz w:val="15"/>
          <w:szCs w:val="15"/>
          <w:i w:val="1"/>
          <w:iCs w:val="1"/>
          <w:color w:val="auto"/>
        </w:rPr>
        <w:t>”).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color w:val="auto"/>
        </w:rPr>
        <w:t>“Hillman” refers to Hillman RNG Investments, LLC, a Delaware limited liability company.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Company Act</w:t>
      </w:r>
      <w:r>
        <w:rPr>
          <w:rFonts w:ascii="Arial" w:cs="Arial" w:eastAsia="Arial" w:hAnsi="Arial"/>
          <w:sz w:val="16"/>
          <w:szCs w:val="16"/>
          <w:color w:val="auto"/>
        </w:rPr>
        <w:t>” refers to the Investment Company Act of 1940, as amended.</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spacing w:after="0" w:line="16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i w:val="1"/>
          <w:iCs w:val="1"/>
          <w:color w:val="auto"/>
        </w:rPr>
        <w:t>“IPO” refers to ArcLight’s initial public offering of its Class A ordinary shares and ArcLight Public Warrants pursuant to the IPO Registration Statement and completed on March 25, 2021.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“IPO Registration Statement” refers to ArcLight’s Registration Statement on Form S-1, filed with the SEC (File No. 333-252730), on March 22, 2021.</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“Meteora” refers to Meteora Capital Partners and its affiliates.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“Nasdaq” refers to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“NextEra” refers to Mendocino Capital, LLC, a Delaware limited liability company.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“OPAL” and “OPAL Fuels” refers to OPAL Fuels Inc., a Delaware 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Board” refers to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“OPAL Holdco” refers to OPAL Holdco LLC, a Delaware limited liability.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“OPAL Preferred Stock” refers to our shares of preferred stock, par value $0.0001 per share.</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i w:val="1"/>
          <w:iCs w:val="1"/>
          <w:color w:val="auto"/>
        </w:rPr>
        <w:t>“OPAL Private Placement Warrants” refers to the 9,223,261 redeemable warrants that were exchanged for the ArcLight Private Placement Warrants in connection with the Closing, entitling the holder thereof to purchase Class A common stock.</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“OPAL Public Warrants” refers to the 6,223,261 redeemable warrants exchanged for the ArcLight Public Warrants in connection with the Closing, , entitling the holder thereof to purchase Class A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“OPAL Warrants” refers collectively to the OPAL Private Placement Warrants together with the OPAL Public Warrants.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“Opco” refers to OPAL Fuels LLC, a Delaware limited liability company.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“Opco Common Equityholders” refers to OPAL Holdco and Hillman.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“Opco Common Units” refers to the Class B Units resulting from the re-classification of the collective Opco common units existing immediately prior to the Closing.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“Series A Preferred Units” refers to the 1,000,000 Series A preferred units of Opco held by NextEra.</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“Series A-1 Preferred Units” refers to the 300,000 Series A-1 preferred units of Opco held by Hillman.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“Organizational Documents</w:t>
      </w:r>
      <w:r>
        <w:rPr>
          <w:rFonts w:ascii="Arial" w:cs="Arial" w:eastAsia="Arial" w:hAnsi="Arial"/>
          <w:sz w:val="16"/>
          <w:szCs w:val="16"/>
          <w:color w:val="auto"/>
        </w:rPr>
        <w:t>”</w:t>
      </w:r>
      <w:r>
        <w:rPr>
          <w:rFonts w:ascii="Arial" w:cs="Arial" w:eastAsia="Arial" w:hAnsi="Arial"/>
          <w:sz w:val="16"/>
          <w:szCs w:val="16"/>
          <w:i w:val="1"/>
          <w:iCs w:val="1"/>
          <w:color w:val="auto"/>
        </w:rPr>
        <w:t xml:space="preserve"> refers to the Charter and the Bylaws</w:t>
      </w:r>
      <w:r>
        <w:rPr>
          <w:rFonts w:ascii="Arial" w:cs="Arial" w:eastAsia="Arial" w:hAnsi="Arial"/>
          <w:sz w:val="16"/>
          <w:szCs w:val="16"/>
          <w:color w:val="auto"/>
        </w:rPr>
        <w:t>;</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“Person” means an individual, partnership, corporation, limited liability company, joint stock company, unincorporated organization or association, trust, joint venture or other similar entity, whether or not a legal entity.</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“PIPE Investment” refers to the PIPE Investors that purchased a total of 11,080,600 shares of Class A common stock in connection with the Closing at a cash purchase price of $10.00 per share pursuant to the Subscription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“PIPE Investors” refers, collectively, to the institutional and accredited investors that entered into Subscription Agreements with ArcLight.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“Sarbanes-Oxley Act” refers to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 refers to the U.S. Securities and Exchange Commission.</w:t>
      </w:r>
    </w:p>
    <w:p>
      <w:pPr>
        <w:spacing w:after="0" w:line="38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10795</wp:posOffset>
            </wp:positionV>
            <wp:extent cx="715010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980"/>
          </w:cols>
          <w:pgMar w:left="600" w:top="787" w:right="319" w:bottom="1440" w:gutter="0" w:footer="0" w:header="0"/>
        </w:sectPr>
      </w:pPr>
    </w:p>
    <w:bookmarkStart w:id="5" w:name="page6"/>
    <w:bookmarkEnd w:id="5"/>
    <w:p>
      <w:pPr>
        <w:ind w:left="280"/>
        <w:spacing w:after="0"/>
        <w:rPr>
          <w:sz w:val="20"/>
          <w:szCs w:val="20"/>
          <w:color w:val="auto"/>
        </w:rPr>
      </w:pPr>
      <w:r>
        <w:rPr>
          <w:rFonts w:ascii="Arial" w:cs="Arial" w:eastAsia="Arial" w:hAnsi="Arial"/>
          <w:sz w:val="16"/>
          <w:szCs w:val="16"/>
          <w:i w:val="1"/>
          <w:iCs w:val="1"/>
          <w:color w:val="auto"/>
        </w:rPr>
        <w:t>“Second A&amp;R LLC Agreement” refers to the Second Amended and Restated Limited Liability Company Agreement of Opco.</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“Securities Act” refers to the Securities Act of 1933, as amended.</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“Sponsor” refers to ArcLight CTC Holdings II, L.P., a Delaware limited partnership.</w:t>
      </w:r>
    </w:p>
    <w:p>
      <w:pPr>
        <w:spacing w:after="0" w:line="193" w:lineRule="exact"/>
        <w:rPr>
          <w:sz w:val="20"/>
          <w:szCs w:val="20"/>
          <w:color w:val="auto"/>
        </w:rPr>
      </w:pPr>
    </w:p>
    <w:p>
      <w:pPr>
        <w:jc w:val="both"/>
        <w:ind w:left="280"/>
        <w:spacing w:after="0" w:line="266" w:lineRule="auto"/>
        <w:rPr>
          <w:sz w:val="20"/>
          <w:szCs w:val="20"/>
          <w:color w:val="auto"/>
        </w:rPr>
      </w:pPr>
      <w:r>
        <w:rPr>
          <w:rFonts w:ascii="Arial" w:cs="Arial" w:eastAsia="Arial" w:hAnsi="Arial"/>
          <w:sz w:val="16"/>
          <w:szCs w:val="16"/>
          <w:i w:val="1"/>
          <w:iCs w:val="1"/>
          <w:color w:val="auto"/>
        </w:rPr>
        <w:t>“Subscription Agreements” refer to the subscription agreements (as amended from time to time) that ArcLight entered into in connection with the Business Combination Agreement, each dated as of December 2, 2021.</w:t>
      </w:r>
    </w:p>
    <w:p>
      <w:pPr>
        <w:spacing w:after="0" w:line="157" w:lineRule="exact"/>
        <w:rPr>
          <w:sz w:val="20"/>
          <w:szCs w:val="20"/>
          <w:color w:val="auto"/>
        </w:rPr>
      </w:pPr>
    </w:p>
    <w:p>
      <w:pPr>
        <w:jc w:val="both"/>
        <w:ind w:left="280" w:right="20"/>
        <w:spacing w:after="0" w:line="256" w:lineRule="auto"/>
        <w:rPr>
          <w:sz w:val="20"/>
          <w:szCs w:val="20"/>
          <w:color w:val="auto"/>
        </w:rPr>
      </w:pPr>
      <w:r>
        <w:rPr>
          <w:rFonts w:ascii="Arial" w:cs="Arial" w:eastAsia="Arial" w:hAnsi="Arial"/>
          <w:sz w:val="16"/>
          <w:szCs w:val="16"/>
          <w:i w:val="1"/>
          <w:iCs w:val="1"/>
          <w:color w:val="auto"/>
        </w:rPr>
        <w:t>“Tax Receivable Agreement” refers to the Tax Receivable Agreement, dated July 21, 2022, by and among OPAL Fuels Inc, Opal Holdco LLC and the TRA Parties named therein as included in Exhibit 10.6 to the Current Report on Form 8-K, filed with the SEC on July 29, 2021, as the same may be amended, modified, supplemented or waived from time to time in accordance with its terms.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following is a glossary of key industry terms used herein:</w:t>
      </w:r>
    </w:p>
    <w:p>
      <w:pPr>
        <w:spacing w:after="0" w:line="193" w:lineRule="exact"/>
        <w:rPr>
          <w:sz w:val="20"/>
          <w:szCs w:val="20"/>
          <w:color w:val="auto"/>
        </w:rPr>
      </w:pPr>
    </w:p>
    <w:p>
      <w:pPr>
        <w:jc w:val="both"/>
        <w:ind w:left="280" w:right="20"/>
        <w:spacing w:after="0" w:line="266" w:lineRule="auto"/>
        <w:rPr>
          <w:sz w:val="20"/>
          <w:szCs w:val="20"/>
          <w:color w:val="auto"/>
        </w:rPr>
      </w:pPr>
      <w:r>
        <w:rPr>
          <w:rFonts w:ascii="Arial" w:cs="Arial" w:eastAsia="Arial" w:hAnsi="Arial"/>
          <w:sz w:val="16"/>
          <w:szCs w:val="16"/>
          <w:i w:val="1"/>
          <w:iCs w:val="1"/>
          <w:color w:val="auto"/>
        </w:rPr>
        <w:t>“Advanced Clean Trucks Regulation” refers to the rules adopted by the California Air Resources Board on June 25, 2020 requiring the sale of zero-emission heavy-duty trucks.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“ADG” refers to anaerobic digester gas.</w:t>
      </w:r>
    </w:p>
    <w:p>
      <w:pPr>
        <w:spacing w:after="0" w:line="193" w:lineRule="exact"/>
        <w:rPr>
          <w:sz w:val="20"/>
          <w:szCs w:val="20"/>
          <w:color w:val="auto"/>
        </w:rPr>
      </w:pPr>
    </w:p>
    <w:p>
      <w:pPr>
        <w:jc w:val="both"/>
        <w:ind w:left="280" w:right="20"/>
        <w:spacing w:after="0" w:line="266" w:lineRule="auto"/>
        <w:rPr>
          <w:sz w:val="20"/>
          <w:szCs w:val="20"/>
          <w:color w:val="auto"/>
        </w:rPr>
      </w:pPr>
      <w:r>
        <w:rPr>
          <w:rFonts w:ascii="Arial" w:cs="Arial" w:eastAsia="Arial" w:hAnsi="Arial"/>
          <w:sz w:val="16"/>
          <w:szCs w:val="16"/>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“BOD” refers to biochemical oxygen demand.</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“Btu” refers to British thermal units.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“CARB” refers to the California Air Resources Board.</w:t>
      </w:r>
    </w:p>
    <w:p>
      <w:pPr>
        <w:spacing w:after="0" w:line="165" w:lineRule="exact"/>
        <w:rPr>
          <w:sz w:val="20"/>
          <w:szCs w:val="20"/>
          <w:color w:val="auto"/>
        </w:rPr>
      </w:pPr>
    </w:p>
    <w:p>
      <w:pPr>
        <w:ind w:left="280"/>
        <w:spacing w:after="0" w:line="184" w:lineRule="exact"/>
        <w:rPr>
          <w:sz w:val="20"/>
          <w:szCs w:val="20"/>
          <w:color w:val="auto"/>
        </w:rPr>
      </w:pPr>
      <w:r>
        <w:rPr>
          <w:rFonts w:ascii="Arial" w:cs="Arial" w:eastAsia="Arial" w:hAnsi="Arial"/>
          <w:sz w:val="16"/>
          <w:szCs w:val="16"/>
          <w:i w:val="1"/>
          <w:iCs w:val="1"/>
          <w:color w:val="auto"/>
        </w:rPr>
        <w:t>“CO</w:t>
      </w:r>
      <w:r>
        <w:rPr>
          <w:rFonts w:ascii="MS PGothic" w:cs="MS PGothic" w:eastAsia="MS PGothic" w:hAnsi="MS PGothic"/>
          <w:sz w:val="16"/>
          <w:szCs w:val="16"/>
          <w:i w:val="1"/>
          <w:iCs w:val="1"/>
          <w:color w:val="auto"/>
        </w:rPr>
        <w:t>₂</w:t>
      </w:r>
      <w:r>
        <w:rPr>
          <w:rFonts w:ascii="Arial" w:cs="Arial" w:eastAsia="Arial" w:hAnsi="Arial"/>
          <w:sz w:val="16"/>
          <w:szCs w:val="16"/>
          <w:i w:val="1"/>
          <w:iCs w:val="1"/>
          <w:color w:val="auto"/>
        </w:rPr>
        <w:t>” refers to Carbon dioxide.</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“CNG” refers to compressed natural gas.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“CI” refers to carbon intensity.</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“D3” refers to cellulosic biofuel with a 60% GHG reduction requirement.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“EHS” refers to environment, health and safety.</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“EISA” refers to Energy Independence and Security Act of 2007.</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“EPA” refers to the U.S. Environmental Protection Agency.</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“EPACT 2005” refers to the Energy Policy Act of 2005.</w:t>
      </w:r>
    </w:p>
    <w:p>
      <w:pPr>
        <w:spacing w:after="0" w:line="193" w:lineRule="exact"/>
        <w:rPr>
          <w:sz w:val="20"/>
          <w:szCs w:val="20"/>
          <w:color w:val="auto"/>
        </w:rPr>
      </w:pPr>
    </w:p>
    <w:p>
      <w:pPr>
        <w:jc w:val="both"/>
        <w:ind w:left="280" w:right="20"/>
        <w:spacing w:after="0" w:line="383" w:lineRule="auto"/>
        <w:rPr>
          <w:sz w:val="20"/>
          <w:szCs w:val="20"/>
          <w:color w:val="auto"/>
        </w:rPr>
      </w:pPr>
      <w:r>
        <w:rPr>
          <w:rFonts w:ascii="Arial" w:cs="Arial" w:eastAsia="Arial" w:hAnsi="Arial"/>
          <w:sz w:val="13"/>
          <w:szCs w:val="13"/>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“FERC” refers to the U.S. Federal Energy Regulatory Commission.</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“GHG” refers to greenhouse gases.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“ISOs” refers to Independent System Operators.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“LCFS” refers to Low Carbon Fuel Standard or similar types of federal and state programs.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“LFG” refers to landfill gas.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“MBR Authority” refers to (a) authorization by FERC pursuant to the Federal Power Act to sell electric energy, capacity and/or ancillary services at market-based rates,</w:t>
      </w:r>
    </w:p>
    <w:p>
      <w:pPr>
        <w:spacing w:after="0" w:line="50" w:lineRule="exact"/>
        <w:rPr>
          <w:sz w:val="20"/>
          <w:szCs w:val="20"/>
          <w:color w:val="auto"/>
        </w:rPr>
      </w:pPr>
    </w:p>
    <w:p>
      <w:pPr>
        <w:ind w:left="280" w:right="20" w:hanging="3"/>
        <w:spacing w:after="0" w:line="365" w:lineRule="auto"/>
        <w:tabs>
          <w:tab w:leader="none" w:pos="508"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color w:val="auto"/>
        </w:rPr>
        <w:t>“Obligated Parties” means refiners or importers of gasoline or diesel fuel under the RFS program.</w:t>
      </w:r>
    </w:p>
    <w:p>
      <w:pPr>
        <w:spacing w:after="0" w:line="193" w:lineRule="exact"/>
        <w:rPr>
          <w:sz w:val="20"/>
          <w:szCs w:val="20"/>
          <w:color w:val="auto"/>
        </w:rPr>
      </w:pPr>
    </w:p>
    <w:p>
      <w:pPr>
        <w:spacing w:after="0" w:line="491" w:lineRule="auto"/>
        <w:rPr>
          <w:sz w:val="20"/>
          <w:szCs w:val="20"/>
          <w:color w:val="auto"/>
        </w:rPr>
      </w:pPr>
      <w:r>
        <w:rPr>
          <w:rFonts w:ascii="Arial" w:cs="Arial" w:eastAsia="Arial" w:hAnsi="Arial"/>
          <w:sz w:val="16"/>
          <w:szCs w:val="16"/>
          <w:i w:val="1"/>
          <w:iCs w:val="1"/>
          <w:color w:val="auto"/>
        </w:rPr>
        <w:t>“QFs” refers to qualifying small power production facilities under the Federal Power Act and the Public Utility Regulatory Policies Act of 1978, as amended “RECs” refers to Renewable Energy Credits.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“Renewable Power” refers to electricity generated from renewable sources.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“RFS” refers to the EPA’s Renewable Fuel Standard.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“RINs” refers to Renewable Identification Numbers.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“RNG” refers to renewable natural gas.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“RPS” refers to Renewable Portfolio Standards.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“RTOs” refers to Regional Transmission Organizations.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“RVOs” refers to renewable volume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“September 2020 Executive Order” refers to Executive Order N-79-20 issued by the Governor of the State of California in September 2020.</w:t>
      </w: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10795</wp:posOffset>
            </wp:positionV>
            <wp:extent cx="715010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9920"/>
          </w:cols>
          <w:pgMar w:left="600" w:top="786" w:right="137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9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Certain statements made in this prospectus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74" w:lineRule="exact"/>
        <w:rPr>
          <w:sz w:val="20"/>
          <w:szCs w:val="20"/>
          <w:color w:val="auto"/>
        </w:rPr>
      </w:pPr>
    </w:p>
    <w:p>
      <w:pPr>
        <w:ind w:left="560" w:right="20" w:hanging="283"/>
        <w:spacing w:after="0" w:line="266"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failure to realize the benefits of the Business Combination, which may be affected by, among other things, competition, our ability to grow and manage growth profitably, maintain relationships with customers and suppliers and retain key employees;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in retaining or recruiting, our principal officers, key employees or directors;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intense competition and competitive pressures from other companies in the industry in which we operate;</w:t>
      </w:r>
    </w:p>
    <w:p>
      <w:pPr>
        <w:spacing w:after="0" w:line="192"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increased costs of, or delays in obtaining, key components or labor for the construction and completion of landfill gas and livestock waste projects that generate electricity and renewable natural gas (“</w:t>
      </w:r>
      <w:r>
        <w:rPr>
          <w:rFonts w:ascii="Arial" w:cs="Arial" w:eastAsia="Arial" w:hAnsi="Arial"/>
          <w:sz w:val="16"/>
          <w:szCs w:val="16"/>
          <w:b w:val="1"/>
          <w:bCs w:val="1"/>
          <w:i w:val="1"/>
          <w:iCs w:val="1"/>
          <w:color w:val="auto"/>
        </w:rPr>
        <w:t>RNG</w:t>
      </w:r>
      <w:r>
        <w:rPr>
          <w:rFonts w:ascii="Arial" w:cs="Arial" w:eastAsia="Arial" w:hAnsi="Arial"/>
          <w:sz w:val="16"/>
          <w:szCs w:val="16"/>
          <w:color w:val="auto"/>
        </w:rPr>
        <w:t>”) and compressed natural gas (“</w:t>
      </w:r>
      <w:r>
        <w:rPr>
          <w:rFonts w:ascii="Arial" w:cs="Arial" w:eastAsia="Arial" w:hAnsi="Arial"/>
          <w:sz w:val="16"/>
          <w:szCs w:val="16"/>
          <w:b w:val="1"/>
          <w:bCs w:val="1"/>
          <w:i w:val="1"/>
          <w:iCs w:val="1"/>
          <w:color w:val="auto"/>
        </w:rPr>
        <w:t>CNG</w:t>
      </w:r>
      <w:r>
        <w:rPr>
          <w:rFonts w:ascii="Arial" w:cs="Arial" w:eastAsia="Arial" w:hAnsi="Arial"/>
          <w:sz w:val="16"/>
          <w:szCs w:val="16"/>
          <w:color w:val="auto"/>
        </w:rPr>
        <w:t>”) and hydrogen dispensing stations;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factors relating to our business, operations and financial performance, including market conditions and global and economic factors beyond our control;</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macroeconomic conditions related to the global COVID-19 pandemic;</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reduction or elimination of government economic incentives to the renewable energy market;</w:t>
      </w:r>
    </w:p>
    <w:p>
      <w:pPr>
        <w:spacing w:after="0" w:line="192" w:lineRule="exact"/>
        <w:rPr>
          <w:rFonts w:ascii="Arial" w:cs="Arial" w:eastAsia="Arial" w:hAnsi="Arial"/>
          <w:sz w:val="16"/>
          <w:szCs w:val="16"/>
          <w:color w:val="auto"/>
        </w:rPr>
      </w:pPr>
    </w:p>
    <w:p>
      <w:pPr>
        <w:jc w:val="both"/>
        <w:ind w:left="560" w:hanging="283"/>
        <w:spacing w:after="0" w:line="252"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landfill gas and livestock waste projects that generate electricity and (iii) RNG prices for Environmental Attributes, low carbon fuel standard credits and other incentives;</w:t>
      </w:r>
    </w:p>
    <w:p>
      <w:pPr>
        <w:spacing w:after="0" w:line="169"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identify, acquire, develop and operate renewable projects and Fueling Stations;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issue equity or equity-linked securities or obtain debt financing;</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demand for renewable energy not being sustained;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impacts of climate change, changing weather patterns and conditions and natural disasters;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legal, tax and regulatory changes;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detailed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93" w:lineRule="exact"/>
        <w:rPr>
          <w:sz w:val="20"/>
          <w:szCs w:val="20"/>
          <w:color w:val="auto"/>
        </w:rPr>
      </w:pPr>
    </w:p>
    <w:p>
      <w:pPr>
        <w:jc w:val="both"/>
        <w:ind w:right="20" w:firstLine="283"/>
        <w:spacing w:after="0" w:line="268" w:lineRule="auto"/>
        <w:rPr>
          <w:sz w:val="20"/>
          <w:szCs w:val="20"/>
          <w:color w:val="auto"/>
        </w:rPr>
      </w:pPr>
      <w:r>
        <w:rPr>
          <w:rFonts w:ascii="Arial" w:cs="Arial" w:eastAsia="Arial" w:hAnsi="Arial"/>
          <w:sz w:val="15"/>
          <w:szCs w:val="15"/>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5"/>
          <w:szCs w:val="15"/>
          <w:i w:val="1"/>
          <w:iCs w:val="1"/>
          <w:color w:val="auto"/>
        </w:rPr>
        <w:t>Risk Factors</w:t>
      </w:r>
      <w:r>
        <w:rPr>
          <w:rFonts w:ascii="Arial" w:cs="Arial" w:eastAsia="Arial" w:hAnsi="Arial"/>
          <w:sz w:val="15"/>
          <w:szCs w:val="15"/>
          <w:color w:val="auto"/>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389255</wp:posOffset>
            </wp:positionV>
            <wp:extent cx="7132320" cy="6130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130290"/>
                    </a:xfrm>
                    <a:prstGeom prst="rect">
                      <a:avLst/>
                    </a:prstGeom>
                    <a:noFill/>
                  </pic:spPr>
                </pic:pic>
              </a:graphicData>
            </a:graphic>
          </wp:anchor>
        </w:drawing>
        <w:t>SUMMARY</w:t>
      </w:r>
    </w:p>
    <w:p>
      <w:pPr>
        <w:spacing w:after="0" w:line="197" w:lineRule="exact"/>
        <w:rPr>
          <w:sz w:val="20"/>
          <w:szCs w:val="20"/>
          <w:color w:val="auto"/>
        </w:rPr>
      </w:pPr>
    </w:p>
    <w:p>
      <w:pPr>
        <w:jc w:val="both"/>
        <w:ind w:left="4" w:right="20" w:firstLine="283"/>
        <w:spacing w:after="0" w:line="251"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you should consider when making your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More Information.” The definition of some of the terms used in this prospectus are set forth under the section “Selected Definitions.”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Business Overview</w:t>
      </w:r>
    </w:p>
    <w:p>
      <w:pPr>
        <w:spacing w:after="0" w:line="197" w:lineRule="exact"/>
        <w:rPr>
          <w:sz w:val="20"/>
          <w:szCs w:val="20"/>
          <w:color w:val="auto"/>
        </w:rPr>
      </w:pPr>
    </w:p>
    <w:p>
      <w:pPr>
        <w:jc w:val="both"/>
        <w:ind w:left="4" w:firstLine="283"/>
        <w:spacing w:after="0" w:line="252" w:lineRule="auto"/>
        <w:rPr>
          <w:sz w:val="20"/>
          <w:szCs w:val="20"/>
          <w:color w:val="auto"/>
        </w:rPr>
      </w:pPr>
      <w:r>
        <w:rPr>
          <w:rFonts w:ascii="Arial" w:cs="Arial" w:eastAsia="Arial" w:hAnsi="Arial"/>
          <w:sz w:val="16"/>
          <w:szCs w:val="16"/>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spacing w:after="0" w:line="169" w:lineRule="exact"/>
        <w:rPr>
          <w:sz w:val="20"/>
          <w:szCs w:val="20"/>
          <w:color w:val="auto"/>
        </w:rPr>
      </w:pPr>
    </w:p>
    <w:p>
      <w:pPr>
        <w:jc w:val="both"/>
        <w:ind w:left="4" w:right="20" w:firstLine="283"/>
        <w:spacing w:after="0" w:line="249" w:lineRule="auto"/>
        <w:rPr>
          <w:sz w:val="20"/>
          <w:szCs w:val="20"/>
          <w:color w:val="auto"/>
        </w:rPr>
      </w:pPr>
      <w:r>
        <w:rPr>
          <w:rFonts w:ascii="Arial" w:cs="Arial" w:eastAsia="Arial" w:hAnsi="Arial"/>
          <w:sz w:val="16"/>
          <w:szCs w:val="16"/>
          <w:color w:val="auto"/>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spacing w:after="0" w:line="174" w:lineRule="exact"/>
        <w:rPr>
          <w:sz w:val="20"/>
          <w:szCs w:val="20"/>
          <w:color w:val="auto"/>
        </w:rPr>
      </w:pPr>
    </w:p>
    <w:p>
      <w:pPr>
        <w:jc w:val="both"/>
        <w:ind w:left="4" w:right="20" w:firstLine="283"/>
        <w:spacing w:after="0" w:line="252" w:lineRule="auto"/>
        <w:rPr>
          <w:sz w:val="20"/>
          <w:szCs w:val="20"/>
          <w:color w:val="auto"/>
        </w:rPr>
      </w:pPr>
      <w:r>
        <w:rPr>
          <w:rFonts w:ascii="Arial" w:cs="Arial" w:eastAsia="Arial" w:hAnsi="Arial"/>
          <w:sz w:val="16"/>
          <w:szCs w:val="16"/>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Capture and Conversion Business</w:t>
      </w:r>
    </w:p>
    <w:p>
      <w:pPr>
        <w:spacing w:after="0" w:line="197" w:lineRule="exact"/>
        <w:rPr>
          <w:sz w:val="20"/>
          <w:szCs w:val="20"/>
          <w:color w:val="auto"/>
        </w:rPr>
      </w:pPr>
    </w:p>
    <w:p>
      <w:pPr>
        <w:jc w:val="both"/>
        <w:ind w:left="4" w:right="20" w:firstLine="283"/>
        <w:spacing w:after="0" w:line="311" w:lineRule="auto"/>
        <w:rPr>
          <w:sz w:val="20"/>
          <w:szCs w:val="20"/>
          <w:color w:val="auto"/>
        </w:rPr>
      </w:pPr>
      <w:r>
        <w:rPr>
          <w:rFonts w:ascii="Arial" w:cs="Arial" w:eastAsia="Arial" w:hAnsi="Arial"/>
          <w:sz w:val="13"/>
          <w:szCs w:val="13"/>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w:t>
      </w:r>
    </w:p>
    <w:p>
      <w:pPr>
        <w:spacing w:after="0" w:line="1" w:lineRule="exact"/>
        <w:rPr>
          <w:sz w:val="20"/>
          <w:szCs w:val="20"/>
          <w:color w:val="auto"/>
        </w:rPr>
      </w:pPr>
    </w:p>
    <w:p>
      <w:pPr>
        <w:jc w:val="both"/>
        <w:ind w:left="4" w:right="20" w:hanging="4"/>
        <w:spacing w:after="0" w:line="318" w:lineRule="auto"/>
        <w:tabs>
          <w:tab w:leader="none" w:pos="243" w:val="left"/>
        </w:tabs>
        <w:numPr>
          <w:ilvl w:val="0"/>
          <w:numId w:val="4"/>
        </w:numPr>
        <w:rPr>
          <w:rFonts w:ascii="Arial" w:cs="Arial" w:eastAsia="Arial" w:hAnsi="Arial"/>
          <w:sz w:val="13"/>
          <w:szCs w:val="13"/>
          <w:color w:val="auto"/>
        </w:rPr>
      </w:pPr>
      <w:r>
        <w:rPr>
          <w:rFonts w:ascii="Arial" w:cs="Arial" w:eastAsia="Arial" w:hAnsi="Arial"/>
          <w:sz w:val="13"/>
          <w:szCs w:val="13"/>
          <w:color w:val="auto"/>
        </w:rPr>
        <w:t>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Dispensing and Monetization Business</w:t>
      </w:r>
    </w:p>
    <w:p>
      <w:pPr>
        <w:spacing w:after="0" w:line="197" w:lineRule="exact"/>
        <w:rPr>
          <w:sz w:val="20"/>
          <w:szCs w:val="20"/>
          <w:color w:val="auto"/>
        </w:rPr>
      </w:pPr>
    </w:p>
    <w:p>
      <w:pPr>
        <w:jc w:val="both"/>
        <w:ind w:left="4" w:firstLine="283"/>
        <w:spacing w:after="0" w:line="249" w:lineRule="auto"/>
        <w:rPr>
          <w:sz w:val="20"/>
          <w:szCs w:val="20"/>
          <w:color w:val="auto"/>
        </w:rPr>
      </w:pPr>
      <w:r>
        <w:rPr>
          <w:rFonts w:ascii="Arial" w:cs="Arial" w:eastAsia="Arial" w:hAnsi="Arial"/>
          <w:sz w:val="16"/>
          <w:szCs w:val="16"/>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our current network of 75 Fueling Stations in 18 states in the United States, including more than 20 stations in California.</w:t>
      </w:r>
    </w:p>
    <w:p>
      <w:pPr>
        <w:spacing w:after="0" w:line="174" w:lineRule="exact"/>
        <w:rPr>
          <w:sz w:val="20"/>
          <w:szCs w:val="20"/>
          <w:color w:val="auto"/>
        </w:rPr>
      </w:pPr>
    </w:p>
    <w:p>
      <w:pPr>
        <w:jc w:val="both"/>
        <w:ind w:left="4" w:right="20" w:firstLine="283"/>
        <w:spacing w:after="0" w:line="256" w:lineRule="auto"/>
        <w:rPr>
          <w:sz w:val="20"/>
          <w:szCs w:val="20"/>
          <w:color w:val="auto"/>
        </w:rPr>
      </w:pPr>
      <w:r>
        <w:rPr>
          <w:rFonts w:ascii="Arial" w:cs="Arial" w:eastAsia="Arial" w:hAnsi="Arial"/>
          <w:sz w:val="16"/>
          <w:szCs w:val="16"/>
          <w:color w:val="auto"/>
        </w:rPr>
        <w:t>In November 2021, we signed a purchase and sale agreement with NextEra providing for the exclusive purchase by NextEra of 90% of our Environmental Attributes (RINs and LCFS credits). Under the agreement, we will receive the net proceeds paid to NextEra by NextEra customers for the purchase of such Environmental Attributes (or in certain circumstances an index-based or pre-negotiated price) less a specified discount.</w:t>
      </w:r>
    </w:p>
    <w:p>
      <w:pPr>
        <w:spacing w:after="0" w:line="377"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10795</wp:posOffset>
            </wp:positionV>
            <wp:extent cx="715010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044"/>
          </w:cols>
          <w:pgMar w:left="416" w:top="806" w:right="4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389255</wp:posOffset>
            </wp:positionV>
            <wp:extent cx="7132320" cy="639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6391910"/>
                    </a:xfrm>
                    <a:prstGeom prst="rect">
                      <a:avLst/>
                    </a:prstGeom>
                    <a:noFill/>
                  </pic:spPr>
                </pic:pic>
              </a:graphicData>
            </a:graphic>
          </wp:anchor>
        </w:drawing>
        <w:t>Hydrogen Fuel</w:t>
      </w:r>
    </w:p>
    <w:p>
      <w:pPr>
        <w:spacing w:after="0" w:line="197"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Projects</w:t>
      </w:r>
    </w:p>
    <w:p>
      <w:pPr>
        <w:spacing w:after="0" w:line="232"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As of July 31, 2022, we owned and operated 25 projects, six of which are RNG projects and 19 of which are Renewable Power Projects. As of that date, our RNG projects in operation had a design capacity of 2.8 million MMBtus per year and our Renewable Power Projects in operation had a nameplate capacity of 123.7 MW per hour. In addition to these projects in operation, we are actively pursuing expansion of our RNG-generating capacity and, accordingly, have a portfolio of RNG projects in construction or in development, with ten of our current Renewable Power Projects being considered candidates for conversion to RNG projects in the foreseeable future. See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Our Projects</w:t>
      </w:r>
      <w:r>
        <w:rPr>
          <w:rFonts w:ascii="Arial" w:cs="Arial" w:eastAsia="Arial" w:hAnsi="Arial"/>
          <w:sz w:val="16"/>
          <w:szCs w:val="16"/>
          <w:color w:val="auto"/>
        </w:rPr>
        <w:t>” for further detail of our projects.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97" w:lineRule="exact"/>
        <w:rPr>
          <w:sz w:val="20"/>
          <w:szCs w:val="20"/>
          <w:color w:val="auto"/>
        </w:rPr>
      </w:pPr>
    </w:p>
    <w:p>
      <w:pPr>
        <w:jc w:val="both"/>
        <w:ind w:right="20" w:firstLine="283"/>
        <w:spacing w:after="0" w:line="300" w:lineRule="auto"/>
        <w:rPr>
          <w:sz w:val="20"/>
          <w:szCs w:val="20"/>
          <w:color w:val="auto"/>
        </w:rPr>
      </w:pPr>
      <w:r>
        <w:rPr>
          <w:rFonts w:ascii="Arial" w:cs="Arial" w:eastAsia="Arial" w:hAnsi="Arial"/>
          <w:sz w:val="15"/>
          <w:szCs w:val="15"/>
          <w:color w:val="auto"/>
        </w:rPr>
        <w:t>We aim to (i) maintain and grow our position as a leading producer and dispenser of RNG in the United States and (ii) maintain and increase our position as a leading provider of RNG to the heavy and medium-duty commercial vehicle market in the U.S. We support these objectives through a multi-pronged strategy of:</w:t>
      </w:r>
    </w:p>
    <w:p>
      <w:pPr>
        <w:spacing w:after="0" w:line="134" w:lineRule="exact"/>
        <w:rPr>
          <w:sz w:val="20"/>
          <w:szCs w:val="20"/>
          <w:color w:val="auto"/>
        </w:rPr>
      </w:pPr>
    </w:p>
    <w:p>
      <w:pPr>
        <w:jc w:val="both"/>
        <w:ind w:left="560" w:right="20" w:hanging="281"/>
        <w:spacing w:after="0" w:line="322" w:lineRule="auto"/>
        <w:tabs>
          <w:tab w:leader="none" w:pos="5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Promoting the reduction of methane and GHG emissions and expanding the use of renewable fuels to displace fossil-based fuels</w:t>
      </w:r>
      <w:r>
        <w:rPr>
          <w:rFonts w:ascii="Arial" w:cs="Arial" w:eastAsia="Arial" w:hAnsi="Arial"/>
          <w:sz w:val="13"/>
          <w:szCs w:val="13"/>
          <w:color w:val="auto"/>
        </w:rPr>
        <w:t>: We share the renewable fuel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industry’s commitment to 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27" w:lineRule="exact"/>
        <w:rPr>
          <w:rFonts w:ascii="Arial" w:cs="Arial" w:eastAsia="Arial" w:hAnsi="Arial"/>
          <w:sz w:val="13"/>
          <w:szCs w:val="13"/>
          <w:color w:val="auto"/>
        </w:rPr>
      </w:pPr>
    </w:p>
    <w:p>
      <w:pPr>
        <w:jc w:val="both"/>
        <w:ind w:left="560" w:right="20" w:hanging="281"/>
        <w:spacing w:after="0" w:line="252"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Expanding our industry position as a full-service partner for development opportunities, including through strategic transactions</w:t>
      </w:r>
      <w:r>
        <w:rPr>
          <w:rFonts w:ascii="Arial" w:cs="Arial" w:eastAsia="Arial" w:hAnsi="Arial"/>
          <w:sz w:val="16"/>
          <w:szCs w:val="16"/>
          <w:color w:val="auto"/>
        </w:rPr>
        <w:t>: Throughout our over 20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biogas conversion 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spacing w:after="0" w:line="169" w:lineRule="exact"/>
        <w:rPr>
          <w:rFonts w:ascii="Arial" w:cs="Arial" w:eastAsia="Arial" w:hAnsi="Arial"/>
          <w:sz w:val="16"/>
          <w:szCs w:val="16"/>
          <w:color w:val="auto"/>
        </w:rPr>
      </w:pPr>
    </w:p>
    <w:p>
      <w:pPr>
        <w:jc w:val="both"/>
        <w:ind w:left="560" w:right="20" w:hanging="281"/>
        <w:spacing w:after="0" w:line="329" w:lineRule="auto"/>
        <w:tabs>
          <w:tab w:leader="none" w:pos="5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Expanding our capabilities to new feedstock sources and technologies</w:t>
      </w:r>
      <w:r>
        <w:rPr>
          <w:rFonts w:ascii="Arial" w:cs="Arial" w:eastAsia="Arial" w:hAnsi="Arial"/>
          <w:sz w:val="13"/>
          <w:szCs w:val="13"/>
          <w:color w:val="auto"/>
        </w:rPr>
        <w:t>: We believe we will be able to enter new markets for our products, such as providing fuel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spacing w:after="0" w:line="122" w:lineRule="exact"/>
        <w:rPr>
          <w:rFonts w:ascii="Arial" w:cs="Arial" w:eastAsia="Arial" w:hAnsi="Arial"/>
          <w:sz w:val="13"/>
          <w:szCs w:val="13"/>
          <w:color w:val="auto"/>
        </w:rPr>
      </w:pPr>
    </w:p>
    <w:p>
      <w:pPr>
        <w:jc w:val="both"/>
        <w:ind w:left="560" w:right="20" w:hanging="281"/>
        <w:spacing w:after="0" w:line="329" w:lineRule="auto"/>
        <w:tabs>
          <w:tab w:leader="none" w:pos="5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Empowering our customers to achieve their sustainability and carbon reduction objectives</w:t>
      </w:r>
      <w:r>
        <w:rPr>
          <w:rFonts w:ascii="Arial" w:cs="Arial" w:eastAsia="Arial" w:hAnsi="Arial"/>
          <w:sz w:val="13"/>
          <w:szCs w:val="13"/>
          <w:color w:val="auto"/>
        </w:rPr>
        <w:t>: We are well positioned to empower our customers to achieve their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sustainability and 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5"/>
          <w:szCs w:val="15"/>
          <w:color w:val="auto"/>
        </w:rPr>
        <w:t>On July 21, 2022, ArcLight completed the Business Combination as contemplated by the Business Combination Agreement. In connection with this, ArcLight was domesticated and continued as a Delaware corporation (the “</w:t>
      </w:r>
      <w:r>
        <w:rPr>
          <w:rFonts w:ascii="Arial" w:cs="Arial" w:eastAsia="Arial" w:hAnsi="Arial"/>
          <w:sz w:val="15"/>
          <w:szCs w:val="15"/>
          <w:b w:val="1"/>
          <w:bCs w:val="1"/>
          <w:i w:val="1"/>
          <w:iCs w:val="1"/>
          <w:color w:val="auto"/>
        </w:rPr>
        <w:t>Domestication</w:t>
      </w:r>
      <w:r>
        <w:rPr>
          <w:rFonts w:ascii="Arial" w:cs="Arial" w:eastAsia="Arial" w:hAnsi="Arial"/>
          <w:sz w:val="15"/>
          <w:szCs w:val="15"/>
          <w:color w:val="auto"/>
        </w:rPr>
        <w:t>”). Pursuant to the Domestication, (i) each outstanding Class B ordinary share, par value $0.0001 per share (the “</w:t>
      </w:r>
      <w:r>
        <w:rPr>
          <w:rFonts w:ascii="Arial" w:cs="Arial" w:eastAsia="Arial" w:hAnsi="Arial"/>
          <w:sz w:val="15"/>
          <w:szCs w:val="15"/>
          <w:b w:val="1"/>
          <w:bCs w:val="1"/>
          <w:i w:val="1"/>
          <w:iCs w:val="1"/>
          <w:color w:val="auto"/>
        </w:rPr>
        <w:t>Class B ordinary shares</w:t>
      </w:r>
      <w:r>
        <w:rPr>
          <w:rFonts w:ascii="Arial" w:cs="Arial" w:eastAsia="Arial" w:hAnsi="Arial"/>
          <w:sz w:val="15"/>
          <w:szCs w:val="15"/>
          <w:color w:val="auto"/>
        </w:rPr>
        <w:t>”), of ArcLight was automatically converted, on a one-for-one basis, into a Class A ordinary share, par value $0.0001 per share (the “</w:t>
      </w:r>
      <w:r>
        <w:rPr>
          <w:rFonts w:ascii="Arial" w:cs="Arial" w:eastAsia="Arial" w:hAnsi="Arial"/>
          <w:sz w:val="15"/>
          <w:szCs w:val="15"/>
          <w:b w:val="1"/>
          <w:bCs w:val="1"/>
          <w:i w:val="1"/>
          <w:iCs w:val="1"/>
          <w:color w:val="auto"/>
        </w:rPr>
        <w:t>Class A ordinary shares</w:t>
      </w:r>
      <w:r>
        <w:rPr>
          <w:rFonts w:ascii="Arial" w:cs="Arial" w:eastAsia="Arial" w:hAnsi="Arial"/>
          <w:sz w:val="15"/>
          <w:szCs w:val="15"/>
          <w:color w:val="auto"/>
        </w:rPr>
        <w:t>”), of ArcLight; (ii) each issued and outstanding Class A ordinary share (including Class A ordinary shares resulting from the conversion of Class B ordinary shares into Class A ordinary shares) was automatically converted, on a one-for-one basis, into a share of our Class A common stock; (iii) each issued and outstanding warrant to purchase Class A ordinary shares of ArcLight automatically converted into a warrant to acquire one share of our Class A common stock upon substantially the same economic terms;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our Class A common stock and one-fifth of one OPAL Warrant.</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10795</wp:posOffset>
            </wp:positionV>
            <wp:extent cx="715010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040"/>
          </w:cols>
          <w:pgMar w:left="420" w:top="806" w:right="439" w:bottom="1440" w:gutter="0" w:footer="0" w:header="0"/>
        </w:sectPr>
      </w:pPr>
    </w:p>
    <w:bookmarkStart w:id="10" w:name="page11"/>
    <w:bookmarkEnd w:id="10"/>
    <w:p>
      <w:pPr>
        <w:ind w:left="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389255</wp:posOffset>
            </wp:positionV>
            <wp:extent cx="7132320" cy="4813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813935"/>
                    </a:xfrm>
                    <a:prstGeom prst="rect">
                      <a:avLst/>
                    </a:prstGeom>
                    <a:noFill/>
                  </pic:spPr>
                </pic:pic>
              </a:graphicData>
            </a:graphic>
          </wp:anchor>
        </w:drawing>
        <w:t>On July 21, 2022, as contemplated by the Business Combination Agreement:</w:t>
      </w:r>
    </w:p>
    <w:p>
      <w:pPr>
        <w:spacing w:after="0" w:line="193" w:lineRule="exact"/>
        <w:rPr>
          <w:sz w:val="20"/>
          <w:szCs w:val="20"/>
          <w:color w:val="auto"/>
        </w:rPr>
      </w:pPr>
    </w:p>
    <w:p>
      <w:pPr>
        <w:ind w:left="560" w:right="20" w:hanging="281"/>
        <w:spacing w:after="0" w:line="300" w:lineRule="auto"/>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OPAL Fuels LLC and its members caused the existing limited liability company agreement to be amended and restated and in connection therewith, all of the common units of OPAL Fuels LLC issued and outstanding immediately prior to the Closing were re-classified into 144,399,037 Class B Units;</w:t>
      </w:r>
    </w:p>
    <w:p>
      <w:pPr>
        <w:spacing w:after="0" w:line="134" w:lineRule="exact"/>
        <w:rPr>
          <w:rFonts w:ascii="Arial" w:cs="Arial" w:eastAsia="Arial" w:hAnsi="Arial"/>
          <w:sz w:val="15"/>
          <w:szCs w:val="15"/>
          <w:color w:val="auto"/>
        </w:rPr>
      </w:pPr>
    </w:p>
    <w:p>
      <w:pPr>
        <w:jc w:val="both"/>
        <w:ind w:left="560" w:right="20" w:hanging="281"/>
        <w:spacing w:after="0" w:line="281" w:lineRule="auto"/>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contributed to OPAL Fuels LLC $123,362,579 (representing (x) the amount of cash in the trust account established by ArcLight with the proceeds from the IPO as of immediately prior to the Closing, after giving effect to the exercise of redemption rights by any ArcLight shareholders and the set aside of funds in escrow to support a forward purchase agreement, plus (y) the aggregate cash proceeds received in respect of the PIPE Investment;</w:t>
      </w:r>
    </w:p>
    <w:p>
      <w:pPr>
        <w:spacing w:after="0" w:line="147" w:lineRule="exact"/>
        <w:rPr>
          <w:rFonts w:ascii="Arial" w:cs="Arial" w:eastAsia="Arial" w:hAnsi="Arial"/>
          <w:sz w:val="15"/>
          <w:szCs w:val="15"/>
          <w:color w:val="auto"/>
        </w:rPr>
      </w:pPr>
    </w:p>
    <w:p>
      <w:pPr>
        <w:ind w:left="560" w:hanging="281"/>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contributed to OPAL Fuels LLC, and it in turn distributed to pre-closing members of Opco, 144,399,037 shares of our Class D common stock;</w:t>
      </w:r>
    </w:p>
    <w:p>
      <w:pPr>
        <w:spacing w:after="0" w:line="192" w:lineRule="exact"/>
        <w:rPr>
          <w:rFonts w:ascii="Arial" w:cs="Arial" w:eastAsia="Arial" w:hAnsi="Arial"/>
          <w:sz w:val="16"/>
          <w:szCs w:val="16"/>
          <w:color w:val="auto"/>
        </w:rPr>
      </w:pPr>
    </w:p>
    <w:p>
      <w:pPr>
        <w:ind w:left="560" w:hanging="281"/>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issued directly to Ares, 3,059,533 shares of our Class A common stock; and</w:t>
      </w:r>
    </w:p>
    <w:p>
      <w:pPr>
        <w:spacing w:after="0" w:line="192" w:lineRule="exact"/>
        <w:rPr>
          <w:rFonts w:ascii="Arial" w:cs="Arial" w:eastAsia="Arial" w:hAnsi="Arial"/>
          <w:sz w:val="16"/>
          <w:szCs w:val="16"/>
          <w:color w:val="auto"/>
        </w:rPr>
      </w:pPr>
    </w:p>
    <w:p>
      <w:pPr>
        <w:ind w:left="560" w:hanging="281"/>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OPAL Fuels LLC issued to us 25,171,390 Class A Units of OPAL Fuels LLC.</w:t>
      </w:r>
    </w:p>
    <w:p>
      <w:pPr>
        <w:spacing w:after="0" w:line="193"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In addition, pursuant to Subscription Agreements entered into with certain accredited and institutional investors in connection with the Business Combination, concurrently with the Closing of the Business Combination, we received $105,806,000 in proceeds from the PIPE Investors, in exchange for which we issued 10,580,600 shares of our Class A common stock issued to the PIPE Investors. We received the remaining $5 million subscribed for pursuant to the PIPE Investment from one of the PIPE Investors subsequent to the Closing and issued 500,000 shares of Class A common stock.</w:t>
      </w:r>
    </w:p>
    <w:p>
      <w:pPr>
        <w:spacing w:after="0" w:line="169"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Holders of 27,364,124 Class A ordinary shares of ArcLight properly exercised their right to have their ordinary shares redeemed for a full pro rata portion of the trust account holding the proceeds from the IPO, calculated as of two business days prior to the Closing, which was approximately $10.00 per share, or $274,186,522 in the aggregate.</w:t>
      </w:r>
    </w:p>
    <w:p>
      <w:pPr>
        <w:spacing w:after="0" w:line="165" w:lineRule="exact"/>
        <w:rPr>
          <w:sz w:val="20"/>
          <w:szCs w:val="20"/>
          <w:color w:val="auto"/>
        </w:rPr>
      </w:pPr>
    </w:p>
    <w:p>
      <w:pPr>
        <w:jc w:val="both"/>
        <w:ind w:right="20" w:firstLine="283"/>
        <w:spacing w:after="0" w:line="322" w:lineRule="auto"/>
        <w:rPr>
          <w:sz w:val="20"/>
          <w:szCs w:val="20"/>
          <w:color w:val="auto"/>
        </w:rPr>
      </w:pPr>
      <w:r>
        <w:rPr>
          <w:rFonts w:ascii="Arial" w:cs="Arial" w:eastAsia="Arial" w:hAnsi="Arial"/>
          <w:sz w:val="13"/>
          <w:szCs w:val="13"/>
          <w:color w:val="auto"/>
        </w:rPr>
        <w:t>Pursuant to a forward share purchase agreement (the “</w:t>
      </w:r>
      <w:r>
        <w:rPr>
          <w:rFonts w:ascii="Arial" w:cs="Arial" w:eastAsia="Arial" w:hAnsi="Arial"/>
          <w:sz w:val="13"/>
          <w:szCs w:val="13"/>
          <w:b w:val="1"/>
          <w:bCs w:val="1"/>
          <w:i w:val="1"/>
          <w:iCs w:val="1"/>
          <w:color w:val="auto"/>
        </w:rPr>
        <w:t>Forward Purchase Agreement</w:t>
      </w:r>
      <w:r>
        <w:rPr>
          <w:rFonts w:ascii="Arial" w:cs="Arial" w:eastAsia="Arial" w:hAnsi="Arial"/>
          <w:sz w:val="13"/>
          <w:szCs w:val="13"/>
          <w:color w:val="auto"/>
        </w:rPr>
        <w:t>”) entered into between ArcLight and Meteora Capital Partners and its affiliates (collectively, “</w:t>
      </w:r>
      <w:r>
        <w:rPr>
          <w:rFonts w:ascii="Arial" w:cs="Arial" w:eastAsia="Arial" w:hAnsi="Arial"/>
          <w:sz w:val="13"/>
          <w:szCs w:val="13"/>
          <w:b w:val="1"/>
          <w:bCs w:val="1"/>
          <w:i w:val="1"/>
          <w:iCs w:val="1"/>
          <w:color w:val="auto"/>
        </w:rPr>
        <w:t>Meteora</w:t>
      </w:r>
      <w:r>
        <w:rPr>
          <w:rFonts w:ascii="Arial" w:cs="Arial" w:eastAsia="Arial" w:hAnsi="Arial"/>
          <w:sz w:val="13"/>
          <w:szCs w:val="13"/>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purchase obligations to Meteora under the Forward Purchase Agreement.</w:t>
      </w:r>
    </w:p>
    <w:p>
      <w:pPr>
        <w:spacing w:after="0" w:line="128"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On July 22, 2022, our Class A common stock and OPAL Public Warrants commenced trading on The Nasdaq Capital Market under the symbols “OPAL” and “OPALW,” respectively, subject to ongoing review of our satisfaction of all listing criteria following the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Corporation Information</w:t>
      </w:r>
    </w:p>
    <w:p>
      <w:pPr>
        <w:spacing w:after="0" w:line="197"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 xml:space="preserve">We are a Delaware corporation. Our principal executive offices are located at One North Lexington Avenue, Suite 1450, White Plains, New York 10601 and our telephone number is (914) 705-4000. Our website is </w:t>
      </w:r>
      <w:r>
        <w:rPr>
          <w:rFonts w:ascii="Arial" w:cs="Arial" w:eastAsia="Arial" w:hAnsi="Arial"/>
          <w:sz w:val="15"/>
          <w:szCs w:val="15"/>
          <w:i w:val="1"/>
          <w:iCs w:val="1"/>
          <w:color w:val="auto"/>
        </w:rPr>
        <w:t>www.opalfuels.com</w:t>
      </w:r>
      <w:r>
        <w:rPr>
          <w:rFonts w:ascii="Arial" w:cs="Arial" w:eastAsia="Arial" w:hAnsi="Arial"/>
          <w:sz w:val="15"/>
          <w:szCs w:val="15"/>
          <w:color w:val="auto"/>
        </w:rPr>
        <w:t>. Our website and the information contained on, or accessed through, its website are not part of this prospectus, and you should rely only on the information contained in this prospectus when making a decision as to whether to invest in our securities.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10795</wp:posOffset>
            </wp:positionV>
            <wp:extent cx="715010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040"/>
          </w:cols>
          <w:pgMar w:left="420" w:top="810" w:right="4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389255</wp:posOffset>
            </wp:positionV>
            <wp:extent cx="7132320" cy="5412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412740"/>
                    </a:xfrm>
                    <a:prstGeom prst="rect">
                      <a:avLst/>
                    </a:prstGeom>
                    <a:noFill/>
                  </pic:spPr>
                </pic:pic>
              </a:graphicData>
            </a:graphic>
          </wp:anchor>
        </w:drawing>
        <w:t>Risk Factor Summary</w:t>
      </w:r>
    </w:p>
    <w:p>
      <w:pPr>
        <w:spacing w:after="0" w:line="19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You should consider all of the information contained in this prospectus before investing in our securities which involves substantial risk. Our business is subject to numerous risks and uncertainties, including those highlighted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10 of this prospectus, that represent challenges that we face in connection with the successful implementation of our strategy and the growth of our business. The occurrence of one or more of the events or circumstances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Third Party Relationships and Government Regulation of Our Business</w:t>
      </w:r>
    </w:p>
    <w:p>
      <w:pPr>
        <w:spacing w:after="0" w:line="193" w:lineRule="exact"/>
        <w:rPr>
          <w:sz w:val="20"/>
          <w:szCs w:val="20"/>
          <w:color w:val="auto"/>
        </w:rPr>
      </w:pPr>
    </w:p>
    <w:p>
      <w:pPr>
        <w:jc w:val="both"/>
        <w:ind w:left="560" w:hanging="281"/>
        <w:spacing w:after="0" w:line="256"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65" w:lineRule="exact"/>
        <w:rPr>
          <w:rFonts w:ascii="Arial" w:cs="Arial" w:eastAsia="Arial" w:hAnsi="Arial"/>
          <w:sz w:val="16"/>
          <w:szCs w:val="16"/>
          <w:color w:val="auto"/>
        </w:rPr>
      </w:pPr>
    </w:p>
    <w:p>
      <w:pPr>
        <w:jc w:val="both"/>
        <w:ind w:left="560" w:hanging="281"/>
        <w:spacing w:after="0" w:line="256"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Opco for the provision of CNG to said fleets;</w:t>
      </w:r>
    </w:p>
    <w:p>
      <w:pPr>
        <w:spacing w:after="0" w:line="165" w:lineRule="exact"/>
        <w:rPr>
          <w:rFonts w:ascii="Arial" w:cs="Arial" w:eastAsia="Arial" w:hAnsi="Arial"/>
          <w:sz w:val="16"/>
          <w:szCs w:val="16"/>
          <w:color w:val="auto"/>
        </w:rPr>
      </w:pPr>
    </w:p>
    <w:p>
      <w:pPr>
        <w:ind w:left="560" w:hanging="281"/>
        <w:spacing w:after="0" w:line="383" w:lineRule="auto"/>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Failure of third parties to manufacture quality products or provide reliable services in a timely manner could cause delays in developing, constructing and operating our Biogas Conversion Projects and Fueling Stations, which could damage our reputation, adversely affect our partner relationships or adversely affect our growth;</w:t>
      </w:r>
    </w:p>
    <w:p>
      <w:pPr>
        <w:spacing w:after="0" w:line="88" w:lineRule="exact"/>
        <w:rPr>
          <w:rFonts w:ascii="Arial" w:cs="Arial" w:eastAsia="Arial" w:hAnsi="Arial"/>
          <w:sz w:val="13"/>
          <w:szCs w:val="13"/>
          <w:color w:val="auto"/>
        </w:rPr>
      </w:pPr>
    </w:p>
    <w:p>
      <w:pPr>
        <w:jc w:val="both"/>
        <w:ind w:left="560" w:hanging="281"/>
        <w:spacing w:after="0" w:line="329" w:lineRule="auto"/>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22" w:lineRule="exact"/>
        <w:rPr>
          <w:rFonts w:ascii="Arial" w:cs="Arial" w:eastAsia="Arial" w:hAnsi="Arial"/>
          <w:sz w:val="13"/>
          <w:szCs w:val="13"/>
          <w:color w:val="auto"/>
        </w:rPr>
      </w:pPr>
    </w:p>
    <w:p>
      <w:pPr>
        <w:jc w:val="both"/>
        <w:ind w:left="560" w:hanging="281"/>
        <w:spacing w:after="0" w:line="252"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69" w:lineRule="exact"/>
        <w:rPr>
          <w:rFonts w:ascii="Arial" w:cs="Arial" w:eastAsia="Arial" w:hAnsi="Arial"/>
          <w:sz w:val="16"/>
          <w:szCs w:val="16"/>
          <w:color w:val="auto"/>
        </w:rPr>
      </w:pPr>
    </w:p>
    <w:p>
      <w:pPr>
        <w:ind w:left="560" w:hanging="281"/>
        <w:spacing w:after="0" w:line="266"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57" w:lineRule="exact"/>
        <w:rPr>
          <w:rFonts w:ascii="Arial" w:cs="Arial" w:eastAsia="Arial" w:hAnsi="Arial"/>
          <w:sz w:val="16"/>
          <w:szCs w:val="16"/>
          <w:color w:val="auto"/>
        </w:rPr>
      </w:pPr>
    </w:p>
    <w:p>
      <w:pPr>
        <w:ind w:left="560" w:hanging="281"/>
        <w:spacing w:after="0" w:line="266"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subject to risks associated with litigation or administrative proceedings that could materially impact our operations, including proceedings in the future related to projects we subsequently acquire.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Risks Related to Our Business</w:t>
      </w:r>
    </w:p>
    <w:p>
      <w:pPr>
        <w:spacing w:after="0" w:line="193" w:lineRule="exact"/>
        <w:rPr>
          <w:sz w:val="20"/>
          <w:szCs w:val="20"/>
          <w:color w:val="auto"/>
        </w:rPr>
      </w:pPr>
    </w:p>
    <w:p>
      <w:pPr>
        <w:ind w:left="560" w:hanging="281"/>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volatility in the price of oil, gasoline, diesel, natural gas, RNG or Environmental Attributes could adversely affect our business;</w:t>
      </w:r>
    </w:p>
    <w:p>
      <w:pPr>
        <w:spacing w:after="0" w:line="192" w:lineRule="exact"/>
        <w:rPr>
          <w:rFonts w:ascii="Arial" w:cs="Arial" w:eastAsia="Arial" w:hAnsi="Arial"/>
          <w:sz w:val="16"/>
          <w:szCs w:val="16"/>
          <w:color w:val="auto"/>
        </w:rPr>
      </w:pPr>
    </w:p>
    <w:p>
      <w:pPr>
        <w:ind w:left="560" w:hanging="281"/>
        <w:spacing w:after="0" w:line="266" w:lineRule="auto"/>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10795</wp:posOffset>
            </wp:positionV>
            <wp:extent cx="715010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020"/>
          </w:cols>
          <w:pgMar w:left="420" w:top="806" w:right="4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200660</wp:posOffset>
            </wp:positionH>
            <wp:positionV relativeFrom="page">
              <wp:posOffset>389255</wp:posOffset>
            </wp:positionV>
            <wp:extent cx="7132320" cy="5890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890895"/>
                    </a:xfrm>
                    <a:prstGeom prst="rect">
                      <a:avLst/>
                    </a:prstGeom>
                    <a:noFill/>
                  </pic:spPr>
                </pic:pic>
              </a:graphicData>
            </a:graphic>
          </wp:anchor>
        </w:drawing>
        <w:t>Additional Risk Factors Relating to Our Business in General</w:t>
      </w:r>
    </w:p>
    <w:p>
      <w:pPr>
        <w:spacing w:after="0" w:line="193" w:lineRule="exact"/>
        <w:rPr>
          <w:sz w:val="20"/>
          <w:szCs w:val="20"/>
          <w:color w:val="auto"/>
        </w:rPr>
      </w:pPr>
    </w:p>
    <w:p>
      <w:pPr>
        <w:jc w:val="both"/>
        <w:ind w:left="560" w:hanging="281"/>
        <w:spacing w:after="0" w:line="256" w:lineRule="auto"/>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65" w:lineRule="exact"/>
        <w:rPr>
          <w:rFonts w:ascii="Arial" w:cs="Arial" w:eastAsia="Arial" w:hAnsi="Arial"/>
          <w:sz w:val="16"/>
          <w:szCs w:val="16"/>
          <w:color w:val="auto"/>
        </w:rPr>
      </w:pPr>
    </w:p>
    <w:p>
      <w:pPr>
        <w:ind w:left="560" w:right="20" w:hanging="281"/>
        <w:spacing w:after="0" w:line="383" w:lineRule="auto"/>
        <w:tabs>
          <w:tab w:leader="none" w:pos="5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accordance with applicable FASB standards, management has concluded there are conditions or events, considered in the aggregate, that raise substantial doubt about the ability of Opco to continue as a going concern without the implementation of various mitigation steps identified by management of Opco;</w:t>
      </w:r>
    </w:p>
    <w:p>
      <w:pPr>
        <w:spacing w:after="0" w:line="88" w:lineRule="exact"/>
        <w:rPr>
          <w:rFonts w:ascii="Arial" w:cs="Arial" w:eastAsia="Arial" w:hAnsi="Arial"/>
          <w:sz w:val="13"/>
          <w:szCs w:val="13"/>
          <w:color w:val="auto"/>
        </w:rPr>
      </w:pPr>
    </w:p>
    <w:p>
      <w:pPr>
        <w:jc w:val="both"/>
        <w:ind w:left="560" w:hanging="281"/>
        <w:spacing w:after="0" w:line="256" w:lineRule="auto"/>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65" w:lineRule="exact"/>
        <w:rPr>
          <w:rFonts w:ascii="Arial" w:cs="Arial" w:eastAsia="Arial" w:hAnsi="Arial"/>
          <w:sz w:val="16"/>
          <w:szCs w:val="16"/>
          <w:color w:val="auto"/>
        </w:rPr>
      </w:pPr>
    </w:p>
    <w:p>
      <w:pPr>
        <w:ind w:left="560" w:hanging="281"/>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 history of accounting losses and may incur additional losses in the future;</w:t>
      </w:r>
    </w:p>
    <w:p>
      <w:pPr>
        <w:spacing w:after="0" w:line="192" w:lineRule="exact"/>
        <w:rPr>
          <w:rFonts w:ascii="Arial" w:cs="Arial" w:eastAsia="Arial" w:hAnsi="Arial"/>
          <w:sz w:val="16"/>
          <w:szCs w:val="16"/>
          <w:color w:val="auto"/>
        </w:rPr>
      </w:pPr>
    </w:p>
    <w:p>
      <w:pPr>
        <w:ind w:left="560" w:hanging="281"/>
        <w:spacing w:after="0" w:line="266" w:lineRule="auto"/>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operate a capital-intensive business and are pursuing a business plan requiring significant access to capital. We may fail to get access to said capital in a timely manner or obtain capital at unfavorable terms.</w:t>
      </w:r>
    </w:p>
    <w:p>
      <w:pPr>
        <w:spacing w:after="0" w:line="157" w:lineRule="exact"/>
        <w:rPr>
          <w:rFonts w:ascii="Arial" w:cs="Arial" w:eastAsia="Arial" w:hAnsi="Arial"/>
          <w:sz w:val="16"/>
          <w:szCs w:val="16"/>
          <w:color w:val="auto"/>
        </w:rPr>
      </w:pPr>
    </w:p>
    <w:p>
      <w:pPr>
        <w:ind w:left="560" w:hanging="281"/>
        <w:spacing w:after="0" w:line="266" w:lineRule="auto"/>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Some relationships with our counterparties and suppliers may experience disruptions in connection with the Business Combination, which may limit our business; and</w:t>
      </w:r>
    </w:p>
    <w:p>
      <w:pPr>
        <w:spacing w:after="0" w:line="157" w:lineRule="exact"/>
        <w:rPr>
          <w:rFonts w:ascii="Arial" w:cs="Arial" w:eastAsia="Arial" w:hAnsi="Arial"/>
          <w:sz w:val="16"/>
          <w:szCs w:val="16"/>
          <w:color w:val="auto"/>
        </w:rPr>
      </w:pPr>
    </w:p>
    <w:p>
      <w:pPr>
        <w:ind w:left="560" w:hanging="281"/>
        <w:spacing w:after="0" w:line="266" w:lineRule="auto"/>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failure to timely and effectively implement controls and procedures required by Section 404(a) of the Sarbanes-Oxley Act could have a material adverse effect on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Implications of Being an Emerging Growth Company and a Smaller Reporting Company</w:t>
      </w:r>
    </w:p>
    <w:p>
      <w:pPr>
        <w:spacing w:after="0" w:line="197"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spacing w:after="0" w:line="148" w:lineRule="exact"/>
        <w:rPr>
          <w:sz w:val="20"/>
          <w:szCs w:val="20"/>
          <w:color w:val="auto"/>
        </w:rPr>
      </w:pPr>
    </w:p>
    <w:p>
      <w:pPr>
        <w:jc w:val="both"/>
        <w:ind w:left="560" w:hanging="281"/>
        <w:spacing w:after="0" w:line="383" w:lineRule="auto"/>
        <w:tabs>
          <w:tab w:leader="none" w:pos="5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88" w:lineRule="exact"/>
        <w:rPr>
          <w:rFonts w:ascii="Arial" w:cs="Arial" w:eastAsia="Arial" w:hAnsi="Arial"/>
          <w:sz w:val="13"/>
          <w:szCs w:val="13"/>
          <w:color w:val="auto"/>
        </w:rPr>
      </w:pPr>
    </w:p>
    <w:p>
      <w:pPr>
        <w:ind w:left="560" w:hanging="281"/>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w:t>
      </w:r>
    </w:p>
    <w:p>
      <w:pPr>
        <w:spacing w:after="0" w:line="192" w:lineRule="exact"/>
        <w:rPr>
          <w:rFonts w:ascii="Arial" w:cs="Arial" w:eastAsia="Arial" w:hAnsi="Arial"/>
          <w:sz w:val="16"/>
          <w:szCs w:val="16"/>
          <w:color w:val="auto"/>
        </w:rPr>
      </w:pPr>
    </w:p>
    <w:p>
      <w:pPr>
        <w:ind w:left="560" w:hanging="281"/>
        <w:spacing w:after="0"/>
        <w:tabs>
          <w:tab w:leader="none" w:pos="5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reduced disclosure obligations regarding executive compensation in our periodic reports, proxy statements, and registration statements, including in this prospectus;</w:t>
      </w:r>
    </w:p>
    <w:p>
      <w:pPr>
        <w:spacing w:after="0" w:line="227" w:lineRule="exact"/>
        <w:rPr>
          <w:rFonts w:ascii="Arial" w:cs="Arial" w:eastAsia="Arial" w:hAnsi="Arial"/>
          <w:sz w:val="13"/>
          <w:szCs w:val="13"/>
          <w:color w:val="auto"/>
        </w:rPr>
      </w:pPr>
    </w:p>
    <w:p>
      <w:pPr>
        <w:ind w:left="560" w:right="20" w:hanging="281"/>
        <w:spacing w:after="0" w:line="300" w:lineRule="auto"/>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(the “</w:t>
      </w:r>
      <w:r>
        <w:rPr>
          <w:rFonts w:ascii="Arial" w:cs="Arial" w:eastAsia="Arial" w:hAnsi="Arial"/>
          <w:sz w:val="15"/>
          <w:szCs w:val="15"/>
          <w:b w:val="1"/>
          <w:bCs w:val="1"/>
          <w:i w:val="1"/>
          <w:iCs w:val="1"/>
          <w:color w:val="auto"/>
        </w:rPr>
        <w:t>PCAOB</w:t>
      </w:r>
      <w:r>
        <w:rPr>
          <w:rFonts w:ascii="Arial" w:cs="Arial" w:eastAsia="Arial" w:hAnsi="Arial"/>
          <w:sz w:val="15"/>
          <w:szCs w:val="15"/>
          <w:color w:val="auto"/>
        </w:rPr>
        <w:t>”) regarding mandatory audit firm rotation or a supplement to the auditor’s report providing additional information about the audit and the financial statements; and</w:t>
      </w:r>
    </w:p>
    <w:p>
      <w:pPr>
        <w:spacing w:after="0" w:line="134" w:lineRule="exact"/>
        <w:rPr>
          <w:rFonts w:ascii="Arial" w:cs="Arial" w:eastAsia="Arial" w:hAnsi="Arial"/>
          <w:sz w:val="15"/>
          <w:szCs w:val="15"/>
          <w:color w:val="auto"/>
        </w:rPr>
      </w:pPr>
    </w:p>
    <w:p>
      <w:pPr>
        <w:ind w:left="560" w:hanging="281"/>
        <w:spacing w:after="0" w:line="266" w:lineRule="auto"/>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 payments not previously approved.</w:t>
      </w:r>
    </w:p>
    <w:p>
      <w:pPr>
        <w:spacing w:after="0" w:line="15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10795</wp:posOffset>
            </wp:positionV>
            <wp:extent cx="715010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020"/>
          </w:cols>
          <w:pgMar w:left="420" w:top="810" w:right="459" w:bottom="1440" w:gutter="0" w:footer="0" w:header="0"/>
        </w:sectPr>
      </w:pPr>
    </w:p>
    <w:bookmarkStart w:id="13" w:name="page14"/>
    <w:bookmarkEnd w:id="13"/>
    <w:p>
      <w:pPr>
        <w:jc w:val="both"/>
        <w:ind w:firstLine="283"/>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389255</wp:posOffset>
            </wp:positionV>
            <wp:extent cx="7132320" cy="2181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181860"/>
                    </a:xfrm>
                    <a:prstGeom prst="rect">
                      <a:avLst/>
                    </a:prstGeom>
                    <a:noFill/>
                  </pic:spPr>
                </pic:pic>
              </a:graphicData>
            </a:graphic>
          </wp:anchor>
        </w:drawing>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spacing w:after="0" w:line="16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65"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16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For additional information, see the section titled “</w:t>
      </w:r>
      <w:r>
        <w:rPr>
          <w:rFonts w:ascii="Arial" w:cs="Arial" w:eastAsia="Arial" w:hAnsi="Arial"/>
          <w:sz w:val="16"/>
          <w:szCs w:val="16"/>
          <w:i w:val="1"/>
          <w:iCs w:val="1"/>
          <w:color w:val="auto"/>
        </w:rPr>
        <w:t>Risk Factors—Risks Related to the Company—We are an “emerging growth company,” and our election to comply with</w:t>
      </w:r>
      <w:r>
        <w:rPr>
          <w:rFonts w:ascii="Arial" w:cs="Arial" w:eastAsia="Arial" w:hAnsi="Arial"/>
          <w:sz w:val="16"/>
          <w:szCs w:val="16"/>
          <w:color w:val="auto"/>
        </w:rPr>
        <w:t xml:space="preserve"> </w:t>
      </w:r>
      <w:r>
        <w:rPr>
          <w:rFonts w:ascii="Arial" w:cs="Arial" w:eastAsia="Arial" w:hAnsi="Arial"/>
          <w:sz w:val="16"/>
          <w:szCs w:val="16"/>
          <w:i w:val="1"/>
          <w:iCs w:val="1"/>
          <w:color w:val="auto"/>
        </w:rPr>
        <w:t>the reduced disclosure requirements as a public company may make our Common Stock less attractive to investors</w:t>
      </w:r>
      <w:r>
        <w:rPr>
          <w:rFonts w:ascii="Arial" w:cs="Arial" w:eastAsia="Arial" w:hAnsi="Arial"/>
          <w:sz w:val="16"/>
          <w:szCs w:val="16"/>
          <w:color w:val="auto"/>
        </w:rPr>
        <w: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10795</wp:posOffset>
            </wp:positionV>
            <wp:extent cx="715010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020"/>
          </w:cols>
          <w:pgMar w:left="420" w:top="810" w:right="459" w:bottom="1440" w:gutter="0" w:footer="0" w:header="0"/>
        </w:sectPr>
      </w:pPr>
    </w:p>
    <w:bookmarkStart w:id="14" w:name="page15"/>
    <w:bookmarkEnd w:id="14"/>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Issuer</w:t>
      </w:r>
    </w:p>
    <w:p>
      <w:pPr>
        <w:spacing w:after="0" w:line="193" w:lineRule="exact"/>
        <w:rPr>
          <w:sz w:val="20"/>
          <w:szCs w:val="20"/>
          <w:color w:val="auto"/>
        </w:rPr>
      </w:pPr>
    </w:p>
    <w:p>
      <w:pPr>
        <w:ind w:right="1097"/>
        <w:spacing w:after="0" w:line="266" w:lineRule="auto"/>
        <w:rPr>
          <w:sz w:val="20"/>
          <w:szCs w:val="20"/>
          <w:color w:val="auto"/>
        </w:rPr>
      </w:pPr>
      <w:r>
        <w:rPr>
          <w:rFonts w:ascii="Arial" w:cs="Arial" w:eastAsia="Arial" w:hAnsi="Arial"/>
          <w:sz w:val="16"/>
          <w:szCs w:val="16"/>
          <w:color w:val="auto"/>
        </w:rPr>
        <w:t>Class A common stock offered by the Selling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57"/>
        <w:spacing w:after="0" w:line="383" w:lineRule="auto"/>
        <w:rPr>
          <w:sz w:val="20"/>
          <w:szCs w:val="20"/>
          <w:color w:val="auto"/>
        </w:rPr>
      </w:pPr>
      <w:r>
        <w:rPr>
          <w:rFonts w:ascii="Arial" w:cs="Arial" w:eastAsia="Arial" w:hAnsi="Arial"/>
          <w:sz w:val="13"/>
          <w:szCs w:val="13"/>
          <w:color w:val="auto"/>
        </w:rPr>
        <w:t>Class A common stock issuable upon the exchange of all outstanding Opco Common Units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Use of proceeds</w:t>
      </w:r>
    </w:p>
    <w:p>
      <w:pPr>
        <w:spacing w:after="0" w:line="381" w:lineRule="exact"/>
        <w:rPr>
          <w:sz w:val="20"/>
          <w:szCs w:val="20"/>
          <w:color w:val="auto"/>
        </w:rPr>
      </w:pPr>
    </w:p>
    <w:p>
      <w:pPr>
        <w:ind w:right="1337"/>
        <w:spacing w:after="0" w:line="266" w:lineRule="auto"/>
        <w:rPr>
          <w:sz w:val="20"/>
          <w:szCs w:val="20"/>
          <w:color w:val="auto"/>
        </w:rPr>
      </w:pPr>
      <w:r>
        <w:rPr>
          <w:rFonts w:ascii="Arial" w:cs="Arial" w:eastAsia="Arial" w:hAnsi="Arial"/>
          <w:sz w:val="16"/>
          <w:szCs w:val="16"/>
          <w:color w:val="auto"/>
        </w:rPr>
        <w:t>Market for our shares of common stock and warrants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left="903"/>
        <w:spacing w:after="0"/>
        <w:rPr>
          <w:sz w:val="20"/>
          <w:szCs w:val="20"/>
          <w:color w:val="auto"/>
        </w:rPr>
      </w:pPr>
      <w:r>
        <w:rPr>
          <w:rFonts w:ascii="Arial" w:cs="Arial" w:eastAsia="Arial" w:hAnsi="Arial"/>
          <w:sz w:val="16"/>
          <w:szCs w:val="16"/>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-239395</wp:posOffset>
            </wp:positionV>
            <wp:extent cx="7132320" cy="3811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811905"/>
                    </a:xfrm>
                    <a:prstGeom prst="rect">
                      <a:avLst/>
                    </a:prstGeom>
                    <a:noFill/>
                  </pic:spPr>
                </pic:pic>
              </a:graphicData>
            </a:graphic>
          </wp:anchor>
        </w:drawing>
      </w:r>
    </w:p>
    <w:p>
      <w:pPr>
        <w:spacing w:after="0" w:line="177" w:lineRule="exact"/>
        <w:rPr>
          <w:sz w:val="20"/>
          <w:szCs w:val="20"/>
          <w:color w:val="auto"/>
        </w:rPr>
      </w:pPr>
    </w:p>
    <w:p>
      <w:pPr>
        <w:ind w:left="3"/>
        <w:spacing w:after="0"/>
        <w:rPr>
          <w:sz w:val="20"/>
          <w:szCs w:val="20"/>
          <w:color w:val="auto"/>
        </w:rPr>
      </w:pPr>
      <w:r>
        <w:rPr>
          <w:rFonts w:ascii="Arial" w:cs="Arial" w:eastAsia="Arial" w:hAnsi="Arial"/>
          <w:sz w:val="16"/>
          <w:szCs w:val="16"/>
          <w:color w:val="auto"/>
        </w:rPr>
        <w:t>OPAL Fuels Inc.</w:t>
      </w:r>
    </w:p>
    <w:p>
      <w:pPr>
        <w:spacing w:after="0" w:line="193" w:lineRule="exact"/>
        <w:rPr>
          <w:sz w:val="20"/>
          <w:szCs w:val="20"/>
          <w:color w:val="auto"/>
        </w:rPr>
      </w:pPr>
    </w:p>
    <w:p>
      <w:pPr>
        <w:ind w:left="3"/>
        <w:spacing w:after="0"/>
        <w:rPr>
          <w:sz w:val="20"/>
          <w:szCs w:val="20"/>
          <w:color w:val="auto"/>
        </w:rPr>
      </w:pPr>
      <w:r>
        <w:rPr>
          <w:rFonts w:ascii="Arial" w:cs="Arial" w:eastAsia="Arial" w:hAnsi="Arial"/>
          <w:sz w:val="16"/>
          <w:szCs w:val="16"/>
          <w:color w:val="auto"/>
        </w:rPr>
        <w:t>Up to 175,541,507 shares of Class A common stock, consisting of:</w:t>
      </w:r>
    </w:p>
    <w:p>
      <w:pPr>
        <w:spacing w:after="0" w:line="381" w:lineRule="exact"/>
        <w:rPr>
          <w:sz w:val="20"/>
          <w:szCs w:val="20"/>
          <w:color w:val="auto"/>
        </w:rPr>
      </w:pPr>
    </w:p>
    <w:p>
      <w:pPr>
        <w:ind w:left="283" w:hanging="283"/>
        <w:spacing w:after="0" w:line="266" w:lineRule="auto"/>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10,838,609 shares of Class A common stock issued under the Business Combination Agreement to Ares, Sponsor and certain former directors of ArcLight;</w:t>
      </w:r>
    </w:p>
    <w:p>
      <w:pPr>
        <w:spacing w:after="0" w:line="157" w:lineRule="exact"/>
        <w:rPr>
          <w:rFonts w:ascii="Arial" w:cs="Arial" w:eastAsia="Arial" w:hAnsi="Arial"/>
          <w:sz w:val="16"/>
          <w:szCs w:val="16"/>
          <w:color w:val="auto"/>
        </w:rPr>
      </w:pPr>
    </w:p>
    <w:p>
      <w:pPr>
        <w:jc w:val="both"/>
        <w:ind w:left="283" w:hanging="283"/>
        <w:spacing w:after="0" w:line="256" w:lineRule="auto"/>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144,399,037 shares of Class A common stock issuable upon the conversion of Class C common stock issuable to the Opco Common Equityholders upon the exchange of Opco Common Units and the cancellation of an equal number of shares of Class D common stock;</w:t>
      </w:r>
    </w:p>
    <w:p>
      <w:pPr>
        <w:spacing w:after="0" w:line="16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3"/>
          <w:szCs w:val="13"/>
          <w:color w:val="auto"/>
        </w:rPr>
      </w:pPr>
      <w:r>
        <w:rPr>
          <w:rFonts w:ascii="Arial" w:cs="Arial" w:eastAsia="Arial" w:hAnsi="Arial"/>
          <w:sz w:val="13"/>
          <w:szCs w:val="13"/>
          <w:color w:val="auto"/>
        </w:rPr>
        <w:t>9,223,261 shares of Class A common stock underlying the OPAL Private Placement Warrants; and</w:t>
      </w:r>
    </w:p>
    <w:p>
      <w:pPr>
        <w:spacing w:after="0" w:line="227" w:lineRule="exact"/>
        <w:rPr>
          <w:rFonts w:ascii="Arial" w:cs="Arial" w:eastAsia="Arial" w:hAnsi="Arial"/>
          <w:sz w:val="13"/>
          <w:szCs w:val="13"/>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11,080,600 shares of Class A common stock issued to the PIPE Investors.</w:t>
      </w:r>
    </w:p>
    <w:p>
      <w:pPr>
        <w:spacing w:after="0" w:line="193" w:lineRule="exact"/>
        <w:rPr>
          <w:sz w:val="20"/>
          <w:szCs w:val="20"/>
          <w:color w:val="auto"/>
        </w:rPr>
      </w:pPr>
    </w:p>
    <w:p>
      <w:pPr>
        <w:ind w:left="3"/>
        <w:spacing w:after="0"/>
        <w:rPr>
          <w:sz w:val="20"/>
          <w:szCs w:val="20"/>
          <w:color w:val="auto"/>
        </w:rPr>
      </w:pPr>
      <w:r>
        <w:rPr>
          <w:rFonts w:ascii="Arial" w:cs="Arial" w:eastAsia="Arial" w:hAnsi="Arial"/>
          <w:sz w:val="16"/>
          <w:szCs w:val="16"/>
          <w:color w:val="auto"/>
        </w:rPr>
        <w:t>144,399,037</w:t>
      </w:r>
    </w:p>
    <w:p>
      <w:pPr>
        <w:spacing w:after="0" w:line="200" w:lineRule="exact"/>
        <w:rPr>
          <w:sz w:val="20"/>
          <w:szCs w:val="20"/>
          <w:color w:val="auto"/>
        </w:rPr>
      </w:pPr>
    </w:p>
    <w:p>
      <w:pPr>
        <w:spacing w:after="0" w:line="370" w:lineRule="exact"/>
        <w:rPr>
          <w:sz w:val="20"/>
          <w:szCs w:val="20"/>
          <w:color w:val="auto"/>
        </w:rPr>
      </w:pPr>
    </w:p>
    <w:p>
      <w:pPr>
        <w:ind w:left="3"/>
        <w:spacing w:after="0" w:line="266" w:lineRule="auto"/>
        <w:rPr>
          <w:sz w:val="20"/>
          <w:szCs w:val="20"/>
          <w:color w:val="auto"/>
        </w:rPr>
      </w:pPr>
      <w:r>
        <w:rPr>
          <w:rFonts w:ascii="Arial" w:cs="Arial" w:eastAsia="Arial" w:hAnsi="Arial"/>
          <w:sz w:val="16"/>
          <w:szCs w:val="16"/>
          <w:color w:val="auto"/>
        </w:rPr>
        <w:t>We will not receive any of the proceeds from the sale of the shares of Class A common stock by the Selling Holders.</w:t>
      </w:r>
    </w:p>
    <w:p>
      <w:pPr>
        <w:spacing w:after="0" w:line="157" w:lineRule="exact"/>
        <w:rPr>
          <w:sz w:val="20"/>
          <w:szCs w:val="20"/>
          <w:color w:val="auto"/>
        </w:rPr>
      </w:pPr>
    </w:p>
    <w:p>
      <w:pPr>
        <w:ind w:left="3"/>
        <w:spacing w:after="0" w:line="266" w:lineRule="auto"/>
        <w:rPr>
          <w:sz w:val="20"/>
          <w:szCs w:val="20"/>
          <w:color w:val="auto"/>
        </w:rPr>
      </w:pPr>
      <w:r>
        <w:rPr>
          <w:rFonts w:ascii="Arial" w:cs="Arial" w:eastAsia="Arial" w:hAnsi="Arial"/>
          <w:sz w:val="16"/>
          <w:szCs w:val="16"/>
          <w:color w:val="auto"/>
        </w:rPr>
        <w:t>Our Class A common stock and public warrants are listed for trading on Nasdaq under the symbols “OPAL” and “OPALW,” respectively.</w:t>
      </w:r>
    </w:p>
    <w:p>
      <w:pPr>
        <w:spacing w:after="0" w:line="157" w:lineRule="exact"/>
        <w:rPr>
          <w:sz w:val="20"/>
          <w:szCs w:val="20"/>
          <w:color w:val="auto"/>
        </w:rPr>
      </w:pPr>
    </w:p>
    <w:p>
      <w:pPr>
        <w:ind w:left="3"/>
        <w:spacing w:after="0" w:line="383" w:lineRule="auto"/>
        <w:rPr>
          <w:sz w:val="20"/>
          <w:szCs w:val="20"/>
          <w:color w:val="auto"/>
        </w:rPr>
      </w:pPr>
      <w:r>
        <w:rPr>
          <w:rFonts w:ascii="Arial" w:cs="Arial" w:eastAsia="Arial" w:hAnsi="Arial"/>
          <w:sz w:val="13"/>
          <w:szCs w:val="13"/>
          <w:color w:val="auto"/>
        </w:rPr>
        <w:t>Any investment in the securities offered hereby is speculative and involves a high degree of risk. You should carefully consider the information set forth under “</w:t>
      </w:r>
      <w:r>
        <w:rPr>
          <w:rFonts w:ascii="Arial" w:cs="Arial" w:eastAsia="Arial" w:hAnsi="Arial"/>
          <w:sz w:val="13"/>
          <w:szCs w:val="13"/>
          <w:i w:val="1"/>
          <w:iCs w:val="1"/>
          <w:color w:val="auto"/>
        </w:rPr>
        <w:t>Risk Factors</w:t>
      </w:r>
      <w:r>
        <w:rPr>
          <w:rFonts w:ascii="Arial" w:cs="Arial" w:eastAsia="Arial" w:hAnsi="Arial"/>
          <w:sz w:val="13"/>
          <w:szCs w:val="13"/>
          <w:color w:val="auto"/>
        </w:rPr>
        <w:t>” and elsewhere in this prospectus.</w:t>
      </w:r>
    </w:p>
    <w:p>
      <w:pPr>
        <w:spacing w:after="0" w:line="200" w:lineRule="exact"/>
        <w:rPr>
          <w:sz w:val="20"/>
          <w:szCs w:val="20"/>
          <w:color w:val="auto"/>
        </w:rPr>
      </w:pPr>
    </w:p>
    <w:p>
      <w:pPr>
        <w:sectPr>
          <w:pgSz w:w="11900" w:h="16838" w:orient="portrait"/>
          <w:cols w:equalWidth="0" w:num="2">
            <w:col w:w="3457" w:space="720"/>
            <w:col w:w="6843"/>
          </w:cols>
          <w:pgMar w:left="420" w:top="806" w:right="45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33020</wp:posOffset>
            </wp:positionV>
            <wp:extent cx="715010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020"/>
          </w:cols>
          <w:pgMar w:left="420" w:top="806" w:right="459" w:bottom="1440" w:gutter="0" w:footer="0" w:header="0"/>
          <w:type w:val="continuous"/>
        </w:sectPr>
      </w:pPr>
    </w:p>
    <w:bookmarkStart w:id="15" w:name="page16"/>
    <w:bookmarkEnd w:id="15"/>
    <w:p>
      <w:pPr>
        <w:jc w:val="center"/>
        <w:ind w:right="-5"/>
        <w:spacing w:after="0"/>
        <w:rPr>
          <w:sz w:val="20"/>
          <w:szCs w:val="20"/>
          <w:color w:val="auto"/>
        </w:rPr>
      </w:pPr>
      <w:r>
        <w:rPr>
          <w:rFonts w:ascii="Arial" w:cs="Arial" w:eastAsia="Arial" w:hAnsi="Arial"/>
          <w:sz w:val="16"/>
          <w:szCs w:val="16"/>
          <w:b w:val="1"/>
          <w:bCs w:val="1"/>
          <w:color w:val="auto"/>
        </w:rPr>
        <w:t>SELECTED HISTORICAL CONSOLIDATED</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FINANCIAL INFORMATION</w:t>
      </w:r>
    </w:p>
    <w:p>
      <w:pPr>
        <w:spacing w:after="0" w:line="111" w:lineRule="exact"/>
        <w:rPr>
          <w:sz w:val="20"/>
          <w:szCs w:val="20"/>
          <w:color w:val="auto"/>
        </w:rPr>
      </w:pPr>
    </w:p>
    <w:p>
      <w:pPr>
        <w:jc w:val="both"/>
        <w:ind w:left="6" w:right="20" w:firstLine="373"/>
        <w:spacing w:after="0" w:line="269" w:lineRule="auto"/>
        <w:rPr>
          <w:sz w:val="20"/>
          <w:szCs w:val="20"/>
          <w:color w:val="auto"/>
        </w:rPr>
      </w:pPr>
      <w:r>
        <w:rPr>
          <w:rFonts w:ascii="Arial" w:cs="Arial" w:eastAsia="Arial" w:hAnsi="Arial"/>
          <w:sz w:val="15"/>
          <w:szCs w:val="15"/>
          <w:color w:val="auto"/>
        </w:rPr>
        <w:t>The selected consolidated historical statements of operations and of cash flows data of Opco for the years ended December 31, 2021, 2020 and 2019 and the historical consolidated balance sheet data as of December 31, 2021 and 2020 are derived from Opco’s audited consolidated financial statements included elsewhere in this prospectus. The selected condensed consolidated historical statements of operations and of cash flows data of Opco for the six months ended June 30, 2022 and 2021 and the condensed consolidated historical balance sheet data as of June 30, 2022 are derived from Opco’s unaudited interim condensed consolidated financial statements included elsewhere in this prospectus. In Opco’s management’s opinion, the consolidated historical financial statements include all adjustments necessary to state fairly Opco’s financial position, results of operations and cash flows as of and for the periods presented herein.</w:t>
      </w:r>
    </w:p>
    <w:p>
      <w:pPr>
        <w:spacing w:after="0" w:line="88" w:lineRule="exact"/>
        <w:rPr>
          <w:sz w:val="20"/>
          <w:szCs w:val="20"/>
          <w:color w:val="auto"/>
        </w:rPr>
      </w:pPr>
    </w:p>
    <w:p>
      <w:pPr>
        <w:jc w:val="both"/>
        <w:ind w:left="6" w:firstLine="373"/>
        <w:spacing w:after="0" w:line="274" w:lineRule="auto"/>
        <w:rPr>
          <w:sz w:val="20"/>
          <w:szCs w:val="20"/>
          <w:color w:val="auto"/>
        </w:rPr>
      </w:pPr>
      <w:r>
        <w:rPr>
          <w:rFonts w:ascii="Arial" w:cs="Arial" w:eastAsia="Arial" w:hAnsi="Arial"/>
          <w:sz w:val="15"/>
          <w:szCs w:val="15"/>
          <w:color w:val="auto"/>
        </w:rPr>
        <w:t>Opco’s historical results are not necessarily indicative of the results that may be expected in the future and Opco’s results for the six months ended June 30, 2022 are not necessarily indicative of the results that may be expected for the full year ending December 31, 2022 or any other period. You should read the selected consolidated historical financial data together with the section titled “Management’s Discussion and Analysis of Financial Condition and Results of Operations” and Opco’s audited consolidated and unaudited condensed consolidated financial statements and related notes included elsewhere in this prospectus.</w:t>
      </w:r>
    </w:p>
    <w:p>
      <w:pPr>
        <w:spacing w:after="0" w:line="351"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44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dollars except per unit data)</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w w:val="97"/>
              </w:rPr>
              <w:t>For the six months ended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center"/>
              <w:ind w:right="41"/>
              <w:spacing w:after="0"/>
              <w:rPr>
                <w:sz w:val="20"/>
                <w:szCs w:val="20"/>
                <w:color w:val="auto"/>
              </w:rPr>
            </w:pPr>
            <w:r>
              <w:rPr>
                <w:rFonts w:ascii="Arial" w:cs="Arial" w:eastAsia="Arial" w:hAnsi="Arial"/>
                <w:sz w:val="16"/>
                <w:szCs w:val="16"/>
                <w:b w:val="1"/>
                <w:bCs w:val="1"/>
                <w:color w:val="auto"/>
                <w:w w:val="87"/>
              </w:rPr>
              <w:t>Fiscal Years Ended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342"/>
              <w:spacing w:after="0" w:line="172" w:lineRule="exact"/>
              <w:rPr>
                <w:sz w:val="20"/>
                <w:szCs w:val="20"/>
                <w:color w:val="auto"/>
              </w:rPr>
            </w:pPr>
            <w:r>
              <w:rPr>
                <w:rFonts w:ascii="Arial" w:cs="Arial" w:eastAsia="Arial" w:hAnsi="Arial"/>
                <w:sz w:val="16"/>
                <w:szCs w:val="16"/>
                <w:b w:val="1"/>
                <w:bCs w:val="1"/>
                <w:color w:val="auto"/>
              </w:rPr>
              <w:t>June 30,</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202"/>
              <w:spacing w:after="0" w:line="172" w:lineRule="exact"/>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right"/>
              <w:ind w:right="220"/>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81"/>
              <w:spacing w:after="0" w:line="172" w:lineRule="exact"/>
              <w:rPr>
                <w:sz w:val="20"/>
                <w:szCs w:val="20"/>
                <w:color w:val="auto"/>
              </w:rPr>
            </w:pPr>
            <w:r>
              <w:rPr>
                <w:rFonts w:ascii="Arial" w:cs="Arial" w:eastAsia="Arial" w:hAnsi="Arial"/>
                <w:sz w:val="16"/>
                <w:szCs w:val="16"/>
                <w:b w:val="1"/>
                <w:bCs w:val="1"/>
                <w:color w:val="auto"/>
                <w:w w:val="88"/>
              </w:rPr>
              <w:t>December 31,</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2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2"/>
              <w:spacing w:after="0" w:line="223" w:lineRule="exact"/>
              <w:rPr>
                <w:sz w:val="20"/>
                <w:szCs w:val="20"/>
                <w:color w:val="auto"/>
              </w:rPr>
            </w:pPr>
            <w:r>
              <w:rPr>
                <w:rFonts w:ascii="Arial" w:cs="Arial" w:eastAsia="Arial" w:hAnsi="Arial"/>
                <w:sz w:val="15"/>
                <w:szCs w:val="15"/>
                <w:b w:val="1"/>
                <w:bCs w:val="1"/>
                <w:color w:val="auto"/>
                <w:w w:val="89"/>
              </w:rPr>
              <w:t xml:space="preserve">(Restated) </w:t>
            </w:r>
            <w:r>
              <w:rPr>
                <w:rFonts w:ascii="Arial" w:cs="Arial" w:eastAsia="Arial" w:hAnsi="Arial"/>
                <w:sz w:val="25"/>
                <w:szCs w:val="25"/>
                <w:b w:val="1"/>
                <w:bCs w:val="1"/>
                <w:color w:val="auto"/>
                <w:w w:val="89"/>
                <w:vertAlign w:val="superscript"/>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2"/>
              <w:spacing w:after="0" w:line="223" w:lineRule="exact"/>
              <w:rPr>
                <w:sz w:val="20"/>
                <w:szCs w:val="20"/>
                <w:color w:val="auto"/>
              </w:rPr>
            </w:pPr>
            <w:r>
              <w:rPr>
                <w:rFonts w:ascii="Arial" w:cs="Arial" w:eastAsia="Arial" w:hAnsi="Arial"/>
                <w:sz w:val="15"/>
                <w:szCs w:val="15"/>
                <w:b w:val="1"/>
                <w:bCs w:val="1"/>
                <w:color w:val="auto"/>
                <w:w w:val="89"/>
              </w:rPr>
              <w:t xml:space="preserve">(Restated) </w:t>
            </w:r>
            <w:r>
              <w:rPr>
                <w:rFonts w:ascii="Arial" w:cs="Arial" w:eastAsia="Arial" w:hAnsi="Arial"/>
                <w:sz w:val="25"/>
                <w:szCs w:val="25"/>
                <w:b w:val="1"/>
                <w:bCs w:val="1"/>
                <w:color w:val="auto"/>
                <w:w w:val="89"/>
                <w:vertAlign w:val="superscript"/>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102,264</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57,784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166,124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117,706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119,702</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Less: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75,589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43,285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115,065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90,168</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90,972</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18,810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11,185</w:t>
            </w: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29,380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20,474</w:t>
            </w: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17,795</w:t>
            </w: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6,558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4,059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8,338</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8,031</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Impairment of assets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17,689</w:t>
            </w: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Gain on termination of PPA</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(1,292)</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Loss on sale/disposal of assets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Interest and financing expense, net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(6,408)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(3,305)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(7,467)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(6,655)</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(8,026)</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w w:val="99"/>
              </w:rPr>
              <w:t>Realized and unrealized loss (gain) on interest rate swaps, net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(2,197)</w:t>
            </w:r>
          </w:p>
        </w:tc>
        <w:tc>
          <w:tcPr>
            <w:tcW w:w="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Gain on acquisition of equity method investment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19,818</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19,818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Gain on deconsolidation of VIEs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15,025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Gain on PPP loan forgiveness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1,792</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440" w:type="dxa"/>
            <w:vAlign w:val="bottom"/>
          </w:tcPr>
          <w:p>
            <w:pPr>
              <w:spacing w:after="0"/>
              <w:rPr>
                <w:sz w:val="20"/>
                <w:szCs w:val="20"/>
                <w:color w:val="auto"/>
              </w:rPr>
            </w:pPr>
            <w:r>
              <w:rPr>
                <w:rFonts w:ascii="Arial" w:cs="Arial" w:eastAsia="Arial" w:hAnsi="Arial"/>
                <w:sz w:val="16"/>
                <w:szCs w:val="16"/>
                <w:color w:val="auto"/>
              </w:rPr>
              <w:t>(Loss) income from equity method investments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2,392</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2,268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(475)</w:t>
            </w:r>
          </w:p>
        </w:tc>
        <w:tc>
          <w:tcPr>
            <w:tcW w:w="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8"/>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(4,809</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(25,371</w:t>
            </w:r>
          </w:p>
        </w:tc>
        <w:tc>
          <w:tcPr>
            <w:tcW w:w="200" w:type="dxa"/>
            <w:vAlign w:val="bottom"/>
            <w:tcBorders>
              <w:top w:val="single" w:sz="8" w:color="CCEEFF"/>
              <w:bottom w:val="single" w:sz="8" w:color="CCEEFF"/>
              <w:right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2"/>
        </w:trPr>
        <w:tc>
          <w:tcPr>
            <w:tcW w:w="4440" w:type="dxa"/>
            <w:vAlign w:val="bottom"/>
          </w:tcPr>
          <w:p>
            <w:pPr>
              <w:spacing w:after="0" w:line="172" w:lineRule="exact"/>
              <w:rPr>
                <w:sz w:val="20"/>
                <w:szCs w:val="20"/>
                <w:color w:val="auto"/>
              </w:rPr>
            </w:pPr>
            <w:r>
              <w:rPr>
                <w:rFonts w:ascii="Arial" w:cs="Arial" w:eastAsia="Arial" w:hAnsi="Arial"/>
                <w:sz w:val="16"/>
                <w:szCs w:val="16"/>
                <w:color w:val="auto"/>
              </w:rPr>
              <w:t>Paid-in-kind preferred dividends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72" w:lineRule="exact"/>
              <w:rPr>
                <w:sz w:val="20"/>
                <w:szCs w:val="20"/>
                <w:color w:val="auto"/>
              </w:rPr>
            </w:pPr>
            <w:r>
              <w:rPr>
                <w:rFonts w:ascii="Arial" w:cs="Arial" w:eastAsia="Arial" w:hAnsi="Arial"/>
                <w:sz w:val="16"/>
                <w:szCs w:val="16"/>
                <w:color w:val="auto"/>
              </w:rPr>
              <w:t>2,435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7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6"/>
                <w:szCs w:val="16"/>
                <w:color w:val="auto"/>
              </w:rPr>
              <w:t>210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(loss) income attributable to OPAL Fuels LLC</w:t>
            </w: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12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9"/>
        </w:trPr>
        <w:tc>
          <w:tcPr>
            <w:tcW w:w="44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(6,745</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18,375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41,363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(25,358</w:t>
            </w:r>
          </w:p>
        </w:tc>
        <w:tc>
          <w:tcPr>
            <w:tcW w:w="20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(5,249</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4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units outstanding:</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40" w:type="dxa"/>
            <w:vAlign w:val="bottom"/>
          </w:tcPr>
          <w:p>
            <w:pPr>
              <w:spacing w:after="0" w:line="223" w:lineRule="exact"/>
              <w:rPr>
                <w:sz w:val="20"/>
                <w:szCs w:val="20"/>
                <w:color w:val="auto"/>
              </w:rPr>
            </w:pPr>
            <w:r>
              <w:rPr>
                <w:rFonts w:ascii="Arial" w:cs="Arial" w:eastAsia="Arial" w:hAnsi="Arial"/>
                <w:sz w:val="15"/>
                <w:szCs w:val="15"/>
                <w:color w:val="auto"/>
              </w:rPr>
              <w:t xml:space="preserve">Basic </w:t>
            </w:r>
            <w:r>
              <w:rPr>
                <w:rFonts w:ascii="Arial" w:cs="Arial" w:eastAsia="Arial" w:hAnsi="Arial"/>
                <w:sz w:val="25"/>
                <w:szCs w:val="25"/>
                <w:color w:val="auto"/>
                <w:vertAlign w:val="superscript"/>
              </w:rPr>
              <w:t>(2)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986</w:t>
            </w: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986</w:t>
            </w:r>
          </w:p>
        </w:tc>
        <w:tc>
          <w:tcPr>
            <w:tcW w:w="80" w:type="dxa"/>
            <w:vAlign w:val="bottom"/>
          </w:tcPr>
          <w:p>
            <w:pPr>
              <w:spacing w:after="0"/>
              <w:rPr>
                <w:sz w:val="19"/>
                <w:szCs w:val="19"/>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 xml:space="preserve">Diluted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986</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Per unit amounts: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(6,745)</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18,636)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41,908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(25,718)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(5,324)</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Diluted</w:t>
            </w:r>
          </w:p>
        </w:tc>
        <w:tc>
          <w:tcPr>
            <w:tcW w:w="3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6"/>
                <w:szCs w:val="16"/>
                <w:color w:val="auto"/>
              </w:rPr>
              <w:t>(6,745)</w:t>
            </w:r>
          </w:p>
        </w:tc>
        <w:tc>
          <w:tcPr>
            <w:tcW w:w="28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18,636)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41,908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(25,718)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(5,324)</w:t>
            </w: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 Cash Flows Data:</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Net cash (used in) provided by operating activities</w:t>
            </w:r>
          </w:p>
        </w:tc>
        <w:tc>
          <w:tcPr>
            <w:tcW w:w="3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6"/>
                <w:szCs w:val="16"/>
                <w:color w:val="auto"/>
              </w:rPr>
              <w:t>(9,438)</w:t>
            </w:r>
          </w:p>
        </w:tc>
        <w:tc>
          <w:tcPr>
            <w:tcW w:w="28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16,808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18,856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2,287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4,338</w:t>
            </w: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(54,298)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(28,752)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(117,204)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(22,179)</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(29,848)</w:t>
            </w:r>
          </w:p>
        </w:tc>
        <w:tc>
          <w:tcPr>
            <w:tcW w:w="0" w:type="dxa"/>
            <w:vAlign w:val="bottom"/>
          </w:tcPr>
          <w:p>
            <w:pPr>
              <w:spacing w:after="0"/>
              <w:rPr>
                <w:sz w:val="1"/>
                <w:szCs w:val="1"/>
                <w:color w:val="auto"/>
              </w:rPr>
            </w:pPr>
          </w:p>
        </w:tc>
      </w:tr>
      <w:tr>
        <w:trPr>
          <w:trHeight w:val="200"/>
        </w:trPr>
        <w:tc>
          <w:tcPr>
            <w:tcW w:w="444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121,961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28,278</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125,014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21,453</w:t>
            </w:r>
          </w:p>
        </w:tc>
        <w:tc>
          <w:tcPr>
            <w:tcW w:w="80" w:type="dxa"/>
            <w:vAlign w:val="bottom"/>
          </w:tcPr>
          <w:p>
            <w:pPr>
              <w:spacing w:after="0"/>
              <w:rPr>
                <w:sz w:val="17"/>
                <w:szCs w:val="17"/>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24,653</w:t>
            </w:r>
          </w:p>
        </w:tc>
        <w:tc>
          <w:tcPr>
            <w:tcW w:w="0" w:type="dxa"/>
            <w:vAlign w:val="bottom"/>
          </w:tcPr>
          <w:p>
            <w:pPr>
              <w:spacing w:after="0"/>
              <w:rPr>
                <w:sz w:val="1"/>
                <w:szCs w:val="1"/>
                <w:color w:val="auto"/>
              </w:rPr>
            </w:pPr>
          </w:p>
        </w:tc>
      </w:tr>
      <w:tr>
        <w:trPr>
          <w:trHeight w:val="24"/>
        </w:trPr>
        <w:tc>
          <w:tcPr>
            <w:tcW w:w="44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9"/>
              </w:rPr>
              <w:t>Net increase (decrease) in cash, cash equivalents and restricted cash</w:t>
            </w: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6"/>
        </w:trPr>
        <w:tc>
          <w:tcPr>
            <w:tcW w:w="4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58,225</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26,666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1,561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286" w:hanging="286"/>
        <w:spacing w:after="0" w:line="192" w:lineRule="auto"/>
        <w:tabs>
          <w:tab w:leader="none" w:pos="286"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Financials Statements</w:t>
      </w:r>
      <w:r>
        <w:rPr>
          <w:rFonts w:ascii="Arial" w:cs="Arial" w:eastAsia="Arial" w:hAnsi="Arial"/>
          <w:sz w:val="16"/>
          <w:szCs w:val="16"/>
          <w:color w:val="auto"/>
        </w:rPr>
        <w:t xml:space="preserve"> to Opco’s audited consolidated financial statements, we have restated the consolidated financial statements for the years ended December 31, 2020 and 2019.</w:t>
      </w:r>
    </w:p>
    <w:p>
      <w:pPr>
        <w:spacing w:after="0" w:line="108" w:lineRule="exact"/>
        <w:rPr>
          <w:rFonts w:ascii="Arial" w:cs="Arial" w:eastAsia="Arial" w:hAnsi="Arial"/>
          <w:sz w:val="26"/>
          <w:szCs w:val="26"/>
          <w:color w:val="auto"/>
          <w:vertAlign w:val="superscript"/>
        </w:rPr>
      </w:pPr>
    </w:p>
    <w:p>
      <w:pPr>
        <w:jc w:val="both"/>
        <w:ind w:left="286" w:right="20" w:hanging="286"/>
        <w:spacing w:after="0" w:line="207" w:lineRule="auto"/>
        <w:tabs>
          <w:tab w:leader="none" w:pos="286"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 xml:space="preserve">As described in Note 1, </w:t>
      </w:r>
      <w:r>
        <w:rPr>
          <w:rFonts w:ascii="Arial" w:cs="Arial" w:eastAsia="Arial" w:hAnsi="Arial"/>
          <w:sz w:val="16"/>
          <w:szCs w:val="16"/>
          <w:i w:val="1"/>
          <w:iCs w:val="1"/>
          <w:color w:val="auto"/>
        </w:rPr>
        <w:t>Description of Business</w:t>
      </w:r>
      <w:r>
        <w:rPr>
          <w:rFonts w:ascii="Arial" w:cs="Arial" w:eastAsia="Arial" w:hAnsi="Arial"/>
          <w:sz w:val="16"/>
          <w:szCs w:val="16"/>
          <w:color w:val="auto"/>
        </w:rPr>
        <w:t xml:space="preserve"> to Opco’s audited consolidated financial statements, the Company amended its limited liability company agreement on November 29, 2021 to convert its outstanding membership interests into 986 common units. The earnings per unit have been presented retrospectively for all periods presented.</w:t>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As of</w:t>
            </w:r>
          </w:p>
        </w:tc>
        <w:tc>
          <w:tcPr>
            <w:tcW w:w="240" w:type="dxa"/>
            <w:vAlign w:val="bottom"/>
          </w:tcPr>
          <w:p>
            <w:pPr>
              <w:spacing w:after="0"/>
              <w:rPr>
                <w:sz w:val="16"/>
                <w:szCs w:val="16"/>
                <w:color w:val="auto"/>
              </w:rPr>
            </w:pPr>
          </w:p>
        </w:tc>
        <w:tc>
          <w:tcPr>
            <w:tcW w:w="232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20"/>
        </w:trPr>
        <w:tc>
          <w:tcPr>
            <w:tcW w:w="73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dollars)</w:t>
            </w: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9"/>
                <w:szCs w:val="19"/>
                <w:color w:val="auto"/>
              </w:rPr>
            </w:pPr>
          </w:p>
        </w:tc>
        <w:tc>
          <w:tcPr>
            <w:tcW w:w="23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6"/>
                <w:szCs w:val="16"/>
                <w:b w:val="1"/>
                <w:bCs w:val="1"/>
                <w:color w:val="auto"/>
              </w:rPr>
              <w:t>Consolidated Balance Sheets Data:</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62"/>
              <w:spacing w:after="0" w:line="223" w:lineRule="exact"/>
              <w:rPr>
                <w:sz w:val="20"/>
                <w:szCs w:val="20"/>
                <w:color w:val="auto"/>
              </w:rPr>
            </w:pPr>
            <w:r>
              <w:rPr>
                <w:rFonts w:ascii="Arial" w:cs="Arial" w:eastAsia="Arial" w:hAnsi="Arial"/>
                <w:sz w:val="15"/>
                <w:szCs w:val="15"/>
                <w:b w:val="1"/>
                <w:bCs w:val="1"/>
                <w:color w:val="auto"/>
                <w:w w:val="89"/>
              </w:rPr>
              <w:t xml:space="preserve">(Restated) </w:t>
            </w:r>
            <w:r>
              <w:rPr>
                <w:rFonts w:ascii="Arial" w:cs="Arial" w:eastAsia="Arial" w:hAnsi="Arial"/>
                <w:sz w:val="25"/>
                <w:szCs w:val="25"/>
                <w:b w:val="1"/>
                <w:bCs w:val="1"/>
                <w:color w:val="auto"/>
                <w:w w:val="89"/>
                <w:vertAlign w:val="superscript"/>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97,091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39,314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12,823</w:t>
            </w: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229,411</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169,770</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79,492</w:t>
            </w:r>
          </w:p>
        </w:tc>
        <w:tc>
          <w:tcPr>
            <w:tcW w:w="0" w:type="dxa"/>
            <w:vAlign w:val="bottom"/>
          </w:tcPr>
          <w:p>
            <w:pPr>
              <w:spacing w:after="0"/>
              <w:rPr>
                <w:sz w:val="1"/>
                <w:szCs w:val="1"/>
                <w:color w:val="auto"/>
              </w:rPr>
            </w:pPr>
          </w:p>
        </w:tc>
      </w:tr>
      <w:tr>
        <w:trPr>
          <w:trHeight w:val="24"/>
        </w:trPr>
        <w:tc>
          <w:tcPr>
            <w:tcW w:w="7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512,242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380,844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Total Debt - current and non-current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3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241,122</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229,103</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100,780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305,323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285,887</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138,999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32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color w:val="auto"/>
              </w:rPr>
              <w:t>Redeemable preferred units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132,645</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30,210</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members’ equity</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74,274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64,747</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320" w:type="dxa"/>
            <w:vAlign w:val="bottom"/>
          </w:tcPr>
          <w:p>
            <w:pPr>
              <w:spacing w:after="0" w:line="180" w:lineRule="exact"/>
              <w:rPr>
                <w:sz w:val="20"/>
                <w:szCs w:val="20"/>
                <w:color w:val="auto"/>
              </w:rPr>
            </w:pPr>
            <w:r>
              <w:rPr>
                <w:rFonts w:ascii="Arial" w:cs="Arial" w:eastAsia="Arial" w:hAnsi="Arial"/>
                <w:sz w:val="16"/>
                <w:szCs w:val="16"/>
                <w:color w:val="auto"/>
              </w:rPr>
              <w:t>Total liabilities, redeemable preferred units and members’ equity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512,242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380,844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169,458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286" w:hanging="286"/>
        <w:spacing w:after="0" w:line="192" w:lineRule="auto"/>
        <w:tabs>
          <w:tab w:leader="none" w:pos="286"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Financials Statements</w:t>
      </w:r>
      <w:r>
        <w:rPr>
          <w:rFonts w:ascii="Arial" w:cs="Arial" w:eastAsia="Arial" w:hAnsi="Arial"/>
          <w:sz w:val="16"/>
          <w:szCs w:val="16"/>
          <w:color w:val="auto"/>
        </w:rPr>
        <w:t xml:space="preserve"> to Opco’s audited consolidated financial statements, we have restated the consolidated financial statements for the year ended December 31, 2020.</w:t>
      </w:r>
    </w:p>
    <w:p>
      <w:pPr>
        <w:spacing w:after="0" w:line="36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2" w:right="319" w:bottom="793"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MARKET PRICE, TICKER SYMBOL, AND DIVIDEND INFORMATION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OPAL’s Class A common stock and public warrants are listed for trading on Nasdaq under the symbols “OPAL” and “OPALW,” respectively.</w:t>
      </w:r>
    </w:p>
    <w:p>
      <w:pPr>
        <w:spacing w:after="0" w:line="193"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The closing price of the Class A common stock and the warrants to purchase Class A common stock on August 9, 2022 was $11.50, and $1.55, respectively. Holders of Class A common stock and warrants should obtain current market quotations for their securities.</w:t>
      </w:r>
    </w:p>
    <w:p>
      <w:pPr>
        <w:spacing w:after="0" w:line="15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7" w:name="page18"/>
    <w:bookmarkEnd w:id="17"/>
    <w:p>
      <w:pPr>
        <w:jc w:val="center"/>
        <w:ind w:right="-5"/>
        <w:spacing w:after="0"/>
        <w:rPr>
          <w:sz w:val="20"/>
          <w:szCs w:val="20"/>
          <w:color w:val="auto"/>
        </w:rPr>
      </w:pPr>
      <w:r>
        <w:rPr>
          <w:rFonts w:ascii="Arial" w:cs="Arial" w:eastAsia="Arial" w:hAnsi="Arial"/>
          <w:sz w:val="16"/>
          <w:szCs w:val="16"/>
          <w:b w:val="1"/>
          <w:bCs w:val="1"/>
          <w:color w:val="auto"/>
        </w:rPr>
        <w:t>RISK FACTORS</w:t>
      </w:r>
    </w:p>
    <w:p>
      <w:pPr>
        <w:spacing w:after="0" w:line="197"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i w:val="1"/>
          <w:iCs w:val="1"/>
          <w:color w:val="auto"/>
        </w:rPr>
        <w:t>In addition to the other information contained in this prospectus, the following risks have the potential to impact our business and operations, as well as the market for our securities, including the Class A common stock offered hereby. These risk factors are not exhaustive and all investors are encouraged to perform their own investigation with respect our business, financial condition and prospects.</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Risks Related to Our Business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Risks Related to Our Third Party Relationships and Government Regulation of Our Business</w:t>
      </w:r>
    </w:p>
    <w:p>
      <w:pPr>
        <w:spacing w:after="0" w:line="193" w:lineRule="exact"/>
        <w:rPr>
          <w:sz w:val="20"/>
          <w:szCs w:val="20"/>
          <w:color w:val="auto"/>
        </w:rPr>
      </w:pPr>
    </w:p>
    <w:p>
      <w:pPr>
        <w:jc w:val="both"/>
        <w:ind w:left="6" w:right="20"/>
        <w:spacing w:after="0" w:line="256" w:lineRule="auto"/>
        <w:rPr>
          <w:sz w:val="20"/>
          <w:szCs w:val="20"/>
          <w:color w:val="auto"/>
        </w:rPr>
      </w:pPr>
      <w:r>
        <w:rPr>
          <w:rFonts w:ascii="Arial" w:cs="Arial" w:eastAsia="Arial" w:hAnsi="Arial"/>
          <w:sz w:val="16"/>
          <w:szCs w:val="16"/>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65" w:lineRule="exact"/>
        <w:rPr>
          <w:sz w:val="20"/>
          <w:szCs w:val="20"/>
          <w:color w:val="auto"/>
        </w:rPr>
      </w:pPr>
    </w:p>
    <w:p>
      <w:pPr>
        <w:jc w:val="both"/>
        <w:ind w:left="6" w:firstLine="283"/>
        <w:spacing w:after="0" w:line="309" w:lineRule="auto"/>
        <w:rPr>
          <w:sz w:val="20"/>
          <w:szCs w:val="20"/>
          <w:color w:val="auto"/>
        </w:rPr>
      </w:pPr>
      <w:r>
        <w:rPr>
          <w:rFonts w:ascii="Arial" w:cs="Arial" w:eastAsia="Arial" w:hAnsi="Arial"/>
          <w:sz w:val="13"/>
          <w:szCs w:val="13"/>
          <w:color w:val="auto"/>
        </w:rPr>
        <w:t>We do not own any of the landfill or livestock waste sites, which we sometimes refer to in this prospectus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w:t>
      </w:r>
      <w:r>
        <w:rPr>
          <w:rFonts w:ascii="Arial" w:cs="Arial" w:eastAsia="Arial" w:hAnsi="Arial"/>
          <w:sz w:val="13"/>
          <w:szCs w:val="13"/>
          <w:i w:val="1"/>
          <w:iCs w:val="1"/>
          <w:color w:val="auto"/>
        </w:rPr>
        <w:t>Business—Our Projects.</w:t>
      </w:r>
      <w:r>
        <w:rPr>
          <w:rFonts w:ascii="Arial" w:cs="Arial" w:eastAsia="Arial" w:hAnsi="Arial"/>
          <w:sz w:val="13"/>
          <w:szCs w:val="13"/>
          <w:color w:val="auto"/>
        </w:rPr>
        <w:t>” In addition, the biogas rights are typically specific to the right to produce electricity generated from renewable sources (“</w:t>
      </w:r>
      <w:r>
        <w:rPr>
          <w:rFonts w:ascii="Arial" w:cs="Arial" w:eastAsia="Arial" w:hAnsi="Arial"/>
          <w:sz w:val="13"/>
          <w:szCs w:val="13"/>
          <w:b w:val="1"/>
          <w:bCs w:val="1"/>
          <w:i w:val="1"/>
          <w:iCs w:val="1"/>
          <w:color w:val="auto"/>
        </w:rPr>
        <w:t>Renewable Power</w:t>
      </w:r>
      <w:r>
        <w:rPr>
          <w:rFonts w:ascii="Arial" w:cs="Arial" w:eastAsia="Arial" w:hAnsi="Arial"/>
          <w:sz w:val="13"/>
          <w:szCs w:val="13"/>
          <w:color w:val="auto"/>
        </w:rPr>
        <w:t>”)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Projects obtain biogas or for whom we operate biogas facilities, may have a material adverse effect on our business operations, financial condition and operational results.</w:t>
      </w:r>
    </w:p>
    <w:p>
      <w:pPr>
        <w:spacing w:after="0" w:line="325" w:lineRule="exact"/>
        <w:rPr>
          <w:sz w:val="20"/>
          <w:szCs w:val="20"/>
          <w:color w:val="auto"/>
        </w:rPr>
      </w:pPr>
    </w:p>
    <w:p>
      <w:pPr>
        <w:jc w:val="both"/>
        <w:ind w:left="6" w:firstLine="283"/>
        <w:spacing w:after="0" w:line="322" w:lineRule="auto"/>
        <w:rPr>
          <w:sz w:val="20"/>
          <w:szCs w:val="20"/>
          <w:color w:val="auto"/>
        </w:rPr>
      </w:pPr>
      <w:r>
        <w:rPr>
          <w:rFonts w:ascii="Arial" w:cs="Arial" w:eastAsia="Arial" w:hAnsi="Arial"/>
          <w:sz w:val="13"/>
          <w:szCs w:val="13"/>
          <w:color w:val="auto"/>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128"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The owners and operators of biogas project sites generally make no warranties to us as to the quality or quantity of gas produced.</w:t>
      </w:r>
    </w:p>
    <w:p>
      <w:pPr>
        <w:spacing w:after="0" w:line="193" w:lineRule="exact"/>
        <w:rPr>
          <w:sz w:val="20"/>
          <w:szCs w:val="20"/>
          <w:color w:val="auto"/>
        </w:rPr>
      </w:pPr>
    </w:p>
    <w:p>
      <w:pPr>
        <w:jc w:val="both"/>
        <w:ind w:left="6" w:firstLine="283"/>
        <w:spacing w:after="0" w:line="308" w:lineRule="auto"/>
        <w:rPr>
          <w:sz w:val="20"/>
          <w:szCs w:val="20"/>
          <w:color w:val="auto"/>
        </w:rPr>
      </w:pPr>
      <w:r>
        <w:rPr>
          <w:rFonts w:ascii="Arial" w:cs="Arial" w:eastAsia="Arial" w:hAnsi="Arial"/>
          <w:sz w:val="13"/>
          <w:szCs w:val="13"/>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w:t>
      </w:r>
    </w:p>
    <w:p>
      <w:pPr>
        <w:spacing w:after="0" w:line="1" w:lineRule="exact"/>
        <w:rPr>
          <w:sz w:val="20"/>
          <w:szCs w:val="20"/>
          <w:color w:val="auto"/>
        </w:rPr>
      </w:pPr>
    </w:p>
    <w:p>
      <w:pPr>
        <w:jc w:val="both"/>
        <w:ind w:left="6" w:hanging="6"/>
        <w:spacing w:after="0" w:line="247" w:lineRule="auto"/>
        <w:tabs>
          <w:tab w:leader="none" w:pos="2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pacing w:after="0" w:line="36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3" w:right="319" w:bottom="1440" w:gutter="0" w:footer="0" w:header="0"/>
        </w:sectPr>
      </w:pPr>
    </w:p>
    <w:bookmarkStart w:id="18" w:name="page19"/>
    <w:bookmarkEnd w:id="18"/>
    <w:p>
      <w:pPr>
        <w:jc w:val="both"/>
        <w:spacing w:after="0" w:line="256" w:lineRule="auto"/>
        <w:rPr>
          <w:sz w:val="20"/>
          <w:szCs w:val="20"/>
          <w:color w:val="auto"/>
        </w:rPr>
      </w:pPr>
      <w:r>
        <w:rPr>
          <w:rFonts w:ascii="Arial" w:cs="Arial" w:eastAsia="Arial" w:hAnsi="Arial"/>
          <w:sz w:val="16"/>
          <w:szCs w:val="16"/>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65"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57" w:lineRule="exact"/>
        <w:rPr>
          <w:sz w:val="20"/>
          <w:szCs w:val="20"/>
          <w:color w:val="auto"/>
        </w:rPr>
      </w:pPr>
    </w:p>
    <w:p>
      <w:pPr>
        <w:jc w:val="both"/>
        <w:ind w:right="20" w:firstLine="283"/>
        <w:spacing w:after="0" w:line="316" w:lineRule="auto"/>
        <w:rPr>
          <w:sz w:val="20"/>
          <w:szCs w:val="20"/>
          <w:color w:val="auto"/>
        </w:rPr>
      </w:pPr>
      <w:r>
        <w:rPr>
          <w:rFonts w:ascii="Arial" w:cs="Arial" w:eastAsia="Arial" w:hAnsi="Arial"/>
          <w:sz w:val="13"/>
          <w:szCs w:val="13"/>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30"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In addition, the financial condition of the biogas conversion project sites may be affected in large part by conditions and events that are beyond our control. Significant deteriorations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69"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6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165"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w:t>
      </w:r>
      <w:r>
        <w:rPr>
          <w:rFonts w:ascii="Arial" w:cs="Arial" w:eastAsia="Arial" w:hAnsi="Arial"/>
          <w:sz w:val="15"/>
          <w:szCs w:val="15"/>
          <w:b w:val="1"/>
          <w:bCs w:val="1"/>
          <w:i w:val="1"/>
          <w:iCs w:val="1"/>
          <w:color w:val="auto"/>
        </w:rPr>
        <w:t>Advanced Clean Trucks Regulation</w:t>
      </w:r>
      <w:r>
        <w:rPr>
          <w:rFonts w:ascii="Arial" w:cs="Arial" w:eastAsia="Arial" w:hAnsi="Arial"/>
          <w:sz w:val="15"/>
          <w:szCs w:val="15"/>
          <w:color w:val="auto"/>
        </w:rPr>
        <w:t>”) and Executive Order N-79-20 issued by the Governor of the State of California in September 2020 (the “</w:t>
      </w:r>
      <w:r>
        <w:rPr>
          <w:rFonts w:ascii="Arial" w:cs="Arial" w:eastAsia="Arial" w:hAnsi="Arial"/>
          <w:sz w:val="15"/>
          <w:szCs w:val="15"/>
          <w:b w:val="1"/>
          <w:bCs w:val="1"/>
          <w:i w:val="1"/>
          <w:iCs w:val="1"/>
          <w:color w:val="auto"/>
        </w:rPr>
        <w:t>September 2020 Executive Order</w:t>
      </w:r>
      <w:r>
        <w:rPr>
          <w:rFonts w:ascii="Arial" w:cs="Arial" w:eastAsia="Arial" w:hAnsi="Arial"/>
          <w:sz w:val="15"/>
          <w:szCs w:val="15"/>
          <w:color w:val="auto"/>
        </w:rPr>
        <w:t>”).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5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65"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9" w:name="page20"/>
    <w:bookmarkEnd w:id="19"/>
    <w:p>
      <w:pPr>
        <w:jc w:val="both"/>
        <w:ind w:firstLine="283"/>
        <w:spacing w:after="0" w:line="267" w:lineRule="auto"/>
        <w:rPr>
          <w:sz w:val="20"/>
          <w:szCs w:val="20"/>
          <w:color w:val="auto"/>
        </w:rPr>
      </w:pPr>
      <w:r>
        <w:rPr>
          <w:rFonts w:ascii="Arial" w:cs="Arial" w:eastAsia="Arial" w:hAnsi="Arial"/>
          <w:sz w:val="15"/>
          <w:szCs w:val="15"/>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spacing w:after="0" w:line="161" w:lineRule="exact"/>
        <w:rPr>
          <w:sz w:val="20"/>
          <w:szCs w:val="20"/>
          <w:color w:val="auto"/>
        </w:rPr>
      </w:pPr>
    </w:p>
    <w:p>
      <w:pPr>
        <w:jc w:val="both"/>
        <w:spacing w:after="0" w:line="329" w:lineRule="auto"/>
        <w:rPr>
          <w:sz w:val="20"/>
          <w:szCs w:val="20"/>
          <w:color w:val="auto"/>
        </w:rPr>
      </w:pPr>
      <w:r>
        <w:rPr>
          <w:rFonts w:ascii="Arial" w:cs="Arial" w:eastAsia="Arial" w:hAnsi="Arial"/>
          <w:sz w:val="13"/>
          <w:szCs w:val="13"/>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22"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spacing w:after="0" w:line="165" w:lineRule="exact"/>
        <w:rPr>
          <w:sz w:val="20"/>
          <w:szCs w:val="20"/>
          <w:color w:val="auto"/>
        </w:rPr>
      </w:pPr>
    </w:p>
    <w:p>
      <w:pPr>
        <w:jc w:val="both"/>
        <w:ind w:firstLine="283"/>
        <w:spacing w:after="0" w:line="314" w:lineRule="auto"/>
        <w:rPr>
          <w:sz w:val="20"/>
          <w:szCs w:val="20"/>
          <w:color w:val="auto"/>
        </w:rPr>
      </w:pPr>
      <w:r>
        <w:rPr>
          <w:rFonts w:ascii="Arial" w:cs="Arial" w:eastAsia="Arial" w:hAnsi="Arial"/>
          <w:sz w:val="13"/>
          <w:szCs w:val="13"/>
          <w:color w:val="auto"/>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31"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Numerous government entities have the power to enforce difficult and costly compliance measures or corrective actions pursuant to these laws and regulations and the permits issued under them. We may be required to make significant capital and operating expenditures on an ongoing basis, or to perform remedial or other corrective actions in connection with our Biogas Conversion Projects and Fueling Stations, to comply with the requirements of these environmental laws and regulations or the terms and conditions of our permits. Failure to comply with these laws and regulations or the terms or conditions of our permits may result in the assessment of sanctions, including administrative, civil or criminal penalties, the imposition of investigatory or remedial obligations, and the issuance of orders limiting or prohibiting some or all of our operations. In addition, we may experience delays in obtaining or be unable to obtain required environmental regulatory permits, consents, waivers or approvals, which may delay or interrupt our operations and limit our growth and revenue.</w:t>
      </w:r>
    </w:p>
    <w:p>
      <w:pPr>
        <w:spacing w:after="0" w:line="159" w:lineRule="exact"/>
        <w:rPr>
          <w:sz w:val="20"/>
          <w:szCs w:val="20"/>
          <w:color w:val="auto"/>
        </w:rPr>
      </w:pPr>
    </w:p>
    <w:p>
      <w:pPr>
        <w:jc w:val="both"/>
        <w:ind w:firstLine="283"/>
        <w:spacing w:after="0" w:line="312" w:lineRule="auto"/>
        <w:rPr>
          <w:sz w:val="20"/>
          <w:szCs w:val="20"/>
          <w:color w:val="auto"/>
        </w:rPr>
      </w:pPr>
      <w:r>
        <w:rPr>
          <w:rFonts w:ascii="Arial" w:cs="Arial" w:eastAsia="Arial" w:hAnsi="Arial"/>
          <w:sz w:val="13"/>
          <w:szCs w:val="13"/>
          <w:color w:val="auto"/>
        </w:rPr>
        <w:t xml:space="preserve">For example, our Arbor Hills landfill gas facility in Northville, MI has entered into a Consent Decree, which was fully executed and submitted to the United States District Court for the Eastern District of Michigan on September 9, 2021, with the US Department of Justice, the EPA, Michigan Attorney General, Michigan Department of Environment, Great Lakes, and Energy and Michigan Department of Environmental Quality to resolve notices of violation relating to sulfur oxide emissions exceedances, failure to timely perform source testing and improper use of diesel fuel as an alternative to landfill gas for start-up combustion. The Company has agreed to pay total penalties of $750,000 and is required to install pollution control equipment to reduce emissions from the facility. See </w:t>
      </w:r>
      <w:r>
        <w:rPr>
          <w:rFonts w:ascii="Arial" w:cs="Arial" w:eastAsia="Arial" w:hAnsi="Arial"/>
          <w:sz w:val="13"/>
          <w:szCs w:val="13"/>
          <w:i w:val="1"/>
          <w:iCs w:val="1"/>
          <w:color w:val="auto"/>
        </w:rPr>
        <w:t>“Business—Legal Proceedings—Arbor Hills Matter.”</w:t>
      </w:r>
      <w:r>
        <w:rPr>
          <w:rFonts w:ascii="Arial" w:cs="Arial" w:eastAsia="Arial" w:hAnsi="Arial"/>
          <w:sz w:val="13"/>
          <w:szCs w:val="13"/>
          <w:color w:val="auto"/>
        </w:rPr>
        <w:t xml:space="preserve"> In addition, on July 30, 2021, Richmond Energy, a Company subsidiary, entered into a Consent Order with the Virginia Department of Environmental Quality (“</w:t>
      </w:r>
      <w:r>
        <w:rPr>
          <w:rFonts w:ascii="Arial" w:cs="Arial" w:eastAsia="Arial" w:hAnsi="Arial"/>
          <w:sz w:val="13"/>
          <w:szCs w:val="13"/>
          <w:b w:val="1"/>
          <w:bCs w:val="1"/>
          <w:i w:val="1"/>
          <w:iCs w:val="1"/>
          <w:color w:val="auto"/>
        </w:rPr>
        <w:t>VDEQ</w:t>
      </w:r>
      <w:r>
        <w:rPr>
          <w:rFonts w:ascii="Arial" w:cs="Arial" w:eastAsia="Arial" w:hAnsi="Arial"/>
          <w:sz w:val="13"/>
          <w:szCs w:val="13"/>
          <w:color w:val="auto"/>
        </w:rPr>
        <w:t>”)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facility has been shut down since April 3, 2020 while the Richmond Energy modifies the facility’s permit, which will require the installation of a chiller treatment system at an estimated cost of $1.0 million. The facility is expected to be back online within the next six to twelve months.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20" w:name="page21"/>
    <w:bookmarkEnd w:id="20"/>
    <w:p>
      <w:pPr>
        <w:jc w:val="both"/>
        <w:ind w:left="6" w:firstLine="283"/>
        <w:spacing w:after="0" w:line="267" w:lineRule="auto"/>
        <w:rPr>
          <w:sz w:val="20"/>
          <w:szCs w:val="20"/>
          <w:color w:val="auto"/>
        </w:rPr>
      </w:pPr>
      <w:r>
        <w:rPr>
          <w:rFonts w:ascii="Arial" w:cs="Arial" w:eastAsia="Arial" w:hAnsi="Arial"/>
          <w:sz w:val="15"/>
          <w:szCs w:val="15"/>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61" w:lineRule="exact"/>
        <w:rPr>
          <w:sz w:val="20"/>
          <w:szCs w:val="20"/>
          <w:color w:val="auto"/>
        </w:rPr>
      </w:pPr>
    </w:p>
    <w:p>
      <w:pPr>
        <w:jc w:val="both"/>
        <w:ind w:left="6" w:firstLine="283"/>
        <w:spacing w:after="0" w:line="249" w:lineRule="auto"/>
        <w:rPr>
          <w:sz w:val="20"/>
          <w:szCs w:val="20"/>
          <w:color w:val="auto"/>
        </w:rPr>
      </w:pPr>
      <w:r>
        <w:rPr>
          <w:rFonts w:ascii="Arial" w:cs="Arial" w:eastAsia="Arial" w:hAnsi="Arial"/>
          <w:sz w:val="16"/>
          <w:szCs w:val="16"/>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74" w:lineRule="exact"/>
        <w:rPr>
          <w:sz w:val="20"/>
          <w:szCs w:val="20"/>
          <w:color w:val="auto"/>
        </w:rPr>
      </w:pPr>
    </w:p>
    <w:p>
      <w:pPr>
        <w:jc w:val="both"/>
        <w:ind w:left="6" w:right="20" w:firstLine="283"/>
        <w:spacing w:after="0" w:line="304" w:lineRule="auto"/>
        <w:rPr>
          <w:sz w:val="20"/>
          <w:szCs w:val="20"/>
          <w:color w:val="auto"/>
        </w:rPr>
      </w:pPr>
      <w:r>
        <w:rPr>
          <w:rFonts w:ascii="Arial" w:cs="Arial" w:eastAsia="Arial" w:hAnsi="Arial"/>
          <w:sz w:val="13"/>
          <w:szCs w:val="13"/>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w:t>
      </w:r>
    </w:p>
    <w:p>
      <w:pPr>
        <w:spacing w:after="0" w:line="4" w:lineRule="exact"/>
        <w:rPr>
          <w:sz w:val="20"/>
          <w:szCs w:val="20"/>
          <w:color w:val="auto"/>
        </w:rPr>
      </w:pPr>
    </w:p>
    <w:p>
      <w:pPr>
        <w:ind w:left="6" w:right="20" w:hanging="6"/>
        <w:spacing w:after="0" w:line="251" w:lineRule="auto"/>
        <w:tabs>
          <w:tab w:leader="none" w:pos="286"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the special presidential envoy for climate on the National Security Council. At this time, we cannot predict the outcome of any of these executive orders on our operations.</w:t>
      </w:r>
    </w:p>
    <w:p>
      <w:pPr>
        <w:spacing w:after="0" w:line="169" w:lineRule="exact"/>
        <w:rPr>
          <w:sz w:val="20"/>
          <w:szCs w:val="20"/>
          <w:color w:val="auto"/>
        </w:rPr>
      </w:pPr>
    </w:p>
    <w:p>
      <w:pPr>
        <w:jc w:val="both"/>
        <w:ind w:left="6"/>
        <w:spacing w:after="0" w:line="252" w:lineRule="auto"/>
        <w:rPr>
          <w:sz w:val="20"/>
          <w:szCs w:val="20"/>
          <w:color w:val="auto"/>
        </w:rPr>
      </w:pPr>
      <w:r>
        <w:rPr>
          <w:rFonts w:ascii="Arial" w:cs="Arial" w:eastAsia="Arial" w:hAnsi="Arial"/>
          <w:sz w:val="16"/>
          <w:szCs w:val="16"/>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69" w:lineRule="exact"/>
        <w:rPr>
          <w:sz w:val="20"/>
          <w:szCs w:val="20"/>
          <w:color w:val="auto"/>
        </w:rPr>
      </w:pPr>
    </w:p>
    <w:p>
      <w:pPr>
        <w:jc w:val="both"/>
        <w:ind w:left="6" w:firstLine="283"/>
        <w:spacing w:after="0" w:line="306" w:lineRule="auto"/>
        <w:rPr>
          <w:sz w:val="20"/>
          <w:szCs w:val="20"/>
          <w:color w:val="auto"/>
        </w:rPr>
      </w:pPr>
      <w:r>
        <w:rPr>
          <w:rFonts w:ascii="Arial" w:cs="Arial" w:eastAsia="Arial" w:hAnsi="Arial"/>
          <w:sz w:val="13"/>
          <w:szCs w:val="13"/>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w:t>
      </w:r>
    </w:p>
    <w:p>
      <w:pPr>
        <w:spacing w:after="0" w:line="1" w:lineRule="exact"/>
        <w:rPr>
          <w:sz w:val="20"/>
          <w:szCs w:val="20"/>
          <w:color w:val="auto"/>
        </w:rPr>
      </w:pPr>
    </w:p>
    <w:p>
      <w:pPr>
        <w:jc w:val="both"/>
        <w:ind w:left="6" w:hanging="6"/>
        <w:spacing w:after="0" w:line="248"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spacing w:after="0" w:line="36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21" w:name="page22"/>
    <w:bookmarkEnd w:id="21"/>
    <w:p>
      <w:pPr>
        <w:jc w:val="both"/>
        <w:ind w:firstLine="283"/>
        <w:spacing w:after="0" w:line="266" w:lineRule="auto"/>
        <w:rPr>
          <w:sz w:val="20"/>
          <w:szCs w:val="20"/>
          <w:color w:val="auto"/>
        </w:rPr>
      </w:pPr>
      <w:r>
        <w:rPr>
          <w:rFonts w:ascii="Arial" w:cs="Arial" w:eastAsia="Arial" w:hAnsi="Arial"/>
          <w:sz w:val="15"/>
          <w:szCs w:val="15"/>
          <w:color w:val="auto"/>
        </w:rPr>
        <w:t>The U.S. Environmental Protection Agency (“</w:t>
      </w:r>
      <w:r>
        <w:rPr>
          <w:rFonts w:ascii="Arial" w:cs="Arial" w:eastAsia="Arial" w:hAnsi="Arial"/>
          <w:sz w:val="15"/>
          <w:szCs w:val="15"/>
          <w:b w:val="1"/>
          <w:bCs w:val="1"/>
          <w:i w:val="1"/>
          <w:iCs w:val="1"/>
          <w:color w:val="auto"/>
        </w:rPr>
        <w:t>EPA</w:t>
      </w:r>
      <w:r>
        <w:rPr>
          <w:rFonts w:ascii="Arial" w:cs="Arial" w:eastAsia="Arial" w:hAnsi="Arial"/>
          <w:sz w:val="15"/>
          <w:szCs w:val="15"/>
          <w:color w:val="auto"/>
        </w:rPr>
        <w:t>”) annually sets proposed and actual renewable volume obligations (“</w:t>
      </w:r>
      <w:r>
        <w:rPr>
          <w:rFonts w:ascii="Arial" w:cs="Arial" w:eastAsia="Arial" w:hAnsi="Arial"/>
          <w:sz w:val="15"/>
          <w:szCs w:val="15"/>
          <w:b w:val="1"/>
          <w:bCs w:val="1"/>
          <w:i w:val="1"/>
          <w:iCs w:val="1"/>
          <w:color w:val="auto"/>
        </w:rPr>
        <w:t>RVOs</w:t>
      </w:r>
      <w:r>
        <w:rPr>
          <w:rFonts w:ascii="Arial" w:cs="Arial" w:eastAsia="Arial" w:hAnsi="Arial"/>
          <w:sz w:val="15"/>
          <w:szCs w:val="15"/>
          <w:color w:val="auto"/>
        </w:rPr>
        <w:t>”) for the Renewable Identification Numbers (“</w:t>
      </w:r>
      <w:r>
        <w:rPr>
          <w:rFonts w:ascii="Arial" w:cs="Arial" w:eastAsia="Arial" w:hAnsi="Arial"/>
          <w:sz w:val="15"/>
          <w:szCs w:val="15"/>
          <w:b w:val="1"/>
          <w:bCs w:val="1"/>
          <w:i w:val="1"/>
          <w:iCs w:val="1"/>
          <w:color w:val="auto"/>
        </w:rPr>
        <w:t>RIN</w:t>
      </w:r>
      <w:r>
        <w:rPr>
          <w:rFonts w:ascii="Arial" w:cs="Arial" w:eastAsia="Arial" w:hAnsi="Arial"/>
          <w:sz w:val="15"/>
          <w:szCs w:val="15"/>
          <w:color w:val="auto"/>
        </w:rPr>
        <w:t>”) market in accordance with the mandates established by the Energy Independence and Security Act of 2007 (the “</w:t>
      </w:r>
      <w:r>
        <w:rPr>
          <w:rFonts w:ascii="Arial" w:cs="Arial" w:eastAsia="Arial" w:hAnsi="Arial"/>
          <w:sz w:val="15"/>
          <w:szCs w:val="15"/>
          <w:b w:val="1"/>
          <w:bCs w:val="1"/>
          <w:i w:val="1"/>
          <w:iCs w:val="1"/>
          <w:color w:val="auto"/>
        </w:rPr>
        <w:t>EISA</w:t>
      </w:r>
      <w:r>
        <w:rPr>
          <w:rFonts w:ascii="Arial" w:cs="Arial" w:eastAsia="Arial" w:hAnsi="Arial"/>
          <w:sz w:val="15"/>
          <w:szCs w:val="15"/>
          <w:color w:val="auto"/>
        </w:rPr>
        <w:t>”).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w:t>
      </w:r>
      <w:r>
        <w:rPr>
          <w:rFonts w:ascii="Arial" w:cs="Arial" w:eastAsia="Arial" w:hAnsi="Arial"/>
          <w:sz w:val="15"/>
          <w:szCs w:val="15"/>
          <w:b w:val="1"/>
          <w:bCs w:val="1"/>
          <w:i w:val="1"/>
          <w:iCs w:val="1"/>
          <w:color w:val="auto"/>
        </w:rPr>
        <w:t>RFS</w:t>
      </w:r>
      <w:r>
        <w:rPr>
          <w:rFonts w:ascii="Arial" w:cs="Arial" w:eastAsia="Arial" w:hAnsi="Arial"/>
          <w:sz w:val="15"/>
          <w:szCs w:val="15"/>
          <w:color w:val="auto"/>
        </w:rPr>
        <w:t>”)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61" w:lineRule="exact"/>
        <w:rPr>
          <w:sz w:val="20"/>
          <w:szCs w:val="20"/>
          <w:color w:val="auto"/>
        </w:rPr>
      </w:pPr>
    </w:p>
    <w:p>
      <w:pPr>
        <w:jc w:val="both"/>
        <w:ind w:firstLine="283"/>
        <w:spacing w:after="0" w:line="190" w:lineRule="exact"/>
        <w:rPr>
          <w:sz w:val="20"/>
          <w:szCs w:val="20"/>
          <w:color w:val="auto"/>
        </w:rPr>
      </w:pPr>
      <w:r>
        <w:rPr>
          <w:rFonts w:ascii="Arial" w:cs="Arial" w:eastAsia="Arial" w:hAnsi="Arial"/>
          <w:sz w:val="15"/>
          <w:szCs w:val="15"/>
          <w:color w:val="auto"/>
        </w:rPr>
        <w:t>On the state level, the economics of RNG are enhanced by low-carbon fuel initiatives, particularly a well-established Low Carbon Fuel Standard (“</w:t>
      </w:r>
      <w:r>
        <w:rPr>
          <w:rFonts w:ascii="Arial" w:cs="Arial" w:eastAsia="Arial" w:hAnsi="Arial"/>
          <w:sz w:val="15"/>
          <w:szCs w:val="15"/>
          <w:b w:val="1"/>
          <w:bCs w:val="1"/>
          <w:i w:val="1"/>
          <w:iCs w:val="1"/>
          <w:color w:val="auto"/>
        </w:rPr>
        <w:t>LCFS</w:t>
      </w:r>
      <w:r>
        <w:rPr>
          <w:rFonts w:ascii="Arial" w:cs="Arial" w:eastAsia="Arial" w:hAnsi="Arial"/>
          <w:sz w:val="15"/>
          <w:szCs w:val="15"/>
          <w:color w:val="auto"/>
        </w:rPr>
        <w:t>”) program in California and similar developing programs in Oregon and Washington (with several other states also actively considering similar initiatives). In California’s case, in 2009, the California Air Resource Board (“</w:t>
      </w:r>
      <w:r>
        <w:rPr>
          <w:rFonts w:ascii="Arial" w:cs="Arial" w:eastAsia="Arial" w:hAnsi="Arial"/>
          <w:sz w:val="15"/>
          <w:szCs w:val="15"/>
          <w:b w:val="1"/>
          <w:bCs w:val="1"/>
          <w:i w:val="1"/>
          <w:iCs w:val="1"/>
          <w:color w:val="auto"/>
        </w:rPr>
        <w:t>CARB</w:t>
      </w:r>
      <w:r>
        <w:rPr>
          <w:rFonts w:ascii="Arial" w:cs="Arial" w:eastAsia="Arial" w:hAnsi="Arial"/>
          <w:sz w:val="15"/>
          <w:szCs w:val="15"/>
          <w:color w:val="auto"/>
        </w:rPr>
        <w:t>”) adopted LCFS regulations aimed at reducing the Carbon Intensity (“</w:t>
      </w:r>
      <w:r>
        <w:rPr>
          <w:rFonts w:ascii="Arial" w:cs="Arial" w:eastAsia="Arial" w:hAnsi="Arial"/>
          <w:sz w:val="15"/>
          <w:szCs w:val="15"/>
          <w:b w:val="1"/>
          <w:bCs w:val="1"/>
          <w:i w:val="1"/>
          <w:iCs w:val="1"/>
          <w:color w:val="auto"/>
        </w:rPr>
        <w:t>CI</w:t>
      </w:r>
      <w:r>
        <w:rPr>
          <w:rFonts w:ascii="Arial" w:cs="Arial" w:eastAsia="Arial" w:hAnsi="Arial"/>
          <w:sz w:val="15"/>
          <w:szCs w:val="15"/>
          <w:color w:val="auto"/>
        </w:rPr>
        <w:t>”) of transportation fuel sold and purchased in the state. A CI score is calculated as grams of CO</w:t>
      </w:r>
      <w:r>
        <w:rPr>
          <w:rFonts w:ascii="MS PGothic" w:cs="MS PGothic" w:eastAsia="MS PGothic" w:hAnsi="MS PGothic"/>
          <w:sz w:val="15"/>
          <w:szCs w:val="15"/>
          <w:color w:val="auto"/>
        </w:rPr>
        <w:t>₂</w:t>
      </w:r>
      <w:r>
        <w:rPr>
          <w:rFonts w:ascii="Arial" w:cs="Arial" w:eastAsia="Arial" w:hAnsi="Arial"/>
          <w:sz w:val="15"/>
          <w:szCs w:val="15"/>
          <w:color w:val="auto"/>
        </w:rPr>
        <w:t xml:space="preserve"> equivalent per megajoule of energy by the fuel. Under the California and California-type LCFS programs, the CI score is dependent upon a full lifecycle analysis that evaluates the greenhouse gases (“</w:t>
      </w:r>
      <w:r>
        <w:rPr>
          <w:rFonts w:ascii="Arial" w:cs="Arial" w:eastAsia="Arial" w:hAnsi="Arial"/>
          <w:sz w:val="15"/>
          <w:szCs w:val="15"/>
          <w:b w:val="1"/>
          <w:bCs w:val="1"/>
          <w:i w:val="1"/>
          <w:iCs w:val="1"/>
          <w:color w:val="auto"/>
        </w:rPr>
        <w:t>GHG</w:t>
      </w:r>
      <w:r>
        <w:rPr>
          <w:rFonts w:ascii="Arial" w:cs="Arial" w:eastAsia="Arial" w:hAnsi="Arial"/>
          <w:sz w:val="15"/>
          <w:szCs w:val="15"/>
          <w:color w:val="auto"/>
        </w:rPr>
        <w:t>”)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spacing w:after="0" w:line="18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6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64"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22" w:name="page23"/>
    <w:bookmarkEnd w:id="22"/>
    <w:p>
      <w:pPr>
        <w:jc w:val="both"/>
        <w:ind w:firstLine="283"/>
        <w:spacing w:after="0" w:line="266" w:lineRule="auto"/>
        <w:rPr>
          <w:sz w:val="20"/>
          <w:szCs w:val="20"/>
          <w:color w:val="auto"/>
        </w:rPr>
      </w:pPr>
      <w:r>
        <w:rPr>
          <w:rFonts w:ascii="Arial" w:cs="Arial" w:eastAsia="Arial" w:hAnsi="Arial"/>
          <w:sz w:val="15"/>
          <w:szCs w:val="15"/>
          <w:color w:val="auto"/>
        </w:rPr>
        <w:t>All of our current electric generating facilities are qualifying small power production facilities (“</w:t>
      </w:r>
      <w:r>
        <w:rPr>
          <w:rFonts w:ascii="Arial" w:cs="Arial" w:eastAsia="Arial" w:hAnsi="Arial"/>
          <w:sz w:val="15"/>
          <w:szCs w:val="15"/>
          <w:b w:val="1"/>
          <w:bCs w:val="1"/>
          <w:i w:val="1"/>
          <w:iCs w:val="1"/>
          <w:color w:val="auto"/>
        </w:rPr>
        <w:t>QFs</w:t>
      </w:r>
      <w:r>
        <w:rPr>
          <w:rFonts w:ascii="Arial" w:cs="Arial" w:eastAsia="Arial" w:hAnsi="Arial"/>
          <w:sz w:val="15"/>
          <w:szCs w:val="15"/>
          <w:color w:val="auto"/>
        </w:rPr>
        <w:t>”)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w:t>
      </w:r>
      <w:r>
        <w:rPr>
          <w:rFonts w:ascii="Arial" w:cs="Arial" w:eastAsia="Arial" w:hAnsi="Arial"/>
          <w:sz w:val="15"/>
          <w:szCs w:val="15"/>
          <w:b w:val="1"/>
          <w:bCs w:val="1"/>
          <w:i w:val="1"/>
          <w:iCs w:val="1"/>
          <w:color w:val="auto"/>
        </w:rPr>
        <w:t>MBR Authority</w:t>
      </w:r>
      <w:r>
        <w:rPr>
          <w:rFonts w:ascii="Arial" w:cs="Arial" w:eastAsia="Arial" w:hAnsi="Arial"/>
          <w:sz w:val="15"/>
          <w:szCs w:val="15"/>
          <w:color w:val="auto"/>
        </w:rPr>
        <w:t>”) or any other approval from the U.S. Federal Energy Regulatory Commission (“</w:t>
      </w:r>
      <w:r>
        <w:rPr>
          <w:rFonts w:ascii="Arial" w:cs="Arial" w:eastAsia="Arial" w:hAnsi="Arial"/>
          <w:sz w:val="15"/>
          <w:szCs w:val="15"/>
          <w:b w:val="1"/>
          <w:bCs w:val="1"/>
          <w:i w:val="1"/>
          <w:iCs w:val="1"/>
          <w:color w:val="auto"/>
        </w:rPr>
        <w:t>FERC</w:t>
      </w:r>
      <w:r>
        <w:rPr>
          <w:rFonts w:ascii="Arial" w:cs="Arial" w:eastAsia="Arial" w:hAnsi="Arial"/>
          <w:sz w:val="15"/>
          <w:szCs w:val="15"/>
          <w:color w:val="auto"/>
        </w:rPr>
        <w:t>”).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FPA and eliminate QF status, in which case we would likely have to obtain MBR Authority and sell competitively in the market. If this were to happen, in all likelihood our QFs would not be competitive in the market place.</w:t>
      </w:r>
    </w:p>
    <w:p>
      <w:pPr>
        <w:spacing w:after="0" w:line="158" w:lineRule="exact"/>
        <w:rPr>
          <w:sz w:val="20"/>
          <w:szCs w:val="20"/>
          <w:color w:val="auto"/>
        </w:rPr>
      </w:pPr>
    </w:p>
    <w:p>
      <w:pPr>
        <w:jc w:val="both"/>
        <w:ind w:firstLine="283"/>
        <w:spacing w:after="0" w:line="248" w:lineRule="auto"/>
        <w:rPr>
          <w:sz w:val="20"/>
          <w:szCs w:val="20"/>
          <w:color w:val="auto"/>
        </w:rPr>
      </w:pPr>
      <w:r>
        <w:rPr>
          <w:rFonts w:ascii="Arial" w:cs="Arial" w:eastAsia="Arial" w:hAnsi="Arial"/>
          <w:sz w:val="16"/>
          <w:szCs w:val="16"/>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75"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59"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165"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55"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22" w:right="319" w:bottom="1440" w:gutter="0" w:footer="0" w:header="0"/>
        </w:sectPr>
      </w:pPr>
    </w:p>
    <w:bookmarkStart w:id="23" w:name="page24"/>
    <w:bookmarkEnd w:id="23"/>
    <w:p>
      <w:pPr>
        <w:jc w:val="both"/>
        <w:ind w:firstLine="283"/>
        <w:spacing w:after="0" w:line="251" w:lineRule="auto"/>
        <w:rPr>
          <w:sz w:val="20"/>
          <w:szCs w:val="20"/>
          <w:color w:val="auto"/>
        </w:rPr>
      </w:pPr>
      <w:r>
        <w:rPr>
          <w:rFonts w:ascii="Arial" w:cs="Arial" w:eastAsia="Arial" w:hAnsi="Arial"/>
          <w:sz w:val="16"/>
          <w:szCs w:val="16"/>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57"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w:t>
      </w:r>
      <w:r>
        <w:rPr>
          <w:rFonts w:ascii="Arial" w:cs="Arial" w:eastAsia="Arial" w:hAnsi="Arial"/>
          <w:sz w:val="16"/>
          <w:szCs w:val="16"/>
          <w:b w:val="1"/>
          <w:bCs w:val="1"/>
          <w:i w:val="1"/>
          <w:iCs w:val="1"/>
          <w:color w:val="auto"/>
        </w:rPr>
        <w:t>RPS</w:t>
      </w:r>
      <w:r>
        <w:rPr>
          <w:rFonts w:ascii="Arial" w:cs="Arial" w:eastAsia="Arial" w:hAnsi="Arial"/>
          <w:sz w:val="16"/>
          <w:szCs w:val="16"/>
          <w:color w:val="auto"/>
        </w:rPr>
        <w:t>”)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69"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59"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 xml:space="preserve">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Existing, and future changes to, federal, state and local regulations and policies, including</w:t>
      </w:r>
      <w:r>
        <w:rPr>
          <w:rFonts w:ascii="Arial" w:cs="Arial" w:eastAsia="Arial" w:hAnsi="Arial"/>
          <w:sz w:val="15"/>
          <w:szCs w:val="15"/>
          <w:color w:val="auto"/>
        </w:rPr>
        <w:t xml:space="preserve"> </w:t>
      </w:r>
      <w:r>
        <w:rPr>
          <w:rFonts w:ascii="Arial" w:cs="Arial" w:eastAsia="Arial" w:hAnsi="Arial"/>
          <w:sz w:val="15"/>
          <w:szCs w:val="15"/>
          <w:i w:val="1"/>
          <w:iCs w:val="1"/>
          <w:color w:val="auto"/>
        </w:rPr>
        <w:t>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65" w:lineRule="exact"/>
        <w:rPr>
          <w:sz w:val="20"/>
          <w:szCs w:val="20"/>
          <w:color w:val="auto"/>
        </w:rPr>
      </w:pPr>
    </w:p>
    <w:p>
      <w:pPr>
        <w:jc w:val="both"/>
        <w:ind w:firstLine="283"/>
        <w:spacing w:after="0" w:line="312" w:lineRule="auto"/>
        <w:rPr>
          <w:sz w:val="20"/>
          <w:szCs w:val="20"/>
          <w:color w:val="auto"/>
        </w:rPr>
      </w:pPr>
      <w:r>
        <w:rPr>
          <w:rFonts w:ascii="Arial" w:cs="Arial" w:eastAsia="Arial" w:hAnsi="Arial"/>
          <w:sz w:val="13"/>
          <w:szCs w:val="13"/>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35" w:lineRule="exact"/>
        <w:rPr>
          <w:sz w:val="20"/>
          <w:szCs w:val="20"/>
          <w:color w:val="auto"/>
        </w:rPr>
      </w:pPr>
    </w:p>
    <w:p>
      <w:pPr>
        <w:jc w:val="both"/>
        <w:ind w:right="20" w:firstLine="283"/>
        <w:spacing w:after="0" w:line="274" w:lineRule="auto"/>
        <w:rPr>
          <w:sz w:val="20"/>
          <w:szCs w:val="20"/>
          <w:color w:val="auto"/>
        </w:rPr>
      </w:pPr>
      <w:r>
        <w:rPr>
          <w:rFonts w:ascii="Arial" w:cs="Arial" w:eastAsia="Arial" w:hAnsi="Arial"/>
          <w:sz w:val="15"/>
          <w:szCs w:val="15"/>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landfill gas rights agreements. Further, such failures, delays or increased costs could have a material adverse effect on our business, financial condition and results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24" w:name="page25"/>
    <w:bookmarkEnd w:id="24"/>
    <w:p>
      <w:pPr>
        <w:jc w:val="both"/>
        <w:ind w:firstLine="283"/>
        <w:spacing w:after="0" w:line="269" w:lineRule="auto"/>
        <w:rPr>
          <w:sz w:val="20"/>
          <w:szCs w:val="20"/>
          <w:color w:val="auto"/>
        </w:rPr>
      </w:pPr>
      <w:r>
        <w:rPr>
          <w:rFonts w:ascii="Arial" w:cs="Arial" w:eastAsia="Arial" w:hAnsi="Arial"/>
          <w:sz w:val="15"/>
          <w:szCs w:val="15"/>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59"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65"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57"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61"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 xml:space="preserve">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w:t>
      </w:r>
      <w:r>
        <w:rPr>
          <w:rFonts w:ascii="Arial" w:cs="Arial" w:eastAsia="Arial" w:hAnsi="Arial"/>
          <w:sz w:val="13"/>
          <w:szCs w:val="13"/>
          <w:i w:val="1"/>
          <w:iCs w:val="1"/>
          <w:color w:val="auto"/>
        </w:rPr>
        <w:t>“Business—Legal Proceedings</w:t>
      </w:r>
      <w:r>
        <w:rPr>
          <w:rFonts w:ascii="Arial" w:cs="Arial" w:eastAsia="Arial" w:hAnsi="Arial"/>
          <w:sz w:val="13"/>
          <w:szCs w:val="13"/>
          <w:color w:val="auto"/>
        </w:rPr>
        <w: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25" w:name="page26"/>
    <w:bookmarkEnd w:id="25"/>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57" w:lineRule="exact"/>
        <w:rPr>
          <w:sz w:val="20"/>
          <w:szCs w:val="20"/>
          <w:color w:val="auto"/>
        </w:rPr>
      </w:pPr>
    </w:p>
    <w:p>
      <w:pPr>
        <w:jc w:val="both"/>
        <w:ind w:firstLine="283"/>
        <w:spacing w:after="0" w:line="264" w:lineRule="auto"/>
        <w:rPr>
          <w:sz w:val="20"/>
          <w:szCs w:val="20"/>
          <w:color w:val="auto"/>
        </w:rPr>
      </w:pPr>
      <w:r>
        <w:rPr>
          <w:rFonts w:ascii="Arial" w:cs="Arial" w:eastAsia="Arial" w:hAnsi="Arial"/>
          <w:sz w:val="15"/>
          <w:szCs w:val="15"/>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69"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55"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 Risks Related to Our Business</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Arial" w:cs="Arial" w:eastAsia="Arial" w:hAnsi="Arial"/>
          <w:sz w:val="16"/>
          <w:szCs w:val="16"/>
          <w:b w:val="1"/>
          <w:bCs w:val="1"/>
          <w:color w:val="auto"/>
        </w:rPr>
        <w:t>.</w:t>
      </w:r>
    </w:p>
    <w:p>
      <w:pPr>
        <w:spacing w:after="0" w:line="15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The volatility in the price of oil, gasoline, diesel, natural gas, RNG, or Environmental Attribute prices could adversely affect our business.</w:t>
      </w:r>
    </w:p>
    <w:p>
      <w:pPr>
        <w:spacing w:after="0" w:line="193" w:lineRule="exact"/>
        <w:rPr>
          <w:sz w:val="20"/>
          <w:szCs w:val="20"/>
          <w:color w:val="auto"/>
        </w:rPr>
      </w:pPr>
    </w:p>
    <w:p>
      <w:pPr>
        <w:jc w:val="both"/>
        <w:ind w:firstLine="283"/>
        <w:spacing w:after="0" w:line="309" w:lineRule="auto"/>
        <w:rPr>
          <w:sz w:val="20"/>
          <w:szCs w:val="20"/>
          <w:color w:val="auto"/>
        </w:rPr>
      </w:pPr>
      <w:r>
        <w:rPr>
          <w:rFonts w:ascii="Arial" w:cs="Arial" w:eastAsia="Arial" w:hAnsi="Arial"/>
          <w:sz w:val="13"/>
          <w:szCs w:val="13"/>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325"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2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34"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59"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57"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11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5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27" w:name="page28"/>
    <w:bookmarkEnd w:id="27"/>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A prolonged environment of low prices or reduced demand for Renewable Power could have a material adverse effect on our business prospects, financial condition and results of operations</w:t>
      </w:r>
      <w:r>
        <w:rPr>
          <w:rFonts w:ascii="Arial" w:cs="Arial" w:eastAsia="Arial" w:hAnsi="Arial"/>
          <w:sz w:val="16"/>
          <w:szCs w:val="16"/>
          <w:b w:val="1"/>
          <w:bCs w:val="1"/>
          <w:color w:val="auto"/>
        </w:rPr>
        <w:t>.</w:t>
      </w:r>
    </w:p>
    <w:p>
      <w:pPr>
        <w:spacing w:after="0" w:line="15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 development of new fuels or new technologies for the production of power; (vii) federal and state regulations; and (viii) actions of the Independent System Operators (“</w:t>
      </w:r>
      <w:r>
        <w:rPr>
          <w:rFonts w:ascii="Arial" w:cs="Arial" w:eastAsia="Arial" w:hAnsi="Arial"/>
          <w:sz w:val="16"/>
          <w:szCs w:val="16"/>
          <w:b w:val="1"/>
          <w:bCs w:val="1"/>
          <w:i w:val="1"/>
          <w:iCs w:val="1"/>
          <w:color w:val="auto"/>
        </w:rPr>
        <w:t>ISOs</w:t>
      </w:r>
      <w:r>
        <w:rPr>
          <w:rFonts w:ascii="Arial" w:cs="Arial" w:eastAsia="Arial" w:hAnsi="Arial"/>
          <w:sz w:val="16"/>
          <w:szCs w:val="16"/>
          <w:color w:val="auto"/>
        </w:rPr>
        <w:t>”) and Regional Transmission Organizations (“</w:t>
      </w:r>
      <w:r>
        <w:rPr>
          <w:rFonts w:ascii="Arial" w:cs="Arial" w:eastAsia="Arial" w:hAnsi="Arial"/>
          <w:sz w:val="16"/>
          <w:szCs w:val="16"/>
          <w:b w:val="1"/>
          <w:bCs w:val="1"/>
          <w:i w:val="1"/>
          <w:iCs w:val="1"/>
          <w:color w:val="auto"/>
        </w:rPr>
        <w:t>RTOs</w:t>
      </w:r>
      <w:r>
        <w:rPr>
          <w:rFonts w:ascii="Arial" w:cs="Arial" w:eastAsia="Arial" w:hAnsi="Arial"/>
          <w:sz w:val="16"/>
          <w:szCs w:val="16"/>
          <w:color w:val="auto"/>
        </w:rPr>
        <w:t>”) that control and administer regional power markets.</w:t>
      </w:r>
    </w:p>
    <w:p>
      <w:pPr>
        <w:spacing w:after="0" w:line="174"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34"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The volume and composition of landfill gas (“</w:t>
      </w:r>
      <w:r>
        <w:rPr>
          <w:rFonts w:ascii="Arial" w:cs="Arial" w:eastAsia="Arial" w:hAnsi="Arial"/>
          <w:sz w:val="15"/>
          <w:szCs w:val="15"/>
          <w:b w:val="1"/>
          <w:bCs w:val="1"/>
          <w:i w:val="1"/>
          <w:iCs w:val="1"/>
          <w:color w:val="auto"/>
        </w:rPr>
        <w:t>LFG</w:t>
      </w:r>
      <w:r>
        <w:rPr>
          <w:rFonts w:ascii="Arial" w:cs="Arial" w:eastAsia="Arial" w:hAnsi="Arial"/>
          <w:sz w:val="15"/>
          <w:szCs w:val="15"/>
          <w:color w:val="auto"/>
        </w:rPr>
        <w:t>”)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landfill gas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64" w:lineRule="exact"/>
        <w:rPr>
          <w:sz w:val="20"/>
          <w:szCs w:val="20"/>
          <w:color w:val="auto"/>
        </w:rPr>
      </w:pPr>
    </w:p>
    <w:p>
      <w:pPr>
        <w:jc w:val="both"/>
        <w:ind w:firstLine="283"/>
        <w:spacing w:after="0" w:line="383" w:lineRule="auto"/>
        <w:rPr>
          <w:sz w:val="20"/>
          <w:szCs w:val="20"/>
          <w:color w:val="auto"/>
        </w:rPr>
      </w:pPr>
      <w:r>
        <w:rPr>
          <w:rFonts w:ascii="Arial" w:cs="Arial" w:eastAsia="Arial" w:hAnsi="Arial"/>
          <w:sz w:val="13"/>
          <w:szCs w:val="13"/>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88"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It is possible that this deployment of capital may lead to advances which could adversely affect our sources of landfill gas or provide new or alternative methods of waste disposal or energy generation that become more accepted, or more attractive, than landfills.</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57"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Risk Factors Relating to Our Biogas Capture Business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acquire, convert, develop and operate Biogas Conversion Projects, as well as expand production at current Biogas Conversion Projects, is subject to many risks.</w:t>
      </w:r>
    </w:p>
    <w:p>
      <w:pPr>
        <w:spacing w:after="0" w:line="227"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Our business strategy includes (i) the conversion of LFG projects from Renewable Power to RNG production where we already controls biogas gas rights, (ii) growth through the procurement of landfill gas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59"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71"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Our ability to acquire, convert, develop and operate Biogas Conversion Projects, as well as expand production at current Biogas Conversion Projects, is subject to several additional risks, including:</w:t>
      </w:r>
    </w:p>
    <w:p>
      <w:pPr>
        <w:spacing w:after="0" w:line="157" w:lineRule="exact"/>
        <w:rPr>
          <w:sz w:val="20"/>
          <w:szCs w:val="20"/>
          <w:color w:val="auto"/>
        </w:rPr>
      </w:pPr>
    </w:p>
    <w:p>
      <w:pPr>
        <w:ind w:left="560" w:right="20" w:hanging="283"/>
        <w:spacing w:after="0" w:line="266"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energy commodity prices, such as natural gas and wholesale electricity prices, which could have a significant effect on our revenues and expenses;</w:t>
      </w:r>
    </w:p>
    <w:p>
      <w:pPr>
        <w:spacing w:after="0" w:line="204" w:lineRule="exact"/>
        <w:rPr>
          <w:rFonts w:ascii="Arial" w:cs="Arial" w:eastAsia="Arial" w:hAnsi="Arial"/>
          <w:sz w:val="15"/>
          <w:szCs w:val="15"/>
          <w:color w:val="auto"/>
        </w:rPr>
      </w:pPr>
    </w:p>
    <w:p>
      <w:pPr>
        <w:ind w:left="560" w:right="20" w:hanging="283"/>
        <w:spacing w:after="0" w:line="266"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57"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57"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57" w:lineRule="exact"/>
        <w:rPr>
          <w:rFonts w:ascii="Arial" w:cs="Arial" w:eastAsia="Arial" w:hAnsi="Arial"/>
          <w:sz w:val="16"/>
          <w:szCs w:val="16"/>
          <w:color w:val="auto"/>
        </w:rPr>
      </w:pPr>
    </w:p>
    <w:p>
      <w:pPr>
        <w:jc w:val="both"/>
        <w:ind w:left="560" w:right="20" w:hanging="283"/>
        <w:spacing w:after="0" w:line="256"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165" w:lineRule="exact"/>
        <w:rPr>
          <w:rFonts w:ascii="Arial" w:cs="Arial" w:eastAsia="Arial" w:hAnsi="Arial"/>
          <w:sz w:val="16"/>
          <w:szCs w:val="16"/>
          <w:color w:val="auto"/>
        </w:rPr>
      </w:pPr>
    </w:p>
    <w:p>
      <w:pPr>
        <w:ind w:left="560" w:hanging="283"/>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accidents involving personal injury or the loss of life;</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entering into markets where we have less experience, such as our Biogas Conversion Projects for biogas recovery at livestock farms;</w:t>
      </w:r>
    </w:p>
    <w:p>
      <w:pPr>
        <w:spacing w:after="0" w:line="192" w:lineRule="exact"/>
        <w:rPr>
          <w:rFonts w:ascii="Arial" w:cs="Arial" w:eastAsia="Arial" w:hAnsi="Arial"/>
          <w:sz w:val="16"/>
          <w:szCs w:val="16"/>
          <w:color w:val="auto"/>
        </w:rPr>
      </w:pPr>
    </w:p>
    <w:p>
      <w:pPr>
        <w:ind w:left="560" w:right="20" w:hanging="283"/>
        <w:spacing w:after="0" w:line="300" w:lineRule="auto"/>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34" w:lineRule="exact"/>
        <w:rPr>
          <w:rFonts w:ascii="Arial" w:cs="Arial" w:eastAsia="Arial" w:hAnsi="Arial"/>
          <w:sz w:val="15"/>
          <w:szCs w:val="15"/>
          <w:color w:val="auto"/>
        </w:rPr>
      </w:pPr>
    </w:p>
    <w:p>
      <w:pPr>
        <w:ind w:left="560" w:hanging="283"/>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failures or delays in obtaining desired or necessary land rights, including ownership, leases, easements, zoning rights and building permits;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29" w:name="page30"/>
    <w:bookmarkEnd w:id="29"/>
    <w:p>
      <w:pPr>
        <w:ind w:left="560" w:right="20" w:hanging="283"/>
        <w:spacing w:after="0" w:line="266"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obtaining and keeping in good standing permits, authorizations and consents from local city, county, state and US federal government agencies and organizations;</w:t>
      </w:r>
    </w:p>
    <w:p>
      <w:pPr>
        <w:spacing w:after="0" w:line="227" w:lineRule="exact"/>
        <w:rPr>
          <w:rFonts w:ascii="Arial" w:cs="Arial" w:eastAsia="Arial" w:hAnsi="Arial"/>
          <w:sz w:val="13"/>
          <w:szCs w:val="13"/>
          <w:color w:val="auto"/>
        </w:rPr>
      </w:pPr>
    </w:p>
    <w:p>
      <w:pPr>
        <w:ind w:left="560" w:hanging="283"/>
        <w:spacing w:after="0" w:line="266"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penalties, including potential termination, under short-term and long-term contracts for failing to produce or deliver a sufficient quantity and acceptable quality of RNG in accordance with our contractual obligations;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unknown regulatory changes related to the transportation of RNG, which may increase the transportation cost for delivering under our contracts then in effect;</w:t>
      </w:r>
    </w:p>
    <w:p>
      <w:pPr>
        <w:spacing w:after="0" w:line="204" w:lineRule="exact"/>
        <w:rPr>
          <w:rFonts w:ascii="Arial" w:cs="Arial" w:eastAsia="Arial" w:hAnsi="Arial"/>
          <w:sz w:val="15"/>
          <w:szCs w:val="15"/>
          <w:color w:val="auto"/>
        </w:rPr>
      </w:pPr>
    </w:p>
    <w:p>
      <w:pPr>
        <w:ind w:left="560" w:right="20" w:hanging="283"/>
        <w:spacing w:after="0" w:line="266"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consent and authorization of local utilities or other energy development off-takers to ensure successful interconnection to energy grids to enable power and gas sales; and</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in identifying, obtaining and permitting suitable sites for new Biogas Conversion Projects.</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57" w:lineRule="exact"/>
        <w:rPr>
          <w:sz w:val="20"/>
          <w:szCs w:val="20"/>
          <w:color w:val="auto"/>
        </w:rPr>
      </w:pPr>
    </w:p>
    <w:p>
      <w:pPr>
        <w:jc w:val="both"/>
        <w:ind w:right="20" w:firstLine="283"/>
        <w:spacing w:after="0" w:line="268" w:lineRule="auto"/>
        <w:rPr>
          <w:sz w:val="20"/>
          <w:szCs w:val="20"/>
          <w:color w:val="auto"/>
        </w:rPr>
      </w:pPr>
      <w:r>
        <w:rPr>
          <w:rFonts w:ascii="Arial" w:cs="Arial" w:eastAsia="Arial" w:hAnsi="Arial"/>
          <w:sz w:val="15"/>
          <w:szCs w:val="15"/>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Additional risks related to acquiring existing projects, include:</w:t>
      </w:r>
    </w:p>
    <w:p>
      <w:pPr>
        <w:spacing w:after="0" w:line="193" w:lineRule="exact"/>
        <w:rPr>
          <w:sz w:val="20"/>
          <w:szCs w:val="20"/>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purchase price we pay could significantly deplete our cash reserves or result in dilution to our existing stockholders;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acquired companies or assets may not improve our customer offerings or market position as planned;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have difficulty integrating the operations and personnel of the acquired companies;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key personnel and counterparties of the acquired companies may terminate their relationships with the acquired companies as a result of or following the acquisition;</w:t>
      </w:r>
    </w:p>
    <w:p>
      <w:pPr>
        <w:spacing w:after="0" w:line="227" w:lineRule="exact"/>
        <w:rPr>
          <w:rFonts w:ascii="Arial" w:cs="Arial" w:eastAsia="Arial" w:hAnsi="Arial"/>
          <w:sz w:val="13"/>
          <w:szCs w:val="13"/>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experience additional financial and accounting challenges and complexities in certain areas, such as tax planning and financial reporting;</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incur additional costs and expenses related to complying with additional laws, rules or regulations in new jurisdictions;</w:t>
      </w:r>
    </w:p>
    <w:p>
      <w:pPr>
        <w:spacing w:after="0" w:line="192"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57"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ongoing business and management’s attention may be disrupted or diverted by transition or integration issues and the complexity of managing geographically diverse enterprises;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incur one-time write-offs or restructuring charges in connection with an acquisition;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30" w:name="page31"/>
    <w:bookmarkEnd w:id="30"/>
    <w:p>
      <w:pPr>
        <w:ind w:left="560" w:hanging="283"/>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acquire goodwill and other intangible assets that are subject to amortization or impairment tests, which could result in future charges to earnings; and</w:t>
      </w:r>
    </w:p>
    <w:p>
      <w:pPr>
        <w:spacing w:after="0" w:line="204" w:lineRule="exact"/>
        <w:rPr>
          <w:rFonts w:ascii="Arial" w:cs="Arial" w:eastAsia="Arial" w:hAnsi="Arial"/>
          <w:sz w:val="15"/>
          <w:szCs w:val="15"/>
          <w:color w:val="auto"/>
        </w:rPr>
      </w:pPr>
    </w:p>
    <w:p>
      <w:pPr>
        <w:ind w:left="560" w:hanging="283"/>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not be able to realize the cost savings or other financial benefits we anticipated.</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65"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61"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5"/>
          <w:szCs w:val="15"/>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48"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22"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Construction, development and operation of our Biogas Conversion Projects involves significant risks and hazards.</w:t>
      </w:r>
    </w:p>
    <w:p>
      <w:pPr>
        <w:spacing w:after="0" w:line="193" w:lineRule="exact"/>
        <w:rPr>
          <w:sz w:val="20"/>
          <w:szCs w:val="20"/>
          <w:color w:val="auto"/>
        </w:rPr>
      </w:pPr>
    </w:p>
    <w:p>
      <w:pPr>
        <w:jc w:val="both"/>
        <w:ind w:right="20" w:firstLine="283"/>
        <w:spacing w:after="0" w:line="249" w:lineRule="auto"/>
        <w:rPr>
          <w:sz w:val="20"/>
          <w:szCs w:val="20"/>
          <w:color w:val="auto"/>
        </w:rPr>
      </w:pPr>
      <w:r>
        <w:rPr>
          <w:rFonts w:ascii="Arial" w:cs="Arial" w:eastAsia="Arial" w:hAnsi="Arial"/>
          <w:sz w:val="16"/>
          <w:szCs w:val="16"/>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31" w:name="page32"/>
    <w:bookmarkEnd w:id="31"/>
    <w:p>
      <w:pPr>
        <w:jc w:val="both"/>
        <w:ind w:firstLine="283"/>
        <w:spacing w:after="0" w:line="316" w:lineRule="auto"/>
        <w:rPr>
          <w:sz w:val="20"/>
          <w:szCs w:val="20"/>
          <w:color w:val="auto"/>
        </w:rPr>
      </w:pPr>
      <w:r>
        <w:rPr>
          <w:rFonts w:ascii="Arial" w:cs="Arial" w:eastAsia="Arial" w:hAnsi="Arial"/>
          <w:sz w:val="13"/>
          <w:szCs w:val="13"/>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30"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28" w:lineRule="exact"/>
        <w:rPr>
          <w:sz w:val="20"/>
          <w:szCs w:val="20"/>
          <w:color w:val="auto"/>
        </w:rPr>
      </w:pPr>
    </w:p>
    <w:p>
      <w:pPr>
        <w:jc w:val="both"/>
        <w:ind w:firstLine="283"/>
        <w:spacing w:after="0" w:line="314" w:lineRule="auto"/>
        <w:rPr>
          <w:sz w:val="20"/>
          <w:szCs w:val="20"/>
          <w:color w:val="auto"/>
        </w:rPr>
      </w:pPr>
      <w:r>
        <w:rPr>
          <w:rFonts w:ascii="Arial" w:cs="Arial" w:eastAsia="Arial" w:hAnsi="Arial"/>
          <w:sz w:val="13"/>
          <w:szCs w:val="13"/>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65"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65" w:lineRule="exact"/>
        <w:rPr>
          <w:sz w:val="20"/>
          <w:szCs w:val="20"/>
          <w:color w:val="auto"/>
        </w:rPr>
      </w:pPr>
    </w:p>
    <w:p>
      <w:pPr>
        <w:jc w:val="both"/>
        <w:ind w:right="20" w:firstLine="283"/>
        <w:spacing w:after="0" w:line="329" w:lineRule="auto"/>
        <w:rPr>
          <w:sz w:val="20"/>
          <w:szCs w:val="20"/>
          <w:color w:val="auto"/>
        </w:rPr>
      </w:pPr>
      <w:r>
        <w:rPr>
          <w:rFonts w:ascii="Arial" w:cs="Arial" w:eastAsia="Arial" w:hAnsi="Arial"/>
          <w:sz w:val="13"/>
          <w:szCs w:val="13"/>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22"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32" w:name="page33"/>
    <w:bookmarkEnd w:id="32"/>
    <w:p>
      <w:pPr>
        <w:jc w:val="both"/>
        <w:ind w:firstLine="283"/>
        <w:spacing w:after="0" w:line="249" w:lineRule="auto"/>
        <w:rPr>
          <w:sz w:val="20"/>
          <w:szCs w:val="20"/>
          <w:color w:val="auto"/>
        </w:rPr>
      </w:pPr>
      <w:r>
        <w:rPr>
          <w:rFonts w:ascii="Arial" w:cs="Arial" w:eastAsia="Arial" w:hAnsi="Arial"/>
          <w:sz w:val="16"/>
          <w:szCs w:val="16"/>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74" w:lineRule="exact"/>
        <w:rPr>
          <w:sz w:val="20"/>
          <w:szCs w:val="20"/>
          <w:color w:val="auto"/>
        </w:rPr>
      </w:pPr>
    </w:p>
    <w:p>
      <w:pPr>
        <w:jc w:val="both"/>
        <w:ind w:firstLine="283"/>
        <w:spacing w:after="0" w:line="310" w:lineRule="auto"/>
        <w:rPr>
          <w:sz w:val="20"/>
          <w:szCs w:val="20"/>
          <w:color w:val="auto"/>
        </w:rPr>
      </w:pPr>
      <w:r>
        <w:rPr>
          <w:rFonts w:ascii="Arial" w:cs="Arial" w:eastAsia="Arial" w:hAnsi="Arial"/>
          <w:sz w:val="13"/>
          <w:szCs w:val="13"/>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Arial" w:cs="Arial" w:eastAsia="Arial" w:hAnsi="Arial"/>
          <w:sz w:val="13"/>
          <w:szCs w:val="13"/>
          <w:b w:val="1"/>
          <w:bCs w:val="1"/>
          <w:i w:val="1"/>
          <w:iCs w:val="1"/>
          <w:color w:val="auto"/>
        </w:rPr>
        <w:t>Shortfall Amount</w:t>
      </w:r>
      <w:r>
        <w:rPr>
          <w:rFonts w:ascii="Arial" w:cs="Arial" w:eastAsia="Arial" w:hAnsi="Arial"/>
          <w:sz w:val="13"/>
          <w:szCs w:val="13"/>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32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65"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6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57"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33" w:name="page34"/>
    <w:bookmarkEnd w:id="33"/>
    <w:p>
      <w:pPr>
        <w:jc w:val="both"/>
        <w:ind w:left="6" w:right="20"/>
        <w:spacing w:after="0" w:line="266" w:lineRule="auto"/>
        <w:rPr>
          <w:sz w:val="20"/>
          <w:szCs w:val="20"/>
          <w:color w:val="auto"/>
        </w:rPr>
      </w:pPr>
      <w:r>
        <w:rPr>
          <w:rFonts w:ascii="Arial" w:cs="Arial" w:eastAsia="Arial" w:hAnsi="Arial"/>
          <w:sz w:val="16"/>
          <w:szCs w:val="16"/>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57" w:lineRule="exact"/>
        <w:rPr>
          <w:sz w:val="20"/>
          <w:szCs w:val="20"/>
          <w:color w:val="auto"/>
        </w:rPr>
      </w:pPr>
    </w:p>
    <w:p>
      <w:pPr>
        <w:jc w:val="both"/>
        <w:ind w:left="6" w:firstLine="283"/>
        <w:spacing w:after="0" w:line="316" w:lineRule="auto"/>
        <w:rPr>
          <w:sz w:val="20"/>
          <w:szCs w:val="20"/>
          <w:color w:val="auto"/>
        </w:rPr>
      </w:pPr>
      <w:r>
        <w:rPr>
          <w:rFonts w:ascii="Arial" w:cs="Arial" w:eastAsia="Arial" w:hAnsi="Arial"/>
          <w:sz w:val="13"/>
          <w:szCs w:val="13"/>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30" w:lineRule="exact"/>
        <w:rPr>
          <w:sz w:val="20"/>
          <w:szCs w:val="20"/>
          <w:color w:val="auto"/>
        </w:rPr>
      </w:pPr>
    </w:p>
    <w:p>
      <w:pPr>
        <w:jc w:val="both"/>
        <w:ind w:left="6" w:right="20"/>
        <w:spacing w:after="0" w:line="266" w:lineRule="auto"/>
        <w:rPr>
          <w:sz w:val="20"/>
          <w:szCs w:val="20"/>
          <w:color w:val="auto"/>
        </w:rPr>
      </w:pPr>
      <w:r>
        <w:rPr>
          <w:rFonts w:ascii="Arial" w:cs="Arial" w:eastAsia="Arial" w:hAnsi="Arial"/>
          <w:sz w:val="16"/>
          <w:szCs w:val="16"/>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57" w:lineRule="exact"/>
        <w:rPr>
          <w:sz w:val="20"/>
          <w:szCs w:val="20"/>
          <w:color w:val="auto"/>
        </w:rPr>
      </w:pPr>
    </w:p>
    <w:p>
      <w:pPr>
        <w:jc w:val="both"/>
        <w:ind w:left="6" w:firstLine="283"/>
        <w:spacing w:after="0" w:line="306" w:lineRule="auto"/>
        <w:rPr>
          <w:sz w:val="20"/>
          <w:szCs w:val="20"/>
          <w:color w:val="auto"/>
        </w:rPr>
      </w:pPr>
      <w:r>
        <w:rPr>
          <w:rFonts w:ascii="Arial" w:cs="Arial" w:eastAsia="Arial" w:hAnsi="Arial"/>
          <w:sz w:val="13"/>
          <w:szCs w:val="13"/>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w:t>
      </w:r>
    </w:p>
    <w:p>
      <w:pPr>
        <w:spacing w:after="0" w:line="1" w:lineRule="exact"/>
        <w:rPr>
          <w:sz w:val="20"/>
          <w:szCs w:val="20"/>
          <w:color w:val="auto"/>
        </w:rPr>
      </w:pPr>
    </w:p>
    <w:p>
      <w:pPr>
        <w:jc w:val="both"/>
        <w:ind w:left="6" w:hanging="6"/>
        <w:spacing w:after="0" w:line="247" w:lineRule="auto"/>
        <w:tabs>
          <w:tab w:leader="none" w:pos="274" w:val="left"/>
        </w:tabs>
        <w:numPr>
          <w:ilvl w:val="0"/>
          <w:numId w:val="21"/>
        </w:numPr>
        <w:rPr>
          <w:rFonts w:ascii="Arial" w:cs="Arial" w:eastAsia="Arial" w:hAnsi="Arial"/>
          <w:sz w:val="16"/>
          <w:szCs w:val="16"/>
          <w:color w:val="auto"/>
        </w:rPr>
      </w:pPr>
      <w:r>
        <w:rPr>
          <w:rFonts w:ascii="Arial" w:cs="Arial" w:eastAsia="Arial" w:hAnsi="Arial"/>
          <w:sz w:val="16"/>
          <w:szCs w:val="16"/>
          <w:color w:val="auto"/>
        </w:rPr>
        <w:t>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73" w:lineRule="exact"/>
        <w:rPr>
          <w:sz w:val="20"/>
          <w:szCs w:val="20"/>
          <w:color w:val="auto"/>
        </w:rPr>
      </w:pPr>
    </w:p>
    <w:p>
      <w:pPr>
        <w:jc w:val="both"/>
        <w:ind w:left="6" w:firstLine="283"/>
        <w:spacing w:after="0" w:line="318" w:lineRule="auto"/>
        <w:rPr>
          <w:sz w:val="20"/>
          <w:szCs w:val="20"/>
          <w:color w:val="auto"/>
        </w:rPr>
      </w:pPr>
      <w:r>
        <w:rPr>
          <w:rFonts w:ascii="Arial" w:cs="Arial" w:eastAsia="Arial" w:hAnsi="Arial"/>
          <w:sz w:val="13"/>
          <w:szCs w:val="13"/>
          <w:color w:val="auto"/>
        </w:rPr>
        <w:t>In addition, in order to maximize collection of landfill gas, we may need to take various measures, such as drilling additional gas wells in the landfill sites to increase landfill gas collection, balancing the pressure on the gas field based on the data collected by the landfill site operator from the gas wells to ensure optimum landfill gas utilization and ensuring that we match availability of engines and related equipment to availability of landfill gas. There can be no guarantee that we will be able to take all necessary measures to maximize collection. In addition, the landfill gas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31" w:lineRule="exact"/>
        <w:rPr>
          <w:sz w:val="20"/>
          <w:szCs w:val="20"/>
          <w:color w:val="auto"/>
        </w:rPr>
      </w:pPr>
    </w:p>
    <w:p>
      <w:pPr>
        <w:jc w:val="both"/>
        <w:ind w:left="6" w:firstLine="283"/>
        <w:spacing w:after="0" w:line="249" w:lineRule="auto"/>
        <w:rPr>
          <w:sz w:val="20"/>
          <w:szCs w:val="20"/>
          <w:color w:val="auto"/>
        </w:rPr>
      </w:pPr>
      <w:r>
        <w:rPr>
          <w:rFonts w:ascii="Arial" w:cs="Arial" w:eastAsia="Arial" w:hAnsi="Arial"/>
          <w:sz w:val="16"/>
          <w:szCs w:val="16"/>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36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34" w:name="page35"/>
    <w:bookmarkEnd w:id="34"/>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65"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31"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 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forward projections are based on uncertain operations in the future.</w:t>
      </w:r>
    </w:p>
    <w:p>
      <w:pPr>
        <w:spacing w:after="0" w:line="169"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5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59"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Risk Factors Relating to Our Dispensing Business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5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35" w:name="page36"/>
    <w:bookmarkEnd w:id="35"/>
    <w:p>
      <w:pPr>
        <w:jc w:val="both"/>
        <w:ind w:firstLine="283"/>
        <w:spacing w:after="0" w:line="249" w:lineRule="auto"/>
        <w:rPr>
          <w:sz w:val="20"/>
          <w:szCs w:val="20"/>
          <w:color w:val="auto"/>
        </w:rPr>
      </w:pPr>
      <w:r>
        <w:rPr>
          <w:rFonts w:ascii="Arial" w:cs="Arial" w:eastAsia="Arial" w:hAnsi="Arial"/>
          <w:sz w:val="16"/>
          <w:szCs w:val="16"/>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171"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34"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Also, other important fleet markets, including airports and public transit, had slower than expected volume and customer growth in 2018, 2019 and 2020, which was largely reversed in 2021, but may continue into 2022 and beyond.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Additional factors that may influence the adoption of natural gas vehicle fuels, many of which are beyond our control, include, among others:</w:t>
      </w:r>
    </w:p>
    <w:p>
      <w:pPr>
        <w:spacing w:after="0" w:line="193" w:lineRule="exact"/>
        <w:rPr>
          <w:sz w:val="20"/>
          <w:szCs w:val="20"/>
          <w:color w:val="auto"/>
        </w:rPr>
      </w:pPr>
    </w:p>
    <w:p>
      <w:pPr>
        <w:ind w:left="560" w:hanging="283"/>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Lack of demand for trucks that use natural gas vehicle fuels due to business disruptions and depressed oil prices;</w:t>
      </w:r>
    </w:p>
    <w:p>
      <w:pPr>
        <w:spacing w:after="0" w:line="192" w:lineRule="exact"/>
        <w:rPr>
          <w:rFonts w:ascii="Arial" w:cs="Arial" w:eastAsia="Arial" w:hAnsi="Arial"/>
          <w:sz w:val="16"/>
          <w:szCs w:val="16"/>
          <w:color w:val="auto"/>
        </w:rPr>
      </w:pPr>
    </w:p>
    <w:p>
      <w:pPr>
        <w:jc w:val="both"/>
        <w:ind w:left="560" w:hanging="283"/>
        <w:spacing w:after="0" w:line="256"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165"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57"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volatility in the supply, demand, use and prices of crude oil, gasoline, diesel, RNG, natural gas and other vehicle fuels, such as electricity, hydrogen, renewable diesel, biodiesel and ethanol;</w:t>
      </w:r>
    </w:p>
    <w:p>
      <w:pPr>
        <w:spacing w:after="0" w:line="157" w:lineRule="exact"/>
        <w:rPr>
          <w:rFonts w:ascii="Arial" w:cs="Arial" w:eastAsia="Arial" w:hAnsi="Arial"/>
          <w:sz w:val="16"/>
          <w:szCs w:val="16"/>
          <w:color w:val="auto"/>
        </w:rPr>
      </w:pPr>
    </w:p>
    <w:p>
      <w:pPr>
        <w:jc w:val="both"/>
        <w:ind w:left="560" w:hanging="283"/>
        <w:spacing w:after="0" w:line="256"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65"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57"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57"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57" w:lineRule="exact"/>
        <w:rPr>
          <w:rFonts w:ascii="Arial" w:cs="Arial" w:eastAsia="Arial" w:hAnsi="Arial"/>
          <w:sz w:val="16"/>
          <w:szCs w:val="16"/>
          <w:color w:val="auto"/>
        </w:rPr>
      </w:pPr>
    </w:p>
    <w:p>
      <w:pPr>
        <w:ind w:left="560" w:right="20" w:hanging="283"/>
        <w:spacing w:after="0" w:line="383" w:lineRule="auto"/>
        <w:tabs>
          <w:tab w:leader="none" w:pos="5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88" w:lineRule="exact"/>
        <w:rPr>
          <w:rFonts w:ascii="Arial" w:cs="Arial" w:eastAsia="Arial" w:hAnsi="Arial"/>
          <w:sz w:val="13"/>
          <w:szCs w:val="13"/>
          <w:color w:val="auto"/>
        </w:rPr>
      </w:pPr>
    </w:p>
    <w:p>
      <w:pPr>
        <w:ind w:left="560" w:hanging="283"/>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Emissions and other environmental regulations and pressures on producing, transporting, and dispensing our fuels.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36" w:name="page37"/>
    <w:bookmarkEnd w:id="36"/>
    <w:p>
      <w:pPr>
        <w:jc w:val="both"/>
        <w:ind w:left="6" w:firstLine="283"/>
        <w:spacing w:after="0" w:line="308" w:lineRule="auto"/>
        <w:rPr>
          <w:sz w:val="20"/>
          <w:szCs w:val="20"/>
          <w:color w:val="auto"/>
        </w:rPr>
      </w:pPr>
      <w:r>
        <w:rPr>
          <w:rFonts w:ascii="Arial" w:cs="Arial" w:eastAsia="Arial" w:hAnsi="Arial"/>
          <w:sz w:val="13"/>
          <w:szCs w:val="13"/>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w:t>
      </w:r>
    </w:p>
    <w:p>
      <w:pPr>
        <w:spacing w:after="0" w:line="1" w:lineRule="exact"/>
        <w:rPr>
          <w:sz w:val="20"/>
          <w:szCs w:val="20"/>
          <w:color w:val="auto"/>
        </w:rPr>
      </w:pPr>
    </w:p>
    <w:p>
      <w:pPr>
        <w:jc w:val="both"/>
        <w:ind w:left="6" w:hanging="6"/>
        <w:spacing w:after="0" w:line="264" w:lineRule="auto"/>
        <w:tabs>
          <w:tab w:leader="none" w:pos="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165" w:lineRule="exact"/>
        <w:rPr>
          <w:sz w:val="20"/>
          <w:szCs w:val="20"/>
          <w:color w:val="auto"/>
        </w:rPr>
      </w:pPr>
    </w:p>
    <w:p>
      <w:pPr>
        <w:jc w:val="both"/>
        <w:ind w:left="6" w:right="20"/>
        <w:spacing w:after="0" w:line="266" w:lineRule="auto"/>
        <w:rPr>
          <w:sz w:val="20"/>
          <w:szCs w:val="20"/>
          <w:color w:val="auto"/>
        </w:rPr>
      </w:pPr>
      <w:r>
        <w:rPr>
          <w:rFonts w:ascii="Arial" w:cs="Arial" w:eastAsia="Arial" w:hAnsi="Arial"/>
          <w:sz w:val="16"/>
          <w:szCs w:val="16"/>
          <w:b w:val="1"/>
          <w:bCs w:val="1"/>
          <w:i w:val="1"/>
          <w:iCs w:val="1"/>
          <w:color w:val="auto"/>
        </w:rPr>
        <w:t>Acquisition, financing, construction, and development of Fueling Station projects by us or our partners that own projects may not commence on anticipated timelines or at all.</w:t>
      </w:r>
    </w:p>
    <w:p>
      <w:pPr>
        <w:spacing w:after="0" w:line="157"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69"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acquisition, financing, construction and development of projects involves numerous risks, including:</w:t>
      </w:r>
    </w:p>
    <w:p>
      <w:pPr>
        <w:spacing w:after="0" w:line="193" w:lineRule="exact"/>
        <w:rPr>
          <w:sz w:val="20"/>
          <w:szCs w:val="20"/>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difficulties in identifying, obtaining, and permitting suitable sites for new projects;</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to obtain all necessary rights to land access and use;</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inaccuracy of assumptions with respect to the cost and schedule for completing construction;</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inaccuracy of assumptions with respect to the biogas potential, including quality, volume, and asset life;</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ability to obtain financing for a project on acceptable terms or at all;</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in deliveries or increases in the price of equipment or other materials;</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permitting and other regulatory issues, license revocation and changes in legal requirements;</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increases in the cost of labor, labor disputes and work stoppages or the inability to find an adequate supply of workers;</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to receive quality and timely performance of third-party services;</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unforeseen engineering and environmental problems;</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 overruns or supply chain disruptions;</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accidents involving personal injury or the loss of life</w:t>
      </w:r>
    </w:p>
    <w:p>
      <w:pPr>
        <w:spacing w:after="0" w:line="192" w:lineRule="exact"/>
        <w:rPr>
          <w:rFonts w:ascii="Arial" w:cs="Arial" w:eastAsia="Arial" w:hAnsi="Arial"/>
          <w:sz w:val="16"/>
          <w:szCs w:val="16"/>
          <w:color w:val="auto"/>
        </w:rPr>
      </w:pPr>
    </w:p>
    <w:p>
      <w:pPr>
        <w:ind w:left="566" w:right="20" w:hanging="283"/>
        <w:spacing w:after="0" w:line="266" w:lineRule="auto"/>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weather conditions, health crises, pandemics, catastrophic events, including fires, explosions, earthquakes, droughts and acts of terrorism, and other force majeure events; and</w:t>
      </w:r>
    </w:p>
    <w:p>
      <w:pPr>
        <w:spacing w:after="0" w:line="157" w:lineRule="exact"/>
        <w:rPr>
          <w:rFonts w:ascii="Arial" w:cs="Arial" w:eastAsia="Arial" w:hAnsi="Arial"/>
          <w:sz w:val="16"/>
          <w:szCs w:val="16"/>
          <w:color w:val="auto"/>
        </w:rPr>
      </w:pPr>
    </w:p>
    <w:p>
      <w:pPr>
        <w:ind w:left="566" w:hanging="283"/>
        <w:spacing w:after="0"/>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interconnection and access to utilities.</w:t>
      </w:r>
    </w:p>
    <w:p>
      <w:pPr>
        <w:spacing w:after="0" w:line="193" w:lineRule="exact"/>
        <w:rPr>
          <w:sz w:val="20"/>
          <w:szCs w:val="20"/>
          <w:color w:val="auto"/>
        </w:rPr>
      </w:pPr>
    </w:p>
    <w:p>
      <w:pPr>
        <w:ind w:left="6" w:firstLine="283"/>
        <w:spacing w:after="0" w:line="266" w:lineRule="auto"/>
        <w:rPr>
          <w:sz w:val="20"/>
          <w:szCs w:val="20"/>
          <w:color w:val="auto"/>
        </w:rPr>
      </w:pPr>
      <w:r>
        <w:rPr>
          <w:rFonts w:ascii="Arial" w:cs="Arial" w:eastAsia="Arial" w:hAnsi="Arial"/>
          <w:sz w:val="16"/>
          <w:szCs w:val="16"/>
          <w:color w:val="auto"/>
        </w:rPr>
        <w:t>In addition, new projects have no operating history. A new project may be unable to fund principal and interest payments under its debt service obligations or may operate at a loss.</w:t>
      </w:r>
    </w:p>
    <w:p>
      <w:pPr>
        <w:spacing w:after="0" w:line="34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37" w:name="page38"/>
    <w:bookmarkEnd w:id="37"/>
    <w:p>
      <w:pPr>
        <w:jc w:val="both"/>
        <w:spacing w:after="0" w:line="256" w:lineRule="auto"/>
        <w:rPr>
          <w:sz w:val="20"/>
          <w:szCs w:val="20"/>
          <w:color w:val="auto"/>
        </w:rPr>
      </w:pPr>
      <w:r>
        <w:rPr>
          <w:rFonts w:ascii="Arial" w:cs="Arial" w:eastAsia="Arial" w:hAnsi="Arial"/>
          <w:sz w:val="16"/>
          <w:szCs w:val="16"/>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165"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74"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59"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Risk Factors Relating to Our Business in General</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Biogas Conversion Projects and Fueling Stations are newly constructed or are under construction and may not perform as we expect.</w:t>
      </w:r>
    </w:p>
    <w:p>
      <w:pPr>
        <w:spacing w:after="0" w:line="204"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projections with respect to our new and developing projects, and related estimates and assumptions, are based on limited or future operating history.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13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65"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38" w:name="page39"/>
    <w:bookmarkEnd w:id="38"/>
    <w:p>
      <w:pPr>
        <w:jc w:val="both"/>
        <w:ind w:firstLine="283"/>
        <w:spacing w:after="0" w:line="271" w:lineRule="auto"/>
        <w:rPr>
          <w:sz w:val="20"/>
          <w:szCs w:val="20"/>
          <w:color w:val="auto"/>
        </w:rPr>
      </w:pPr>
      <w:r>
        <w:rPr>
          <w:rFonts w:ascii="Arial" w:cs="Arial" w:eastAsia="Arial" w:hAnsi="Arial"/>
          <w:sz w:val="15"/>
          <w:szCs w:val="15"/>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65"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 xml:space="preserve">Our pro forma consolidated indebtedness as of June 30, 2022 would have been approximately $210.5 million, or approximately 41.7% of our total pro forma capitalization of $504.6 million at such date. See </w:t>
      </w:r>
      <w:r>
        <w:rPr>
          <w:rFonts w:ascii="Arial" w:cs="Arial" w:eastAsia="Arial" w:hAnsi="Arial"/>
          <w:sz w:val="13"/>
          <w:szCs w:val="13"/>
          <w:i w:val="1"/>
          <w:iCs w:val="1"/>
          <w:color w:val="auto"/>
        </w:rPr>
        <w:t>“Unaudited Pro Forma Combined Financial Information”</w:t>
      </w:r>
      <w:r>
        <w:rPr>
          <w:rFonts w:ascii="Arial" w:cs="Arial" w:eastAsia="Arial" w:hAnsi="Arial"/>
          <w:sz w:val="13"/>
          <w:szCs w:val="13"/>
          <w:color w:val="auto"/>
        </w:rPr>
        <w:t xml:space="preserve"> elsewhere in this prospectus for a discussion of the related pro forma adjustments and assumptions. Additionally, on November 29, 2021, we entered into an Exchange Agreement with Hillman pursuant to which Opco issued to Hillman Series A-1 Preferred Units of Opco,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Opco, which are redeemable after four years at the option of NextEra for an aggregate redemption price of $100.0 million plus accrued and unpaid dividends thereon.</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substantial indebtedness and preferred units redemption obligations could have important consequences, including, for example:</w:t>
      </w:r>
    </w:p>
    <w:p>
      <w:pPr>
        <w:spacing w:after="0" w:line="193" w:lineRule="exact"/>
        <w:rPr>
          <w:sz w:val="20"/>
          <w:szCs w:val="20"/>
          <w:color w:val="auto"/>
        </w:rPr>
      </w:pPr>
    </w:p>
    <w:p>
      <w:pPr>
        <w:ind w:left="560" w:right="20" w:hanging="283"/>
        <w:spacing w:after="0" w:line="266"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being required to accept then-prevailing market terms in connection with any required refinancing of such indebtedness or redemption obligations, which may be less favorable than existing terms;</w:t>
      </w:r>
    </w:p>
    <w:p>
      <w:pPr>
        <w:spacing w:after="0" w:line="157"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57"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limited financial flexibility could reduce our ability to plan for and react to unexpected opportunities; and</w:t>
      </w:r>
    </w:p>
    <w:p>
      <w:pPr>
        <w:spacing w:after="0" w:line="192" w:lineRule="exact"/>
        <w:rPr>
          <w:rFonts w:ascii="Arial" w:cs="Arial" w:eastAsia="Arial" w:hAnsi="Arial"/>
          <w:sz w:val="16"/>
          <w:szCs w:val="16"/>
          <w:color w:val="auto"/>
        </w:rPr>
      </w:pPr>
    </w:p>
    <w:p>
      <w:pPr>
        <w:ind w:left="560" w:hanging="283"/>
        <w:spacing w:after="0" w:line="383" w:lineRule="auto"/>
        <w:tabs>
          <w:tab w:leader="none" w:pos="5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mandatorily redeemable preferred units.</w:t>
      </w:r>
    </w:p>
    <w:p>
      <w:pPr>
        <w:spacing w:after="0" w:line="88" w:lineRule="exact"/>
        <w:rPr>
          <w:sz w:val="20"/>
          <w:szCs w:val="20"/>
          <w:color w:val="auto"/>
        </w:rPr>
      </w:pPr>
    </w:p>
    <w:p>
      <w:pPr>
        <w:jc w:val="both"/>
        <w:ind w:firstLine="283"/>
        <w:spacing w:after="0" w:line="315" w:lineRule="auto"/>
        <w:rPr>
          <w:sz w:val="20"/>
          <w:szCs w:val="20"/>
          <w:color w:val="auto"/>
        </w:rPr>
      </w:pPr>
      <w:r>
        <w:rPr>
          <w:rFonts w:ascii="Arial" w:cs="Arial" w:eastAsia="Arial" w:hAnsi="Arial"/>
          <w:sz w:val="13"/>
          <w:szCs w:val="13"/>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323"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39" w:name="page40"/>
    <w:bookmarkEnd w:id="39"/>
    <w:p>
      <w:pPr>
        <w:jc w:val="both"/>
        <w:ind w:right="20" w:firstLine="283"/>
        <w:spacing w:after="0" w:line="268" w:lineRule="auto"/>
        <w:rPr>
          <w:sz w:val="20"/>
          <w:szCs w:val="20"/>
          <w:color w:val="auto"/>
        </w:rPr>
      </w:pPr>
      <w:r>
        <w:rPr>
          <w:rFonts w:ascii="Arial" w:cs="Arial" w:eastAsia="Arial" w:hAnsi="Arial"/>
          <w:sz w:val="15"/>
          <w:szCs w:val="15"/>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59" w:lineRule="exact"/>
        <w:rPr>
          <w:sz w:val="20"/>
          <w:szCs w:val="20"/>
          <w:color w:val="auto"/>
        </w:rPr>
      </w:pPr>
    </w:p>
    <w:p>
      <w:pPr>
        <w:jc w:val="both"/>
        <w:spacing w:after="0" w:line="383" w:lineRule="auto"/>
        <w:rPr>
          <w:sz w:val="20"/>
          <w:szCs w:val="20"/>
          <w:color w:val="auto"/>
        </w:rPr>
      </w:pPr>
      <w:r>
        <w:rPr>
          <w:rFonts w:ascii="Arial" w:cs="Arial" w:eastAsia="Arial" w:hAnsi="Arial"/>
          <w:sz w:val="13"/>
          <w:szCs w:val="13"/>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88"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6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accounting losses and may incur additional losses in the future.</w:t>
      </w:r>
    </w:p>
    <w:p>
      <w:pPr>
        <w:spacing w:after="0" w:line="193" w:lineRule="exact"/>
        <w:rPr>
          <w:sz w:val="20"/>
          <w:szCs w:val="20"/>
          <w:color w:val="auto"/>
        </w:rPr>
      </w:pPr>
    </w:p>
    <w:p>
      <w:pPr>
        <w:jc w:val="both"/>
        <w:ind w:firstLine="283"/>
        <w:spacing w:after="0" w:line="265" w:lineRule="auto"/>
        <w:rPr>
          <w:sz w:val="20"/>
          <w:szCs w:val="20"/>
          <w:color w:val="auto"/>
        </w:rPr>
      </w:pPr>
      <w:r>
        <w:rPr>
          <w:rFonts w:ascii="Arial" w:cs="Arial" w:eastAsia="Arial" w:hAnsi="Arial"/>
          <w:sz w:val="15"/>
          <w:szCs w:val="15"/>
          <w:color w:val="auto"/>
        </w:rPr>
        <w:t>Opco and its predecessor companies have incurred net losses historically, including a net loss of $6.7 million for the six months ended June 30, 2022, net income attributable to OPAL Fuels LLC of $41.4 million for the year ended December 31, 2021 and net loss of $25.4 million for the year ended December 31, 2020, respectively.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i w:val="1"/>
          <w:iCs w:val="1"/>
          <w:color w:val="auto"/>
        </w:rPr>
        <w:t>Loss of our key management could adversely affect our business performance. Our management team has limited experience in operating a public company such as us.</w:t>
      </w:r>
    </w:p>
    <w:p>
      <w:pPr>
        <w:spacing w:after="0" w:line="22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COVID-19 pandemic and measures intended to reduce its spread have, and may continue to, adversely affect our business, results of operations and financial condition.</w:t>
      </w:r>
    </w:p>
    <w:p>
      <w:pPr>
        <w:spacing w:after="0" w:line="227"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161"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spacing w:after="0" w:line="148" w:lineRule="exact"/>
        <w:rPr>
          <w:sz w:val="20"/>
          <w:szCs w:val="20"/>
          <w:color w:val="auto"/>
        </w:rPr>
      </w:pPr>
    </w:p>
    <w:p>
      <w:pPr>
        <w:ind w:left="560" w:hanging="283"/>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further delay in the adoption of natural gas vehicle fuels by heavy-duty trucks and/or a delay in increasing the use of our vehicle fuels;</w:t>
      </w:r>
    </w:p>
    <w:p>
      <w:pPr>
        <w:spacing w:after="0" w:line="192"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57"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57"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depressed oil and diesel prices, especially relative to natural gas prices and for a prolonged period, which may decrease the price-related incentive for operators to adopt trucks that use our vehicle fuels.</w:t>
      </w:r>
    </w:p>
    <w:p>
      <w:pPr>
        <w:spacing w:after="0" w:line="157"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Some relationships with our counterparties and suppliers may experience disruptions as a result of the Business Combination, which may limit our business.</w:t>
      </w:r>
    </w:p>
    <w:p>
      <w:pPr>
        <w:spacing w:after="0" w:line="204"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Parties with which Opco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1" w:name="page42"/>
    <w:bookmarkEnd w:id="41"/>
    <w:p>
      <w:pPr>
        <w:jc w:val="both"/>
        <w:ind w:right="20"/>
        <w:spacing w:after="0" w:line="281" w:lineRule="auto"/>
        <w:rPr>
          <w:sz w:val="20"/>
          <w:szCs w:val="20"/>
          <w:color w:val="auto"/>
        </w:rPr>
      </w:pPr>
      <w:r>
        <w:rPr>
          <w:rFonts w:ascii="Arial" w:cs="Arial" w:eastAsia="Arial" w:hAnsi="Arial"/>
          <w:sz w:val="15"/>
          <w:szCs w:val="15"/>
          <w:b w:val="1"/>
          <w:bCs w:val="1"/>
          <w:i w:val="1"/>
          <w:iCs w:val="1"/>
          <w:color w:val="auto"/>
        </w:rPr>
        <w:t>We have identified material weaknesses in Opco’s and ArcLight’s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48"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In connection with the preparation and audit of Opco’s consolidated financial statements for each of the years ended December 31, 2021, 2020 and 2019, material weaknesses were identified in Opco’s internal control over financial reporting. In addition, a material weakness in the internal controls over financial reporting of ArcLight was identified as of November 24, 2021.</w:t>
      </w:r>
    </w:p>
    <w:p>
      <w:pPr>
        <w:spacing w:after="0" w:line="165"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With respect to Opco, these material weaknesses identified were as follows:</w:t>
      </w:r>
    </w:p>
    <w:p>
      <w:pPr>
        <w:spacing w:after="0" w:line="193" w:lineRule="exact"/>
        <w:rPr>
          <w:sz w:val="20"/>
          <w:szCs w:val="20"/>
          <w:color w:val="auto"/>
        </w:rPr>
      </w:pPr>
    </w:p>
    <w:p>
      <w:pPr>
        <w:ind w:left="560" w:hanging="283"/>
        <w:spacing w:after="0" w:line="266" w:lineRule="auto"/>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is a lack of an adequate control environment, including internal communications, to allow for timeliness of reviews for the accounting and disclosures of significant and unusual transactions and contracts;</w:t>
      </w:r>
    </w:p>
    <w:p>
      <w:pPr>
        <w:spacing w:after="0" w:line="157" w:lineRule="exact"/>
        <w:rPr>
          <w:rFonts w:ascii="Arial" w:cs="Arial" w:eastAsia="Arial" w:hAnsi="Arial"/>
          <w:sz w:val="16"/>
          <w:szCs w:val="16"/>
          <w:color w:val="auto"/>
        </w:rPr>
      </w:pPr>
    </w:p>
    <w:p>
      <w:pPr>
        <w:jc w:val="both"/>
        <w:ind w:left="560" w:hanging="283"/>
        <w:spacing w:after="0" w:line="342" w:lineRule="auto"/>
        <w:tabs>
          <w:tab w:leader="none" w:pos="5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14" w:lineRule="exact"/>
        <w:rPr>
          <w:rFonts w:ascii="Arial" w:cs="Arial" w:eastAsia="Arial" w:hAnsi="Arial"/>
          <w:sz w:val="13"/>
          <w:szCs w:val="13"/>
          <w:color w:val="auto"/>
        </w:rPr>
      </w:pPr>
    </w:p>
    <w:p>
      <w:pPr>
        <w:ind w:left="560" w:hanging="283"/>
        <w:spacing w:after="0" w:line="266" w:lineRule="auto"/>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Opco did not have timely and effective reviews over standard account reconciliations and related accounting analysis which resulted in various audit adjustments that we corrected; and</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 controls over application of ASC-606 were not designed and implemented appropriately during the current year.</w:t>
      </w:r>
    </w:p>
    <w:p>
      <w:pPr>
        <w:spacing w:after="0" w:line="193" w:lineRule="exact"/>
        <w:rPr>
          <w:sz w:val="20"/>
          <w:szCs w:val="20"/>
          <w:color w:val="auto"/>
        </w:rPr>
      </w:pPr>
    </w:p>
    <w:p>
      <w:pPr>
        <w:jc w:val="both"/>
        <w:ind w:right="20" w:firstLine="283"/>
        <w:spacing w:after="0" w:line="274" w:lineRule="auto"/>
        <w:rPr>
          <w:sz w:val="20"/>
          <w:szCs w:val="20"/>
          <w:color w:val="auto"/>
        </w:rPr>
      </w:pPr>
      <w:r>
        <w:rPr>
          <w:rFonts w:ascii="Arial" w:cs="Arial" w:eastAsia="Arial" w:hAnsi="Arial"/>
          <w:sz w:val="15"/>
          <w:szCs w:val="15"/>
          <w:color w:val="auto"/>
        </w:rPr>
        <w:t>With respect to ArcLight, in connection with the preparation of ArcLight’s financial statements as of December 31, 2021, ArcLight concluded it was appropriate to restate the presentation of ArcLight Class A Ordinary Shares subject to possible redemption to reflect its ordinary shares within temporary equity after determining the ordinary shares’ redemption feature is not solely within its control. As part of such process, ArcLight identified a material weakness in its internal controls over financial reporting related to the accounting for its complex financial instruments (including redeemable equity instruments as described above).</w:t>
      </w:r>
    </w:p>
    <w:p>
      <w:pPr>
        <w:spacing w:after="0" w:line="155"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57"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We have developed and begun executing on a plan to remediate these material weaknesses, including the hiring of a Chief Financial Officer and a Chief Accounting Officer. Our remediation plans may include measures such as: hiring additional accounting and financial reporting personnel with appropriate technical accounting knowledge and public company experience in financial reporting; designing and implementing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and experience in designing and implementing formal controls over segregation of duties.</w:t>
      </w:r>
    </w:p>
    <w:p>
      <w:pPr>
        <w:spacing w:after="0" w:line="157" w:lineRule="exact"/>
        <w:rPr>
          <w:sz w:val="20"/>
          <w:szCs w:val="20"/>
          <w:color w:val="auto"/>
        </w:rPr>
      </w:pPr>
    </w:p>
    <w:p>
      <w:pPr>
        <w:jc w:val="both"/>
        <w:ind w:firstLine="283"/>
        <w:spacing w:after="0" w:line="316" w:lineRule="auto"/>
        <w:rPr>
          <w:sz w:val="20"/>
          <w:szCs w:val="20"/>
          <w:color w:val="auto"/>
        </w:rPr>
      </w:pPr>
      <w:r>
        <w:rPr>
          <w:rFonts w:ascii="Arial" w:cs="Arial" w:eastAsia="Arial" w:hAnsi="Arial"/>
          <w:sz w:val="13"/>
          <w:szCs w:val="13"/>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2" w:name="page43"/>
    <w:bookmarkEnd w:id="42"/>
    <w:p>
      <w:pPr>
        <w:jc w:val="both"/>
        <w:spacing w:after="0" w:line="266" w:lineRule="auto"/>
        <w:rPr>
          <w:sz w:val="20"/>
          <w:szCs w:val="20"/>
          <w:color w:val="auto"/>
        </w:rPr>
      </w:pPr>
      <w:r>
        <w:rPr>
          <w:rFonts w:ascii="Arial" w:cs="Arial" w:eastAsia="Arial" w:hAnsi="Arial"/>
          <w:sz w:val="16"/>
          <w:szCs w:val="16"/>
          <w:b w:val="1"/>
          <w:bCs w:val="1"/>
          <w:i w:val="1"/>
          <w:iCs w:val="1"/>
          <w:color w:val="auto"/>
        </w:rPr>
        <w:t>Our failure to timely and effectively implement controls and procedures required by Section 404(a) of the Sarbanes-Oxley Act could have a material adverse effect on its business.</w:t>
      </w:r>
    </w:p>
    <w:p>
      <w:pPr>
        <w:spacing w:after="0" w:line="157"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Opco historically as a privately-held company or by ArcLight prior to the closing of the Business Combination.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Company</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 This could cause the market price of our Class A common stock to drop significantly, even if OPAL’s business is doing well.</w:t>
      </w:r>
    </w:p>
    <w:p>
      <w:pPr>
        <w:spacing w:after="0" w:line="157"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Sales of a substantial number of shares of the Class A common stock in the public market could occur at any time. These sales, or the perception in the market that the holders of a large number of shares intend to sell shares, could reduce the market price of the Class A common stock. For example, following the Business Combination, the PIPE Investors own approximately 43.2% of the outstanding shares of the Class A common stock. While the PIPE Investors are subject to certain restrictions regarding the transfer of the Class A common stock, these shares may be sold under this prospectus. As restrictions on resale end, including through use of this prospectus to sell such shares, the market price of the Class A common stock could decline if the holders of currently restricted shares sell them or are perceived by the market as intending to sell them.</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 or legal proceedings could expose us to significant liabilities and have a negative impact on our reputations or business.</w:t>
      </w:r>
    </w:p>
    <w:p>
      <w:pPr>
        <w:spacing w:after="0" w:line="193"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55" w:lineRule="exact"/>
        <w:rPr>
          <w:sz w:val="20"/>
          <w:szCs w:val="20"/>
          <w:color w:val="auto"/>
        </w:rPr>
      </w:pPr>
    </w:p>
    <w:p>
      <w:pPr>
        <w:jc w:val="both"/>
        <w:ind w:firstLine="283"/>
        <w:spacing w:after="0" w:line="264" w:lineRule="auto"/>
        <w:rPr>
          <w:sz w:val="20"/>
          <w:szCs w:val="20"/>
          <w:color w:val="auto"/>
        </w:rPr>
      </w:pPr>
      <w:r>
        <w:rPr>
          <w:rFonts w:ascii="Arial" w:cs="Arial" w:eastAsia="Arial" w:hAnsi="Arial"/>
          <w:sz w:val="15"/>
          <w:szCs w:val="15"/>
          <w:color w:val="auto"/>
        </w:rPr>
        <w:t>Under the terms of ArcLight’s placement agent agreements with BofA Securities, Inc. (“</w:t>
      </w:r>
      <w:r>
        <w:rPr>
          <w:rFonts w:ascii="Arial" w:cs="Arial" w:eastAsia="Arial" w:hAnsi="Arial"/>
          <w:sz w:val="15"/>
          <w:szCs w:val="15"/>
          <w:b w:val="1"/>
          <w:bCs w:val="1"/>
          <w:i w:val="1"/>
          <w:iCs w:val="1"/>
          <w:color w:val="auto"/>
        </w:rPr>
        <w:t>BofA</w:t>
      </w:r>
      <w:r>
        <w:rPr>
          <w:rFonts w:ascii="Arial" w:cs="Arial" w:eastAsia="Arial" w:hAnsi="Arial"/>
          <w:sz w:val="15"/>
          <w:szCs w:val="15"/>
          <w:color w:val="auto"/>
        </w:rPr>
        <w:t>”), Credit Suisse Securities (USA) LLC (“</w:t>
      </w:r>
      <w:r>
        <w:rPr>
          <w:rFonts w:ascii="Arial" w:cs="Arial" w:eastAsia="Arial" w:hAnsi="Arial"/>
          <w:sz w:val="15"/>
          <w:szCs w:val="15"/>
          <w:b w:val="1"/>
          <w:bCs w:val="1"/>
          <w:i w:val="1"/>
          <w:iCs w:val="1"/>
          <w:color w:val="auto"/>
        </w:rPr>
        <w:t>CS</w:t>
      </w:r>
      <w:r>
        <w:rPr>
          <w:rFonts w:ascii="Arial" w:cs="Arial" w:eastAsia="Arial" w:hAnsi="Arial"/>
          <w:sz w:val="15"/>
          <w:szCs w:val="15"/>
          <w:color w:val="auto"/>
        </w:rPr>
        <w:t>”), Barclays Capital Inc. (“</w:t>
      </w:r>
      <w:r>
        <w:rPr>
          <w:rFonts w:ascii="Arial" w:cs="Arial" w:eastAsia="Arial" w:hAnsi="Arial"/>
          <w:sz w:val="15"/>
          <w:szCs w:val="15"/>
          <w:b w:val="1"/>
          <w:bCs w:val="1"/>
          <w:i w:val="1"/>
          <w:iCs w:val="1"/>
          <w:color w:val="auto"/>
        </w:rPr>
        <w:t>Barclays</w:t>
      </w:r>
      <w:r>
        <w:rPr>
          <w:rFonts w:ascii="Arial" w:cs="Arial" w:eastAsia="Arial" w:hAnsi="Arial"/>
          <w:sz w:val="15"/>
          <w:szCs w:val="15"/>
          <w:color w:val="auto"/>
        </w:rPr>
        <w:t>”) and Citigroup Global Markets Inc. (“</w:t>
      </w:r>
      <w:r>
        <w:rPr>
          <w:rFonts w:ascii="Arial" w:cs="Arial" w:eastAsia="Arial" w:hAnsi="Arial"/>
          <w:sz w:val="15"/>
          <w:szCs w:val="15"/>
          <w:b w:val="1"/>
          <w:bCs w:val="1"/>
          <w:i w:val="1"/>
          <w:iCs w:val="1"/>
          <w:color w:val="auto"/>
        </w:rPr>
        <w:t>Citi</w:t>
      </w:r>
      <w:r>
        <w:rPr>
          <w:rFonts w:ascii="Arial" w:cs="Arial" w:eastAsia="Arial" w:hAnsi="Arial"/>
          <w:sz w:val="15"/>
          <w:szCs w:val="15"/>
          <w:color w:val="auto"/>
        </w:rPr>
        <w:t>” and together with BofA, CS and Barclays, the “</w:t>
      </w:r>
      <w:r>
        <w:rPr>
          <w:rFonts w:ascii="Arial" w:cs="Arial" w:eastAsia="Arial" w:hAnsi="Arial"/>
          <w:sz w:val="15"/>
          <w:szCs w:val="15"/>
          <w:b w:val="1"/>
          <w:bCs w:val="1"/>
          <w:i w:val="1"/>
          <w:iCs w:val="1"/>
          <w:color w:val="auto"/>
        </w:rPr>
        <w:t>Advisors</w:t>
      </w:r>
      <w:r>
        <w:rPr>
          <w:rFonts w:ascii="Arial" w:cs="Arial" w:eastAsia="Arial" w:hAnsi="Arial"/>
          <w:sz w:val="15"/>
          <w:szCs w:val="15"/>
          <w:color w:val="auto"/>
        </w:rPr>
        <w:t xml:space="preserve">”)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Opco’s financial advisory agreements with BofA and CS, Opco agreed to indemnify and hold harmless each of BofA and CS, their affiliates and each of their respective directors, officers, employees and agents from and against any losses and claims arising in any manner out of or in connection with the services provided to Opco thereunder. Accordingly, if any claims, litigation, disputes or other legal proceedings are brought by third parties against any of the Advisors in relation to the services it provided to ArcLight or Opco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as described under </w:t>
      </w:r>
      <w:r>
        <w:rPr>
          <w:rFonts w:ascii="Arial" w:cs="Arial" w:eastAsia="Arial" w:hAnsi="Arial"/>
          <w:sz w:val="15"/>
          <w:szCs w:val="15"/>
          <w:i w:val="1"/>
          <w:iCs w:val="1"/>
          <w:color w:val="auto"/>
        </w:rPr>
        <w:t>Summary—Recent Developments</w:t>
      </w:r>
      <w:r>
        <w:rPr>
          <w:rFonts w:ascii="Arial" w:cs="Arial" w:eastAsia="Arial" w:hAnsi="Arial"/>
          <w:sz w:val="15"/>
          <w:szCs w:val="15"/>
          <w:color w:val="auto"/>
        </w:rPr>
        <w:t>.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3" w:name="page44"/>
    <w:bookmarkEnd w:id="43"/>
    <w:p>
      <w:pPr>
        <w:jc w:val="both"/>
        <w:ind w:firstLine="283"/>
        <w:spacing w:after="0" w:line="268" w:lineRule="auto"/>
        <w:rPr>
          <w:sz w:val="20"/>
          <w:szCs w:val="20"/>
          <w:color w:val="auto"/>
        </w:rPr>
      </w:pPr>
      <w:r>
        <w:rPr>
          <w:rFonts w:ascii="Arial" w:cs="Arial" w:eastAsia="Arial" w:hAnsi="Arial"/>
          <w:sz w:val="15"/>
          <w:szCs w:val="15"/>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59"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6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57" w:lineRule="exact"/>
        <w:rPr>
          <w:sz w:val="20"/>
          <w:szCs w:val="20"/>
          <w:color w:val="auto"/>
        </w:rPr>
      </w:pPr>
    </w:p>
    <w:p>
      <w:pPr>
        <w:jc w:val="both"/>
        <w:ind w:firstLine="283"/>
        <w:spacing w:after="0" w:line="248"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5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65"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OPAL Warrants may have an adverse effect on the market price of our Class A common stock.</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We issued 6,223,261 OPAL Public Warrants as part of the units offered in the IPO and, simultaneously with the closing of the IPO, we issued in a private placement an aggregate of 9,223,261 OPAL Private Placement Warrants, each exercisable, following the closing of the Business Combination, for one Class A common stock at an exercise price of $11.50 per share. The exercise of a significant number of the OPAL Warrants in the future may have an adverse effect on the market price of our Class A common stock, in that it may increase the number of shares that are available for sale in the market.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4" w:name="page45"/>
    <w:bookmarkEnd w:id="44"/>
    <w:p>
      <w:pPr>
        <w:jc w:val="both"/>
        <w:spacing w:after="0" w:line="266" w:lineRule="auto"/>
        <w:rPr>
          <w:sz w:val="20"/>
          <w:szCs w:val="20"/>
          <w:color w:val="auto"/>
        </w:rPr>
      </w:pPr>
      <w:r>
        <w:rPr>
          <w:rFonts w:ascii="Arial" w:cs="Arial" w:eastAsia="Arial" w:hAnsi="Arial"/>
          <w:sz w:val="16"/>
          <w:szCs w:val="16"/>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57"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69"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31"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5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Our current majority stockholder has control over all stockholder decisions of us because it controls a substantial majority of our voting power through “high vote” voting stock. Such majority stockholder, and the persons controlling such majority stockholder, including Fortistar and Mr. Mark Comora, our Chairman of the Board of,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55" w:lineRule="exact"/>
        <w:rPr>
          <w:sz w:val="20"/>
          <w:szCs w:val="20"/>
          <w:color w:val="auto"/>
        </w:rPr>
      </w:pPr>
    </w:p>
    <w:p>
      <w:pPr>
        <w:jc w:val="both"/>
        <w:ind w:right="20" w:firstLine="283"/>
        <w:spacing w:after="0" w:line="269" w:lineRule="auto"/>
        <w:rPr>
          <w:sz w:val="20"/>
          <w:szCs w:val="20"/>
          <w:color w:val="auto"/>
        </w:rPr>
      </w:pPr>
      <w:r>
        <w:rPr>
          <w:rFonts w:ascii="Arial" w:cs="Arial" w:eastAsia="Arial" w:hAnsi="Arial"/>
          <w:sz w:val="15"/>
          <w:szCs w:val="15"/>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85.7% of our outstanding Common Stock as of July 21, 2022. All of these shares (with the exception of 800,600 shares of Class A common stock purchased by Fortistar in the PIPE Investment) are Class D common stock, which have no economic rights but are entitled to five votes per share, giving Mr. Mark Comora control over 96.7% of our voting power. OPAL Holdco and Hillman are controlled, indirectly, by Mr. Mark Comora through entities affiliated with Mr. Mark Comora, including Fortistar and certain of its other affiliates. Mr. Mark Comora is the Chairman of our board.</w:t>
      </w:r>
    </w:p>
    <w:p>
      <w:pPr>
        <w:spacing w:after="0" w:line="15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45" w:name="page46"/>
    <w:bookmarkEnd w:id="45"/>
    <w:p>
      <w:pPr>
        <w:jc w:val="both"/>
        <w:ind w:firstLine="283"/>
        <w:spacing w:after="0" w:line="274" w:lineRule="auto"/>
        <w:rPr>
          <w:sz w:val="20"/>
          <w:szCs w:val="20"/>
          <w:color w:val="auto"/>
        </w:rPr>
      </w:pPr>
      <w:r>
        <w:rPr>
          <w:rFonts w:ascii="Arial" w:cs="Arial" w:eastAsia="Arial" w:hAnsi="Arial"/>
          <w:sz w:val="15"/>
          <w:szCs w:val="15"/>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55" w:lineRule="exact"/>
        <w:rPr>
          <w:sz w:val="20"/>
          <w:szCs w:val="20"/>
          <w:color w:val="auto"/>
        </w:rPr>
      </w:pPr>
    </w:p>
    <w:p>
      <w:pPr>
        <w:jc w:val="both"/>
        <w:ind w:firstLine="283"/>
        <w:spacing w:after="0" w:line="265" w:lineRule="auto"/>
        <w:rPr>
          <w:sz w:val="20"/>
          <w:szCs w:val="20"/>
          <w:color w:val="auto"/>
        </w:rPr>
      </w:pPr>
      <w:r>
        <w:rPr>
          <w:rFonts w:ascii="Arial" w:cs="Arial" w:eastAsia="Arial" w:hAnsi="Arial"/>
          <w:sz w:val="15"/>
          <w:szCs w:val="15"/>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55" w:lineRule="exact"/>
        <w:rPr>
          <w:sz w:val="20"/>
          <w:szCs w:val="20"/>
          <w:color w:val="auto"/>
        </w:rPr>
      </w:pPr>
    </w:p>
    <w:p>
      <w:pPr>
        <w:jc w:val="both"/>
        <w:ind w:firstLine="283"/>
        <w:spacing w:after="0" w:line="312" w:lineRule="auto"/>
        <w:rPr>
          <w:sz w:val="20"/>
          <w:szCs w:val="20"/>
          <w:color w:val="auto"/>
        </w:rPr>
      </w:pPr>
      <w:r>
        <w:rPr>
          <w:rFonts w:ascii="Arial" w:cs="Arial" w:eastAsia="Arial" w:hAnsi="Arial"/>
          <w:sz w:val="13"/>
          <w:szCs w:val="13"/>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32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Our only material assets are our direct interests in Opco, and we are accordingly dependent upon distributions from Opco Fuels to pay dividends and taxes and other expenses.</w:t>
      </w:r>
    </w:p>
    <w:p>
      <w:pPr>
        <w:spacing w:after="0" w:line="157"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We are a holding company and have no material assets other than our ownership of Class A Units in Opco. We therefore have no independent means of generating revenue. We intend to cause our subsidiaries (including Opco)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46" w:name="page47"/>
    <w:bookmarkEnd w:id="46"/>
    <w:p>
      <w:pPr>
        <w:jc w:val="both"/>
        <w:spacing w:after="0" w:line="26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as a result of our ownership of Opco, applicable restrictions could make it impractical for us to continue our business as contemplated and could have a material adverse effect on its business.</w:t>
      </w:r>
    </w:p>
    <w:p>
      <w:pPr>
        <w:spacing w:after="0" w:line="15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Opco. As managing member of Opco, we generally have control over all of the affairs and decision making of Opco. On the basis of our control over Opco, we believe our direct interest in Opco is not an “investment security” within the meaning of the Investment Company Act. If we were to cease participation in the management of Opco, however, our interest in Opco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59" w:lineRule="exact"/>
        <w:rPr>
          <w:sz w:val="20"/>
          <w:szCs w:val="20"/>
          <w:color w:val="auto"/>
        </w:rPr>
      </w:pPr>
    </w:p>
    <w:p>
      <w:pPr>
        <w:jc w:val="both"/>
        <w:ind w:firstLine="283"/>
        <w:spacing w:after="0" w:line="316" w:lineRule="auto"/>
        <w:rPr>
          <w:sz w:val="20"/>
          <w:szCs w:val="20"/>
          <w:color w:val="auto"/>
        </w:rPr>
      </w:pPr>
      <w:r>
        <w:rPr>
          <w:rFonts w:ascii="Arial" w:cs="Arial" w:eastAsia="Arial" w:hAnsi="Arial"/>
          <w:sz w:val="13"/>
          <w:szCs w:val="13"/>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Opco, members of their respective management teams and related entities or any combination thereof and materially adversely affect our business, financial condition and results of operations.</w:t>
      </w:r>
    </w:p>
    <w:p>
      <w:pPr>
        <w:spacing w:after="0" w:line="13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58"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dual-class structure of our Common Stock may adversely affect the trading market for the shares of Class A common stock.</w:t>
      </w:r>
    </w:p>
    <w:p>
      <w:pPr>
        <w:spacing w:after="0" w:line="193"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There are no assurance that we will be able to comply with the continued listing standards of Nasdaq.</w:t>
      </w:r>
    </w:p>
    <w:p>
      <w:pPr>
        <w:spacing w:after="0" w:line="193" w:lineRule="exact"/>
        <w:rPr>
          <w:sz w:val="20"/>
          <w:szCs w:val="20"/>
          <w:color w:val="auto"/>
        </w:rPr>
      </w:pPr>
    </w:p>
    <w:p>
      <w:pPr>
        <w:ind w:right="20" w:firstLine="283"/>
        <w:spacing w:after="0" w:line="300" w:lineRule="auto"/>
        <w:rPr>
          <w:sz w:val="20"/>
          <w:szCs w:val="20"/>
          <w:color w:val="auto"/>
        </w:rPr>
      </w:pPr>
      <w:r>
        <w:rPr>
          <w:rFonts w:ascii="Arial" w:cs="Arial" w:eastAsia="Arial" w:hAnsi="Arial"/>
          <w:sz w:val="15"/>
          <w:szCs w:val="15"/>
          <w:color w:val="auto"/>
        </w:rPr>
        <w:t>Our shares of Class A common stock and the Public Warrants are listed on Nasdaq under the symbols “OPAL” and “OPALW,” respectively. If Nasdaq delists our securities from trading on its exchange for failure to meet the listing standards, we and our stockholders could face significant negative consequences including:</w:t>
      </w:r>
    </w:p>
    <w:p>
      <w:pPr>
        <w:spacing w:after="0" w:line="134" w:lineRule="exact"/>
        <w:rPr>
          <w:sz w:val="20"/>
          <w:szCs w:val="20"/>
          <w:color w:val="auto"/>
        </w:rPr>
      </w:pPr>
    </w:p>
    <w:p>
      <w:pPr>
        <w:ind w:left="560" w:hanging="283"/>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limited availability of market quotations for our securities;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determination that the Class A common stock is a “penny stock” which will require brokers trading in the Class A common stock to adhere to more stringent rules;</w:t>
      </w:r>
    </w:p>
    <w:p>
      <w:pPr>
        <w:spacing w:after="0" w:line="227" w:lineRule="exact"/>
        <w:rPr>
          <w:rFonts w:ascii="Arial" w:cs="Arial" w:eastAsia="Arial" w:hAnsi="Arial"/>
          <w:sz w:val="13"/>
          <w:szCs w:val="13"/>
          <w:color w:val="auto"/>
        </w:rPr>
      </w:pPr>
    </w:p>
    <w:p>
      <w:pPr>
        <w:ind w:left="560" w:hanging="283"/>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possible reduction in the level of trading activity in the secondary trading market for shares of the Class A common stock;</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limited amount of analyst coverage;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decreased ability to issue additional securities or obtain additional financing in the future.</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57"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are contained in the Organizational Documents that could delay or prevent a change of control.</w:t>
      </w:r>
    </w:p>
    <w:p>
      <w:pPr>
        <w:spacing w:after="0" w:line="19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These provisions, among other things:</w:t>
      </w:r>
    </w:p>
    <w:p>
      <w:pPr>
        <w:spacing w:after="0" w:line="193" w:lineRule="exact"/>
        <w:rPr>
          <w:sz w:val="20"/>
          <w:szCs w:val="20"/>
          <w:color w:val="auto"/>
        </w:rPr>
      </w:pPr>
    </w:p>
    <w:p>
      <w:pPr>
        <w:ind w:left="560" w:right="20" w:hanging="283"/>
        <w:spacing w:after="0" w:line="266" w:lineRule="auto"/>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eliminate the ability of stockholders to call special meetings of stockholders;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eliminate the ability of stockholders to fill vacancies on our board;</w:t>
      </w:r>
    </w:p>
    <w:p>
      <w:pPr>
        <w:spacing w:after="0" w:line="192"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or for proposing matters that can be acted upon by stockholders at annual stockholder meetings;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permit our board to establish the number of directors;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that our board is expressly authorized to make, alter or repeal the Bylaws;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 the jurisdictions in which certain stockholder litigation may be brought.</w:t>
      </w:r>
    </w:p>
    <w:p>
      <w:pPr>
        <w:spacing w:after="0" w:line="193"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 xml:space="preserve">These anti-takeover provisions, together with the control of the voting power of by OPAL Holdco, could make it more difficult for a third -party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See </w:t>
      </w:r>
      <w:r>
        <w:rPr>
          <w:rFonts w:ascii="Arial" w:cs="Arial" w:eastAsia="Arial" w:hAnsi="Arial"/>
          <w:sz w:val="15"/>
          <w:szCs w:val="15"/>
          <w:i w:val="1"/>
          <w:iCs w:val="1"/>
          <w:color w:val="auto"/>
        </w:rPr>
        <w:t>“Description of Securities—Anti-Takeover Effects of Provisions of Delaware Law and the Organizational Documents</w:t>
      </w:r>
      <w:r>
        <w:rPr>
          <w:rFonts w:ascii="Arial" w:cs="Arial" w:eastAsia="Arial" w:hAnsi="Arial"/>
          <w:sz w:val="15"/>
          <w:szCs w:val="15"/>
          <w:color w:val="auto"/>
        </w:rPr>
        <w: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8" w:name="page49"/>
    <w:bookmarkEnd w:id="48"/>
    <w:p>
      <w:pPr>
        <w:jc w:val="both"/>
        <w:ind w:left="6"/>
        <w:spacing w:after="0" w:line="266"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57" w:lineRule="exact"/>
        <w:rPr>
          <w:sz w:val="20"/>
          <w:szCs w:val="20"/>
          <w:color w:val="auto"/>
        </w:rPr>
      </w:pPr>
    </w:p>
    <w:p>
      <w:pPr>
        <w:jc w:val="both"/>
        <w:ind w:left="6" w:firstLine="283"/>
        <w:spacing w:after="0" w:line="251"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69" w:lineRule="exact"/>
        <w:rPr>
          <w:sz w:val="20"/>
          <w:szCs w:val="20"/>
          <w:color w:val="auto"/>
        </w:rPr>
      </w:pPr>
    </w:p>
    <w:p>
      <w:pPr>
        <w:jc w:val="both"/>
        <w:ind w:left="6" w:firstLine="283"/>
        <w:spacing w:after="0" w:line="305" w:lineRule="auto"/>
        <w:rPr>
          <w:sz w:val="20"/>
          <w:szCs w:val="20"/>
          <w:color w:val="auto"/>
        </w:rPr>
      </w:pPr>
      <w:r>
        <w:rPr>
          <w:rFonts w:ascii="Arial" w:cs="Arial" w:eastAsia="Arial" w:hAnsi="Arial"/>
          <w:sz w:val="13"/>
          <w:szCs w:val="13"/>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w:t>
      </w:r>
    </w:p>
    <w:p>
      <w:pPr>
        <w:spacing w:after="0" w:line="2" w:lineRule="exact"/>
        <w:rPr>
          <w:sz w:val="20"/>
          <w:szCs w:val="20"/>
          <w:color w:val="auto"/>
        </w:rPr>
      </w:pPr>
    </w:p>
    <w:p>
      <w:pPr>
        <w:ind w:left="6" w:right="20" w:hanging="6"/>
        <w:spacing w:after="0" w:line="365" w:lineRule="auto"/>
        <w:tabs>
          <w:tab w:leader="none" w:pos="286"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99" w:lineRule="exact"/>
        <w:rPr>
          <w:sz w:val="20"/>
          <w:szCs w:val="20"/>
          <w:color w:val="auto"/>
        </w:rPr>
      </w:pPr>
    </w:p>
    <w:p>
      <w:pPr>
        <w:jc w:val="both"/>
        <w:ind w:left="6" w:firstLine="283"/>
        <w:spacing w:after="0" w:line="265" w:lineRule="auto"/>
        <w:rPr>
          <w:sz w:val="20"/>
          <w:szCs w:val="20"/>
          <w:color w:val="auto"/>
        </w:rPr>
      </w:pPr>
      <w:r>
        <w:rPr>
          <w:rFonts w:ascii="Arial" w:cs="Arial" w:eastAsia="Arial" w:hAnsi="Arial"/>
          <w:sz w:val="15"/>
          <w:szCs w:val="15"/>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$316.0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$433.0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62"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It is more likely than not that the deferred tax assets will not be realized in accordance with ASC Topic 740, ‘Income Taxes’ (“</w:t>
      </w:r>
      <w:r>
        <w:rPr>
          <w:rFonts w:ascii="Arial" w:cs="Arial" w:eastAsia="Arial" w:hAnsi="Arial"/>
          <w:sz w:val="16"/>
          <w:szCs w:val="16"/>
          <w:b w:val="1"/>
          <w:bCs w:val="1"/>
          <w:i w:val="1"/>
          <w:iCs w:val="1"/>
          <w:color w:val="auto"/>
        </w:rPr>
        <w:t>ASC 740</w:t>
      </w:r>
      <w:r>
        <w:rPr>
          <w:rFonts w:ascii="Arial" w:cs="Arial" w:eastAsia="Arial" w:hAnsi="Arial"/>
          <w:sz w:val="16"/>
          <w:szCs w:val="16"/>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65" w:lineRule="exact"/>
        <w:rPr>
          <w:sz w:val="20"/>
          <w:szCs w:val="20"/>
          <w:color w:val="auto"/>
        </w:rPr>
      </w:pPr>
    </w:p>
    <w:p>
      <w:pPr>
        <w:jc w:val="both"/>
        <w:ind w:left="6" w:firstLine="283"/>
        <w:spacing w:after="0" w:line="342" w:lineRule="auto"/>
        <w:rPr>
          <w:sz w:val="20"/>
          <w:szCs w:val="20"/>
          <w:color w:val="auto"/>
        </w:rPr>
      </w:pPr>
      <w:r>
        <w:rPr>
          <w:rFonts w:ascii="Arial" w:cs="Arial" w:eastAsia="Arial" w:hAnsi="Arial"/>
          <w:sz w:val="13"/>
          <w:szCs w:val="13"/>
          <w:color w:val="auto"/>
        </w:rPr>
        <w:t>Finally, because we are a holding company with no operations of its own, its ability to make payments under the Tax Receivable Agreement depends on the ability of Opco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pacing w:after="0" w:line="30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7"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19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All of the shares of Class A common stock offered by the Selling Holders pursuant to this prospectus will be sold by the Selling Holders for their respective accounts. We will not receive any of the proceeds from these sales.</w:t>
      </w:r>
    </w:p>
    <w:p>
      <w:pPr>
        <w:spacing w:after="0" w:line="157"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6"/>
          <w:szCs w:val="16"/>
          <w:b w:val="1"/>
          <w:bCs w:val="1"/>
          <w:color w:val="auto"/>
        </w:rPr>
        <w:t>UNAUDITED PRO FORMA CONDENSED COMBINED FINANCIAL INFORMATION</w:t>
      </w:r>
    </w:p>
    <w:p>
      <w:pPr>
        <w:spacing w:after="0" w:line="19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to aid you in your analysis of the financial aspects of the Transactions (as defined below) and is for informational purposes only. The unaudited pro forma condensed combined financial information presents the pro forma effects of the following transactions, collectively referred to as the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 for purposes of this section, and other related events as described in Note 1 to the accompanying Notes to the unaudited pro forma condensed combined financial information:</w:t>
      </w:r>
    </w:p>
    <w:p>
      <w:pPr>
        <w:spacing w:after="0" w:line="169" w:lineRule="exact"/>
        <w:rPr>
          <w:sz w:val="20"/>
          <w:szCs w:val="20"/>
          <w:color w:val="auto"/>
        </w:rPr>
      </w:pPr>
    </w:p>
    <w:p>
      <w:pPr>
        <w:ind w:left="560" w:hanging="283"/>
        <w:spacing w:after="0" w:line="266" w:lineRule="auto"/>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combination of Opal Fuels LLC (“Opco”) and ArcLight Clean Transition Corp II (“</w:t>
      </w:r>
      <w:r>
        <w:rPr>
          <w:rFonts w:ascii="Arial" w:cs="Arial" w:eastAsia="Arial" w:hAnsi="Arial"/>
          <w:sz w:val="16"/>
          <w:szCs w:val="16"/>
          <w:b w:val="1"/>
          <w:bCs w:val="1"/>
          <w:i w:val="1"/>
          <w:iCs w:val="1"/>
          <w:color w:val="auto"/>
        </w:rPr>
        <w:t>ArcLight</w:t>
      </w:r>
      <w:r>
        <w:rPr>
          <w:rFonts w:ascii="Arial" w:cs="Arial" w:eastAsia="Arial" w:hAnsi="Arial"/>
          <w:sz w:val="16"/>
          <w:szCs w:val="16"/>
          <w:color w:val="auto"/>
        </w:rPr>
        <w:t>”), referred to herein as the “Business Combination”, including the other events contemplated by the Business Combination Agreement;</w:t>
      </w:r>
    </w:p>
    <w:p>
      <w:pPr>
        <w:spacing w:after="0" w:line="157"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NextEra Subscription Agreement with Mendocino Capital, LLC, a Delaware limited liability company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pursuant to which NextEra purchased 1,000,000 Opco Series A Preferred Units (the “</w:t>
      </w:r>
      <w:r>
        <w:rPr>
          <w:rFonts w:ascii="Arial" w:cs="Arial" w:eastAsia="Arial" w:hAnsi="Arial"/>
          <w:sz w:val="16"/>
          <w:szCs w:val="16"/>
          <w:b w:val="1"/>
          <w:bCs w:val="1"/>
          <w:i w:val="1"/>
          <w:iCs w:val="1"/>
          <w:color w:val="auto"/>
        </w:rPr>
        <w:t>NextEra Subscription</w:t>
      </w:r>
      <w:r>
        <w:rPr>
          <w:rFonts w:ascii="Arial" w:cs="Arial" w:eastAsia="Arial" w:hAnsi="Arial"/>
          <w:sz w:val="16"/>
          <w:szCs w:val="16"/>
          <w:color w:val="auto"/>
        </w:rPr>
        <w:t>”) as of June 30, 2022; and</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acquisition of Beacon RNG LLC (“</w:t>
      </w:r>
      <w:r>
        <w:rPr>
          <w:rFonts w:ascii="Arial" w:cs="Arial" w:eastAsia="Arial" w:hAnsi="Arial"/>
          <w:sz w:val="16"/>
          <w:szCs w:val="16"/>
          <w:b w:val="1"/>
          <w:bCs w:val="1"/>
          <w:i w:val="1"/>
          <w:iCs w:val="1"/>
          <w:color w:val="auto"/>
        </w:rPr>
        <w:t>Beacon</w:t>
      </w:r>
      <w:r>
        <w:rPr>
          <w:rFonts w:ascii="Arial" w:cs="Arial" w:eastAsia="Arial" w:hAnsi="Arial"/>
          <w:sz w:val="16"/>
          <w:szCs w:val="16"/>
          <w:color w:val="auto"/>
        </w:rPr>
        <w:t>”) by Opco in May of 2021 (the “</w:t>
      </w:r>
      <w:r>
        <w:rPr>
          <w:rFonts w:ascii="Arial" w:cs="Arial" w:eastAsia="Arial" w:hAnsi="Arial"/>
          <w:sz w:val="16"/>
          <w:szCs w:val="16"/>
          <w:b w:val="1"/>
          <w:bCs w:val="1"/>
          <w:i w:val="1"/>
          <w:iCs w:val="1"/>
          <w:color w:val="auto"/>
        </w:rPr>
        <w:t>Beacon Transaction</w:t>
      </w:r>
      <w:r>
        <w:rPr>
          <w:rFonts w:ascii="Arial" w:cs="Arial" w:eastAsia="Arial" w:hAnsi="Arial"/>
          <w:sz w:val="16"/>
          <w:szCs w:val="16"/>
          <w:color w:val="auto"/>
        </w:rPr>
        <w:t>”).</w:t>
      </w:r>
    </w:p>
    <w:p>
      <w:pPr>
        <w:spacing w:after="0" w:line="193"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The unaudited pro forma condensed combined balance sheet of Opco as of June 30, 2022 combines the historical unaudited condensed consolidated balance sheet of Opco as of June 30, 2022 and the historical unaudited condensed balance sheet of ArcLight as of June 30, 2022, adjusted to give pro forma effect to the Business Combination, the PIPE Investment and certain other events related to the Business Combination between Opco and ArcLight, in each case, as if the Business Combination, PIPE Investment, and other events had been consummated on June 30, 2022. The Beacon Transaction was consummated on May 1, 2021 and, accordingly, activity relating to Beacon is reflected within the unaudited condensed consolidated balance sheet of Opco as of June 30, 2022.</w:t>
      </w:r>
    </w:p>
    <w:p>
      <w:pPr>
        <w:spacing w:after="0" w:line="15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The unaudited pro forma condensed combined statement of operations of Opco for the six months ended June 30, 2022 combines the historical unaudited condensed consolidated statement of operations of Opco for the six months ended June 30, 2022, and the historical unaudited condensed statement of operations of ArcLight for the six months ended June 30, 2022,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69"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The unaudited pro forma condensed combined statement of operations of Opco for the year ended December 31, 2021 combines the historical audited consolidated statement of operations of Opco for the year ended December 31, 2021, the historical audited consolidated statement of operations of ArcLight for the period from January 13, 2021 (inception) through December 31, 2021, and the historical audited statement of operations of Beacon for the four-month period ended April 30, 2021,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28"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The unaudited pro forma condensed combined balance sheet does not purport to represent, and is not necessarily indicative of, what the actual financial condition of the Combined Company (as defined in Note 1 below) would have been had the Transactions taken place as of June 30, 2022,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and the PIPE Transaction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unaudited pro forma condensed combined financial information should be read in conjunction with:</w:t>
      </w:r>
    </w:p>
    <w:p>
      <w:pPr>
        <w:spacing w:after="0" w:line="193" w:lineRule="exact"/>
        <w:rPr>
          <w:sz w:val="20"/>
          <w:szCs w:val="20"/>
          <w:color w:val="auto"/>
        </w:rPr>
      </w:pPr>
    </w:p>
    <w:p>
      <w:pPr>
        <w:ind w:left="560" w:hanging="283"/>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accompanying Notes to the unaudited pro forma condensed combined financial statements;</w:t>
      </w:r>
    </w:p>
    <w:p>
      <w:pPr>
        <w:spacing w:after="0" w:line="192" w:lineRule="exact"/>
        <w:rPr>
          <w:rFonts w:ascii="Arial" w:cs="Arial" w:eastAsia="Arial" w:hAnsi="Arial"/>
          <w:sz w:val="16"/>
          <w:szCs w:val="16"/>
          <w:color w:val="auto"/>
        </w:rPr>
      </w:pPr>
    </w:p>
    <w:p>
      <w:pPr>
        <w:jc w:val="both"/>
        <w:ind w:left="560" w:hanging="283"/>
        <w:spacing w:after="0" w:line="383" w:lineRule="auto"/>
        <w:tabs>
          <w:tab w:leader="none" w:pos="5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historical unaudited condensed financial statements of ArcLight, as of, and for the three and six months ended June 30, 2022, and the historical audited financial statements of ArcLight as of December 31, 2021 and for the period from January 13, 2021 (inception) through December 31, 2021, included elsewhere in this prospectus;</w:t>
      </w:r>
    </w:p>
    <w:p>
      <w:pPr>
        <w:spacing w:after="0" w:line="88" w:lineRule="exact"/>
        <w:rPr>
          <w:rFonts w:ascii="Arial" w:cs="Arial" w:eastAsia="Arial" w:hAnsi="Arial"/>
          <w:sz w:val="13"/>
          <w:szCs w:val="13"/>
          <w:color w:val="auto"/>
        </w:rPr>
      </w:pPr>
    </w:p>
    <w:p>
      <w:pPr>
        <w:ind w:left="560" w:right="20" w:hanging="283"/>
        <w:spacing w:after="0" w:line="266" w:lineRule="auto"/>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historical unaudited condensed consolidated financial statements of Opco, as of, and for the three and six months ended June 30, 2022, and the historical audited consolidated financial statements of Opco as of and for the year ended December 31, 2021, included elsewhere in this prospectus;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historical audited consolidated financial statements of Beacon, as of, and for the four months ended April 30, 2021, included elsewhere in this prospectus and</w:t>
      </w:r>
    </w:p>
    <w:p>
      <w:pPr>
        <w:spacing w:after="0" w:line="227" w:lineRule="exact"/>
        <w:rPr>
          <w:rFonts w:ascii="Arial" w:cs="Arial" w:eastAsia="Arial" w:hAnsi="Arial"/>
          <w:sz w:val="13"/>
          <w:szCs w:val="13"/>
          <w:color w:val="auto"/>
        </w:rPr>
      </w:pPr>
    </w:p>
    <w:p>
      <w:pPr>
        <w:ind w:left="560" w:hanging="283"/>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elsewhere in this prospectus.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6"/>
          <w:szCs w:val="16"/>
          <w:b w:val="1"/>
          <w:bCs w:val="1"/>
          <w:color w:val="auto"/>
        </w:rPr>
        <w:t>UNAUDITED PRO FORMA CONDENSED COMBINED BALANCE SHEET</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OF JUNE 30, 2022</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121"/>
              <w:spacing w:after="0"/>
              <w:rPr>
                <w:sz w:val="20"/>
                <w:szCs w:val="20"/>
                <w:color w:val="auto"/>
              </w:rPr>
            </w:pPr>
            <w:r>
              <w:rPr>
                <w:rFonts w:ascii="Arial" w:cs="Arial" w:eastAsia="Arial" w:hAnsi="Arial"/>
                <w:sz w:val="16"/>
                <w:szCs w:val="16"/>
                <w:b w:val="1"/>
                <w:bCs w:val="1"/>
                <w:color w:val="auto"/>
                <w:w w:val="88"/>
              </w:rPr>
              <w:t>Transaction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0"/>
        </w:trPr>
        <w:tc>
          <w:tcPr>
            <w:tcW w:w="4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Historical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center"/>
              <w:ind w:right="161"/>
              <w:spacing w:after="0"/>
              <w:rPr>
                <w:sz w:val="20"/>
                <w:szCs w:val="20"/>
                <w:color w:val="auto"/>
              </w:rPr>
            </w:pPr>
            <w:r>
              <w:rPr>
                <w:rFonts w:ascii="Arial" w:cs="Arial" w:eastAsia="Arial" w:hAnsi="Arial"/>
                <w:sz w:val="16"/>
                <w:szCs w:val="16"/>
                <w:b w:val="1"/>
                <w:bCs w:val="1"/>
                <w:color w:val="auto"/>
                <w:w w:val="88"/>
              </w:rPr>
              <w:t>Accounting</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72"/>
        </w:trPr>
        <w:tc>
          <w:tcPr>
            <w:tcW w:w="4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right"/>
              <w:ind w:right="540"/>
              <w:spacing w:after="0" w:line="172" w:lineRule="exact"/>
              <w:rPr>
                <w:sz w:val="20"/>
                <w:szCs w:val="20"/>
                <w:color w:val="auto"/>
              </w:rPr>
            </w:pPr>
            <w:r>
              <w:rPr>
                <w:rFonts w:ascii="Arial" w:cs="Arial" w:eastAsia="Arial" w:hAnsi="Arial"/>
                <w:sz w:val="16"/>
                <w:szCs w:val="16"/>
                <w:b w:val="1"/>
                <w:bCs w:val="1"/>
                <w:color w:val="auto"/>
              </w:rPr>
              <w:t>OPAL</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142"/>
              <w:spacing w:after="0" w:line="172" w:lineRule="exact"/>
              <w:rPr>
                <w:sz w:val="20"/>
                <w:szCs w:val="20"/>
                <w:color w:val="auto"/>
              </w:rPr>
            </w:pPr>
            <w:r>
              <w:rPr>
                <w:rFonts w:ascii="Arial" w:cs="Arial" w:eastAsia="Arial" w:hAnsi="Arial"/>
                <w:sz w:val="16"/>
                <w:szCs w:val="16"/>
                <w:b w:val="1"/>
                <w:bCs w:val="1"/>
                <w:color w:val="auto"/>
              </w:rPr>
              <w:t>ArcLight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4"/>
          </w:tcPr>
          <w:p>
            <w:pPr>
              <w:jc w:val="center"/>
              <w:ind w:right="41"/>
              <w:spacing w:after="0" w:line="172" w:lineRule="exact"/>
              <w:rPr>
                <w:sz w:val="20"/>
                <w:szCs w:val="20"/>
                <w:color w:val="auto"/>
              </w:rPr>
            </w:pPr>
            <w:r>
              <w:rPr>
                <w:rFonts w:ascii="Arial" w:cs="Arial" w:eastAsia="Arial" w:hAnsi="Arial"/>
                <w:sz w:val="16"/>
                <w:szCs w:val="16"/>
                <w:b w:val="1"/>
                <w:bCs w:val="1"/>
                <w:color w:val="auto"/>
                <w:w w:val="88"/>
              </w:rPr>
              <w:t>Adjustments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line="172" w:lineRule="exact"/>
              <w:rPr>
                <w:sz w:val="20"/>
                <w:szCs w:val="20"/>
                <w:color w:val="auto"/>
              </w:rPr>
            </w:pPr>
            <w:r>
              <w:rPr>
                <w:rFonts w:ascii="Arial" w:cs="Arial" w:eastAsia="Arial" w:hAnsi="Arial"/>
                <w:sz w:val="16"/>
                <w:szCs w:val="16"/>
                <w:b w:val="1"/>
                <w:bCs w:val="1"/>
                <w:color w:val="auto"/>
                <w:w w:val="92"/>
              </w:rPr>
              <w:t>Pro Forma</w:t>
            </w:r>
          </w:p>
        </w:tc>
      </w:tr>
      <w:tr>
        <w:trPr>
          <w:trHeight w:val="209"/>
        </w:trPr>
        <w:tc>
          <w:tcPr>
            <w:tcW w:w="4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Fuels</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(Note 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center"/>
              <w:ind w:right="161"/>
              <w:spacing w:after="0"/>
              <w:rPr>
                <w:sz w:val="20"/>
                <w:szCs w:val="20"/>
                <w:color w:val="auto"/>
              </w:rPr>
            </w:pPr>
            <w:r>
              <w:rPr>
                <w:rFonts w:ascii="Arial" w:cs="Arial" w:eastAsia="Arial" w:hAnsi="Arial"/>
                <w:sz w:val="16"/>
                <w:szCs w:val="16"/>
                <w:b w:val="1"/>
                <w:bCs w:val="1"/>
                <w:color w:val="auto"/>
                <w:w w:val="90"/>
              </w:rPr>
              <w:t>(Note 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Combined</w:t>
            </w: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6"/>
                <w:szCs w:val="16"/>
                <w:b w:val="1"/>
                <w:bCs w:val="1"/>
                <w:color w:val="auto"/>
              </w:rPr>
              <w:t>Assets</w:t>
            </w:r>
          </w:p>
        </w:tc>
        <w:tc>
          <w:tcPr>
            <w:tcW w:w="1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Current Assets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97,091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219 4a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110,806</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6b  $</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235,661</w:t>
            </w:r>
          </w:p>
        </w:tc>
      </w:tr>
      <w:tr>
        <w:trPr>
          <w:trHeight w:val="188"/>
        </w:trPr>
        <w:tc>
          <w:tcPr>
            <w:tcW w:w="4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311,616</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w w:val="78"/>
              </w:rPr>
              <w:t>6a</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9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(9,259)</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78"/>
              </w:rPr>
              <w:t>6e</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4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1"/>
              <w:spacing w:after="0"/>
              <w:rPr>
                <w:sz w:val="20"/>
                <w:szCs w:val="20"/>
                <w:color w:val="auto"/>
              </w:rPr>
            </w:pPr>
            <w:r>
              <w:rPr>
                <w:rFonts w:ascii="Arial" w:cs="Arial" w:eastAsia="Arial" w:hAnsi="Arial"/>
                <w:sz w:val="16"/>
                <w:szCs w:val="16"/>
                <w:color w:val="auto"/>
              </w:rPr>
              <w:t>(274,187)</w:t>
            </w:r>
          </w:p>
        </w:tc>
        <w:tc>
          <w:tcPr>
            <w:tcW w:w="4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6i</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9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(625)</w:t>
            </w:r>
          </w:p>
        </w:tc>
        <w:tc>
          <w:tcPr>
            <w:tcW w:w="4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6l</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24,781</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24,781</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Fuel tax credits receivable</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1,136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1,136</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Contract assets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15,589</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15,589</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Parts inventory</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8,398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8,398</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Note receivable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9,518</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9,518</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Environmental credits held for sale</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646</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Prepaid expense and other current assets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5,810</w:t>
            </w:r>
          </w:p>
        </w:tc>
        <w:tc>
          <w:tcPr>
            <w:tcW w:w="1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546</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w w:val="89"/>
              </w:rPr>
              <w:t>4b</w:t>
            </w: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6,356</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162,969</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138,351</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302,085</w:t>
            </w:r>
          </w:p>
        </w:tc>
      </w:tr>
      <w:tr>
        <w:trPr>
          <w:trHeight w:val="188"/>
        </w:trPr>
        <w:tc>
          <w:tcPr>
            <w:tcW w:w="4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Capital spares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3,066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3,066</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229,411</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229,411</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Investment in other entities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47,113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47,113</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Note receivable - variable fee component</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1,792</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Investments held in Trust Account</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311,616</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(311,616)</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78"/>
              </w:rPr>
              <w:t>6a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1"/>
              <w:spacing w:after="0"/>
              <w:rPr>
                <w:sz w:val="20"/>
                <w:szCs w:val="20"/>
                <w:color w:val="auto"/>
              </w:rPr>
            </w:pPr>
            <w:r>
              <w:rPr>
                <w:rFonts w:ascii="Arial" w:cs="Arial" w:eastAsia="Arial" w:hAnsi="Arial"/>
                <w:sz w:val="16"/>
                <w:szCs w:val="16"/>
                <w:color w:val="auto"/>
              </w:rPr>
              <w:t>(6,443)</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w w:val="78"/>
              </w:rPr>
              <w:t>6e</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700</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2,463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2,463</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Restricted cash</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3,188</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3,188</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54,608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54,608</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Deferred tax assets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6j</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489</w:t>
            </w:r>
          </w:p>
        </w:tc>
      </w:tr>
      <w:tr>
        <w:trPr>
          <w:trHeight w:val="176"/>
        </w:trPr>
        <w:tc>
          <w:tcPr>
            <w:tcW w:w="498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b w:val="1"/>
                <w:bCs w:val="1"/>
                <w:color w:val="auto"/>
              </w:rPr>
              <w:t>Total assets</w:t>
            </w:r>
          </w:p>
        </w:tc>
        <w:tc>
          <w:tcPr>
            <w:tcW w:w="110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512,242</w:t>
            </w:r>
          </w:p>
        </w:tc>
        <w:tc>
          <w:tcPr>
            <w:tcW w:w="2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312,381</w:t>
            </w:r>
          </w:p>
        </w:tc>
        <w:tc>
          <w:tcPr>
            <w:tcW w:w="2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line="172" w:lineRule="exact"/>
              <w:rPr>
                <w:sz w:val="20"/>
                <w:szCs w:val="20"/>
                <w:color w:val="auto"/>
              </w:rPr>
            </w:pPr>
            <w:r>
              <w:rPr>
                <w:rFonts w:ascii="Arial" w:cs="Arial" w:eastAsia="Arial" w:hAnsi="Arial"/>
                <w:sz w:val="16"/>
                <w:szCs w:val="16"/>
                <w:b w:val="1"/>
                <w:bCs w:val="1"/>
                <w:color w:val="auto"/>
              </w:rPr>
              <w:t>(179,708</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3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644,915</w:t>
            </w:r>
          </w:p>
        </w:tc>
        <w:tc>
          <w:tcPr>
            <w:tcW w:w="120" w:type="dxa"/>
            <w:vAlign w:val="bottom"/>
            <w:tcBorders>
              <w:top w:val="single" w:sz="8" w:color="CCEEFF"/>
              <w:bottom w:val="single" w:sz="8" w:color="CCEEFF"/>
            </w:tcBorders>
          </w:tcPr>
          <w:p>
            <w:pPr>
              <w:spacing w:after="0"/>
              <w:rPr>
                <w:sz w:val="15"/>
                <w:szCs w:val="15"/>
                <w:color w:val="auto"/>
              </w:rPr>
            </w:pPr>
          </w:p>
        </w:tc>
      </w:tr>
      <w:tr>
        <w:trPr>
          <w:trHeight w:val="188"/>
        </w:trPr>
        <w:tc>
          <w:tcPr>
            <w:tcW w:w="49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Liabilities and Equity</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Accounts payable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7,676</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7,745</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related party</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1,141</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1,146</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Fuel tax credits payable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683</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Accrued payroll</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4,410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4,410</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Accrued expenses and other current liabilities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12,803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6,222</w:t>
            </w:r>
          </w:p>
        </w:tc>
        <w:tc>
          <w:tcPr>
            <w:tcW w:w="20" w:type="dxa"/>
            <w:vAlign w:val="bottom"/>
          </w:tcPr>
          <w:p>
            <w:pPr>
              <w:spacing w:after="0"/>
              <w:rPr>
                <w:sz w:val="16"/>
                <w:szCs w:val="16"/>
                <w:color w:val="auto"/>
              </w:rPr>
            </w:pPr>
          </w:p>
        </w:tc>
        <w:tc>
          <w:tcPr>
            <w:tcW w:w="320" w:type="dxa"/>
            <w:vAlign w:val="bottom"/>
          </w:tcPr>
          <w:p>
            <w:pPr>
              <w:jc w:val="right"/>
              <w:ind w:right="62"/>
              <w:spacing w:after="0"/>
              <w:rPr>
                <w:sz w:val="20"/>
                <w:szCs w:val="20"/>
                <w:color w:val="auto"/>
              </w:rPr>
            </w:pPr>
            <w:r>
              <w:rPr>
                <w:rFonts w:ascii="Arial" w:cs="Arial" w:eastAsia="Arial" w:hAnsi="Arial"/>
                <w:sz w:val="16"/>
                <w:szCs w:val="16"/>
                <w:color w:val="auto"/>
                <w:w w:val="94"/>
              </w:rPr>
              <w:t>4c</w:t>
            </w:r>
          </w:p>
        </w:tc>
        <w:tc>
          <w:tcPr>
            <w:tcW w:w="100" w:type="dxa"/>
            <w:vAlign w:val="bottom"/>
          </w:tcPr>
          <w:p>
            <w:pPr>
              <w:spacing w:after="0"/>
              <w:rPr>
                <w:sz w:val="16"/>
                <w:szCs w:val="16"/>
                <w:color w:val="auto"/>
              </w:rPr>
            </w:pPr>
          </w:p>
        </w:tc>
        <w:tc>
          <w:tcPr>
            <w:tcW w:w="1000" w:type="dxa"/>
            <w:vAlign w:val="bottom"/>
            <w:gridSpan w:val="3"/>
          </w:tcPr>
          <w:p>
            <w:pPr>
              <w:jc w:val="right"/>
              <w:ind w:right="1"/>
              <w:spacing w:after="0"/>
              <w:rPr>
                <w:sz w:val="20"/>
                <w:szCs w:val="20"/>
                <w:color w:val="auto"/>
              </w:rPr>
            </w:pPr>
            <w:r>
              <w:rPr>
                <w:rFonts w:ascii="Arial" w:cs="Arial" w:eastAsia="Arial" w:hAnsi="Arial"/>
                <w:sz w:val="16"/>
                <w:szCs w:val="16"/>
                <w:color w:val="auto"/>
              </w:rPr>
              <w:t>(1,400)</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w w:val="78"/>
              </w:rPr>
              <w:t>6e</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15,582</w:t>
            </w:r>
          </w:p>
        </w:tc>
      </w:tr>
      <w:tr>
        <w:trPr>
          <w:trHeight w:val="188"/>
        </w:trPr>
        <w:tc>
          <w:tcPr>
            <w:tcW w:w="49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(6,243)</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78"/>
              </w:rPr>
              <w:t>6e</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4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4,200</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w w:val="78"/>
              </w:rPr>
              <w:t>6e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Accrued capital expenses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18,263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18,263</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Contract liabilities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7,159</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7,159</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Sunoma loan, current portion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1,418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1,418</w:t>
            </w: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6"/>
                <w:szCs w:val="16"/>
                <w:color w:val="auto"/>
              </w:rPr>
              <w:t>Senior secured credit facility - term loan, current portion,</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0"/>
        </w:trPr>
        <w:tc>
          <w:tcPr>
            <w:tcW w:w="4980" w:type="dxa"/>
            <w:vAlign w:val="bottom"/>
          </w:tcPr>
          <w:p>
            <w:pPr>
              <w:ind w:left="140"/>
              <w:spacing w:after="0"/>
              <w:rPr>
                <w:sz w:val="20"/>
                <w:szCs w:val="20"/>
                <w:color w:val="auto"/>
              </w:rPr>
            </w:pPr>
            <w:r>
              <w:rPr>
                <w:rFonts w:ascii="Arial" w:cs="Arial" w:eastAsia="Arial" w:hAnsi="Arial"/>
                <w:sz w:val="16"/>
                <w:szCs w:val="16"/>
                <w:color w:val="auto"/>
              </w:rPr>
              <w:t>net of debt issuance costs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72,396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72,396</w:t>
            </w: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credit facility - working capital facility, current portion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7,500</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OPAL term loan, current portion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19,332</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19,332</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Municipality loan - current portion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Derivative financial liability, current portion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5,000</w:t>
            </w:r>
          </w:p>
        </w:tc>
        <w:tc>
          <w:tcPr>
            <w:tcW w:w="4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6l</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5,592</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Asset retirement obligation, current portion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1,586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1,586</w:t>
            </w:r>
          </w:p>
        </w:tc>
      </w:tr>
      <w:tr>
        <w:trPr>
          <w:trHeight w:val="204"/>
        </w:trPr>
        <w:tc>
          <w:tcPr>
            <w:tcW w:w="498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625</w:t>
            </w:r>
          </w:p>
        </w:tc>
      </w:tr>
      <w:tr>
        <w:trPr>
          <w:trHeight w:val="188"/>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1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155,758</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6,296</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163,611</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Asset retirement obligation, non-current portion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4,301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4,301</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Convertible note payable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60,820</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1"/>
              <w:spacing w:after="0"/>
              <w:rPr>
                <w:sz w:val="20"/>
                <w:szCs w:val="20"/>
                <w:color w:val="auto"/>
              </w:rPr>
            </w:pPr>
            <w:r>
              <w:rPr>
                <w:rFonts w:ascii="Arial" w:cs="Arial" w:eastAsia="Arial" w:hAnsi="Arial"/>
                <w:sz w:val="16"/>
                <w:szCs w:val="16"/>
                <w:color w:val="auto"/>
              </w:rPr>
              <w:t>(30,410)</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w w:val="78"/>
              </w:rPr>
              <w:t>6d</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30,410</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Sunoma loan, net of debt issuance costs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17,469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17,469</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Opal Term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62,013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62,013</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Derivative warrant liabilities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16,219</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16,219</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Tax receivable agreement liability</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6j</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Earnout liability</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6"/>
                <w:szCs w:val="16"/>
                <w:color w:val="auto"/>
              </w:rPr>
              <w:t>51,900</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2"/>
              </w:rPr>
              <w:t>6k</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51,900</w:t>
            </w:r>
          </w:p>
        </w:tc>
      </w:tr>
      <w:tr>
        <w:trPr>
          <w:trHeight w:val="204"/>
        </w:trPr>
        <w:tc>
          <w:tcPr>
            <w:tcW w:w="49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4,962</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4,962</w:t>
            </w:r>
          </w:p>
        </w:tc>
      </w:tr>
      <w:tr>
        <w:trPr>
          <w:trHeight w:val="208"/>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305,323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23,047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350,885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552"/>
        </w:trPr>
        <w:tc>
          <w:tcPr>
            <w:tcW w:w="4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44</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3" w:right="31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6"/>
          <w:szCs w:val="16"/>
          <w:b w:val="1"/>
          <w:bCs w:val="1"/>
          <w:color w:val="auto"/>
        </w:rPr>
        <w:t>UNAUDITED PRO FORMA CONDENSED COMBINED BALANCE SHEET</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OF JUNE 30, 2022 — (Continued)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61"/>
              <w:spacing w:after="0"/>
              <w:rPr>
                <w:sz w:val="20"/>
                <w:szCs w:val="20"/>
                <w:color w:val="auto"/>
              </w:rPr>
            </w:pPr>
            <w:r>
              <w:rPr>
                <w:rFonts w:ascii="Arial" w:cs="Arial" w:eastAsia="Arial" w:hAnsi="Arial"/>
                <w:sz w:val="16"/>
                <w:szCs w:val="16"/>
                <w:b w:val="1"/>
                <w:bCs w:val="1"/>
                <w:color w:val="auto"/>
                <w:w w:val="88"/>
              </w:rPr>
              <w:t>Transaction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0"/>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gridSpan w:val="5"/>
          </w:tcPr>
          <w:p>
            <w:pPr>
              <w:jc w:val="right"/>
              <w:ind w:right="942"/>
              <w:spacing w:after="0"/>
              <w:rPr>
                <w:sz w:val="20"/>
                <w:szCs w:val="20"/>
                <w:color w:val="auto"/>
              </w:rPr>
            </w:pPr>
            <w:r>
              <w:rPr>
                <w:rFonts w:ascii="Arial" w:cs="Arial" w:eastAsia="Arial" w:hAnsi="Arial"/>
                <w:sz w:val="16"/>
                <w:szCs w:val="16"/>
                <w:b w:val="1"/>
                <w:bCs w:val="1"/>
                <w:color w:val="auto"/>
              </w:rPr>
              <w:t>Historical</w:t>
            </w:r>
          </w:p>
        </w:tc>
        <w:tc>
          <w:tcPr>
            <w:tcW w:w="120" w:type="dxa"/>
            <w:vAlign w:val="bottom"/>
          </w:tcPr>
          <w:p>
            <w:pPr>
              <w:spacing w:after="0"/>
              <w:rPr>
                <w:sz w:val="19"/>
                <w:szCs w:val="19"/>
                <w:color w:val="auto"/>
              </w:rPr>
            </w:pPr>
          </w:p>
        </w:tc>
        <w:tc>
          <w:tcPr>
            <w:tcW w:w="1320" w:type="dxa"/>
            <w:vAlign w:val="bottom"/>
            <w:gridSpan w:val="2"/>
          </w:tcPr>
          <w:p>
            <w:pPr>
              <w:jc w:val="center"/>
              <w:ind w:right="161"/>
              <w:spacing w:after="0"/>
              <w:rPr>
                <w:sz w:val="20"/>
                <w:szCs w:val="20"/>
                <w:color w:val="auto"/>
              </w:rPr>
            </w:pPr>
            <w:r>
              <w:rPr>
                <w:rFonts w:ascii="Arial" w:cs="Arial" w:eastAsia="Arial" w:hAnsi="Arial"/>
                <w:sz w:val="16"/>
                <w:szCs w:val="16"/>
                <w:b w:val="1"/>
                <w:bCs w:val="1"/>
                <w:color w:val="auto"/>
                <w:w w:val="86"/>
              </w:rPr>
              <w:t>Accounting</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72"/>
        </w:trPr>
        <w:tc>
          <w:tcPr>
            <w:tcW w:w="58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42"/>
              <w:spacing w:after="0" w:line="172" w:lineRule="exact"/>
              <w:rPr>
                <w:sz w:val="20"/>
                <w:szCs w:val="20"/>
                <w:color w:val="auto"/>
              </w:rPr>
            </w:pPr>
            <w:r>
              <w:rPr>
                <w:rFonts w:ascii="Arial" w:cs="Arial" w:eastAsia="Arial" w:hAnsi="Arial"/>
                <w:sz w:val="16"/>
                <w:szCs w:val="16"/>
                <w:b w:val="1"/>
                <w:bCs w:val="1"/>
                <w:color w:val="auto"/>
                <w:w w:val="97"/>
              </w:rPr>
              <w:t>ArcLight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81"/>
              <w:spacing w:after="0" w:line="172" w:lineRule="exact"/>
              <w:rPr>
                <w:sz w:val="20"/>
                <w:szCs w:val="20"/>
                <w:color w:val="auto"/>
              </w:rPr>
            </w:pPr>
            <w:r>
              <w:rPr>
                <w:rFonts w:ascii="Arial" w:cs="Arial" w:eastAsia="Arial" w:hAnsi="Arial"/>
                <w:sz w:val="16"/>
                <w:szCs w:val="16"/>
                <w:b w:val="1"/>
                <w:bCs w:val="1"/>
                <w:color w:val="auto"/>
                <w:w w:val="88"/>
              </w:rPr>
              <w:t>Adjustments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line="172" w:lineRule="exact"/>
              <w:rPr>
                <w:sz w:val="20"/>
                <w:szCs w:val="20"/>
                <w:color w:val="auto"/>
              </w:rPr>
            </w:pPr>
            <w:r>
              <w:rPr>
                <w:rFonts w:ascii="Arial" w:cs="Arial" w:eastAsia="Arial" w:hAnsi="Arial"/>
                <w:sz w:val="16"/>
                <w:szCs w:val="16"/>
                <w:b w:val="1"/>
                <w:bCs w:val="1"/>
                <w:color w:val="auto"/>
                <w:w w:val="92"/>
              </w:rPr>
              <w:t>Pro Forma</w:t>
            </w:r>
          </w:p>
        </w:tc>
      </w:tr>
      <w:tr>
        <w:trPr>
          <w:trHeight w:val="209"/>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Opco</w:t>
            </w:r>
          </w:p>
        </w:tc>
        <w:tc>
          <w:tcPr>
            <w:tcW w:w="140" w:type="dxa"/>
            <w:vAlign w:val="bottom"/>
          </w:tcPr>
          <w:p>
            <w:pPr>
              <w:spacing w:after="0"/>
              <w:rPr>
                <w:sz w:val="18"/>
                <w:szCs w:val="18"/>
                <w:color w:val="auto"/>
              </w:rPr>
            </w:pPr>
          </w:p>
        </w:tc>
        <w:tc>
          <w:tcPr>
            <w:tcW w:w="1100" w:type="dxa"/>
            <w:vAlign w:val="bottom"/>
            <w:gridSpan w:val="2"/>
          </w:tcPr>
          <w:p>
            <w:pPr>
              <w:jc w:val="right"/>
              <w:ind w:right="382"/>
              <w:spacing w:after="0"/>
              <w:rPr>
                <w:sz w:val="20"/>
                <w:szCs w:val="20"/>
                <w:color w:val="auto"/>
              </w:rPr>
            </w:pPr>
            <w:r>
              <w:rPr>
                <w:rFonts w:ascii="Arial" w:cs="Arial" w:eastAsia="Arial" w:hAnsi="Arial"/>
                <w:sz w:val="16"/>
                <w:szCs w:val="16"/>
                <w:b w:val="1"/>
                <w:bCs w:val="1"/>
                <w:color w:val="auto"/>
              </w:rPr>
              <w:t>(Note 4)</w:t>
            </w:r>
          </w:p>
        </w:tc>
        <w:tc>
          <w:tcPr>
            <w:tcW w:w="120" w:type="dxa"/>
            <w:vAlign w:val="bottom"/>
          </w:tcPr>
          <w:p>
            <w:pPr>
              <w:spacing w:after="0"/>
              <w:rPr>
                <w:sz w:val="18"/>
                <w:szCs w:val="18"/>
                <w:color w:val="auto"/>
              </w:rPr>
            </w:pPr>
          </w:p>
        </w:tc>
        <w:tc>
          <w:tcPr>
            <w:tcW w:w="1320" w:type="dxa"/>
            <w:vAlign w:val="bottom"/>
            <w:gridSpan w:val="2"/>
          </w:tcPr>
          <w:p>
            <w:pPr>
              <w:jc w:val="center"/>
              <w:ind w:right="181"/>
              <w:spacing w:after="0"/>
              <w:rPr>
                <w:sz w:val="20"/>
                <w:szCs w:val="20"/>
                <w:color w:val="auto"/>
              </w:rPr>
            </w:pPr>
            <w:r>
              <w:rPr>
                <w:rFonts w:ascii="Arial" w:cs="Arial" w:eastAsia="Arial" w:hAnsi="Arial"/>
                <w:sz w:val="16"/>
                <w:szCs w:val="16"/>
                <w:b w:val="1"/>
                <w:bCs w:val="1"/>
                <w:color w:val="auto"/>
                <w:w w:val="90"/>
              </w:rPr>
              <w:t>(Note 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Combined</w:t>
            </w:r>
          </w:p>
        </w:tc>
      </w:tr>
      <w:tr>
        <w:trPr>
          <w:trHeight w:val="164"/>
        </w:trPr>
        <w:tc>
          <w:tcPr>
            <w:tcW w:w="586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w w:val="92"/>
              </w:rPr>
              <w:t>Class A ordinary shares subject to possible redemption; 31,116,305 shares at redemption</w:t>
            </w: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201"/>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value of $10.00</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311,516</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(311,516)</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6f</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5860" w:type="dxa"/>
            <w:vAlign w:val="bottom"/>
          </w:tcPr>
          <w:p>
            <w:pPr>
              <w:spacing w:after="0"/>
              <w:rPr>
                <w:sz w:val="20"/>
                <w:szCs w:val="20"/>
                <w:color w:val="auto"/>
              </w:rPr>
            </w:pPr>
            <w:r>
              <w:rPr>
                <w:rFonts w:ascii="Arial" w:cs="Arial" w:eastAsia="Arial" w:hAnsi="Arial"/>
                <w:sz w:val="16"/>
                <w:szCs w:val="16"/>
                <w:color w:val="auto"/>
              </w:rPr>
              <w:t>Redeemable preferred units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Series A preferred units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101,228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(101,228)</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6c</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5860" w:type="dxa"/>
            <w:vAlign w:val="bottom"/>
          </w:tcPr>
          <w:p>
            <w:pPr>
              <w:spacing w:after="0"/>
              <w:rPr>
                <w:sz w:val="20"/>
                <w:szCs w:val="20"/>
                <w:color w:val="auto"/>
              </w:rPr>
            </w:pPr>
            <w:r>
              <w:rPr>
                <w:rFonts w:ascii="Arial" w:cs="Arial" w:eastAsia="Arial" w:hAnsi="Arial"/>
                <w:sz w:val="16"/>
                <w:szCs w:val="16"/>
                <w:color w:val="auto"/>
              </w:rPr>
              <w:t>Series A-1 preferred units</w:t>
            </w: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31,417</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(31,417)</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6c</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Redeemable preferred noncontrolling interest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101,228</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6c</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132,645</w:t>
            </w: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6"/>
                <w:szCs w:val="16"/>
                <w:color w:val="auto"/>
              </w:rPr>
              <w:t>31,417</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6c</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56,636</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6h</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136,553</w:t>
            </w: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(3,585)</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83,503</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6h</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8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Common units</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47,681</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(47,681)</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6h</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6g</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6"/>
        </w:trPr>
        <w:tc>
          <w:tcPr>
            <w:tcW w:w="58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6"/>
              </w:rPr>
              <w:t>Preference shares, $0.0001 par value; 5,000,000 shares authorized; none issued and</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1"/>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6"/>
        </w:trPr>
        <w:tc>
          <w:tcPr>
            <w:tcW w:w="5860" w:type="dxa"/>
            <w:vAlign w:val="bottom"/>
          </w:tcPr>
          <w:p>
            <w:pPr>
              <w:spacing w:after="0" w:line="176" w:lineRule="exact"/>
              <w:rPr>
                <w:sz w:val="20"/>
                <w:szCs w:val="20"/>
                <w:color w:val="auto"/>
              </w:rPr>
            </w:pPr>
            <w:r>
              <w:rPr>
                <w:rFonts w:ascii="Arial" w:cs="Arial" w:eastAsia="Arial" w:hAnsi="Arial"/>
                <w:sz w:val="16"/>
                <w:szCs w:val="16"/>
                <w:color w:val="auto"/>
                <w:w w:val="95"/>
              </w:rPr>
              <w:t>Class A ordinary shares, $0.0001 par value; 500,000,000 shares authorized (excluding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0"/>
        </w:trPr>
        <w:tc>
          <w:tcPr>
            <w:tcW w:w="5860" w:type="dxa"/>
            <w:vAlign w:val="bottom"/>
          </w:tcPr>
          <w:p>
            <w:pPr>
              <w:ind w:left="140"/>
              <w:spacing w:after="0"/>
              <w:rPr>
                <w:sz w:val="20"/>
                <w:szCs w:val="20"/>
                <w:color w:val="auto"/>
              </w:rPr>
            </w:pPr>
            <w:r>
              <w:rPr>
                <w:rFonts w:ascii="Arial" w:cs="Arial" w:eastAsia="Arial" w:hAnsi="Arial"/>
                <w:sz w:val="16"/>
                <w:szCs w:val="16"/>
                <w:color w:val="auto"/>
              </w:rPr>
              <w:t>31,116,305 shares subject to possible redemption)</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6f</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7"/>
        </w:trPr>
        <w:tc>
          <w:tcPr>
            <w:tcW w:w="58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w w:val="96"/>
              </w:rPr>
              <w:t>Class B ordinary shares, $0.0001 par value; 50,000,000 shares authorized; 7,779,076</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1"/>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issued and outstanding</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6f</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5860" w:type="dxa"/>
            <w:vAlign w:val="bottom"/>
          </w:tcPr>
          <w:p>
            <w:pPr>
              <w:spacing w:after="0"/>
              <w:rPr>
                <w:sz w:val="20"/>
                <w:szCs w:val="20"/>
                <w:color w:val="auto"/>
              </w:rPr>
            </w:pPr>
            <w:r>
              <w:rPr>
                <w:rFonts w:ascii="Arial" w:cs="Arial" w:eastAsia="Arial" w:hAnsi="Arial"/>
                <w:sz w:val="16"/>
                <w:szCs w:val="16"/>
                <w:color w:val="auto"/>
              </w:rPr>
              <w:t>New OPAL Class A common stock</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6"/>
                <w:szCs w:val="16"/>
                <w:color w:val="auto"/>
              </w:rPr>
              <w:t>4</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6g</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r>
      <w:tr>
        <w:trPr>
          <w:trHeight w:val="188"/>
        </w:trPr>
        <w:tc>
          <w:tcPr>
            <w:tcW w:w="5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6b</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6f</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(3)</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6i</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New OPAL Class B common stock</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6g</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5860" w:type="dxa"/>
            <w:vAlign w:val="bottom"/>
          </w:tcPr>
          <w:p>
            <w:pPr>
              <w:spacing w:after="0"/>
              <w:rPr>
                <w:sz w:val="20"/>
                <w:szCs w:val="20"/>
                <w:color w:val="auto"/>
              </w:rPr>
            </w:pPr>
            <w:r>
              <w:rPr>
                <w:rFonts w:ascii="Arial" w:cs="Arial" w:eastAsia="Arial" w:hAnsi="Arial"/>
                <w:sz w:val="16"/>
                <w:szCs w:val="16"/>
                <w:color w:val="auto"/>
              </w:rPr>
              <w:t>New OPAL Class D common stock</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6g</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r>
      <w:tr>
        <w:trPr>
          <w:trHeight w:val="188"/>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6g</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7,788</w:t>
            </w: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6"/>
                <w:szCs w:val="16"/>
                <w:color w:val="auto"/>
              </w:rPr>
              <w:t>110,805</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6b</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30,410</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6d</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6"/>
                <w:szCs w:val="16"/>
                <w:color w:val="auto"/>
              </w:rPr>
              <w:t>311,513</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6f</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(51,900)</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6k</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(21,651)</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6g</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(1,616)</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6e</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(6,443)</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(274,184)</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6i</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(83,503)</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6h</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(5,625)</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6l</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6m</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(21,651)</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21,651</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6g</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(615)</w:t>
            </w: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(8,955)</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6h</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(615)</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6e</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4"/>
        </w:trPr>
        <w:tc>
          <w:tcPr>
            <w:tcW w:w="5860" w:type="dxa"/>
            <w:vAlign w:val="bottom"/>
          </w:tcPr>
          <w:p>
            <w:pPr>
              <w:spacing w:after="0"/>
              <w:rPr>
                <w:sz w:val="20"/>
                <w:szCs w:val="20"/>
                <w:color w:val="auto"/>
              </w:rPr>
            </w:pPr>
            <w:r>
              <w:rPr>
                <w:rFonts w:ascii="Arial" w:cs="Arial" w:eastAsia="Arial" w:hAnsi="Arial"/>
                <w:sz w:val="16"/>
                <w:szCs w:val="16"/>
                <w:color w:val="auto"/>
              </w:rPr>
              <w:t>Non-controlling interest in subsidiaries</w:t>
            </w: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17,638</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17,638</w:t>
            </w:r>
          </w:p>
        </w:tc>
      </w:tr>
      <w:tr>
        <w:trPr>
          <w:trHeight w:val="208"/>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74,274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(21,650</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(27,793</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39"/>
        </w:trPr>
        <w:tc>
          <w:tcPr>
            <w:tcW w:w="5860" w:type="dxa"/>
            <w:vAlign w:val="bottom"/>
          </w:tcPr>
          <w:p>
            <w:pPr>
              <w:spacing w:after="0" w:line="180" w:lineRule="exact"/>
              <w:rPr>
                <w:sz w:val="20"/>
                <w:szCs w:val="20"/>
                <w:color w:val="auto"/>
              </w:rPr>
            </w:pPr>
            <w:r>
              <w:rPr>
                <w:rFonts w:ascii="Arial" w:cs="Arial" w:eastAsia="Arial" w:hAnsi="Arial"/>
                <w:sz w:val="16"/>
                <w:szCs w:val="16"/>
                <w:color w:val="auto"/>
              </w:rPr>
              <w:t>Total liabilities and equity</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512,242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42"/>
              <w:spacing w:after="0"/>
              <w:rPr>
                <w:sz w:val="20"/>
                <w:szCs w:val="20"/>
                <w:color w:val="auto"/>
              </w:rPr>
            </w:pPr>
            <w:r>
              <w:rPr>
                <w:rFonts w:ascii="Arial" w:cs="Arial" w:eastAsia="Arial" w:hAnsi="Arial"/>
                <w:sz w:val="16"/>
                <w:szCs w:val="16"/>
                <w:b w:val="1"/>
                <w:bCs w:val="1"/>
                <w:color w:val="auto"/>
              </w:rPr>
              <w:t>312,381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(179,708</w:t>
            </w:r>
          </w:p>
        </w:tc>
        <w:tc>
          <w:tcPr>
            <w:tcW w:w="80" w:type="dxa"/>
            <w:vAlign w:val="bottom"/>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460" w:type="dxa"/>
            <w:vAlign w:val="bottom"/>
            <w:gridSpan w:val="2"/>
          </w:tcPr>
          <w:p>
            <w:pPr>
              <w:ind w:left="34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644,915</w:t>
            </w:r>
          </w:p>
        </w:tc>
      </w:tr>
      <w:tr>
        <w:trPr>
          <w:trHeight w:val="564"/>
        </w:trPr>
        <w:tc>
          <w:tcPr>
            <w:tcW w:w="5860" w:type="dxa"/>
            <w:vAlign w:val="bottom"/>
            <w:tcBorders>
              <w:bottom w:val="single" w:sz="8" w:color="auto"/>
            </w:tcBorders>
          </w:tcPr>
          <w:p>
            <w:pPr>
              <w:ind w:left="5540"/>
              <w:spacing w:after="0"/>
              <w:rPr>
                <w:sz w:val="20"/>
                <w:szCs w:val="20"/>
                <w:color w:val="auto"/>
              </w:rPr>
            </w:pPr>
            <w:r>
              <w:rPr>
                <w:rFonts w:ascii="Arial" w:cs="Arial" w:eastAsia="Arial" w:hAnsi="Arial"/>
                <w:sz w:val="16"/>
                <w:szCs w:val="16"/>
                <w:color w:val="auto"/>
              </w:rPr>
              <w:t>45</w:t>
            </w: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3" w:right="31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6"/>
          <w:szCs w:val="16"/>
          <w:b w:val="1"/>
          <w:bCs w:val="1"/>
          <w:color w:val="auto"/>
        </w:rPr>
        <w:t>UNAUDITED PRO FORMA CONDENSED COMBINED STATEMENT OF OPERATIONS</w:t>
      </w:r>
    </w:p>
    <w:p>
      <w:pPr>
        <w:spacing w:after="0" w:line="20"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FOR THE SIX MONTHS ENDED JUNE 30, 2022</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Historical</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Transaction</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Accounting</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82"/>
              <w:spacing w:after="0" w:line="172" w:lineRule="exact"/>
              <w:rPr>
                <w:sz w:val="20"/>
                <w:szCs w:val="20"/>
                <w:color w:val="auto"/>
              </w:rPr>
            </w:pPr>
            <w:r>
              <w:rPr>
                <w:rFonts w:ascii="Arial" w:cs="Arial" w:eastAsia="Arial" w:hAnsi="Arial"/>
                <w:sz w:val="16"/>
                <w:szCs w:val="16"/>
                <w:b w:val="1"/>
                <w:bCs w:val="1"/>
                <w:color w:val="auto"/>
                <w:w w:val="94"/>
              </w:rPr>
              <w:t>ArcLight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72" w:lineRule="exact"/>
              <w:rPr>
                <w:sz w:val="20"/>
                <w:szCs w:val="20"/>
                <w:color w:val="auto"/>
              </w:rPr>
            </w:pPr>
            <w:r>
              <w:rPr>
                <w:rFonts w:ascii="Arial" w:cs="Arial" w:eastAsia="Arial" w:hAnsi="Arial"/>
                <w:sz w:val="16"/>
                <w:szCs w:val="16"/>
                <w:b w:val="1"/>
                <w:bCs w:val="1"/>
                <w:color w:val="auto"/>
                <w:w w:val="88"/>
              </w:rPr>
              <w:t>Adjustments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line="172" w:lineRule="exact"/>
              <w:rPr>
                <w:sz w:val="20"/>
                <w:szCs w:val="20"/>
                <w:color w:val="auto"/>
              </w:rPr>
            </w:pPr>
            <w:r>
              <w:rPr>
                <w:rFonts w:ascii="Arial" w:cs="Arial" w:eastAsia="Arial" w:hAnsi="Arial"/>
                <w:sz w:val="16"/>
                <w:szCs w:val="16"/>
                <w:b w:val="1"/>
                <w:bCs w:val="1"/>
                <w:color w:val="auto"/>
                <w:w w:val="97"/>
              </w:rPr>
              <w:t>Pro Forma</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62"/>
              <w:spacing w:after="0"/>
              <w:rPr>
                <w:sz w:val="20"/>
                <w:szCs w:val="20"/>
                <w:color w:val="auto"/>
              </w:rPr>
            </w:pPr>
            <w:r>
              <w:rPr>
                <w:rFonts w:ascii="Arial" w:cs="Arial" w:eastAsia="Arial" w:hAnsi="Arial"/>
                <w:sz w:val="16"/>
                <w:szCs w:val="16"/>
                <w:b w:val="1"/>
                <w:bCs w:val="1"/>
                <w:color w:val="auto"/>
              </w:rPr>
              <w:t>Opco</w:t>
            </w:r>
          </w:p>
        </w:tc>
        <w:tc>
          <w:tcPr>
            <w:tcW w:w="220" w:type="dxa"/>
            <w:vAlign w:val="bottom"/>
          </w:tcPr>
          <w:p>
            <w:pPr>
              <w:spacing w:after="0"/>
              <w:rPr>
                <w:sz w:val="18"/>
                <w:szCs w:val="18"/>
                <w:color w:val="auto"/>
              </w:rPr>
            </w:pPr>
          </w:p>
        </w:tc>
        <w:tc>
          <w:tcPr>
            <w:tcW w:w="1000" w:type="dxa"/>
            <w:vAlign w:val="bottom"/>
            <w:gridSpan w:val="2"/>
          </w:tcPr>
          <w:p>
            <w:pPr>
              <w:jc w:val="center"/>
              <w:ind w:right="222"/>
              <w:spacing w:after="0"/>
              <w:rPr>
                <w:sz w:val="20"/>
                <w:szCs w:val="20"/>
                <w:color w:val="auto"/>
              </w:rPr>
            </w:pPr>
            <w:r>
              <w:rPr>
                <w:rFonts w:ascii="Arial" w:cs="Arial" w:eastAsia="Arial" w:hAnsi="Arial"/>
                <w:sz w:val="16"/>
                <w:szCs w:val="16"/>
                <w:b w:val="1"/>
                <w:bCs w:val="1"/>
                <w:color w:val="auto"/>
                <w:w w:val="90"/>
              </w:rPr>
              <w:t>(Note 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(Note 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7"/>
              </w:rPr>
              <w:t>Combined</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RNG fuel</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50,815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50,815</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Renewable power</w:t>
            </w:r>
          </w:p>
        </w:tc>
        <w:tc>
          <w:tcPr>
            <w:tcW w:w="280" w:type="dxa"/>
            <w:vAlign w:val="bottom"/>
          </w:tcPr>
          <w:p>
            <w:pPr>
              <w:spacing w:after="0"/>
              <w:rPr>
                <w:sz w:val="16"/>
                <w:szCs w:val="16"/>
                <w:color w:val="auto"/>
              </w:rPr>
            </w:pPr>
          </w:p>
        </w:tc>
        <w:tc>
          <w:tcPr>
            <w:tcW w:w="1100" w:type="dxa"/>
            <w:vAlign w:val="bottom"/>
            <w:gridSpan w:val="2"/>
          </w:tcPr>
          <w:p>
            <w:pPr>
              <w:jc w:val="right"/>
              <w:ind w:right="162"/>
              <w:spacing w:after="0"/>
              <w:rPr>
                <w:sz w:val="20"/>
                <w:szCs w:val="20"/>
                <w:color w:val="auto"/>
              </w:rPr>
            </w:pPr>
            <w:r>
              <w:rPr>
                <w:rFonts w:ascii="Arial" w:cs="Arial" w:eastAsia="Arial" w:hAnsi="Arial"/>
                <w:sz w:val="16"/>
                <w:szCs w:val="16"/>
                <w:color w:val="auto"/>
              </w:rPr>
              <w:t>19,152</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19,152</w:t>
            </w:r>
          </w:p>
        </w:tc>
        <w:tc>
          <w:tcPr>
            <w:tcW w:w="0" w:type="dxa"/>
            <w:vAlign w:val="bottom"/>
          </w:tcPr>
          <w:p>
            <w:pPr>
              <w:spacing w:after="0"/>
              <w:rPr>
                <w:sz w:val="1"/>
                <w:szCs w:val="1"/>
                <w:color w:val="auto"/>
              </w:rPr>
            </w:pPr>
          </w:p>
        </w:tc>
      </w:tr>
      <w:tr>
        <w:trPr>
          <w:trHeight w:val="20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Fuel station services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32,297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32,297</w:t>
            </w:r>
          </w:p>
        </w:tc>
        <w:tc>
          <w:tcPr>
            <w:tcW w:w="0" w:type="dxa"/>
            <w:vAlign w:val="bottom"/>
          </w:tcPr>
          <w:p>
            <w:pPr>
              <w:spacing w:after="0"/>
              <w:rPr>
                <w:sz w:val="1"/>
                <w:szCs w:val="1"/>
                <w:color w:val="auto"/>
              </w:rPr>
            </w:pPr>
          </w:p>
        </w:tc>
      </w:tr>
      <w:tr>
        <w:trPr>
          <w:trHeight w:val="172"/>
        </w:trPr>
        <w:tc>
          <w:tcPr>
            <w:tcW w:w="5520" w:type="dxa"/>
            <w:vAlign w:val="bottom"/>
            <w:tcBorders>
              <w:top w:val="single" w:sz="8" w:color="CCEEFF"/>
            </w:tcBorders>
          </w:tcPr>
          <w:p>
            <w:pPr>
              <w:spacing w:after="0" w:line="172" w:lineRule="exact"/>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102,264</w:t>
            </w:r>
          </w:p>
        </w:tc>
        <w:tc>
          <w:tcPr>
            <w:tcW w:w="24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102,264</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280" w:type="dxa"/>
            <w:vAlign w:val="bottom"/>
          </w:tcPr>
          <w:p>
            <w:pPr>
              <w:spacing w:after="0"/>
              <w:rPr>
                <w:sz w:val="16"/>
                <w:szCs w:val="16"/>
                <w:color w:val="auto"/>
              </w:rPr>
            </w:pPr>
          </w:p>
        </w:tc>
        <w:tc>
          <w:tcPr>
            <w:tcW w:w="1100" w:type="dxa"/>
            <w:vAlign w:val="bottom"/>
            <w:gridSpan w:val="2"/>
          </w:tcPr>
          <w:p>
            <w:pPr>
              <w:jc w:val="right"/>
              <w:ind w:right="162"/>
              <w:spacing w:after="0"/>
              <w:rPr>
                <w:sz w:val="20"/>
                <w:szCs w:val="20"/>
                <w:color w:val="auto"/>
              </w:rPr>
            </w:pPr>
            <w:r>
              <w:rPr>
                <w:rFonts w:ascii="Arial" w:cs="Arial" w:eastAsia="Arial" w:hAnsi="Arial"/>
                <w:sz w:val="16"/>
                <w:szCs w:val="16"/>
                <w:color w:val="auto"/>
              </w:rPr>
              <w:t>30,884</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30,884</w:t>
            </w:r>
          </w:p>
        </w:tc>
        <w:tc>
          <w:tcPr>
            <w:tcW w:w="0" w:type="dxa"/>
            <w:vAlign w:val="bottom"/>
          </w:tcPr>
          <w:p>
            <w:pPr>
              <w:spacing w:after="0"/>
              <w:rPr>
                <w:sz w:val="1"/>
                <w:szCs w:val="1"/>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Renewable power</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15,948</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15,948</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Cost of sales - Fuel station services</w:t>
            </w:r>
          </w:p>
        </w:tc>
        <w:tc>
          <w:tcPr>
            <w:tcW w:w="280" w:type="dxa"/>
            <w:vAlign w:val="bottom"/>
          </w:tcPr>
          <w:p>
            <w:pPr>
              <w:spacing w:after="0"/>
              <w:rPr>
                <w:sz w:val="16"/>
                <w:szCs w:val="16"/>
                <w:color w:val="auto"/>
              </w:rPr>
            </w:pPr>
          </w:p>
        </w:tc>
        <w:tc>
          <w:tcPr>
            <w:tcW w:w="1100" w:type="dxa"/>
            <w:vAlign w:val="bottom"/>
            <w:gridSpan w:val="2"/>
          </w:tcPr>
          <w:p>
            <w:pPr>
              <w:jc w:val="right"/>
              <w:ind w:right="162"/>
              <w:spacing w:after="0"/>
              <w:rPr>
                <w:sz w:val="20"/>
                <w:szCs w:val="20"/>
                <w:color w:val="auto"/>
              </w:rPr>
            </w:pPr>
            <w:r>
              <w:rPr>
                <w:rFonts w:ascii="Arial" w:cs="Arial" w:eastAsia="Arial" w:hAnsi="Arial"/>
                <w:sz w:val="16"/>
                <w:szCs w:val="16"/>
                <w:color w:val="auto"/>
              </w:rPr>
              <w:t>28,757</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28,757</w:t>
            </w:r>
          </w:p>
        </w:tc>
        <w:tc>
          <w:tcPr>
            <w:tcW w:w="0" w:type="dxa"/>
            <w:vAlign w:val="bottom"/>
          </w:tcPr>
          <w:p>
            <w:pPr>
              <w:spacing w:after="0"/>
              <w:rPr>
                <w:sz w:val="1"/>
                <w:szCs w:val="1"/>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18,810</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3,125</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4d</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21,935</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20"/>
                <w:szCs w:val="20"/>
                <w:color w:val="auto"/>
              </w:rPr>
            </w:pPr>
            <w:r>
              <w:rPr>
                <w:rFonts w:ascii="Arial" w:cs="Arial" w:eastAsia="Arial" w:hAnsi="Arial"/>
                <w:sz w:val="16"/>
                <w:szCs w:val="16"/>
                <w:color w:val="auto"/>
              </w:rPr>
              <w:t>Depreciation, amortization, and accretion</w:t>
            </w:r>
          </w:p>
        </w:tc>
        <w:tc>
          <w:tcPr>
            <w:tcW w:w="280" w:type="dxa"/>
            <w:vAlign w:val="bottom"/>
          </w:tcPr>
          <w:p>
            <w:pPr>
              <w:spacing w:after="0"/>
              <w:rPr>
                <w:sz w:val="16"/>
                <w:szCs w:val="16"/>
                <w:color w:val="auto"/>
              </w:rPr>
            </w:pPr>
          </w:p>
        </w:tc>
        <w:tc>
          <w:tcPr>
            <w:tcW w:w="1100" w:type="dxa"/>
            <w:vAlign w:val="bottom"/>
            <w:gridSpan w:val="2"/>
          </w:tcPr>
          <w:p>
            <w:pPr>
              <w:jc w:val="right"/>
              <w:ind w:right="162"/>
              <w:spacing w:after="0"/>
              <w:rPr>
                <w:sz w:val="20"/>
                <w:szCs w:val="20"/>
                <w:color w:val="auto"/>
              </w:rPr>
            </w:pPr>
            <w:r>
              <w:rPr>
                <w:rFonts w:ascii="Arial" w:cs="Arial" w:eastAsia="Arial" w:hAnsi="Arial"/>
                <w:sz w:val="16"/>
                <w:szCs w:val="16"/>
                <w:color w:val="auto"/>
              </w:rPr>
              <w:t>6,558</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6,558</w:t>
            </w:r>
          </w:p>
        </w:tc>
        <w:tc>
          <w:tcPr>
            <w:tcW w:w="0" w:type="dxa"/>
            <w:vAlign w:val="bottom"/>
          </w:tcPr>
          <w:p>
            <w:pPr>
              <w:spacing w:after="0"/>
              <w:rPr>
                <w:sz w:val="1"/>
                <w:szCs w:val="1"/>
                <w:color w:val="auto"/>
              </w:rPr>
            </w:pPr>
          </w:p>
        </w:tc>
      </w:tr>
      <w:tr>
        <w:trPr>
          <w:trHeight w:val="208"/>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100,957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104,082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Pr>
          <w:p>
            <w:pPr>
              <w:spacing w:after="0"/>
              <w:rPr>
                <w:sz w:val="17"/>
                <w:szCs w:val="17"/>
                <w:color w:val="auto"/>
              </w:rPr>
            </w:pPr>
          </w:p>
        </w:tc>
        <w:tc>
          <w:tcPr>
            <w:tcW w:w="1100" w:type="dxa"/>
            <w:vAlign w:val="bottom"/>
            <w:gridSpan w:val="2"/>
          </w:tcPr>
          <w:p>
            <w:pPr>
              <w:jc w:val="right"/>
              <w:ind w:right="162"/>
              <w:spacing w:after="0"/>
              <w:rPr>
                <w:sz w:val="20"/>
                <w:szCs w:val="20"/>
                <w:color w:val="auto"/>
              </w:rPr>
            </w:pPr>
            <w:r>
              <w:rPr>
                <w:rFonts w:ascii="Arial" w:cs="Arial" w:eastAsia="Arial" w:hAnsi="Arial"/>
                <w:sz w:val="16"/>
                <w:szCs w:val="16"/>
                <w:b w:val="1"/>
                <w:bCs w:val="1"/>
                <w:color w:val="auto"/>
              </w:rPr>
              <w:t>1,307</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(3,125</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(1,818)</w:t>
            </w:r>
          </w:p>
        </w:tc>
        <w:tc>
          <w:tcPr>
            <w:tcW w:w="0" w:type="dxa"/>
            <w:vAlign w:val="bottom"/>
          </w:tcPr>
          <w:p>
            <w:pPr>
              <w:spacing w:after="0"/>
              <w:rPr>
                <w:sz w:val="1"/>
                <w:szCs w:val="1"/>
                <w:color w:val="auto"/>
              </w:rPr>
            </w:pPr>
          </w:p>
        </w:tc>
      </w:tr>
      <w:tr>
        <w:trPr>
          <w:trHeight w:val="188"/>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Interest and financing expense, net</w:t>
            </w:r>
          </w:p>
        </w:tc>
        <w:tc>
          <w:tcPr>
            <w:tcW w:w="280" w:type="dxa"/>
            <w:vAlign w:val="bottom"/>
          </w:tcPr>
          <w:p>
            <w:pPr>
              <w:spacing w:after="0"/>
              <w:rPr>
                <w:sz w:val="16"/>
                <w:szCs w:val="16"/>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6"/>
                <w:szCs w:val="16"/>
                <w:color w:val="auto"/>
              </w:rPr>
              <w:t>(6,408)</w:t>
            </w:r>
          </w:p>
        </w:tc>
        <w:tc>
          <w:tcPr>
            <w:tcW w:w="220" w:type="dxa"/>
            <w:vAlign w:val="bottom"/>
          </w:tcPr>
          <w:p>
            <w:pPr>
              <w:spacing w:after="0"/>
              <w:rPr>
                <w:sz w:val="16"/>
                <w:szCs w:val="16"/>
                <w:color w:val="auto"/>
              </w:rPr>
            </w:pP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auto"/>
              </w:rPr>
              <w:t>440</w:t>
            </w:r>
          </w:p>
        </w:tc>
        <w:tc>
          <w:tcPr>
            <w:tcW w:w="260" w:type="dxa"/>
            <w:vAlign w:val="bottom"/>
          </w:tcPr>
          <w:p>
            <w:pPr>
              <w:ind w:left="20"/>
              <w:spacing w:after="0"/>
              <w:rPr>
                <w:sz w:val="20"/>
                <w:szCs w:val="20"/>
                <w:color w:val="auto"/>
              </w:rPr>
            </w:pPr>
            <w:r>
              <w:rPr>
                <w:rFonts w:ascii="Arial" w:cs="Arial" w:eastAsia="Arial" w:hAnsi="Arial"/>
                <w:sz w:val="16"/>
                <w:szCs w:val="16"/>
                <w:color w:val="auto"/>
              </w:rPr>
              <w:t>4e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right"/>
              <w:ind w:right="247"/>
              <w:spacing w:after="0"/>
              <w:rPr>
                <w:sz w:val="20"/>
                <w:szCs w:val="20"/>
                <w:color w:val="auto"/>
              </w:rPr>
            </w:pPr>
            <w:r>
              <w:rPr>
                <w:rFonts w:ascii="Arial" w:cs="Arial" w:eastAsia="Arial" w:hAnsi="Arial"/>
                <w:sz w:val="16"/>
                <w:szCs w:val="16"/>
                <w:color w:val="auto"/>
              </w:rPr>
              <w:t>(440) 7c</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Realized and unrealized gain on interest rate swaps, net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328</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Change in fair value of derivative warrant liabilities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auto"/>
              </w:rPr>
              <w:t>9,577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9,577</w:t>
            </w:r>
          </w:p>
        </w:tc>
        <w:tc>
          <w:tcPr>
            <w:tcW w:w="0" w:type="dxa"/>
            <w:vAlign w:val="bottom"/>
          </w:tcPr>
          <w:p>
            <w:pPr>
              <w:spacing w:after="0"/>
              <w:rPr>
                <w:sz w:val="1"/>
                <w:szCs w:val="1"/>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Loss from equity method investments</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20"/>
                <w:szCs w:val="20"/>
                <w:color w:val="auto"/>
              </w:rPr>
            </w:pPr>
            <w:r>
              <w:rPr>
                <w:rFonts w:ascii="Arial" w:cs="Arial" w:eastAsia="Arial" w:hAnsi="Arial"/>
                <w:sz w:val="16"/>
                <w:szCs w:val="16"/>
                <w:color w:val="auto"/>
              </w:rPr>
              <w:t>Gain on settlement of underwriting fees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auto"/>
              </w:rPr>
              <w:t>280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88"/>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 before provision for income taxes</w:t>
            </w: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(4,809)</w:t>
            </w: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7,172</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(440)</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7a</w:t>
            </w: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
        </w:trPr>
        <w:tc>
          <w:tcPr>
            <w:tcW w:w="55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74"/>
              </w:rPr>
              <w:t>)</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income</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(4,809</w:t>
            </w:r>
          </w:p>
        </w:tc>
        <w:tc>
          <w:tcPr>
            <w:tcW w:w="2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7,172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(440)</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1,923</w:t>
            </w:r>
          </w:p>
        </w:tc>
        <w:tc>
          <w:tcPr>
            <w:tcW w:w="0" w:type="dxa"/>
            <w:vAlign w:val="bottom"/>
          </w:tcPr>
          <w:p>
            <w:pPr>
              <w:spacing w:after="0"/>
              <w:rPr>
                <w:sz w:val="1"/>
                <w:szCs w:val="1"/>
                <w:color w:val="auto"/>
              </w:rPr>
            </w:pPr>
          </w:p>
        </w:tc>
      </w:tr>
      <w:tr>
        <w:trPr>
          <w:trHeight w:val="172"/>
        </w:trPr>
        <w:tc>
          <w:tcPr>
            <w:tcW w:w="5520" w:type="dxa"/>
            <w:vAlign w:val="bottom"/>
            <w:tcBorders>
              <w:top w:val="single" w:sz="8" w:color="CCEEFF"/>
            </w:tcBorders>
          </w:tcPr>
          <w:p>
            <w:pPr>
              <w:spacing w:after="0" w:line="172" w:lineRule="exact"/>
              <w:rPr>
                <w:sz w:val="20"/>
                <w:szCs w:val="20"/>
                <w:color w:val="auto"/>
              </w:rPr>
            </w:pPr>
            <w:r>
              <w:rPr>
                <w:rFonts w:ascii="Arial" w:cs="Arial" w:eastAsia="Arial" w:hAnsi="Arial"/>
                <w:sz w:val="16"/>
                <w:szCs w:val="16"/>
                <w:color w:val="auto"/>
              </w:rPr>
              <w:t>Paid in kind preferred dividend</w:t>
            </w: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2,435</w:t>
            </w:r>
          </w:p>
        </w:tc>
        <w:tc>
          <w:tcPr>
            <w:tcW w:w="24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2,772</w:t>
            </w: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ind w:left="20"/>
              <w:spacing w:after="0" w:line="172" w:lineRule="exact"/>
              <w:rPr>
                <w:sz w:val="20"/>
                <w:szCs w:val="20"/>
                <w:color w:val="auto"/>
              </w:rPr>
            </w:pPr>
            <w:r>
              <w:rPr>
                <w:rFonts w:ascii="Arial" w:cs="Arial" w:eastAsia="Arial" w:hAnsi="Arial"/>
                <w:sz w:val="16"/>
                <w:szCs w:val="16"/>
                <w:color w:val="auto"/>
              </w:rPr>
              <w:t>7b</w:t>
            </w: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5,207</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redeemable noncontrolling interest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gridSpan w:val="4"/>
            <w:shd w:val="clear" w:color="auto" w:fill="CCEEFF"/>
          </w:tcPr>
          <w:p>
            <w:pPr>
              <w:jc w:val="right"/>
              <w:ind w:right="227"/>
              <w:spacing w:after="0"/>
              <w:rPr>
                <w:sz w:val="20"/>
                <w:szCs w:val="20"/>
                <w:color w:val="auto"/>
              </w:rPr>
            </w:pPr>
            <w:r>
              <w:rPr>
                <w:rFonts w:ascii="Arial" w:cs="Arial" w:eastAsia="Arial" w:hAnsi="Arial"/>
                <w:sz w:val="16"/>
                <w:szCs w:val="16"/>
                <w:color w:val="auto"/>
              </w:rPr>
              <w:t>(8,124) 7b</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(8,124)</w:t>
            </w:r>
          </w:p>
        </w:tc>
        <w:tc>
          <w:tcPr>
            <w:tcW w:w="0" w:type="dxa"/>
            <w:vAlign w:val="bottom"/>
          </w:tcPr>
          <w:p>
            <w:pPr>
              <w:spacing w:after="0"/>
              <w:rPr>
                <w:sz w:val="1"/>
                <w:szCs w:val="1"/>
                <w:color w:val="auto"/>
              </w:rPr>
            </w:pPr>
          </w:p>
        </w:tc>
      </w:tr>
      <w:tr>
        <w:trPr>
          <w:trHeight w:val="227"/>
        </w:trPr>
        <w:tc>
          <w:tcPr>
            <w:tcW w:w="552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280" w:type="dxa"/>
            <w:vAlign w:val="bottom"/>
          </w:tcPr>
          <w:p>
            <w:pPr>
              <w:spacing w:after="0"/>
              <w:rPr>
                <w:sz w:val="19"/>
                <w:szCs w:val="19"/>
                <w:color w:val="auto"/>
              </w:rPr>
            </w:pPr>
          </w:p>
        </w:tc>
        <w:tc>
          <w:tcPr>
            <w:tcW w:w="1100" w:type="dxa"/>
            <w:vAlign w:val="bottom"/>
            <w:gridSpan w:val="2"/>
          </w:tcPr>
          <w:p>
            <w:pPr>
              <w:jc w:val="right"/>
              <w:ind w:right="102"/>
              <w:spacing w:after="0" w:line="223" w:lineRule="exact"/>
              <w:rPr>
                <w:sz w:val="20"/>
                <w:szCs w:val="20"/>
                <w:color w:val="auto"/>
              </w:rPr>
            </w:pPr>
            <w:r>
              <w:rPr>
                <w:rFonts w:ascii="Arial" w:cs="Arial" w:eastAsia="Arial" w:hAnsi="Arial"/>
                <w:sz w:val="14"/>
                <w:szCs w:val="14"/>
                <w:color w:val="auto"/>
              </w:rPr>
              <w:t>(499</w:t>
            </w:r>
            <w:r>
              <w:rPr>
                <w:rFonts w:ascii="Arial" w:cs="Arial" w:eastAsia="Arial" w:hAnsi="Arial"/>
                <w:sz w:val="25"/>
                <w:szCs w:val="25"/>
                <w:color w:val="auto"/>
                <w:vertAlign w:val="superscript"/>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04"/>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 income attributable to Stockholders</w:t>
            </w: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(6,745</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color w:val="auto"/>
              </w:rPr>
              <w:t>Weighted average common units outstanding, basic and diluted</w:t>
            </w: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loss per common unit, basic and diluted</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(6,745)</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w w:val="94"/>
              </w:rPr>
              <w:t>Weighted average shares outstanding of Class A common stock, basic and diluted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auto"/>
              </w:rPr>
              <w:t>31,116,305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income per ordinary share</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0.18</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w w:val="94"/>
              </w:rPr>
              <w:t>Weighted average shares outstanding of Class B common stock, basic and diluted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7,779,076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income per ordinary share</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0.18</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20" w:type="dxa"/>
            <w:vAlign w:val="bottom"/>
          </w:tcPr>
          <w:p>
            <w:pPr>
              <w:spacing w:after="0" w:line="176" w:lineRule="exact"/>
              <w:rPr>
                <w:sz w:val="20"/>
                <w:szCs w:val="20"/>
                <w:color w:val="auto"/>
              </w:rPr>
            </w:pPr>
            <w:r>
              <w:rPr>
                <w:rFonts w:ascii="Arial" w:cs="Arial" w:eastAsia="Arial" w:hAnsi="Arial"/>
                <w:sz w:val="16"/>
                <w:szCs w:val="16"/>
                <w:color w:val="auto"/>
                <w:w w:val="92"/>
              </w:rPr>
              <w:t>Weighted average shares outstanding of New OPAL Class A common stock – basic</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520" w:type="dxa"/>
            <w:vAlign w:val="bottom"/>
          </w:tcPr>
          <w:p>
            <w:pPr>
              <w:ind w:left="140"/>
              <w:spacing w:after="0"/>
              <w:rPr>
                <w:sz w:val="20"/>
                <w:szCs w:val="20"/>
                <w:color w:val="auto"/>
              </w:rPr>
            </w:pPr>
            <w:r>
              <w:rPr>
                <w:rFonts w:ascii="Arial" w:cs="Arial" w:eastAsia="Arial" w:hAnsi="Arial"/>
                <w:sz w:val="16"/>
                <w:szCs w:val="16"/>
                <w:color w:val="auto"/>
              </w:rPr>
              <w:t>and diluted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24,757,483</w:t>
            </w:r>
          </w:p>
        </w:tc>
        <w:tc>
          <w:tcPr>
            <w:tcW w:w="0" w:type="dxa"/>
            <w:vAlign w:val="bottom"/>
          </w:tcPr>
          <w:p>
            <w:pPr>
              <w:spacing w:after="0"/>
              <w:rPr>
                <w:sz w:val="1"/>
                <w:szCs w:val="1"/>
                <w:color w:val="auto"/>
              </w:rPr>
            </w:pPr>
          </w:p>
        </w:tc>
      </w:tr>
      <w:tr>
        <w:trPr>
          <w:trHeight w:val="176"/>
        </w:trPr>
        <w:tc>
          <w:tcPr>
            <w:tcW w:w="55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Pro forma net income per share attributable to New OPAL Class A common</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 basic and diluted</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569"/>
        </w:trPr>
        <w:tc>
          <w:tcPr>
            <w:tcW w:w="5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w w:val="89"/>
              </w:rPr>
              <w:t>46</w:t>
            </w: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3" w:right="31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6"/>
          <w:szCs w:val="16"/>
          <w:b w:val="1"/>
          <w:bCs w:val="1"/>
          <w:color w:val="auto"/>
        </w:rPr>
        <w:t>UNAUDITED PRO FORMA CONDENSED COMBINED STATEMENT OF OPERATIONS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 ENDED DECEMBER 31, 2021</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Pro Forma</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4"/>
            <w:vMerge w:val="restart"/>
          </w:tcPr>
          <w:p>
            <w:pPr>
              <w:jc w:val="right"/>
              <w:ind w:right="20"/>
              <w:spacing w:after="0"/>
              <w:rPr>
                <w:sz w:val="20"/>
                <w:szCs w:val="20"/>
                <w:color w:val="auto"/>
              </w:rPr>
            </w:pPr>
            <w:r>
              <w:rPr>
                <w:rFonts w:ascii="Arial" w:cs="Arial" w:eastAsia="Arial" w:hAnsi="Arial"/>
                <w:sz w:val="16"/>
                <w:szCs w:val="16"/>
                <w:b w:val="1"/>
                <w:bCs w:val="1"/>
                <w:color w:val="auto"/>
              </w:rPr>
              <w:t>Historical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2"/>
              </w:rPr>
              <w:t>Beacon</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Combined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Transaction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Pro Forma</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OPAL</w:t>
            </w:r>
          </w:p>
        </w:tc>
        <w:tc>
          <w:tcPr>
            <w:tcW w:w="12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Historical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Accounting</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42"/>
              <w:spacing w:after="0" w:line="172" w:lineRule="exact"/>
              <w:rPr>
                <w:sz w:val="20"/>
                <w:szCs w:val="20"/>
                <w:color w:val="auto"/>
              </w:rPr>
            </w:pPr>
            <w:r>
              <w:rPr>
                <w:rFonts w:ascii="Arial" w:cs="Arial" w:eastAsia="Arial" w:hAnsi="Arial"/>
                <w:sz w:val="16"/>
                <w:szCs w:val="16"/>
                <w:b w:val="1"/>
                <w:bCs w:val="1"/>
                <w:color w:val="auto"/>
                <w:w w:val="86"/>
              </w:rPr>
              <w:t>Beacon</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60"/>
              <w:spacing w:after="0" w:line="172" w:lineRule="exact"/>
              <w:rPr>
                <w:sz w:val="20"/>
                <w:szCs w:val="20"/>
                <w:color w:val="auto"/>
              </w:rPr>
            </w:pPr>
            <w:r>
              <w:rPr>
                <w:rFonts w:ascii="Arial" w:cs="Arial" w:eastAsia="Arial" w:hAnsi="Arial"/>
                <w:sz w:val="16"/>
                <w:szCs w:val="16"/>
                <w:b w:val="1"/>
                <w:bCs w:val="1"/>
                <w:color w:val="auto"/>
                <w:w w:val="88"/>
              </w:rPr>
              <w:t>Adjustments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line="172" w:lineRule="exact"/>
              <w:rPr>
                <w:sz w:val="20"/>
                <w:szCs w:val="20"/>
                <w:color w:val="auto"/>
              </w:rPr>
            </w:pPr>
            <w:r>
              <w:rPr>
                <w:rFonts w:ascii="Arial" w:cs="Arial" w:eastAsia="Arial" w:hAnsi="Arial"/>
                <w:sz w:val="16"/>
                <w:szCs w:val="16"/>
                <w:b w:val="1"/>
                <w:bCs w:val="1"/>
                <w:color w:val="auto"/>
                <w:w w:val="85"/>
              </w:rPr>
              <w:t>Fuels and</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line="172" w:lineRule="exact"/>
              <w:rPr>
                <w:sz w:val="20"/>
                <w:szCs w:val="20"/>
                <w:color w:val="auto"/>
              </w:rPr>
            </w:pPr>
            <w:r>
              <w:rPr>
                <w:rFonts w:ascii="Arial" w:cs="Arial" w:eastAsia="Arial" w:hAnsi="Arial"/>
                <w:sz w:val="16"/>
                <w:szCs w:val="16"/>
                <w:b w:val="1"/>
                <w:bCs w:val="1"/>
                <w:color w:val="auto"/>
                <w:w w:val="94"/>
              </w:rPr>
              <w:t>ArcLight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80"/>
              <w:spacing w:after="0" w:line="172" w:lineRule="exact"/>
              <w:rPr>
                <w:sz w:val="20"/>
                <w:szCs w:val="20"/>
                <w:color w:val="auto"/>
              </w:rPr>
            </w:pPr>
            <w:r>
              <w:rPr>
                <w:rFonts w:ascii="Arial" w:cs="Arial" w:eastAsia="Arial" w:hAnsi="Arial"/>
                <w:sz w:val="16"/>
                <w:szCs w:val="16"/>
                <w:b w:val="1"/>
                <w:bCs w:val="1"/>
                <w:color w:val="auto"/>
                <w:w w:val="88"/>
              </w:rPr>
              <w:t>Adjustments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line="172" w:lineRule="exact"/>
              <w:rPr>
                <w:sz w:val="20"/>
                <w:szCs w:val="20"/>
                <w:color w:val="auto"/>
              </w:rPr>
            </w:pPr>
            <w:r>
              <w:rPr>
                <w:rFonts w:ascii="Arial" w:cs="Arial" w:eastAsia="Arial" w:hAnsi="Arial"/>
                <w:sz w:val="16"/>
                <w:szCs w:val="16"/>
                <w:b w:val="1"/>
                <w:bCs w:val="1"/>
                <w:color w:val="auto"/>
                <w:w w:val="92"/>
              </w:rPr>
              <w:t>Pro Forma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Opco</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(Note 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(Note 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Beacon</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(Note 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(Note 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Combined</w:t>
            </w:r>
          </w:p>
        </w:tc>
        <w:tc>
          <w:tcPr>
            <w:tcW w:w="0" w:type="dxa"/>
            <w:vAlign w:val="bottom"/>
          </w:tcPr>
          <w:p>
            <w:pPr>
              <w:spacing w:after="0"/>
              <w:rPr>
                <w:sz w:val="1"/>
                <w:szCs w:val="1"/>
                <w:color w:val="auto"/>
              </w:rPr>
            </w:pPr>
          </w:p>
        </w:tc>
      </w:tr>
      <w:tr>
        <w:trPr>
          <w:trHeight w:val="187"/>
        </w:trPr>
        <w:tc>
          <w:tcPr>
            <w:tcW w:w="1920" w:type="dxa"/>
            <w:vAlign w:val="bottom"/>
            <w:gridSpan w:val="2"/>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RNG fuel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70,360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13,312</w:t>
            </w:r>
          </w:p>
        </w:tc>
        <w:tc>
          <w:tcPr>
            <w:tcW w:w="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5a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83,672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83,672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Renewable power</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45,324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45,324</w:t>
            </w:r>
          </w:p>
        </w:tc>
        <w:tc>
          <w:tcPr>
            <w:tcW w:w="1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45,324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Fuel station services</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50,440</w:t>
            </w: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50,440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Borders>
              <w:top w:val="single" w:sz="8" w:color="CCEEFF"/>
            </w:tcBorders>
          </w:tcPr>
          <w:p>
            <w:pPr>
              <w:spacing w:after="0" w:line="172" w:lineRule="exact"/>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166,124</w:t>
            </w: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13,312</w:t>
            </w: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179,436</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179,436</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41,075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6,397</w:t>
            </w:r>
          </w:p>
        </w:tc>
        <w:tc>
          <w:tcPr>
            <w:tcW w:w="380" w:type="dxa"/>
            <w:vAlign w:val="bottom"/>
          </w:tcPr>
          <w:p>
            <w:pPr>
              <w:ind w:left="80"/>
              <w:spacing w:after="0"/>
              <w:rPr>
                <w:sz w:val="20"/>
                <w:szCs w:val="20"/>
                <w:color w:val="auto"/>
              </w:rPr>
            </w:pPr>
            <w:r>
              <w:rPr>
                <w:rFonts w:ascii="Arial" w:cs="Arial" w:eastAsia="Arial" w:hAnsi="Arial"/>
                <w:sz w:val="16"/>
                <w:szCs w:val="16"/>
                <w:color w:val="auto"/>
              </w:rPr>
              <w:t>5b</w:t>
            </w:r>
          </w:p>
        </w:tc>
        <w:tc>
          <w:tcPr>
            <w:tcW w:w="8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47,472</w:t>
            </w:r>
          </w:p>
        </w:tc>
        <w:tc>
          <w:tcPr>
            <w:tcW w:w="1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47,472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Cost of sales - Renewable</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power</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31,152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31,152</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31,152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Arial" w:cs="Arial" w:eastAsia="Arial" w:hAnsi="Arial"/>
                <w:sz w:val="16"/>
                <w:szCs w:val="16"/>
                <w:color w:val="auto"/>
                <w:w w:val="99"/>
              </w:rPr>
              <w:t>Cost of sales - Fuel station</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services</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42,838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42,838</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42,838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Environmental credit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processing services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1,134</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(1,134)</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Arial" w:cs="Arial" w:eastAsia="Arial" w:hAnsi="Arial"/>
                <w:sz w:val="16"/>
                <w:szCs w:val="16"/>
                <w:color w:val="auto"/>
              </w:rPr>
              <w:t>Selling, general and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administrative</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29,380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456</w:t>
            </w:r>
          </w:p>
        </w:tc>
        <w:tc>
          <w:tcPr>
            <w:tcW w:w="380" w:type="dxa"/>
            <w:vAlign w:val="bottom"/>
          </w:tcPr>
          <w:p>
            <w:pPr>
              <w:ind w:left="80"/>
              <w:spacing w:after="0"/>
              <w:rPr>
                <w:sz w:val="20"/>
                <w:szCs w:val="20"/>
                <w:color w:val="auto"/>
              </w:rPr>
            </w:pPr>
            <w:r>
              <w:rPr>
                <w:rFonts w:ascii="Arial" w:cs="Arial" w:eastAsia="Arial" w:hAnsi="Arial"/>
                <w:sz w:val="16"/>
                <w:szCs w:val="16"/>
                <w:color w:val="auto"/>
              </w:rPr>
              <w:t>5c</w:t>
            </w:r>
          </w:p>
        </w:tc>
        <w:tc>
          <w:tcPr>
            <w:tcW w:w="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29,836</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4,945</w:t>
            </w:r>
          </w:p>
        </w:tc>
        <w:tc>
          <w:tcPr>
            <w:tcW w:w="160" w:type="dxa"/>
            <w:vAlign w:val="bottom"/>
          </w:tcPr>
          <w:p>
            <w:pPr>
              <w:spacing w:after="0"/>
              <w:rPr>
                <w:sz w:val="20"/>
                <w:szCs w:val="20"/>
                <w:color w:val="auto"/>
              </w:rPr>
            </w:pPr>
            <w:r>
              <w:rPr>
                <w:rFonts w:ascii="Arial" w:cs="Arial" w:eastAsia="Arial" w:hAnsi="Arial"/>
                <w:sz w:val="16"/>
                <w:szCs w:val="16"/>
                <w:color w:val="auto"/>
              </w:rPr>
              <w:t>4f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4,200</w:t>
            </w:r>
          </w:p>
        </w:tc>
        <w:tc>
          <w:tcPr>
            <w:tcW w:w="340" w:type="dxa"/>
            <w:vAlign w:val="bottom"/>
          </w:tcPr>
          <w:p>
            <w:pPr>
              <w:jc w:val="center"/>
              <w:ind w:right="2"/>
              <w:spacing w:after="0"/>
              <w:rPr>
                <w:sz w:val="20"/>
                <w:szCs w:val="20"/>
                <w:color w:val="auto"/>
              </w:rPr>
            </w:pPr>
            <w:r>
              <w:rPr>
                <w:rFonts w:ascii="Arial" w:cs="Arial" w:eastAsia="Arial" w:hAnsi="Arial"/>
                <w:sz w:val="16"/>
                <w:szCs w:val="16"/>
                <w:color w:val="auto"/>
                <w:w w:val="78"/>
              </w:rPr>
              <w:t>7h</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38,981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w w:val="98"/>
              </w:rPr>
              <w:t>Depreciation, amortization,</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accretion</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1,060</w:t>
            </w:r>
          </w:p>
        </w:tc>
        <w:tc>
          <w:tcPr>
            <w:tcW w:w="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5d</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(300)</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7d</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11,413</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11,413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tcBorders>
              <w:top w:val="single" w:sz="8" w:color="CCEEFF"/>
            </w:tcBorders>
          </w:tcPr>
          <w:p>
            <w:pPr>
              <w:spacing w:after="0" w:line="173" w:lineRule="exact"/>
              <w:rPr>
                <w:sz w:val="20"/>
                <w:szCs w:val="20"/>
                <w:color w:val="auto"/>
              </w:rPr>
            </w:pPr>
            <w:r>
              <w:rPr>
                <w:rFonts w:ascii="Arial" w:cs="Arial" w:eastAsia="Arial" w:hAnsi="Arial"/>
                <w:sz w:val="16"/>
                <w:szCs w:val="16"/>
                <w:b w:val="1"/>
                <w:bCs w:val="1"/>
                <w:color w:val="auto"/>
              </w:rPr>
              <w:t>Total expenses</w:t>
            </w: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155,098</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9,047</w:t>
            </w: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(1,434)</w:t>
            </w: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162,711</w:t>
            </w: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4,945</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4,200</w:t>
            </w: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171,856</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11,026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4,265</w:t>
            </w: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1,434</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16,725</w:t>
            </w:r>
          </w:p>
        </w:tc>
        <w:tc>
          <w:tcPr>
            <w:tcW w:w="12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60"/>
              <w:spacing w:after="0" w:line="223" w:lineRule="exact"/>
              <w:rPr>
                <w:sz w:val="20"/>
                <w:szCs w:val="20"/>
                <w:color w:val="auto"/>
              </w:rPr>
            </w:pPr>
            <w:r>
              <w:rPr>
                <w:rFonts w:ascii="Arial" w:cs="Arial" w:eastAsia="Arial" w:hAnsi="Arial"/>
                <w:sz w:val="14"/>
                <w:szCs w:val="14"/>
                <w:b w:val="1"/>
                <w:bCs w:val="1"/>
                <w:color w:val="auto"/>
              </w:rPr>
              <w:t>(4,945</w:t>
            </w:r>
            <w:r>
              <w:rPr>
                <w:rFonts w:ascii="Arial" w:cs="Arial" w:eastAsia="Arial" w:hAnsi="Arial"/>
                <w:sz w:val="25"/>
                <w:szCs w:val="25"/>
                <w:b w:val="1"/>
                <w:bCs w:val="1"/>
                <w:color w:val="auto"/>
                <w:vertAlign w:val="superscript"/>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line="223" w:lineRule="exact"/>
              <w:rPr>
                <w:sz w:val="20"/>
                <w:szCs w:val="20"/>
                <w:color w:val="auto"/>
              </w:rPr>
            </w:pPr>
            <w:r>
              <w:rPr>
                <w:rFonts w:ascii="Arial" w:cs="Arial" w:eastAsia="Arial" w:hAnsi="Arial"/>
                <w:sz w:val="14"/>
                <w:szCs w:val="14"/>
                <w:b w:val="1"/>
                <w:bCs w:val="1"/>
                <w:color w:val="auto"/>
              </w:rPr>
              <w:t>(4,200</w:t>
            </w:r>
            <w:r>
              <w:rPr>
                <w:rFonts w:ascii="Arial" w:cs="Arial" w:eastAsia="Arial" w:hAnsi="Arial"/>
                <w:sz w:val="25"/>
                <w:szCs w:val="25"/>
                <w:b w:val="1"/>
                <w:bCs w:val="1"/>
                <w:color w:val="auto"/>
                <w:vertAlign w:val="superscript"/>
              </w:rPr>
              <w:t>)</w:t>
            </w:r>
          </w:p>
        </w:tc>
        <w:tc>
          <w:tcPr>
            <w:tcW w:w="3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7,580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Borders>
              <w:top w:val="single" w:sz="8" w:color="CCEEFF"/>
            </w:tcBorders>
          </w:tcPr>
          <w:p>
            <w:pPr>
              <w:spacing w:after="0" w:line="171" w:lineRule="exact"/>
              <w:rPr>
                <w:sz w:val="20"/>
                <w:szCs w:val="20"/>
                <w:color w:val="auto"/>
              </w:rPr>
            </w:pPr>
            <w:r>
              <w:rPr>
                <w:rFonts w:ascii="Arial" w:cs="Arial" w:eastAsia="Arial" w:hAnsi="Arial"/>
                <w:sz w:val="16"/>
                <w:szCs w:val="16"/>
                <w:color w:val="auto"/>
              </w:rPr>
              <w:t>Other income (expense)</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Interest and financing</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expense, net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(7,467)</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78"/>
              </w:rPr>
              <w:t>4g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340" w:type="dxa"/>
            <w:vAlign w:val="bottom"/>
            <w:tcBorders>
              <w:right w:val="single" w:sz="8" w:color="CCEEFF"/>
            </w:tcBorders>
            <w:shd w:val="clear" w:color="auto" w:fill="CCEEFF"/>
          </w:tcPr>
          <w:p>
            <w:pPr>
              <w:jc w:val="center"/>
              <w:ind w:right="2"/>
              <w:spacing w:after="0"/>
              <w:rPr>
                <w:sz w:val="20"/>
                <w:szCs w:val="20"/>
                <w:color w:val="auto"/>
              </w:rPr>
            </w:pPr>
            <w:r>
              <w:rPr>
                <w:rFonts w:ascii="Arial" w:cs="Arial" w:eastAsia="Arial" w:hAnsi="Arial"/>
                <w:sz w:val="16"/>
                <w:szCs w:val="16"/>
                <w:color w:val="auto"/>
                <w:w w:val="78"/>
              </w:rPr>
              <w:t>7g</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Arial" w:cs="Arial" w:eastAsia="Arial" w:hAnsi="Arial"/>
                <w:sz w:val="16"/>
                <w:szCs w:val="16"/>
                <w:color w:val="auto"/>
                <w:w w:val="91"/>
              </w:rPr>
              <w:t>Realized and unrealized loss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on derivative financial</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instruments, net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Change in fair value of</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derivative warrant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Arial" w:cs="Arial" w:eastAsia="Arial" w:hAnsi="Arial"/>
                <w:sz w:val="16"/>
                <w:szCs w:val="16"/>
                <w:color w:val="auto"/>
                <w:w w:val="96"/>
              </w:rPr>
              <w:t>Income from equity method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2,268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(2,392)</w:t>
            </w:r>
          </w:p>
        </w:tc>
        <w:tc>
          <w:tcPr>
            <w:tcW w:w="280" w:type="dxa"/>
            <w:vAlign w:val="bottom"/>
          </w:tcPr>
          <w:p>
            <w:pPr>
              <w:ind w:left="20"/>
              <w:spacing w:after="0"/>
              <w:rPr>
                <w:sz w:val="20"/>
                <w:szCs w:val="20"/>
                <w:color w:val="auto"/>
              </w:rPr>
            </w:pPr>
            <w:r>
              <w:rPr>
                <w:rFonts w:ascii="Arial" w:cs="Arial" w:eastAsia="Arial" w:hAnsi="Arial"/>
                <w:sz w:val="16"/>
                <w:szCs w:val="16"/>
                <w:color w:val="auto"/>
              </w:rPr>
              <w:t>7d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Gain on acquisition of</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equity method investment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19,818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19,818</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19,818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Arial" w:cs="Arial" w:eastAsia="Arial" w:hAnsi="Arial"/>
                <w:sz w:val="16"/>
                <w:szCs w:val="16"/>
                <w:color w:val="auto"/>
                <w:w w:val="99"/>
              </w:rPr>
              <w:t>Gain on deconsolidation of</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VIEs</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15,025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15,025</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15,025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1,134</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(1,134)</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tcBorders>
              <w:top w:val="single" w:sz="8" w:color="CCEEFF"/>
            </w:tcBorders>
          </w:tcPr>
          <w:p>
            <w:pPr>
              <w:spacing w:after="0" w:line="144" w:lineRule="exact"/>
              <w:rPr>
                <w:sz w:val="20"/>
                <w:szCs w:val="20"/>
                <w:color w:val="auto"/>
              </w:rPr>
            </w:pPr>
            <w:r>
              <w:rPr>
                <w:rFonts w:ascii="Arial" w:cs="Arial" w:eastAsia="Arial" w:hAnsi="Arial"/>
                <w:sz w:val="16"/>
                <w:szCs w:val="16"/>
                <w:b w:val="1"/>
                <w:bCs w:val="1"/>
                <w:color w:val="auto"/>
              </w:rPr>
              <w:t>Income before provision</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00" w:type="dxa"/>
            <w:vAlign w:val="bottom"/>
          </w:tcPr>
          <w:p>
            <w:pPr>
              <w:ind w:left="120"/>
              <w:spacing w:after="0" w:line="158" w:lineRule="exact"/>
              <w:rPr>
                <w:sz w:val="20"/>
                <w:szCs w:val="20"/>
                <w:color w:val="auto"/>
              </w:rPr>
            </w:pPr>
            <w:r>
              <w:rPr>
                <w:rFonts w:ascii="Arial" w:cs="Arial" w:eastAsia="Arial" w:hAnsi="Arial"/>
                <w:sz w:val="16"/>
                <w:szCs w:val="16"/>
                <w:b w:val="1"/>
                <w:bCs w:val="1"/>
                <w:color w:val="auto"/>
              </w:rPr>
              <w:t>for income taxes</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40,769</w:t>
            </w:r>
          </w:p>
        </w:tc>
        <w:tc>
          <w:tcPr>
            <w:tcW w:w="1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5,399</w:t>
            </w:r>
          </w:p>
        </w:tc>
        <w:tc>
          <w:tcPr>
            <w:tcW w:w="8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line="158" w:lineRule="exact"/>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44,076</w:t>
            </w:r>
          </w:p>
        </w:tc>
        <w:tc>
          <w:tcPr>
            <w:tcW w:w="120" w:type="dxa"/>
            <w:vAlign w:val="bottom"/>
          </w:tcPr>
          <w:p>
            <w:pPr>
              <w:spacing w:after="0"/>
              <w:rPr>
                <w:sz w:val="13"/>
                <w:szCs w:val="13"/>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(16,195)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(4,213)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23,668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tcPr>
          <w:p>
            <w:pPr>
              <w:jc w:val="right"/>
              <w:ind w:right="80"/>
              <w:spacing w:after="0" w:line="59" w:lineRule="exact"/>
              <w:rPr>
                <w:sz w:val="20"/>
                <w:szCs w:val="20"/>
                <w:color w:val="auto"/>
              </w:rPr>
            </w:pPr>
            <w:r>
              <w:rPr>
                <w:rFonts w:ascii="Arial" w:cs="Arial" w:eastAsia="Arial" w:hAnsi="Arial"/>
                <w:sz w:val="6"/>
                <w:szCs w:val="6"/>
                <w:b w:val="1"/>
                <w:bCs w:val="1"/>
                <w:color w:val="auto"/>
              </w:rPr>
              <w:t>(2,092</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9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98"/>
              </w:rPr>
              <w:t>(Provision for) Benefit from</w:t>
            </w: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9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center"/>
              <w:ind w:right="2"/>
              <w:spacing w:after="0"/>
              <w:rPr>
                <w:sz w:val="20"/>
                <w:szCs w:val="20"/>
                <w:color w:val="auto"/>
              </w:rPr>
            </w:pPr>
            <w:r>
              <w:rPr>
                <w:rFonts w:ascii="Arial" w:cs="Arial" w:eastAsia="Arial" w:hAnsi="Arial"/>
                <w:sz w:val="16"/>
                <w:szCs w:val="16"/>
                <w:color w:val="auto"/>
                <w:w w:val="78"/>
              </w:rPr>
              <w:t>7e</w:t>
            </w: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40,769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5,399</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(2,092)</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44,076</w:t>
            </w:r>
          </w:p>
        </w:tc>
        <w:tc>
          <w:tcPr>
            <w:tcW w:w="1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(16,195)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(4,213)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23,668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Paid in kind preferred</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8,000</w:t>
            </w:r>
          </w:p>
        </w:tc>
        <w:tc>
          <w:tcPr>
            <w:tcW w:w="340" w:type="dxa"/>
            <w:vAlign w:val="bottom"/>
            <w:tcBorders>
              <w:right w:val="single" w:sz="8" w:color="CCEEFF"/>
            </w:tcBorders>
            <w:shd w:val="clear" w:color="auto" w:fill="CCEEFF"/>
          </w:tcPr>
          <w:p>
            <w:pPr>
              <w:jc w:val="center"/>
              <w:ind w:right="2"/>
              <w:spacing w:after="0"/>
              <w:rPr>
                <w:sz w:val="20"/>
                <w:szCs w:val="20"/>
                <w:color w:val="auto"/>
              </w:rPr>
            </w:pPr>
            <w:r>
              <w:rPr>
                <w:rFonts w:ascii="Arial" w:cs="Arial" w:eastAsia="Arial" w:hAnsi="Arial"/>
                <w:sz w:val="16"/>
                <w:szCs w:val="16"/>
                <w:color w:val="auto"/>
              </w:rPr>
              <w:t>7f</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w w:val="94"/>
              </w:rPr>
              <w:t>attributable to redeemable</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27,718</w:t>
            </w:r>
          </w:p>
        </w:tc>
        <w:tc>
          <w:tcPr>
            <w:tcW w:w="340" w:type="dxa"/>
            <w:vAlign w:val="bottom"/>
          </w:tcPr>
          <w:p>
            <w:pPr>
              <w:jc w:val="center"/>
              <w:ind w:right="2"/>
              <w:spacing w:after="0"/>
              <w:rPr>
                <w:sz w:val="20"/>
                <w:szCs w:val="20"/>
                <w:color w:val="auto"/>
              </w:rPr>
            </w:pPr>
            <w:r>
              <w:rPr>
                <w:rFonts w:ascii="Arial" w:cs="Arial" w:eastAsia="Arial" w:hAnsi="Arial"/>
                <w:sz w:val="16"/>
                <w:szCs w:val="16"/>
                <w:color w:val="auto"/>
              </w:rPr>
              <w:t>7f</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27,718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attributable to</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tcBorders>
              <w:top w:val="single" w:sz="8" w:color="CCEEFF"/>
            </w:tcBorders>
          </w:tcPr>
          <w:p>
            <w:pPr>
              <w:spacing w:after="0" w:line="145" w:lineRule="exact"/>
              <w:rPr>
                <w:sz w:val="20"/>
                <w:szCs w:val="20"/>
                <w:color w:val="auto"/>
              </w:rPr>
            </w:pPr>
            <w:r>
              <w:rPr>
                <w:rFonts w:ascii="Arial" w:cs="Arial" w:eastAsia="Arial" w:hAnsi="Arial"/>
                <w:sz w:val="16"/>
                <w:szCs w:val="16"/>
                <w:b w:val="1"/>
                <w:bCs w:val="1"/>
                <w:color w:val="auto"/>
              </w:rPr>
              <w:t>Net income (loss)</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tcPr>
          <w:p>
            <w:pPr>
              <w:ind w:left="120"/>
              <w:spacing w:after="0"/>
              <w:rPr>
                <w:sz w:val="20"/>
                <w:szCs w:val="20"/>
                <w:color w:val="auto"/>
              </w:rPr>
            </w:pPr>
            <w:r>
              <w:rPr>
                <w:rFonts w:ascii="Arial" w:cs="Arial" w:eastAsia="Arial" w:hAnsi="Arial"/>
                <w:sz w:val="16"/>
                <w:szCs w:val="16"/>
                <w:b w:val="1"/>
                <w:bCs w:val="1"/>
                <w:color w:val="auto"/>
              </w:rPr>
              <w:t>attributable to</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(39,931</w:t>
            </w:r>
            <w:r>
              <w:rPr>
                <w:rFonts w:ascii="Arial" w:cs="Arial" w:eastAsia="Arial" w:hAnsi="Arial"/>
                <w:sz w:val="31"/>
                <w:szCs w:val="31"/>
                <w:b w:val="1"/>
                <w:bCs w:val="1"/>
                <w:color w:val="auto"/>
                <w:vertAlign w:val="superscript"/>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6"/>
                <w:szCs w:val="16"/>
                <w:b w:val="1"/>
                <w:bCs w:val="1"/>
                <w:color w:val="auto"/>
              </w:rPr>
              <w:t>Stockholders</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41,363</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5,399</w:t>
            </w:r>
          </w:p>
        </w:tc>
        <w:tc>
          <w:tcPr>
            <w:tcW w:w="3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(2,092)</w:t>
            </w:r>
          </w:p>
        </w:tc>
        <w:tc>
          <w:tcPr>
            <w:tcW w:w="28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44,670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(16,195)</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60"/>
              <w:spacing w:after="0" w:line="240" w:lineRule="exact"/>
              <w:rPr>
                <w:sz w:val="20"/>
                <w:szCs w:val="20"/>
                <w:color w:val="auto"/>
              </w:rPr>
            </w:pPr>
            <w:r>
              <w:rPr>
                <w:rFonts w:ascii="Arial" w:cs="Arial" w:eastAsia="Arial" w:hAnsi="Arial"/>
                <w:sz w:val="14"/>
                <w:szCs w:val="14"/>
                <w:b w:val="1"/>
                <w:bCs w:val="1"/>
                <w:color w:val="auto"/>
              </w:rPr>
              <w:t>(11,456</w:t>
            </w:r>
            <w:r>
              <w:rPr>
                <w:rFonts w:ascii="Arial" w:cs="Arial" w:eastAsia="Arial" w:hAnsi="Arial"/>
                <w:sz w:val="27"/>
                <w:szCs w:val="27"/>
                <w:b w:val="1"/>
                <w:bCs w:val="1"/>
                <w:color w:val="auto"/>
                <w:vertAlign w:val="superscript"/>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0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5"/>
                <w:szCs w:val="15"/>
                <w:color w:val="auto"/>
              </w:rPr>
              <w:t>Weighted average common</w:t>
            </w: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 outstanding, basic</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diluted</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Arial" w:cs="Arial" w:eastAsia="Arial" w:hAnsi="Arial"/>
                <w:sz w:val="16"/>
                <w:szCs w:val="16"/>
                <w:color w:val="auto"/>
              </w:rPr>
              <w:t>Basic and diluted net</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w w:val="97"/>
              </w:rPr>
              <w:t>income per common unit,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41,908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Weighted average shares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outstanding of Class A</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common stock, basic and</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25,360,688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Arial" w:cs="Arial" w:eastAsia="Arial" w:hAnsi="Arial"/>
                <w:sz w:val="16"/>
                <w:szCs w:val="16"/>
                <w:color w:val="auto"/>
              </w:rPr>
              <w:t>Basic and diluted net loss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per ordinary share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Weighted average shares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outstanding of Class B</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common stock, basic and</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7,611,848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Arial" w:cs="Arial" w:eastAsia="Arial" w:hAnsi="Arial"/>
                <w:sz w:val="16"/>
                <w:szCs w:val="16"/>
                <w:color w:val="auto"/>
              </w:rPr>
              <w:t>Basic and diluted net loss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per ordinary share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Weighted average shares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outstanding of New</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OPAL Class A common</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900" w:type="dxa"/>
            <w:vAlign w:val="bottom"/>
            <w:shd w:val="clear" w:color="auto" w:fill="CCEEFF"/>
          </w:tcPr>
          <w:p>
            <w:pPr>
              <w:ind w:left="120"/>
              <w:spacing w:after="0" w:line="140" w:lineRule="exact"/>
              <w:rPr>
                <w:sz w:val="20"/>
                <w:szCs w:val="20"/>
                <w:color w:val="auto"/>
              </w:rPr>
            </w:pPr>
            <w:r>
              <w:rPr>
                <w:rFonts w:ascii="Arial" w:cs="Arial" w:eastAsia="Arial" w:hAnsi="Arial"/>
                <w:sz w:val="16"/>
                <w:szCs w:val="16"/>
                <w:color w:val="auto"/>
              </w:rPr>
              <w:t>stock – basic and diluted</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6"/>
                <w:szCs w:val="16"/>
                <w:color w:val="auto"/>
              </w:rPr>
              <w:t>24,757,483</w:t>
            </w:r>
          </w:p>
        </w:tc>
        <w:tc>
          <w:tcPr>
            <w:tcW w:w="0" w:type="dxa"/>
            <w:vAlign w:val="bottom"/>
          </w:tcPr>
          <w:p>
            <w:pPr>
              <w:spacing w:after="0"/>
              <w:rPr>
                <w:sz w:val="1"/>
                <w:szCs w:val="1"/>
                <w:color w:val="auto"/>
              </w:rPr>
            </w:pPr>
          </w:p>
        </w:tc>
      </w:tr>
    </w:tbl>
    <w:p>
      <w:pPr>
        <w:sectPr>
          <w:pgSz w:w="11900" w:h="16838" w:orient="portrait"/>
          <w:cols w:equalWidth="0" w:num="1">
            <w:col w:w="11260"/>
          </w:cols>
          <w:pgMar w:left="320" w:top="782" w:right="319" w:bottom="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Pro forma net loss per share</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attributable to New OPAL</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Class A common</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stockholders - basic and</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w:t>
      </w:r>
    </w:p>
    <w:p>
      <w:pPr>
        <w:spacing w:after="0" w:line="370" w:lineRule="exact"/>
        <w:rPr>
          <w:sz w:val="20"/>
          <w:szCs w:val="20"/>
          <w:color w:val="auto"/>
        </w:rPr>
      </w:pPr>
    </w:p>
    <w:p>
      <w:pPr>
        <w:jc w:val="right"/>
        <w:ind w:right="3727"/>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73" w:hanging="673"/>
        <w:spacing w:after="0"/>
        <w:tabs>
          <w:tab w:leader="none" w:pos="673" w:val="left"/>
        </w:tabs>
        <w:numPr>
          <w:ilvl w:val="0"/>
          <w:numId w:val="33"/>
        </w:numPr>
        <w:rPr>
          <w:rFonts w:ascii="Arial" w:cs="Arial" w:eastAsia="Arial" w:hAnsi="Arial"/>
          <w:sz w:val="13"/>
          <w:szCs w:val="13"/>
          <w:color w:val="auto"/>
        </w:rPr>
      </w:pPr>
      <w:r>
        <w:rPr>
          <w:rFonts w:ascii="Arial" w:cs="Arial" w:eastAsia="Arial" w:hAnsi="Arial"/>
          <w:sz w:val="13"/>
          <w:szCs w:val="13"/>
          <w:color w:val="auto"/>
        </w:rPr>
        <w:t>(0.46)</w:t>
      </w:r>
    </w:p>
    <w:p>
      <w:pPr>
        <w:sectPr>
          <w:pgSz w:w="11900" w:h="16838" w:orient="portrait"/>
          <w:cols w:equalWidth="0" w:num="2">
            <w:col w:w="9427" w:space="720"/>
            <w:col w:w="1053"/>
          </w:cols>
          <w:pgMar w:left="320" w:top="127" w:right="37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Note 1 — Description of the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193" w:lineRule="exact"/>
        <w:rPr>
          <w:sz w:val="20"/>
          <w:szCs w:val="20"/>
          <w:color w:val="auto"/>
        </w:rPr>
      </w:pPr>
    </w:p>
    <w:p>
      <w:pPr>
        <w:jc w:val="both"/>
        <w:ind w:right="20" w:firstLine="565"/>
        <w:spacing w:after="0" w:line="269" w:lineRule="auto"/>
        <w:rPr>
          <w:sz w:val="20"/>
          <w:szCs w:val="20"/>
          <w:color w:val="auto"/>
        </w:rPr>
      </w:pPr>
      <w:r>
        <w:rPr>
          <w:rFonts w:ascii="Arial" w:cs="Arial" w:eastAsia="Arial" w:hAnsi="Arial"/>
          <w:sz w:val="15"/>
          <w:szCs w:val="15"/>
          <w:color w:val="auto"/>
        </w:rPr>
        <w:t>Pursuant to the Business Combination Agreement, on July 21, 2022 ArcLight changed its jurisdiction of incorporation by deregistering as a Cayman Islands exempted company and continuing and domesticating as a corporation incorporated under the laws of the State of Delaware (the “</w:t>
      </w:r>
      <w:r>
        <w:rPr>
          <w:rFonts w:ascii="Arial" w:cs="Arial" w:eastAsia="Arial" w:hAnsi="Arial"/>
          <w:sz w:val="15"/>
          <w:szCs w:val="15"/>
          <w:b w:val="1"/>
          <w:bCs w:val="1"/>
          <w:i w:val="1"/>
          <w:iCs w:val="1"/>
          <w:color w:val="auto"/>
        </w:rPr>
        <w:t>Domestication</w:t>
      </w:r>
      <w:r>
        <w:rPr>
          <w:rFonts w:ascii="Arial" w:cs="Arial" w:eastAsia="Arial" w:hAnsi="Arial"/>
          <w:sz w:val="15"/>
          <w:szCs w:val="15"/>
          <w:color w:val="auto"/>
        </w:rPr>
        <w:t>”). Following the Domestication, on July 21, 2022, ArcLight changed its name to “OPAL Fuels Inc.” (which is referred to herein as “</w:t>
      </w:r>
      <w:r>
        <w:rPr>
          <w:rFonts w:ascii="Arial" w:cs="Arial" w:eastAsia="Arial" w:hAnsi="Arial"/>
          <w:sz w:val="15"/>
          <w:szCs w:val="15"/>
          <w:b w:val="1"/>
          <w:bCs w:val="1"/>
          <w:i w:val="1"/>
          <w:iCs w:val="1"/>
          <w:color w:val="auto"/>
        </w:rPr>
        <w:t>New OPAL</w:t>
      </w:r>
      <w:r>
        <w:rPr>
          <w:rFonts w:ascii="Arial" w:cs="Arial" w:eastAsia="Arial" w:hAnsi="Arial"/>
          <w:sz w:val="15"/>
          <w:szCs w:val="15"/>
          <w:color w:val="auto"/>
        </w:rPr>
        <w:t>”) and each outstanding ArcLight Class B ordinary share converted into one ArcLight Class A ordinary share, each outstanding ArcLight Class A ordinary share became one share of Class A common stock of New OPAL, par value $0.0001 per share (the “</w:t>
      </w:r>
      <w:r>
        <w:rPr>
          <w:rFonts w:ascii="Arial" w:cs="Arial" w:eastAsia="Arial" w:hAnsi="Arial"/>
          <w:sz w:val="15"/>
          <w:szCs w:val="15"/>
          <w:b w:val="1"/>
          <w:bCs w:val="1"/>
          <w:i w:val="1"/>
          <w:iCs w:val="1"/>
          <w:color w:val="auto"/>
        </w:rPr>
        <w:t>New OPAL Class A common stock</w:t>
      </w:r>
      <w:r>
        <w:rPr>
          <w:rFonts w:ascii="Arial" w:cs="Arial" w:eastAsia="Arial" w:hAnsi="Arial"/>
          <w:sz w:val="15"/>
          <w:szCs w:val="15"/>
          <w:color w:val="auto"/>
        </w:rPr>
        <w:t>”), and each outstanding warrant to purchase one ArcLight Class A ordinary share became a warrant to purchase one share of New OPAL Class A common stock at an exercise price of $11.50 per share.</w:t>
      </w:r>
    </w:p>
    <w:p>
      <w:pPr>
        <w:spacing w:after="0" w:line="159" w:lineRule="exact"/>
        <w:rPr>
          <w:sz w:val="20"/>
          <w:szCs w:val="20"/>
          <w:color w:val="auto"/>
        </w:rPr>
      </w:pPr>
    </w:p>
    <w:p>
      <w:pPr>
        <w:jc w:val="both"/>
        <w:ind w:firstLine="565"/>
        <w:spacing w:after="0" w:line="256" w:lineRule="auto"/>
        <w:rPr>
          <w:sz w:val="20"/>
          <w:szCs w:val="20"/>
          <w:color w:val="auto"/>
        </w:rPr>
      </w:pPr>
      <w:r>
        <w:rPr>
          <w:rFonts w:ascii="Arial" w:cs="Arial" w:eastAsia="Arial" w:hAnsi="Arial"/>
          <w:sz w:val="16"/>
          <w:szCs w:val="16"/>
          <w:color w:val="auto"/>
        </w:rPr>
        <w:t>Following the consummation of the Business Combination on July 21, 2022, the Combined Company (“</w:t>
      </w:r>
      <w:r>
        <w:rPr>
          <w:rFonts w:ascii="Arial" w:cs="Arial" w:eastAsia="Arial" w:hAnsi="Arial"/>
          <w:sz w:val="16"/>
          <w:szCs w:val="16"/>
          <w:b w:val="1"/>
          <w:bCs w:val="1"/>
          <w:i w:val="1"/>
          <w:iCs w:val="1"/>
          <w:color w:val="auto"/>
        </w:rPr>
        <w:t>Combined Company</w:t>
      </w:r>
      <w:r>
        <w:rPr>
          <w:rFonts w:ascii="Arial" w:cs="Arial" w:eastAsia="Arial" w:hAnsi="Arial"/>
          <w:sz w:val="16"/>
          <w:szCs w:val="16"/>
          <w:color w:val="auto"/>
        </w:rPr>
        <w:t>” refers to New OPAL and its subsidiaries, including Opco, following consummation of the Business Combinations) is organized in an “Up-C” structure. New OPAL is the managing member of Opco. Opco directly or indirectly holds substantially all of the consolidated assets and business of New OPAL.</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consummation of the Business Combination, the events summarized below, among others, occurred:</w:t>
      </w:r>
    </w:p>
    <w:p>
      <w:pPr>
        <w:spacing w:after="0" w:line="193" w:lineRule="exact"/>
        <w:rPr>
          <w:sz w:val="20"/>
          <w:szCs w:val="20"/>
          <w:color w:val="auto"/>
        </w:rPr>
      </w:pPr>
    </w:p>
    <w:p>
      <w:pPr>
        <w:jc w:val="both"/>
        <w:ind w:left="560" w:right="20" w:hanging="283"/>
        <w:spacing w:after="0" w:line="251" w:lineRule="auto"/>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the Closing, Opal HoldCo LLC (“</w:t>
      </w:r>
      <w:r>
        <w:rPr>
          <w:rFonts w:ascii="Arial" w:cs="Arial" w:eastAsia="Arial" w:hAnsi="Arial"/>
          <w:sz w:val="16"/>
          <w:szCs w:val="16"/>
          <w:b w:val="1"/>
          <w:bCs w:val="1"/>
          <w:i w:val="1"/>
          <w:iCs w:val="1"/>
          <w:color w:val="auto"/>
        </w:rPr>
        <w:t>OPAL Holdco</w:t>
      </w:r>
      <w:r>
        <w:rPr>
          <w:rFonts w:ascii="Arial" w:cs="Arial" w:eastAsia="Arial" w:hAnsi="Arial"/>
          <w:sz w:val="16"/>
          <w:szCs w:val="16"/>
          <w:color w:val="auto"/>
        </w:rPr>
        <w:t>”) and Opco caused Opco’s existing limited liability company agreement to be amended and restated to, among other things, admit New OPAL as a member of Opco and to re-classify Opco’s existing limited liability company membership interests into Class B Units of Opco, calculated as a function of the pre-transaction equity value for Opco equal to $1,501,870,000, less all principal and accrued interest outstanding immediately after the Closing pursuant to certain convertible promissory note, dated as of May 1, 2021 (as amended, including that certain First Amendment to Convertible Note, dated November 29, 2021), held by ARCC Beacon LLC (“</w:t>
      </w:r>
      <w:r>
        <w:rPr>
          <w:rFonts w:ascii="Arial" w:cs="Arial" w:eastAsia="Arial" w:hAnsi="Arial"/>
          <w:sz w:val="16"/>
          <w:szCs w:val="16"/>
          <w:b w:val="1"/>
          <w:bCs w:val="1"/>
          <w:i w:val="1"/>
          <w:iCs w:val="1"/>
          <w:color w:val="auto"/>
        </w:rPr>
        <w:t>Ares</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left="560" w:hanging="283"/>
        <w:spacing w:after="0" w:line="249" w:lineRule="auto"/>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the Closing, ArcLight (i) contributed to Opco $128,362,579 in cash, representing the sum of cash in the Trust Account as of immediately prior to the Closing (after giving effect to the ACT Share Redemptions from the Trust Account and the set aside of funds in escrow to support a forward purchase agreement (described further below)) plus the aggregate proceeds of the PIPE Investment received as of the Closing and (ii) issued to Opco 144,399,037 shares of Class D common stock of New OPAL, par value $0.0001 per share (“New OPAL Class D common stock”) (which it in turn distributed to OPAL Holdco and Hillman), and (iii) issued 3,059,533 shares of New OPAL Class A common stock to Ares, collectively, in exchange for a number of Class A Units of Opco equal to the 25,171,390 shares of New OPAL Class A common stock issued and outstanding.</w:t>
      </w:r>
    </w:p>
    <w:p>
      <w:pPr>
        <w:spacing w:after="0" w:line="174" w:lineRule="exact"/>
        <w:rPr>
          <w:sz w:val="20"/>
          <w:szCs w:val="20"/>
          <w:color w:val="auto"/>
        </w:rPr>
      </w:pPr>
    </w:p>
    <w:p>
      <w:pPr>
        <w:jc w:val="both"/>
        <w:ind w:right="20" w:firstLine="565"/>
        <w:spacing w:after="0" w:line="252" w:lineRule="auto"/>
        <w:rPr>
          <w:sz w:val="20"/>
          <w:szCs w:val="20"/>
          <w:color w:val="auto"/>
        </w:rPr>
      </w:pPr>
      <w:r>
        <w:rPr>
          <w:rFonts w:ascii="Arial" w:cs="Arial" w:eastAsia="Arial" w:hAnsi="Arial"/>
          <w:sz w:val="16"/>
          <w:szCs w:val="16"/>
          <w:color w:val="auto"/>
        </w:rPr>
        <w:t>In connection with entering into the Business Combination Agreement, ArcLight entered into the Subscription Agreements with the PIPE Investors, pursuant to which, among other things, in connection with the consummation of the Business Combination, the PIPE Investors party thereto purchased an aggregate of 11,080,600 shares of New OPAL Class A common stock at a cash purchase price of $10.00 per share, resulting in aggregate proceeds of $110.8 million from the PIPE Investment ($105.8 million of which was received as of the Closing and $5.0 million of which was received subsequent to the Closing).</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related events that have taken place in connection with the Business Combination are summarized below:</w:t>
      </w:r>
    </w:p>
    <w:p>
      <w:pPr>
        <w:spacing w:after="0" w:line="193" w:lineRule="exact"/>
        <w:rPr>
          <w:sz w:val="20"/>
          <w:szCs w:val="20"/>
          <w:color w:val="auto"/>
        </w:rPr>
      </w:pPr>
    </w:p>
    <w:p>
      <w:pPr>
        <w:jc w:val="both"/>
        <w:ind w:left="560" w:hanging="283"/>
        <w:spacing w:after="0" w:line="252"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Immediately prior to the execution of the Business Combination Agreement, Opco entered into the Hillman Exchange Agreement with Hillman RNG Investments LLC (“</w:t>
      </w:r>
      <w:r>
        <w:rPr>
          <w:rFonts w:ascii="Arial" w:cs="Arial" w:eastAsia="Arial" w:hAnsi="Arial"/>
          <w:sz w:val="16"/>
          <w:szCs w:val="16"/>
          <w:b w:val="1"/>
          <w:bCs w:val="1"/>
          <w:i w:val="1"/>
          <w:iCs w:val="1"/>
          <w:color w:val="auto"/>
        </w:rPr>
        <w:t>Hillman</w:t>
      </w:r>
      <w:r>
        <w:rPr>
          <w:rFonts w:ascii="Arial" w:cs="Arial" w:eastAsia="Arial" w:hAnsi="Arial"/>
          <w:sz w:val="16"/>
          <w:szCs w:val="16"/>
          <w:color w:val="auto"/>
        </w:rPr>
        <w:t>”), pursuant to which Hillman has exchanged all of its equity interests in Opco’s subsidiaries for 300,000 Opco Series A-1 Preferred Units and 14 Pre-Closing Company Common Units. This transaction was consummated in November 2021, and has been reflected in the historical audited consolidated balance sheet as of December 31, 2021;</w:t>
      </w:r>
    </w:p>
    <w:p>
      <w:pPr>
        <w:spacing w:after="0" w:line="169" w:lineRule="exact"/>
        <w:rPr>
          <w:rFonts w:ascii="Arial" w:cs="Arial" w:eastAsia="Arial" w:hAnsi="Arial"/>
          <w:sz w:val="16"/>
          <w:szCs w:val="16"/>
          <w:color w:val="auto"/>
        </w:rPr>
      </w:pPr>
    </w:p>
    <w:p>
      <w:pPr>
        <w:jc w:val="both"/>
        <w:ind w:left="560" w:hanging="283"/>
        <w:spacing w:after="0" w:line="281" w:lineRule="auto"/>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Immediately prior to the execution of the Business Combination Agreement, the Company entered into the NextEra Subscription Agreement with Mendocino Capital, LLC, a Delaware limited liability company (“</w:t>
      </w:r>
      <w:r>
        <w:rPr>
          <w:rFonts w:ascii="Arial" w:cs="Arial" w:eastAsia="Arial" w:hAnsi="Arial"/>
          <w:sz w:val="15"/>
          <w:szCs w:val="15"/>
          <w:b w:val="1"/>
          <w:bCs w:val="1"/>
          <w:i w:val="1"/>
          <w:iCs w:val="1"/>
          <w:color w:val="auto"/>
        </w:rPr>
        <w:t>NextEra</w:t>
      </w:r>
      <w:r>
        <w:rPr>
          <w:rFonts w:ascii="Arial" w:cs="Arial" w:eastAsia="Arial" w:hAnsi="Arial"/>
          <w:sz w:val="15"/>
          <w:szCs w:val="15"/>
          <w:color w:val="auto"/>
        </w:rPr>
        <w:t>”), pursuant to which NextEra agreed to subscribe for up to an aggregate amount of 1,000,000 Company Series A Preferred Units. The Company had drawn $100.0 million as of June 30, 2022, issuing 1,000,000 Series A Preferred Units as of such date;</w:t>
      </w:r>
    </w:p>
    <w:p>
      <w:pPr>
        <w:spacing w:after="0" w:line="147" w:lineRule="exact"/>
        <w:rPr>
          <w:rFonts w:ascii="Arial" w:cs="Arial" w:eastAsia="Arial" w:hAnsi="Arial"/>
          <w:sz w:val="15"/>
          <w:szCs w:val="15"/>
          <w:color w:val="auto"/>
        </w:rPr>
      </w:pPr>
    </w:p>
    <w:p>
      <w:pPr>
        <w:jc w:val="both"/>
        <w:ind w:left="560" w:right="20" w:hanging="283"/>
        <w:spacing w:after="0" w:line="252"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Immediately prior to the execution of the Business Combination Agreement, Opco entered into that certain First Amendment to Convertible Note, dated November 29, 2021 (the “</w:t>
      </w:r>
      <w:r>
        <w:rPr>
          <w:rFonts w:ascii="Arial" w:cs="Arial" w:eastAsia="Arial" w:hAnsi="Arial"/>
          <w:sz w:val="16"/>
          <w:szCs w:val="16"/>
          <w:b w:val="1"/>
          <w:bCs w:val="1"/>
          <w:i w:val="1"/>
          <w:iCs w:val="1"/>
          <w:color w:val="auto"/>
        </w:rPr>
        <w:t>Ares First Amendment</w:t>
      </w:r>
      <w:r>
        <w:rPr>
          <w:rFonts w:ascii="Arial" w:cs="Arial" w:eastAsia="Arial" w:hAnsi="Arial"/>
          <w:sz w:val="16"/>
          <w:szCs w:val="16"/>
          <w:color w:val="auto"/>
        </w:rPr>
        <w:t>”), with Ares, pursuant to which Ares irrevocably agreed to exercise its right to convert fifty percent (50%) of the principal and accrued interest outstanding pursuant to the Ares Note into pre-Closing Opco common units; On July 21, 2022, Ares elected to receive New OPAL Class A common stock in lieu of pre-Closing Opco common units.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57" w:name="page58"/>
    <w:bookmarkEnd w:id="57"/>
    <w:p>
      <w:pPr>
        <w:jc w:val="both"/>
        <w:ind w:left="560" w:hanging="283"/>
        <w:spacing w:after="0" w:line="322" w:lineRule="auto"/>
        <w:tabs>
          <w:tab w:leader="none" w:pos="5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Pursuant to the terms of the Sponsor Letter Agreement entered into on December 2, 2021 among ArcLight, ArcLight CTC Holdings II, L.P. (“</w:t>
      </w:r>
      <w:r>
        <w:rPr>
          <w:rFonts w:ascii="Arial" w:cs="Arial" w:eastAsia="Arial" w:hAnsi="Arial"/>
          <w:sz w:val="13"/>
          <w:szCs w:val="13"/>
          <w:b w:val="1"/>
          <w:bCs w:val="1"/>
          <w:i w:val="1"/>
          <w:iCs w:val="1"/>
          <w:color w:val="auto"/>
        </w:rPr>
        <w:t>Sponsor</w:t>
      </w:r>
      <w:r>
        <w:rPr>
          <w:rFonts w:ascii="Arial" w:cs="Arial" w:eastAsia="Arial" w:hAnsi="Arial"/>
          <w:sz w:val="13"/>
          <w:szCs w:val="13"/>
          <w:color w:val="auto"/>
        </w:rPr>
        <w:t>”), Opco and certain other persons concurrently with the execution of the Business Combination Agreement (the “</w:t>
      </w:r>
      <w:r>
        <w:rPr>
          <w:rFonts w:ascii="Arial" w:cs="Arial" w:eastAsia="Arial" w:hAnsi="Arial"/>
          <w:sz w:val="13"/>
          <w:szCs w:val="13"/>
          <w:b w:val="1"/>
          <w:bCs w:val="1"/>
          <w:i w:val="1"/>
          <w:iCs w:val="1"/>
          <w:color w:val="auto"/>
        </w:rPr>
        <w:t>Sponsor Letter Agreement</w:t>
      </w:r>
      <w:r>
        <w:rPr>
          <w:rFonts w:ascii="Arial" w:cs="Arial" w:eastAsia="Arial" w:hAnsi="Arial"/>
          <w:sz w:val="13"/>
          <w:szCs w:val="13"/>
          <w:color w:val="auto"/>
        </w:rPr>
        <w:t>”), the Sponsor agreed to subject 10% of its New OPAL Class A common stock (received as a result of the conversion of its ArcLight Class B ordinary shares immediately prior to the Closing) to vesting and forfeiture conditions relating to VWAP targets for New OPAL Class A common stock sustained over a period of 60 months following the Closing (“</w:t>
      </w:r>
      <w:r>
        <w:rPr>
          <w:rFonts w:ascii="Arial" w:cs="Arial" w:eastAsia="Arial" w:hAnsi="Arial"/>
          <w:sz w:val="13"/>
          <w:szCs w:val="13"/>
          <w:b w:val="1"/>
          <w:bCs w:val="1"/>
          <w:i w:val="1"/>
          <w:iCs w:val="1"/>
          <w:color w:val="auto"/>
        </w:rPr>
        <w:t>Sponsor Earnout</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Awards</w:t>
      </w:r>
      <w:r>
        <w:rPr>
          <w:rFonts w:ascii="Arial" w:cs="Arial" w:eastAsia="Arial" w:hAnsi="Arial"/>
          <w:sz w:val="13"/>
          <w:szCs w:val="13"/>
          <w:color w:val="auto"/>
        </w:rPr>
        <w:t>”). For more information, see the section titled</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“Certain Relationships and Related Party Transactions—Sponsor Letter Agreement.”</w:t>
      </w:r>
    </w:p>
    <w:p>
      <w:pPr>
        <w:spacing w:after="0" w:line="127" w:lineRule="exact"/>
        <w:rPr>
          <w:rFonts w:ascii="Arial" w:cs="Arial" w:eastAsia="Arial" w:hAnsi="Arial"/>
          <w:sz w:val="13"/>
          <w:szCs w:val="13"/>
          <w:color w:val="auto"/>
        </w:rPr>
      </w:pPr>
    </w:p>
    <w:p>
      <w:pPr>
        <w:jc w:val="both"/>
        <w:ind w:left="560" w:hanging="283"/>
        <w:spacing w:after="0" w:line="268" w:lineRule="auto"/>
        <w:tabs>
          <w:tab w:leader="none" w:pos="5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Effective immediately after the Closing, and upon the date on which New OPAL’s annual EBITDA for the calendar year 2023 exceeds $238.0 million (the “</w:t>
      </w:r>
      <w:r>
        <w:rPr>
          <w:rFonts w:ascii="Arial" w:cs="Arial" w:eastAsia="Arial" w:hAnsi="Arial"/>
          <w:sz w:val="15"/>
          <w:szCs w:val="15"/>
          <w:b w:val="1"/>
          <w:bCs w:val="1"/>
          <w:i w:val="1"/>
          <w:iCs w:val="1"/>
          <w:color w:val="auto"/>
        </w:rPr>
        <w:t>First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Earnout Triggering Event</w:t>
      </w:r>
      <w:r>
        <w:rPr>
          <w:rFonts w:ascii="Arial" w:cs="Arial" w:eastAsia="Arial" w:hAnsi="Arial"/>
          <w:sz w:val="15"/>
          <w:szCs w:val="15"/>
          <w:color w:val="auto"/>
        </w:rPr>
        <w:t>”), (i) New OPAL will issue to Opco Common Equity holders (the “</w:t>
      </w:r>
      <w:r>
        <w:rPr>
          <w:rFonts w:ascii="Arial" w:cs="Arial" w:eastAsia="Arial" w:hAnsi="Arial"/>
          <w:sz w:val="15"/>
          <w:szCs w:val="15"/>
          <w:b w:val="1"/>
          <w:bCs w:val="1"/>
          <w:i w:val="1"/>
          <w:iCs w:val="1"/>
          <w:color w:val="auto"/>
        </w:rPr>
        <w:t>Earnout Participants</w:t>
      </w:r>
      <w:r>
        <w:rPr>
          <w:rFonts w:ascii="Arial" w:cs="Arial" w:eastAsia="Arial" w:hAnsi="Arial"/>
          <w:sz w:val="15"/>
          <w:szCs w:val="15"/>
          <w:color w:val="auto"/>
        </w:rPr>
        <w:t>”) an aggregate of 5,000,000 shares of New OPAL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Class B common stock and New OPAL Class D common stock and corresponding OPAL Common Units (collectively, the “</w:t>
      </w:r>
      <w:r>
        <w:rPr>
          <w:rFonts w:ascii="Arial" w:cs="Arial" w:eastAsia="Arial" w:hAnsi="Arial"/>
          <w:sz w:val="15"/>
          <w:szCs w:val="15"/>
          <w:b w:val="1"/>
          <w:bCs w:val="1"/>
          <w:i w:val="1"/>
          <w:iCs w:val="1"/>
          <w:color w:val="auto"/>
        </w:rPr>
        <w:t>First Earnout Tranche</w:t>
      </w:r>
      <w:r>
        <w:rPr>
          <w:rFonts w:ascii="Arial" w:cs="Arial" w:eastAsia="Arial" w:hAnsi="Arial"/>
          <w:sz w:val="15"/>
          <w:szCs w:val="15"/>
          <w:color w:val="auto"/>
        </w:rPr>
        <w:t>”) in accordance with the allocations set forth in the Business Combination Agreement. Additionally, upon the date on which New OPAL’s annual EBITDA for the calendar year 2024 exceeds $446.0 million (the “</w:t>
      </w:r>
      <w:r>
        <w:rPr>
          <w:rFonts w:ascii="Arial" w:cs="Arial" w:eastAsia="Arial" w:hAnsi="Arial"/>
          <w:sz w:val="15"/>
          <w:szCs w:val="15"/>
          <w:b w:val="1"/>
          <w:bCs w:val="1"/>
          <w:i w:val="1"/>
          <w:iCs w:val="1"/>
          <w:color w:val="auto"/>
        </w:rPr>
        <w:t>Second Earnout Triggering Event</w:t>
      </w:r>
      <w:r>
        <w:rPr>
          <w:rFonts w:ascii="Arial" w:cs="Arial" w:eastAsia="Arial" w:hAnsi="Arial"/>
          <w:sz w:val="15"/>
          <w:szCs w:val="15"/>
          <w:color w:val="auto"/>
        </w:rPr>
        <w:t>”), (i) New OPAL will issue to the Earnout Participants an aggregate of 5,000,000 additional shares of New OPAL Class B common stock and New OPAL Class D common stock and corresponding OPAL Common Units (collectively, the “</w:t>
      </w:r>
      <w:r>
        <w:rPr>
          <w:rFonts w:ascii="Arial" w:cs="Arial" w:eastAsia="Arial" w:hAnsi="Arial"/>
          <w:sz w:val="15"/>
          <w:szCs w:val="15"/>
          <w:b w:val="1"/>
          <w:bCs w:val="1"/>
          <w:i w:val="1"/>
          <w:iCs w:val="1"/>
          <w:color w:val="auto"/>
        </w:rPr>
        <w:t>Second Earnout Tranche</w:t>
      </w:r>
      <w:r>
        <w:rPr>
          <w:rFonts w:ascii="Arial" w:cs="Arial" w:eastAsia="Arial" w:hAnsi="Arial"/>
          <w:sz w:val="15"/>
          <w:szCs w:val="15"/>
          <w:color w:val="auto"/>
        </w:rPr>
        <w:t>”) in accordance with the allocations set forth in the Business Combination Agreement (“</w:t>
      </w:r>
      <w:r>
        <w:rPr>
          <w:rFonts w:ascii="Arial" w:cs="Arial" w:eastAsia="Arial" w:hAnsi="Arial"/>
          <w:sz w:val="15"/>
          <w:szCs w:val="15"/>
          <w:b w:val="1"/>
          <w:bCs w:val="1"/>
          <w:i w:val="1"/>
          <w:iCs w:val="1"/>
          <w:color w:val="auto"/>
        </w:rPr>
        <w:t>OPAL Earnout Awards</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left="560" w:hanging="283"/>
        <w:spacing w:after="0" w:line="269" w:lineRule="auto"/>
        <w:tabs>
          <w:tab w:leader="none" w:pos="5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Pursuant to a forward share purchase agreement (the “Forward Purchase Agreement”) entered into between ArcLight and Meteora Capital Partners and its affiliates (collectively, “</w:t>
      </w:r>
      <w:r>
        <w:rPr>
          <w:rFonts w:ascii="Arial" w:cs="Arial" w:eastAsia="Arial" w:hAnsi="Arial"/>
          <w:sz w:val="15"/>
          <w:szCs w:val="15"/>
          <w:b w:val="1"/>
          <w:bCs w:val="1"/>
          <w:i w:val="1"/>
          <w:iCs w:val="1"/>
          <w:color w:val="auto"/>
        </w:rPr>
        <w:t>Meteora</w:t>
      </w:r>
      <w:r>
        <w:rPr>
          <w:rFonts w:ascii="Arial" w:cs="Arial" w:eastAsia="Arial" w:hAnsi="Arial"/>
          <w:sz w:val="15"/>
          <w:szCs w:val="15"/>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obligation to repurchase these 2,000,000 shares at Meteora’s option for a price of $10.02 per share on the date that is six months after Closing of the Business Combination.</w:t>
      </w:r>
    </w:p>
    <w:p>
      <w:pPr>
        <w:spacing w:after="0" w:line="159" w:lineRule="exact"/>
        <w:rPr>
          <w:rFonts w:ascii="Arial" w:cs="Arial" w:eastAsia="Arial" w:hAnsi="Arial"/>
          <w:sz w:val="15"/>
          <w:szCs w:val="15"/>
          <w:color w:val="auto"/>
        </w:rPr>
      </w:pPr>
    </w:p>
    <w:p>
      <w:pPr>
        <w:jc w:val="both"/>
        <w:ind w:left="560" w:hanging="283"/>
        <w:spacing w:after="0" w:line="249" w:lineRule="auto"/>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Pursuant to a July 21, 2022 agreement between Encompass Capital Advisors LLC (“</w:t>
      </w:r>
      <w:r>
        <w:rPr>
          <w:rFonts w:ascii="Arial" w:cs="Arial" w:eastAsia="Arial" w:hAnsi="Arial"/>
          <w:sz w:val="16"/>
          <w:szCs w:val="16"/>
          <w:b w:val="1"/>
          <w:bCs w:val="1"/>
          <w:i w:val="1"/>
          <w:iCs w:val="1"/>
          <w:color w:val="auto"/>
        </w:rPr>
        <w:t>Encompass</w:t>
      </w:r>
      <w:r>
        <w:rPr>
          <w:rFonts w:ascii="Arial" w:cs="Arial" w:eastAsia="Arial" w:hAnsi="Arial"/>
          <w:sz w:val="16"/>
          <w:szCs w:val="16"/>
          <w:color w:val="auto"/>
        </w:rPr>
        <w:t>”) and the Sponsor, prior to the closing of the Business Combination, certain fund entities and managed accounts for which Encompass exercises investment discretion purchased 1,320,849 Class A ordinary shares of ArcLight, in the aggregate, from shareholders that had previously tendered such shares for redemption but agreed to reverse their redemption and sell such shares to Encompass, resulting in Encompass’ beneficial ownership of a total of 1,320,849 Class A ordinary shares, which Encompass agreed not to redeem in connection with the Business Combination. Additionally, the Sponsor agreed to transfer to Encompass for no consideration, 1,985,236 of the Sponsor’s private placement warrants, which warrants are subject to a 9.9% beneficial ownership limitation on exercise.</w:t>
      </w:r>
    </w:p>
    <w:p>
      <w:pPr>
        <w:spacing w:after="0" w:line="173" w:lineRule="exact"/>
        <w:rPr>
          <w:rFonts w:ascii="Arial" w:cs="Arial" w:eastAsia="Arial" w:hAnsi="Arial"/>
          <w:sz w:val="16"/>
          <w:szCs w:val="16"/>
          <w:color w:val="auto"/>
        </w:rPr>
      </w:pPr>
    </w:p>
    <w:p>
      <w:pPr>
        <w:jc w:val="both"/>
        <w:ind w:left="560" w:hanging="283"/>
        <w:spacing w:after="0" w:line="268" w:lineRule="auto"/>
        <w:tabs>
          <w:tab w:leader="none" w:pos="5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Additionally, in connection with the Closing, Opco and Sponsor entered into a letter agreement (the “</w:t>
      </w:r>
      <w:r>
        <w:rPr>
          <w:rFonts w:ascii="Arial" w:cs="Arial" w:eastAsia="Arial" w:hAnsi="Arial"/>
          <w:sz w:val="15"/>
          <w:szCs w:val="15"/>
          <w:b w:val="1"/>
          <w:bCs w:val="1"/>
          <w:i w:val="1"/>
          <w:iCs w:val="1"/>
          <w:color w:val="auto"/>
        </w:rPr>
        <w:t>Sponsor Side Letter</w:t>
      </w:r>
      <w:r>
        <w:rPr>
          <w:rFonts w:ascii="Arial" w:cs="Arial" w:eastAsia="Arial" w:hAnsi="Arial"/>
          <w:sz w:val="15"/>
          <w:szCs w:val="15"/>
          <w:color w:val="auto"/>
        </w:rPr>
        <w:t>”) whereby Sponsor agreed to transfer, pledge or forfeit up to 150,000 shares of New OPAL Class A common stock held by Sponsor for the benefit of a third party non-affiliate of the Company where no consideration is received by Sponsor in respect thereof, upon and in accordance with the written direction of Opco. Pursuant to such letter agreement, Sponsor further agreed that if the Company were to receive less than $6,800,000 in cash upon the release of the escrow fund established pursuant to the Forward Purchase Agreement (such shortfall amount being referred to as the “</w:t>
      </w:r>
      <w:r>
        <w:rPr>
          <w:rFonts w:ascii="Arial" w:cs="Arial" w:eastAsia="Arial" w:hAnsi="Arial"/>
          <w:sz w:val="15"/>
          <w:szCs w:val="15"/>
          <w:b w:val="1"/>
          <w:bCs w:val="1"/>
          <w:i w:val="1"/>
          <w:iCs w:val="1"/>
          <w:color w:val="auto"/>
        </w:rPr>
        <w:t>Shortfall Amount</w:t>
      </w:r>
      <w:r>
        <w:rPr>
          <w:rFonts w:ascii="Arial" w:cs="Arial" w:eastAsia="Arial" w:hAnsi="Arial"/>
          <w:sz w:val="15"/>
          <w:szCs w:val="15"/>
          <w:color w:val="auto"/>
        </w:rPr>
        <w:t>”), Sponsor shall transfer, pledge or forfeit up to an additional 102,000 of the Sponsor Earnout Awards (shares of New OPAL Class A common stock subject to vesting conditions noted above), with such maximum number of shares pro-rated on a directly proportionate basis based on the size of the Shortfall Amount relative to $6,800,000.</w:t>
      </w:r>
    </w:p>
    <w:p>
      <w:pPr>
        <w:spacing w:after="0" w:line="159" w:lineRule="exact"/>
        <w:rPr>
          <w:sz w:val="20"/>
          <w:szCs w:val="20"/>
          <w:color w:val="auto"/>
        </w:rPr>
      </w:pPr>
    </w:p>
    <w:p>
      <w:pPr>
        <w:jc w:val="both"/>
        <w:ind w:firstLine="565"/>
        <w:spacing w:after="0" w:line="248" w:lineRule="auto"/>
        <w:rPr>
          <w:sz w:val="20"/>
          <w:szCs w:val="20"/>
          <w:color w:val="auto"/>
        </w:rPr>
      </w:pPr>
      <w:r>
        <w:rPr>
          <w:rFonts w:ascii="Arial" w:cs="Arial" w:eastAsia="Arial" w:hAnsi="Arial"/>
          <w:sz w:val="16"/>
          <w:szCs w:val="16"/>
          <w:color w:val="auto"/>
        </w:rPr>
        <w:t>Upon the completion of the Business Combination, New OPAL entered into the Tax Receivable Agreement with OPAL Holdco and Hillman (such persons, and any other persons that from time to time become a party to such agreement, collectively, the “</w:t>
      </w:r>
      <w:r>
        <w:rPr>
          <w:rFonts w:ascii="Arial" w:cs="Arial" w:eastAsia="Arial" w:hAnsi="Arial"/>
          <w:sz w:val="16"/>
          <w:szCs w:val="16"/>
          <w:b w:val="1"/>
          <w:bCs w:val="1"/>
          <w:i w:val="1"/>
          <w:iCs w:val="1"/>
          <w:color w:val="auto"/>
        </w:rPr>
        <w:t>TRA Participants</w:t>
      </w:r>
      <w:r>
        <w:rPr>
          <w:rFonts w:ascii="Arial" w:cs="Arial" w:eastAsia="Arial" w:hAnsi="Arial"/>
          <w:sz w:val="16"/>
          <w:szCs w:val="16"/>
          <w:color w:val="auto"/>
        </w:rPr>
        <w:t xml:space="preserve">”), pursuant to which New OPAL generally will be required to pay to the TRA Participants, in the aggregate, 85% of the amount of cash savings, if any, in U.S. federal, state and local income tax or franchise tax that New OPAL actually realizes as a result of (i) increases to the tax basis of Opco’s assets resulting from future redemptions or exchanges of OPAL Units (together with voting shares of New OPAL Common Stock) for shares of New OPAL Class A common stock or New OPAL Class C common stock, as applicable, or cash, (ii) tax benefits related to imputed interest, and (iii) tax attributes resulting from payments made under the Tax Receivable Agreement. The payment obligations under the Tax Receivable Agreement are New OPAL’s obligations and not obligations of Opco. For more information about the Tax Receivable Agreement, see the section titled </w:t>
      </w:r>
      <w:r>
        <w:rPr>
          <w:rFonts w:ascii="Arial" w:cs="Arial" w:eastAsia="Arial" w:hAnsi="Arial"/>
          <w:sz w:val="16"/>
          <w:szCs w:val="16"/>
          <w:i w:val="1"/>
          <w:iCs w:val="1"/>
          <w:color w:val="auto"/>
        </w:rPr>
        <w:t>“Certain Relationships and Related Party Transactions—Sponsor Letter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58" w:name="page59"/>
    <w:bookmarkEnd w:id="58"/>
    <w:p>
      <w:pPr>
        <w:jc w:val="both"/>
        <w:ind w:left="6" w:firstLine="565"/>
        <w:spacing w:after="0" w:line="256" w:lineRule="auto"/>
        <w:rPr>
          <w:sz w:val="20"/>
          <w:szCs w:val="20"/>
          <w:color w:val="auto"/>
        </w:rPr>
      </w:pPr>
      <w:r>
        <w:rPr>
          <w:rFonts w:ascii="Arial" w:cs="Arial" w:eastAsia="Arial" w:hAnsi="Arial"/>
          <w:sz w:val="16"/>
          <w:szCs w:val="16"/>
          <w:color w:val="auto"/>
        </w:rPr>
        <w:t>In May 2022, ArcLight’s and Opco’s Advisors resigned and withdrew from their engagements in connection with the Business Combination. Please see “</w:t>
      </w:r>
      <w:r>
        <w:rPr>
          <w:rFonts w:ascii="Arial" w:cs="Arial" w:eastAsia="Arial" w:hAnsi="Arial"/>
          <w:sz w:val="16"/>
          <w:szCs w:val="16"/>
          <w:i w:val="1"/>
          <w:iCs w:val="1"/>
          <w:color w:val="auto"/>
        </w:rPr>
        <w:t>Summary —</w:t>
      </w:r>
      <w:r>
        <w:rPr>
          <w:rFonts w:ascii="Arial" w:cs="Arial" w:eastAsia="Arial" w:hAnsi="Arial"/>
          <w:sz w:val="16"/>
          <w:szCs w:val="16"/>
          <w:color w:val="auto"/>
        </w:rPr>
        <w:t xml:space="preserve"> </w:t>
      </w:r>
      <w:r>
        <w:rPr>
          <w:rFonts w:ascii="Arial" w:cs="Arial" w:eastAsia="Arial" w:hAnsi="Arial"/>
          <w:sz w:val="16"/>
          <w:szCs w:val="16"/>
          <w:i w:val="1"/>
          <w:iCs w:val="1"/>
          <w:color w:val="auto"/>
        </w:rPr>
        <w:t>Recent Developments</w:t>
      </w:r>
      <w:r>
        <w:rPr>
          <w:rFonts w:ascii="Arial" w:cs="Arial" w:eastAsia="Arial" w:hAnsi="Arial"/>
          <w:sz w:val="16"/>
          <w:szCs w:val="16"/>
          <w:color w:val="auto"/>
        </w:rPr>
        <w:t>” for a description of the potential impacts of such resignation on the Business Combination and Note 6 to this unaudited pro forma condensed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information.</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Beacon Transaction</w:t>
      </w:r>
    </w:p>
    <w:p>
      <w:pPr>
        <w:spacing w:after="0" w:line="193" w:lineRule="exact"/>
        <w:rPr>
          <w:sz w:val="20"/>
          <w:szCs w:val="20"/>
          <w:color w:val="auto"/>
        </w:rPr>
      </w:pPr>
    </w:p>
    <w:p>
      <w:pPr>
        <w:jc w:val="both"/>
        <w:ind w:left="6" w:right="20" w:firstLine="565"/>
        <w:spacing w:after="0" w:line="252" w:lineRule="auto"/>
        <w:rPr>
          <w:sz w:val="20"/>
          <w:szCs w:val="20"/>
          <w:color w:val="auto"/>
        </w:rPr>
      </w:pPr>
      <w:r>
        <w:rPr>
          <w:rFonts w:ascii="Arial" w:cs="Arial" w:eastAsia="Arial" w:hAnsi="Arial"/>
          <w:sz w:val="16"/>
          <w:szCs w:val="16"/>
          <w:color w:val="auto"/>
        </w:rPr>
        <w:t>On June 30, 2021, Opco and Ares signed the Exchange Agreement (the “</w:t>
      </w:r>
      <w:r>
        <w:rPr>
          <w:rFonts w:ascii="Arial" w:cs="Arial" w:eastAsia="Arial" w:hAnsi="Arial"/>
          <w:sz w:val="16"/>
          <w:szCs w:val="16"/>
          <w:b w:val="1"/>
          <w:bCs w:val="1"/>
          <w:i w:val="1"/>
          <w:iCs w:val="1"/>
          <w:color w:val="auto"/>
        </w:rPr>
        <w:t>Exchange Agreement</w:t>
      </w:r>
      <w:r>
        <w:rPr>
          <w:rFonts w:ascii="Arial" w:cs="Arial" w:eastAsia="Arial" w:hAnsi="Arial"/>
          <w:sz w:val="16"/>
          <w:szCs w:val="16"/>
          <w:color w:val="auto"/>
        </w:rPr>
        <w:t>”) which outlines terms that were substantially agreed to on April 30, 2021. Pursuant to the Exchange Agreement, Opco issued an unsecured convertible promissory note (the “</w:t>
      </w:r>
      <w:r>
        <w:rPr>
          <w:rFonts w:ascii="Arial" w:cs="Arial" w:eastAsia="Arial" w:hAnsi="Arial"/>
          <w:sz w:val="16"/>
          <w:szCs w:val="16"/>
          <w:b w:val="1"/>
          <w:bCs w:val="1"/>
          <w:i w:val="1"/>
          <w:iCs w:val="1"/>
          <w:color w:val="auto"/>
        </w:rPr>
        <w:t>Convertible Note</w:t>
      </w:r>
      <w:r>
        <w:rPr>
          <w:rFonts w:ascii="Arial" w:cs="Arial" w:eastAsia="Arial" w:hAnsi="Arial"/>
          <w:sz w:val="16"/>
          <w:szCs w:val="16"/>
          <w:color w:val="auto"/>
        </w:rPr>
        <w:t>”) in return for Ares’ assignment of its 58% Class B units in Beacon JV to Opco (the “</w:t>
      </w:r>
      <w:r>
        <w:rPr>
          <w:rFonts w:ascii="Arial" w:cs="Arial" w:eastAsia="Arial" w:hAnsi="Arial"/>
          <w:sz w:val="16"/>
          <w:szCs w:val="16"/>
          <w:b w:val="1"/>
          <w:bCs w:val="1"/>
          <w:i w:val="1"/>
          <w:iCs w:val="1"/>
          <w:color w:val="auto"/>
        </w:rPr>
        <w:t>Assignment Agreement</w:t>
      </w:r>
      <w:r>
        <w:rPr>
          <w:rFonts w:ascii="Arial" w:cs="Arial" w:eastAsia="Arial" w:hAnsi="Arial"/>
          <w:sz w:val="16"/>
          <w:szCs w:val="16"/>
          <w:color w:val="auto"/>
        </w:rPr>
        <w:t>”). The transfer date of the aforementioned consideration was set to May 1, 2021. As agreed to on April 30, 2021, Opco obtained unilateral control over Beacon JV on May 1, 2021.</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Note 2 — Basis of Presentation</w:t>
      </w:r>
    </w:p>
    <w:p>
      <w:pPr>
        <w:spacing w:after="0" w:line="197" w:lineRule="exact"/>
        <w:rPr>
          <w:sz w:val="20"/>
          <w:szCs w:val="20"/>
          <w:color w:val="auto"/>
        </w:rPr>
      </w:pPr>
    </w:p>
    <w:p>
      <w:pPr>
        <w:jc w:val="both"/>
        <w:ind w:left="6" w:firstLine="565"/>
        <w:spacing w:after="0" w:line="249" w:lineRule="auto"/>
        <w:rPr>
          <w:sz w:val="20"/>
          <w:szCs w:val="20"/>
          <w:color w:val="auto"/>
        </w:rPr>
      </w:pPr>
      <w:r>
        <w:rPr>
          <w:rFonts w:ascii="Arial" w:cs="Arial" w:eastAsia="Arial" w:hAnsi="Arial"/>
          <w:sz w:val="16"/>
          <w:szCs w:val="16"/>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Arial" w:cs="Arial" w:eastAsia="Arial" w:hAnsi="Arial"/>
          <w:sz w:val="16"/>
          <w:szCs w:val="16"/>
          <w:b w:val="1"/>
          <w:bCs w:val="1"/>
          <w:i w:val="1"/>
          <w:iCs w:val="1"/>
          <w:color w:val="auto"/>
        </w:rPr>
        <w:t>Transaction Accounting Adjustments</w:t>
      </w:r>
      <w:r>
        <w:rPr>
          <w:rFonts w:ascii="Arial" w:cs="Arial" w:eastAsia="Arial" w:hAnsi="Arial"/>
          <w:sz w:val="16"/>
          <w:szCs w:val="16"/>
          <w:color w:val="auto"/>
        </w:rPr>
        <w:t>”) and present the reasonably estimable synergies and other transaction effects that have occurred or are reasonably expected to occur (“</w:t>
      </w:r>
      <w:r>
        <w:rPr>
          <w:rFonts w:ascii="Arial" w:cs="Arial" w:eastAsia="Arial" w:hAnsi="Arial"/>
          <w:sz w:val="16"/>
          <w:szCs w:val="16"/>
          <w:b w:val="1"/>
          <w:bCs w:val="1"/>
          <w:i w:val="1"/>
          <w:iCs w:val="1"/>
          <w:color w:val="auto"/>
        </w:rPr>
        <w:t>Management’s Adjustments</w:t>
      </w:r>
      <w:r>
        <w:rPr>
          <w:rFonts w:ascii="Arial" w:cs="Arial" w:eastAsia="Arial" w:hAnsi="Arial"/>
          <w:sz w:val="16"/>
          <w:szCs w:val="16"/>
          <w:color w:val="auto"/>
        </w:rPr>
        <w:t>”). Only Transaction Accounting Adjustments are presented in the unaudited pro forma condensed combined financial information and the notes thereto. The adjustments presented in the unaudited pro forma condensed combined financial statements have been identified and presented to provide relevant information necessary for an understanding of the Combined Company following consummation of the Transactions.</w:t>
      </w:r>
    </w:p>
    <w:p>
      <w:pPr>
        <w:spacing w:after="0" w:line="171" w:lineRule="exact"/>
        <w:rPr>
          <w:sz w:val="20"/>
          <w:szCs w:val="20"/>
          <w:color w:val="auto"/>
        </w:rPr>
      </w:pPr>
    </w:p>
    <w:p>
      <w:pPr>
        <w:jc w:val="both"/>
        <w:ind w:left="6" w:right="20" w:firstLine="565"/>
        <w:spacing w:after="0" w:line="266" w:lineRule="auto"/>
        <w:rPr>
          <w:sz w:val="20"/>
          <w:szCs w:val="20"/>
          <w:color w:val="auto"/>
        </w:rPr>
      </w:pPr>
      <w:r>
        <w:rPr>
          <w:rFonts w:ascii="Arial" w:cs="Arial" w:eastAsia="Arial" w:hAnsi="Arial"/>
          <w:sz w:val="16"/>
          <w:szCs w:val="16"/>
          <w:color w:val="auto"/>
        </w:rPr>
        <w:t>The unaudited pro forma condensed combined financial information is subject to several uncertainties and assumptions as described herein. The combined financial information presents the pro forma effects of the Business Combination and other events as described in Note 1.</w:t>
      </w:r>
    </w:p>
    <w:p>
      <w:pPr>
        <w:spacing w:after="0" w:line="157" w:lineRule="exact"/>
        <w:rPr>
          <w:sz w:val="20"/>
          <w:szCs w:val="20"/>
          <w:color w:val="auto"/>
        </w:rPr>
      </w:pPr>
    </w:p>
    <w:p>
      <w:pPr>
        <w:jc w:val="both"/>
        <w:ind w:left="6" w:right="20" w:firstLine="565"/>
        <w:spacing w:after="0" w:line="383" w:lineRule="auto"/>
        <w:rPr>
          <w:sz w:val="20"/>
          <w:szCs w:val="20"/>
          <w:color w:val="auto"/>
        </w:rPr>
      </w:pPr>
      <w:r>
        <w:rPr>
          <w:rFonts w:ascii="Arial" w:cs="Arial" w:eastAsia="Arial" w:hAnsi="Arial"/>
          <w:sz w:val="13"/>
          <w:szCs w:val="13"/>
          <w:color w:val="auto"/>
        </w:rPr>
        <w:t>Management has made significant estimates and assumptions in its determination of the Transaction Accounting Adjustments. As the unaudited pro forma condensed combined financial information has been prepared based on these preliminary estimates, the final amounts recorded may differ materially from the information presented.</w:t>
      </w:r>
    </w:p>
    <w:p>
      <w:pPr>
        <w:spacing w:after="0" w:line="88" w:lineRule="exact"/>
        <w:rPr>
          <w:sz w:val="20"/>
          <w:szCs w:val="20"/>
          <w:color w:val="auto"/>
        </w:rPr>
      </w:pPr>
    </w:p>
    <w:p>
      <w:pPr>
        <w:jc w:val="both"/>
        <w:ind w:left="6" w:firstLine="565"/>
        <w:spacing w:after="0" w:line="269" w:lineRule="auto"/>
        <w:rPr>
          <w:sz w:val="20"/>
          <w:szCs w:val="20"/>
          <w:color w:val="auto"/>
        </w:rPr>
      </w:pPr>
      <w:r>
        <w:rPr>
          <w:rFonts w:ascii="Arial" w:cs="Arial" w:eastAsia="Arial" w:hAnsi="Arial"/>
          <w:sz w:val="15"/>
          <w:szCs w:val="15"/>
          <w:color w:val="auto"/>
        </w:rPr>
        <w:t>The Transaction Accounting Adjustments reflecting the consummation of the Transactions are based on certain currently available information and certain assumptions and methodologies that ArcLight believes are reasonable under the circumstances. The Transaction Accounting Adjustments, which are described in the accompanying notes, may be revised as additional information becomes available and is evaluated. Therefore, it is likely that the actual adjustments will differ from the Transaction Accounting Adjustments, and it is possible the difference may be material. New OPAL believes that its assumptions and methodologies provide a reasonable basis for presenting all of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59" w:lineRule="exact"/>
        <w:rPr>
          <w:sz w:val="20"/>
          <w:szCs w:val="20"/>
          <w:color w:val="auto"/>
        </w:rPr>
      </w:pPr>
    </w:p>
    <w:p>
      <w:pPr>
        <w:jc w:val="both"/>
        <w:ind w:left="6" w:right="20" w:firstLine="565"/>
        <w:spacing w:after="0" w:line="256" w:lineRule="auto"/>
        <w:rPr>
          <w:sz w:val="20"/>
          <w:szCs w:val="20"/>
          <w:color w:val="auto"/>
        </w:rPr>
      </w:pPr>
      <w:r>
        <w:rPr>
          <w:rFonts w:ascii="Arial" w:cs="Arial" w:eastAsia="Arial" w:hAnsi="Arial"/>
          <w:sz w:val="16"/>
          <w:szCs w:val="16"/>
          <w:color w:val="auto"/>
        </w:rPr>
        <w:t>The unaudited pro forma condensed combined financial information does not give effect to any anticipated synergies, operating efficiencies, tax savings, or cost savings that may be associated with the Transactions. ArcLight has not had any historical relationship with Opco prior to the Business Combination. Accordingly, no Transaction Accounting Adjustments were required to eliminate activities between the companies.</w:t>
      </w:r>
    </w:p>
    <w:p>
      <w:pPr>
        <w:spacing w:after="0" w:line="161"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Class of</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New OPAL</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Pro forma</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Combined</w:t>
            </w:r>
          </w:p>
        </w:tc>
        <w:tc>
          <w:tcPr>
            <w:tcW w:w="1120" w:type="dxa"/>
            <w:vAlign w:val="bottom"/>
          </w:tcPr>
          <w:p>
            <w:pPr>
              <w:jc w:val="right"/>
              <w:ind w:right="40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(2)</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Ownership</w:t>
            </w:r>
          </w:p>
        </w:tc>
        <w:tc>
          <w:tcPr>
            <w:tcW w:w="14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ArcLight Public Shareholders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Class A</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3,752,181</w:t>
            </w:r>
          </w:p>
        </w:tc>
        <w:tc>
          <w:tcPr>
            <w:tcW w:w="2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Sponsor Shareholders (1)</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Class A</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7,779,076</w:t>
            </w:r>
          </w:p>
        </w:tc>
        <w:tc>
          <w:tcPr>
            <w:tcW w:w="1260" w:type="dxa"/>
            <w:vAlign w:val="bottom"/>
            <w:gridSpan w:val="3"/>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PIPE Investors</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Class 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11,080,600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Ares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Class A</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3,059,533</w:t>
            </w:r>
          </w:p>
        </w:tc>
        <w:tc>
          <w:tcPr>
            <w:tcW w:w="1260" w:type="dxa"/>
            <w:vAlign w:val="bottom"/>
            <w:gridSpan w:val="3"/>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Opco Common Equityholders</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144,399,037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Hillman</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5"/>
              </w:rPr>
              <w:t>Class D</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2,021,587</w:t>
            </w:r>
          </w:p>
        </w:tc>
        <w:tc>
          <w:tcPr>
            <w:tcW w:w="1260" w:type="dxa"/>
            <w:vAlign w:val="bottom"/>
            <w:gridSpan w:val="3"/>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OPAL HoldCo</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5"/>
              </w:rPr>
              <w:t>Class 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142,377,450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b w:val="1"/>
                <w:bCs w:val="1"/>
                <w:color w:val="auto"/>
              </w:rPr>
              <w:t>Pro forma common stock at Closing</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ind w:right="20"/>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199"/>
        </w:trPr>
        <w:tc>
          <w:tcPr>
            <w:tcW w:w="73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170,070,427</w:t>
            </w:r>
          </w:p>
        </w:tc>
        <w:tc>
          <w:tcPr>
            <w:tcW w:w="1120" w:type="dxa"/>
            <w:vAlign w:val="bottom"/>
          </w:tcPr>
          <w:p>
            <w:pPr>
              <w:jc w:val="right"/>
              <w:spacing w:after="0"/>
              <w:rPr>
                <w:sz w:val="20"/>
                <w:szCs w:val="20"/>
                <w:color w:val="auto"/>
              </w:rPr>
            </w:pPr>
            <w:r>
              <w:rPr>
                <w:rFonts w:ascii="Arial" w:cs="Arial" w:eastAsia="Arial" w:hAnsi="Arial"/>
                <w:sz w:val="16"/>
                <w:szCs w:val="16"/>
                <w:color w:val="auto"/>
              </w:rPr>
              <w:t>100.0</w:t>
            </w:r>
          </w:p>
        </w:tc>
        <w:tc>
          <w:tcPr>
            <w:tcW w:w="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286" w:right="20" w:hanging="286"/>
        <w:spacing w:after="0" w:line="256" w:lineRule="auto"/>
        <w:tabs>
          <w:tab w:leader="none" w:pos="2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763,907 of New OPAL Class A common stock held directly by the Sponsor that are legally issued and outstanding, and subject to forfeiture pursuant to the Sponsor Letter Agreement dated December 2, 2021, and an additional 150,000 of New OPAL Class A common stock held directly by the Sponsor that are subject to forfeiture pursuant to the Sponsor Side Letter.</w:t>
      </w:r>
    </w:p>
    <w:p>
      <w:pPr>
        <w:spacing w:after="0" w:line="165" w:lineRule="exact"/>
        <w:rPr>
          <w:rFonts w:ascii="Arial" w:cs="Arial" w:eastAsia="Arial" w:hAnsi="Arial"/>
          <w:sz w:val="16"/>
          <w:szCs w:val="16"/>
          <w:color w:val="auto"/>
        </w:rPr>
      </w:pPr>
    </w:p>
    <w:p>
      <w:pPr>
        <w:ind w:left="286" w:hanging="286"/>
        <w:spacing w:after="0"/>
        <w:tabs>
          <w:tab w:leader="none" w:pos="2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Please refer to the section titled “</w:t>
      </w:r>
      <w:r>
        <w:rPr>
          <w:rFonts w:ascii="Arial" w:cs="Arial" w:eastAsia="Arial" w:hAnsi="Arial"/>
          <w:sz w:val="16"/>
          <w:szCs w:val="16"/>
          <w:i w:val="1"/>
          <w:iCs w:val="1"/>
          <w:color w:val="auto"/>
        </w:rPr>
        <w:t>Description of Securities.</w:t>
      </w:r>
    </w:p>
    <w:p>
      <w:pPr>
        <w:spacing w:after="0" w:line="38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7" w:right="31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Note 3 — Accounting for the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193" w:lineRule="exact"/>
        <w:rPr>
          <w:sz w:val="20"/>
          <w:szCs w:val="20"/>
          <w:color w:val="auto"/>
        </w:rPr>
      </w:pPr>
    </w:p>
    <w:p>
      <w:pPr>
        <w:jc w:val="both"/>
        <w:ind w:right="20" w:firstLine="565"/>
        <w:spacing w:after="0" w:line="316" w:lineRule="auto"/>
        <w:rPr>
          <w:sz w:val="20"/>
          <w:szCs w:val="20"/>
          <w:color w:val="auto"/>
        </w:rPr>
      </w:pPr>
      <w:r>
        <w:rPr>
          <w:rFonts w:ascii="Arial" w:cs="Arial" w:eastAsia="Arial" w:hAnsi="Arial"/>
          <w:sz w:val="13"/>
          <w:szCs w:val="13"/>
          <w:color w:val="auto"/>
        </w:rPr>
        <w:t>The Business Combination is a common control transaction accounted for similar to a reverse recapitalization, with no goodwill or other intangible assets recorded, in accordance with GAAP. OPAL HoldCo held a controlling financial interest in Opco prior to the closing date. At transaction close, OPAL HoldCo obtained a controlling financial interest in New OPAL and indirectly retained control over Opco through New OPAL. OPAL HoldCo did not relinquish control over Opco during the transaction, instead it affected a transfer of a controlled subsidiary (i.e., Opco) to a newly-controlled subsidiary (i.e., New OPAL) in exchange for issuing Class A common units of Opco for the net assets of New OPAL. As there was no change in control, Opco has been determined to be the accounting acquirer. Under this method of accounting, ArcLight is treated as the “acquired” company for financial reporting purposes. Accordingly, for accounting purposes, the transaction is treated as the equivalent of Opco issuing stock for the net assets of ArcLight, accompanied by a recapitalization. The net assets of ArcLight are stated at historical cost, with no goodwill or other intangible assets recorded.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Earnout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Sponsor Earnout Awards</w:t>
      </w:r>
    </w:p>
    <w:p>
      <w:pPr>
        <w:spacing w:after="0" w:line="193" w:lineRule="exact"/>
        <w:rPr>
          <w:sz w:val="20"/>
          <w:szCs w:val="20"/>
          <w:color w:val="auto"/>
        </w:rPr>
      </w:pPr>
    </w:p>
    <w:p>
      <w:pPr>
        <w:jc w:val="both"/>
        <w:ind w:right="20" w:firstLine="565"/>
        <w:spacing w:after="0" w:line="383" w:lineRule="auto"/>
        <w:rPr>
          <w:sz w:val="20"/>
          <w:szCs w:val="20"/>
          <w:color w:val="auto"/>
        </w:rPr>
      </w:pPr>
      <w:r>
        <w:rPr>
          <w:rFonts w:ascii="Arial" w:cs="Arial" w:eastAsia="Arial" w:hAnsi="Arial"/>
          <w:sz w:val="13"/>
          <w:szCs w:val="13"/>
          <w:color w:val="auto"/>
        </w:rPr>
        <w:t>Sponsor Earnout Awards will be classified as a liability as their settlement terms contain certain variables that preclude them from being considered indexed to New OPAL’s common stock under the “fixed-for-fixed” requirement in ASC 815-40. The estimated fair value of the Sponsor Earnout Awards liability is approximately $5.9 million.</w:t>
      </w:r>
    </w:p>
    <w:p>
      <w:pPr>
        <w:spacing w:after="0" w:line="88" w:lineRule="exact"/>
        <w:rPr>
          <w:sz w:val="20"/>
          <w:szCs w:val="20"/>
          <w:color w:val="auto"/>
        </w:rPr>
      </w:pPr>
    </w:p>
    <w:p>
      <w:pPr>
        <w:jc w:val="both"/>
        <w:ind w:right="20" w:firstLine="565"/>
        <w:spacing w:after="0" w:line="383" w:lineRule="auto"/>
        <w:rPr>
          <w:sz w:val="20"/>
          <w:szCs w:val="20"/>
          <w:color w:val="auto"/>
        </w:rPr>
      </w:pPr>
      <w:r>
        <w:rPr>
          <w:rFonts w:ascii="Arial" w:cs="Arial" w:eastAsia="Arial" w:hAnsi="Arial"/>
          <w:sz w:val="13"/>
          <w:szCs w:val="13"/>
          <w:color w:val="auto"/>
        </w:rPr>
        <w:t>The fair value of Sponsor Earnout Awards was determined using a Monte Carlo valuation model with a distribution of potential outcomes on a daily basis over the 5-year post-close period, and incorporating the most reliable information available as of the June 30, 2022 valuation date. Assumptions used in the valuation are as follows:</w:t>
      </w:r>
    </w:p>
    <w:p>
      <w:pPr>
        <w:spacing w:after="0" w:line="88" w:lineRule="exact"/>
        <w:rPr>
          <w:sz w:val="20"/>
          <w:szCs w:val="20"/>
          <w:color w:val="auto"/>
        </w:rPr>
      </w:pPr>
    </w:p>
    <w:p>
      <w:pPr>
        <w:ind w:left="560" w:hanging="283"/>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Current stock price — The ArcLight closing stock price of $9.95 as of June 30, 2022;</w:t>
      </w:r>
    </w:p>
    <w:p>
      <w:pPr>
        <w:spacing w:after="0" w:line="192"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Expected volatility — The volatility rate was determined based on historical and implied volatilities of selected industry peers deemed to be comparable to our business corresponding to the expected term of the awards;</w:t>
      </w:r>
    </w:p>
    <w:p>
      <w:pPr>
        <w:spacing w:after="0" w:line="157"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Expected term — The expected term is the 5 years following the closing;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Expected dividend yield — The expected dividend yield is zero, as we do not anticipate distributing dividends on the common stock in the expected term.</w:t>
      </w:r>
    </w:p>
    <w:p>
      <w:pPr>
        <w:spacing w:after="0" w:line="204" w:lineRule="exact"/>
        <w:rPr>
          <w:sz w:val="20"/>
          <w:szCs w:val="20"/>
          <w:color w:val="auto"/>
        </w:rPr>
      </w:pPr>
    </w:p>
    <w:p>
      <w:pPr>
        <w:jc w:val="both"/>
        <w:ind w:firstLine="565"/>
        <w:spacing w:after="0" w:line="266" w:lineRule="auto"/>
        <w:rPr>
          <w:sz w:val="20"/>
          <w:szCs w:val="20"/>
          <w:color w:val="auto"/>
        </w:rPr>
      </w:pPr>
      <w:r>
        <w:rPr>
          <w:rFonts w:ascii="Arial" w:cs="Arial" w:eastAsia="Arial" w:hAnsi="Arial"/>
          <w:sz w:val="16"/>
          <w:szCs w:val="16"/>
          <w:color w:val="auto"/>
        </w:rPr>
        <w:t>The fair value of Sponsor Earnout Awards has been recorded in the unaudited pro forma condensed combined balance sheet. See Note 6(k). Topic 815 provides guidance that changes in the fair value of the Sponsor Earnout Awards liability in future periods will be recognized in the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OPAL Earnout Awards</w:t>
      </w:r>
    </w:p>
    <w:p>
      <w:pPr>
        <w:spacing w:after="0" w:line="193" w:lineRule="exact"/>
        <w:rPr>
          <w:sz w:val="20"/>
          <w:szCs w:val="20"/>
          <w:color w:val="auto"/>
        </w:rPr>
      </w:pPr>
    </w:p>
    <w:p>
      <w:pPr>
        <w:jc w:val="both"/>
        <w:ind w:firstLine="565"/>
        <w:spacing w:after="0" w:line="251" w:lineRule="auto"/>
        <w:rPr>
          <w:sz w:val="20"/>
          <w:szCs w:val="20"/>
          <w:color w:val="auto"/>
        </w:rPr>
      </w:pPr>
      <w:r>
        <w:rPr>
          <w:rFonts w:ascii="Arial" w:cs="Arial" w:eastAsia="Arial" w:hAnsi="Arial"/>
          <w:sz w:val="16"/>
          <w:szCs w:val="16"/>
          <w:color w:val="auto"/>
        </w:rPr>
        <w:t>OPAL Earnout Awards will be classified as a liability under Topic 480 because they are considered indexed to an obligation to repurchase shares by delivering cash or other assets as a result of certain settlement provisions. OPAL Earnout Awards are a possible exception to this accounting treatment as Ares elected to receive New Opal Class A common stock in lieu of pre-Closing Opco common units. The accounting conclusion regarding the classification of the OPAL Earnout Awards is still under evaluation, and for purposes of the unaudited condensed combined pro forma information these awards are presented as liability classified on a preliminary basis. The estimated fair value of the OPAL Earnout Awards liability is approximately $46.0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60" w:name="page61"/>
    <w:bookmarkEnd w:id="60"/>
    <w:p>
      <w:pPr>
        <w:jc w:val="both"/>
        <w:ind w:firstLine="565"/>
        <w:spacing w:after="0" w:line="256" w:lineRule="auto"/>
        <w:rPr>
          <w:sz w:val="20"/>
          <w:szCs w:val="20"/>
          <w:color w:val="auto"/>
        </w:rPr>
      </w:pPr>
      <w:r>
        <w:rPr>
          <w:rFonts w:ascii="Arial" w:cs="Arial" w:eastAsia="Arial" w:hAnsi="Arial"/>
          <w:sz w:val="16"/>
          <w:szCs w:val="16"/>
          <w:color w:val="auto"/>
        </w:rPr>
        <w:t>The fair value of OPAL Earnout Awards was determined using a Monte Carlo valuation model with a distribution of potential outcomes for stock price and EBITDA over the 2-year period commencing on January 1, 2023 and ending on December 31, 2024, and incorporating the most reliable information available as of the June 30, 2022 valuation date. Assumptions used in the valuation are as follows:</w:t>
      </w:r>
    </w:p>
    <w:p>
      <w:pPr>
        <w:spacing w:after="0" w:line="165" w:lineRule="exact"/>
        <w:rPr>
          <w:sz w:val="20"/>
          <w:szCs w:val="20"/>
          <w:color w:val="auto"/>
        </w:rPr>
      </w:pPr>
    </w:p>
    <w:p>
      <w:pPr>
        <w:ind w:left="560" w:hanging="283"/>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Current stock price — The ArcLight closing stock price of $9.95 as of June 30, 2022;</w:t>
      </w:r>
    </w:p>
    <w:p>
      <w:pPr>
        <w:spacing w:after="0" w:line="192"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Weighted average cost of capital (“</w:t>
      </w:r>
      <w:r>
        <w:rPr>
          <w:rFonts w:ascii="Arial" w:cs="Arial" w:eastAsia="Arial" w:hAnsi="Arial"/>
          <w:sz w:val="16"/>
          <w:szCs w:val="16"/>
          <w:b w:val="1"/>
          <w:bCs w:val="1"/>
          <w:i w:val="1"/>
          <w:iCs w:val="1"/>
          <w:color w:val="auto"/>
        </w:rPr>
        <w:t>WACC</w:t>
      </w:r>
      <w:r>
        <w:rPr>
          <w:rFonts w:ascii="Arial" w:cs="Arial" w:eastAsia="Arial" w:hAnsi="Arial"/>
          <w:sz w:val="16"/>
          <w:szCs w:val="16"/>
          <w:color w:val="auto"/>
        </w:rPr>
        <w:t>”) — The WACC reflected a derived cost of capital informed by research on cost of capital of a selection of comparable public companies;</w:t>
      </w:r>
    </w:p>
    <w:p>
      <w:pPr>
        <w:spacing w:after="0" w:line="157"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Expected volatility — The volatility rate was determined by using an average of historical volatilities of selected industry peers deemed to be comparable to our business corresponding to the expected term of the awards;</w:t>
      </w:r>
    </w:p>
    <w:p>
      <w:pPr>
        <w:spacing w:after="0" w:line="157"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Expected term — The expected term is the 2 years earnout period;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Expected dividend yield — The expected dividend yield is zero, as we do not anticipate distributing dividends on the common stock in the expected term; and</w:t>
      </w:r>
    </w:p>
    <w:p>
      <w:pPr>
        <w:spacing w:after="0" w:line="204" w:lineRule="exact"/>
        <w:rPr>
          <w:rFonts w:ascii="Arial" w:cs="Arial" w:eastAsia="Arial" w:hAnsi="Arial"/>
          <w:sz w:val="15"/>
          <w:szCs w:val="15"/>
          <w:color w:val="auto"/>
        </w:rPr>
      </w:pPr>
    </w:p>
    <w:p>
      <w:pPr>
        <w:ind w:left="560" w:hanging="283"/>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EBITDA forecast internally derived by Opco for the earnout period.</w:t>
      </w:r>
    </w:p>
    <w:p>
      <w:pPr>
        <w:spacing w:after="0" w:line="193" w:lineRule="exact"/>
        <w:rPr>
          <w:sz w:val="20"/>
          <w:szCs w:val="20"/>
          <w:color w:val="auto"/>
        </w:rPr>
      </w:pPr>
    </w:p>
    <w:p>
      <w:pPr>
        <w:jc w:val="both"/>
        <w:ind w:right="20" w:firstLine="565"/>
        <w:spacing w:after="0" w:line="266" w:lineRule="auto"/>
        <w:rPr>
          <w:sz w:val="20"/>
          <w:szCs w:val="20"/>
          <w:color w:val="auto"/>
        </w:rPr>
      </w:pPr>
      <w:r>
        <w:rPr>
          <w:rFonts w:ascii="Arial" w:cs="Arial" w:eastAsia="Arial" w:hAnsi="Arial"/>
          <w:sz w:val="16"/>
          <w:szCs w:val="16"/>
          <w:color w:val="auto"/>
        </w:rPr>
        <w:t>The fair value of the OPAL Earnout Awards has been recorded in the unaudited pro forma condensed combined balance sheet. See Note 6(k). Topic 480 provides guidance that changes in the fair value of the OPAL Earnout Awards liability in future periods will be recognized in the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 Purchase Agreement</w:t>
      </w:r>
    </w:p>
    <w:p>
      <w:pPr>
        <w:spacing w:after="0" w:line="193" w:lineRule="exact"/>
        <w:rPr>
          <w:sz w:val="20"/>
          <w:szCs w:val="20"/>
          <w:color w:val="auto"/>
        </w:rPr>
      </w:pPr>
    </w:p>
    <w:p>
      <w:pPr>
        <w:jc w:val="both"/>
        <w:ind w:firstLine="565"/>
        <w:spacing w:after="0" w:line="266" w:lineRule="auto"/>
        <w:rPr>
          <w:sz w:val="20"/>
          <w:szCs w:val="20"/>
          <w:color w:val="auto"/>
        </w:rPr>
      </w:pPr>
      <w:r>
        <w:rPr>
          <w:rFonts w:ascii="Arial" w:cs="Arial" w:eastAsia="Arial" w:hAnsi="Arial"/>
          <w:sz w:val="16"/>
          <w:szCs w:val="16"/>
          <w:color w:val="auto"/>
        </w:rPr>
        <w:t>The put option written to Meteora on 2,000,000 Class A common stock under the Forward Purchase Agreement is presented as a liability based on the company’s preliminary accounting analysis under ASC 480. The estimated fair value of the Forward Purchase Agreement liability is approximately $5.0 million.</w:t>
      </w:r>
    </w:p>
    <w:p>
      <w:pPr>
        <w:spacing w:after="0" w:line="157" w:lineRule="exact"/>
        <w:rPr>
          <w:sz w:val="20"/>
          <w:szCs w:val="20"/>
          <w:color w:val="auto"/>
        </w:rPr>
      </w:pPr>
    </w:p>
    <w:p>
      <w:pPr>
        <w:jc w:val="both"/>
        <w:ind w:right="20" w:firstLine="565"/>
        <w:spacing w:after="0" w:line="256" w:lineRule="auto"/>
        <w:rPr>
          <w:sz w:val="20"/>
          <w:szCs w:val="20"/>
          <w:color w:val="auto"/>
        </w:rPr>
      </w:pPr>
      <w:r>
        <w:rPr>
          <w:rFonts w:ascii="Arial" w:cs="Arial" w:eastAsia="Arial" w:hAnsi="Arial"/>
          <w:sz w:val="16"/>
          <w:szCs w:val="16"/>
          <w:color w:val="auto"/>
        </w:rPr>
        <w:t>The fair value of the Forward Purchase Agreement liability was determined using a Monte Carlo valuation model with a distribution of potential outcomes on a daily basis over the 6-month post-close period, and incorporating the most reliable information available as of the June 30, 2022 valuation date Assumptions used in the valuation are as follows:</w:t>
      </w:r>
    </w:p>
    <w:p>
      <w:pPr>
        <w:spacing w:after="0" w:line="165" w:lineRule="exact"/>
        <w:rPr>
          <w:sz w:val="20"/>
          <w:szCs w:val="20"/>
          <w:color w:val="auto"/>
        </w:rPr>
      </w:pPr>
    </w:p>
    <w:p>
      <w:pPr>
        <w:ind w:left="560" w:hanging="283"/>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Current stock price — The ArcLight closing stock price of $9.95 as of June 30, 2022;</w:t>
      </w:r>
    </w:p>
    <w:p>
      <w:pPr>
        <w:spacing w:after="0" w:line="192"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Expected volatility — The volatility rate was determined based on historical and implied volatilities of selected industry peers deemed to be comparable to our business corresponding to the expected term of the option;</w:t>
      </w:r>
    </w:p>
    <w:p>
      <w:pPr>
        <w:spacing w:after="0" w:line="157"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Expected term — The expected term is the 6 months following the closing;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Expected dividend yield — The expected dividend yield is zero, as we do not anticipate distributing dividends on the common stock in the expected term.</w:t>
      </w:r>
    </w:p>
    <w:p>
      <w:pPr>
        <w:spacing w:after="0" w:line="204" w:lineRule="exact"/>
        <w:rPr>
          <w:sz w:val="20"/>
          <w:szCs w:val="20"/>
          <w:color w:val="auto"/>
        </w:rPr>
      </w:pPr>
    </w:p>
    <w:p>
      <w:pPr>
        <w:ind w:right="20" w:firstLine="565"/>
        <w:spacing w:after="0" w:line="300" w:lineRule="auto"/>
        <w:rPr>
          <w:sz w:val="20"/>
          <w:szCs w:val="20"/>
          <w:color w:val="auto"/>
        </w:rPr>
      </w:pPr>
      <w:r>
        <w:rPr>
          <w:rFonts w:ascii="Arial" w:cs="Arial" w:eastAsia="Arial" w:hAnsi="Arial"/>
          <w:sz w:val="15"/>
          <w:szCs w:val="15"/>
          <w:color w:val="auto"/>
        </w:rPr>
        <w:t>The fair value of the Forward Purchase Agreement liability has been recorded in the unaudited pro forma condensed combined balance sheet. See Note 6(l). Topic 480 provides guidance that changes in the fair value of the Forward Purchase Agreement liability in future periods will be recognized in the statement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Beacon Transaction</w:t>
      </w:r>
    </w:p>
    <w:p>
      <w:pPr>
        <w:spacing w:after="0" w:line="193" w:lineRule="exact"/>
        <w:rPr>
          <w:sz w:val="20"/>
          <w:szCs w:val="20"/>
          <w:color w:val="auto"/>
        </w:rPr>
      </w:pPr>
    </w:p>
    <w:p>
      <w:pPr>
        <w:ind w:right="20" w:firstLine="565"/>
        <w:spacing w:after="0" w:line="266" w:lineRule="auto"/>
        <w:rPr>
          <w:sz w:val="20"/>
          <w:szCs w:val="20"/>
          <w:color w:val="auto"/>
        </w:rPr>
      </w:pPr>
      <w:r>
        <w:rPr>
          <w:rFonts w:ascii="Arial" w:cs="Arial" w:eastAsia="Arial" w:hAnsi="Arial"/>
          <w:sz w:val="16"/>
          <w:szCs w:val="16"/>
          <w:color w:val="auto"/>
        </w:rPr>
        <w:t>The acquisition of Beacon has been treated as a business combination and has been accounted for using the acquisition method. OPAL has recorded the fair value of assets and liabilities acquired from Beacon at the acquisition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Note 4 — Reclassifications Made to ArcLight Financial Statement Presentation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Certain reclassification adjustments have been made to conform ArcLight’s financial statement presentation to that of Opco’s.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reclassification adjustments were made to the unaudited pro forma condensed combined balance sheet as of June 30, 2022:</w:t>
      </w:r>
    </w:p>
    <w:p>
      <w:pPr>
        <w:spacing w:after="0" w:line="193" w:lineRule="exact"/>
        <w:rPr>
          <w:sz w:val="20"/>
          <w:szCs w:val="20"/>
          <w:color w:val="auto"/>
        </w:rPr>
      </w:pPr>
    </w:p>
    <w:p>
      <w:pPr>
        <w:ind w:left="840" w:hanging="280"/>
        <w:spacing w:after="0"/>
        <w:tabs>
          <w:tab w:leader="none" w:pos="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the reclassification of $219 thousand from ArcLight’s Cash to Cash and cash equivalents.</w:t>
      </w:r>
    </w:p>
    <w:p>
      <w:pPr>
        <w:spacing w:after="0" w:line="192" w:lineRule="exact"/>
        <w:rPr>
          <w:rFonts w:ascii="Arial" w:cs="Arial" w:eastAsia="Arial" w:hAnsi="Arial"/>
          <w:sz w:val="16"/>
          <w:szCs w:val="16"/>
          <w:color w:val="auto"/>
        </w:rPr>
      </w:pPr>
    </w:p>
    <w:p>
      <w:pPr>
        <w:ind w:left="840" w:hanging="280"/>
        <w:spacing w:after="0"/>
        <w:tabs>
          <w:tab w:leader="none" w:pos="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the reclassification of $546 thousand from ArcLight’s Prepaid expenses to Prepaid expenses and other current assets.</w:t>
      </w:r>
    </w:p>
    <w:p>
      <w:pPr>
        <w:spacing w:after="0" w:line="192" w:lineRule="exact"/>
        <w:rPr>
          <w:rFonts w:ascii="Arial" w:cs="Arial" w:eastAsia="Arial" w:hAnsi="Arial"/>
          <w:sz w:val="16"/>
          <w:szCs w:val="16"/>
          <w:color w:val="auto"/>
        </w:rPr>
      </w:pPr>
    </w:p>
    <w:p>
      <w:pPr>
        <w:ind w:left="840" w:hanging="280"/>
        <w:spacing w:after="0" w:line="266" w:lineRule="auto"/>
        <w:tabs>
          <w:tab w:leader="none" w:pos="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the reclassification of $30 thousand from ArcLight’s Accrued expenses and $6,192 thousand from ArcLight’s Deferred legal fees to Accrued expenses and other current liabilities.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reclassification adjustments were made to the unaudited pro forma condensed combined statement of operations for the three months ended June 30, 2022:</w:t>
      </w:r>
    </w:p>
    <w:p>
      <w:pPr>
        <w:spacing w:after="0" w:line="227" w:lineRule="exact"/>
        <w:rPr>
          <w:sz w:val="20"/>
          <w:szCs w:val="20"/>
          <w:color w:val="auto"/>
        </w:rPr>
      </w:pPr>
    </w:p>
    <w:p>
      <w:pPr>
        <w:ind w:left="840" w:hanging="280"/>
        <w:spacing w:after="0"/>
        <w:tabs>
          <w:tab w:leader="none" w:pos="8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the reclassification of $3,125 thousand from ArcLight’s General and administrative expenses to Selling, general and administrative.</w:t>
      </w:r>
    </w:p>
    <w:p>
      <w:pPr>
        <w:spacing w:after="0" w:line="192" w:lineRule="exact"/>
        <w:rPr>
          <w:rFonts w:ascii="Arial" w:cs="Arial" w:eastAsia="Arial" w:hAnsi="Arial"/>
          <w:sz w:val="16"/>
          <w:szCs w:val="16"/>
          <w:color w:val="auto"/>
        </w:rPr>
      </w:pPr>
    </w:p>
    <w:p>
      <w:pPr>
        <w:ind w:left="840" w:hanging="280"/>
        <w:spacing w:after="0"/>
        <w:tabs>
          <w:tab w:leader="none" w:pos="8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the reclassification of $440 thousand from ArcLight’s Net gain on investments held in Trust Account to Interest and financing expense, net.</w:t>
      </w:r>
    </w:p>
    <w:p>
      <w:pPr>
        <w:spacing w:after="0" w:line="193" w:lineRule="exact"/>
        <w:rPr>
          <w:sz w:val="20"/>
          <w:szCs w:val="20"/>
          <w:color w:val="auto"/>
        </w:rPr>
      </w:pPr>
    </w:p>
    <w:p>
      <w:pPr>
        <w:ind w:firstLine="565"/>
        <w:spacing w:after="0" w:line="266" w:lineRule="auto"/>
        <w:rPr>
          <w:sz w:val="20"/>
          <w:szCs w:val="20"/>
          <w:color w:val="auto"/>
        </w:rPr>
      </w:pPr>
      <w:r>
        <w:rPr>
          <w:rFonts w:ascii="Arial" w:cs="Arial" w:eastAsia="Arial" w:hAnsi="Arial"/>
          <w:sz w:val="16"/>
          <w:szCs w:val="16"/>
          <w:color w:val="auto"/>
        </w:rPr>
        <w:t>The following reclassification adjustments were made to the unaudited pro forma condensed combined statement of operations for the period from January 13, 2021 (inception) to December 31, 2021:</w:t>
      </w:r>
    </w:p>
    <w:p>
      <w:pPr>
        <w:spacing w:after="0" w:line="157" w:lineRule="exact"/>
        <w:rPr>
          <w:sz w:val="20"/>
          <w:szCs w:val="20"/>
          <w:color w:val="auto"/>
        </w:rPr>
      </w:pPr>
    </w:p>
    <w:p>
      <w:pPr>
        <w:ind w:left="840" w:hanging="280"/>
        <w:spacing w:after="0"/>
        <w:tabs>
          <w:tab w:leader="none" w:pos="8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the reclassification of $4,945 thousand from ArcLight’s General and administrative expenses to Selling, general and administrative.</w:t>
      </w:r>
    </w:p>
    <w:p>
      <w:pPr>
        <w:spacing w:after="0" w:line="192" w:lineRule="exact"/>
        <w:rPr>
          <w:rFonts w:ascii="Arial" w:cs="Arial" w:eastAsia="Arial" w:hAnsi="Arial"/>
          <w:sz w:val="16"/>
          <w:szCs w:val="16"/>
          <w:color w:val="auto"/>
        </w:rPr>
      </w:pPr>
    </w:p>
    <w:p>
      <w:pPr>
        <w:ind w:left="840" w:right="20" w:hanging="280"/>
        <w:spacing w:after="0" w:line="266" w:lineRule="auto"/>
        <w:tabs>
          <w:tab w:leader="none" w:pos="8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the reclassification of $463 thousand from ArcLight’s Financing costs — warrant liabilities and $13 thousand from ArcLight’s Net gain on investments held in Trust Account to Interest and financing expense, net.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Reclassifications Made to Beacon Financial Statement Presentation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reclassification adjustments were made to the pro forma condensed combined statement of operations for the four months ended April 30, 2021 to conform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Beacon financial statement presentation to that of Opco’s:</w:t>
      </w:r>
    </w:p>
    <w:p>
      <w:pPr>
        <w:spacing w:after="0" w:line="181" w:lineRule="exact"/>
        <w:rPr>
          <w:sz w:val="20"/>
          <w:szCs w:val="20"/>
          <w:color w:val="auto"/>
        </w:rPr>
      </w:pPr>
    </w:p>
    <w:p>
      <w:pPr>
        <w:ind w:left="840" w:right="20" w:hanging="280"/>
        <w:spacing w:after="0" w:line="266" w:lineRule="auto"/>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the reclassification of $1,137 thousand from Renewable gas sales, $12,101 thousand from RIN sales, and $74 thousand from Transportation sales to RNG Fuel.</w:t>
      </w:r>
    </w:p>
    <w:p>
      <w:pPr>
        <w:spacing w:after="0" w:line="157" w:lineRule="exact"/>
        <w:rPr>
          <w:rFonts w:ascii="Arial" w:cs="Arial" w:eastAsia="Arial" w:hAnsi="Arial"/>
          <w:sz w:val="16"/>
          <w:szCs w:val="16"/>
          <w:color w:val="auto"/>
        </w:rPr>
      </w:pPr>
    </w:p>
    <w:p>
      <w:pPr>
        <w:ind w:left="840" w:hanging="280"/>
        <w:spacing w:after="0"/>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the reclassification of $5,937 thousand from Operations and $460 thousand from Repairs and Maintenance to Costs of sales — RNG fuel.</w:t>
      </w:r>
    </w:p>
    <w:p>
      <w:pPr>
        <w:spacing w:after="0" w:line="192" w:lineRule="exact"/>
        <w:rPr>
          <w:rFonts w:ascii="Arial" w:cs="Arial" w:eastAsia="Arial" w:hAnsi="Arial"/>
          <w:sz w:val="16"/>
          <w:szCs w:val="16"/>
          <w:color w:val="auto"/>
        </w:rPr>
      </w:pPr>
    </w:p>
    <w:p>
      <w:pPr>
        <w:ind w:left="840" w:hanging="280"/>
        <w:spacing w:after="0"/>
        <w:tabs>
          <w:tab w:leader="none" w:pos="8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Reflects the reclassification of $317 thousand from General and administrative and $139 thousand from Insurance to Selling, general and administrative.</w:t>
      </w:r>
    </w:p>
    <w:p>
      <w:pPr>
        <w:spacing w:after="0" w:line="204" w:lineRule="exact"/>
        <w:rPr>
          <w:rFonts w:ascii="Arial" w:cs="Arial" w:eastAsia="Arial" w:hAnsi="Arial"/>
          <w:sz w:val="15"/>
          <w:szCs w:val="15"/>
          <w:color w:val="auto"/>
        </w:rPr>
      </w:pPr>
    </w:p>
    <w:p>
      <w:pPr>
        <w:ind w:left="840" w:right="20" w:hanging="280"/>
        <w:spacing w:after="0" w:line="266" w:lineRule="auto"/>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the reclassification of $1,049 thousand from Depreciation and $11 thousand from Asset retirement obligation accretion to Depreciation, amortization, and accretion.</w:t>
      </w:r>
    </w:p>
    <w:p>
      <w:pPr>
        <w:spacing w:after="0" w:line="157" w:lineRule="exact"/>
        <w:rPr>
          <w:rFonts w:ascii="Arial" w:cs="Arial" w:eastAsia="Arial" w:hAnsi="Arial"/>
          <w:sz w:val="16"/>
          <w:szCs w:val="16"/>
          <w:color w:val="auto"/>
        </w:rPr>
      </w:pPr>
    </w:p>
    <w:p>
      <w:pPr>
        <w:ind w:left="840" w:right="20" w:hanging="280"/>
        <w:spacing w:after="0" w:line="266" w:lineRule="auto"/>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the elimination of an intercompany transaction between Opco and Beacon for the amount of $1,134 thousand from Environmental credit processing service and $1,134 thousand from Other.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Adjustments to Unaudited Pro Forma Condensed Combined Balance Sheet</w:t>
      </w:r>
    </w:p>
    <w:p>
      <w:pPr>
        <w:spacing w:after="0" w:line="197" w:lineRule="exact"/>
        <w:rPr>
          <w:sz w:val="20"/>
          <w:szCs w:val="20"/>
          <w:color w:val="auto"/>
        </w:rPr>
      </w:pPr>
    </w:p>
    <w:p>
      <w:pPr>
        <w:jc w:val="both"/>
        <w:ind w:firstLine="565"/>
        <w:spacing w:after="0" w:line="256" w:lineRule="auto"/>
        <w:rPr>
          <w:sz w:val="20"/>
          <w:szCs w:val="20"/>
          <w:color w:val="auto"/>
        </w:rPr>
      </w:pPr>
      <w:r>
        <w:rPr>
          <w:rFonts w:ascii="Arial" w:cs="Arial" w:eastAsia="Arial" w:hAnsi="Arial"/>
          <w:sz w:val="16"/>
          <w:szCs w:val="16"/>
          <w:color w:val="auto"/>
        </w:rPr>
        <w:t>The unaudited pro forma condensed combined balance sheet as of June 30, 2022 has been prepared to illustrate the effect of the Transactions and has been prepared for informational purposes only. The unaudited pro forma condensed combined balance sheet as of June 30, 2022 includes Transaction Accounting Adjustments that are directly attributable to the Business Combination, and other related events described in Note 1 above.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 forma transaction accounting adjustments are as follows:</w:t>
      </w:r>
    </w:p>
    <w:p>
      <w:pPr>
        <w:spacing w:after="0" w:line="193" w:lineRule="exact"/>
        <w:rPr>
          <w:sz w:val="20"/>
          <w:szCs w:val="20"/>
          <w:color w:val="auto"/>
        </w:rPr>
      </w:pPr>
    </w:p>
    <w:p>
      <w:pPr>
        <w:jc w:val="both"/>
        <w:ind w:left="840" w:right="20" w:hanging="280"/>
        <w:spacing w:after="0" w:line="256" w:lineRule="auto"/>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Reflects the reclassification of cash held in ArcLight’s Trust Account to cash and cash equivalents as of June 30, 2022 to reflect the cash available to effectuate the Transactions or to fund redemption of existing Public Shareholders. Note that on the Closing date, the actual balance of cash in the Trust Account including accumulated interest earned during the period prior to redemption is approximately $311.6 million.</w:t>
      </w:r>
    </w:p>
    <w:p>
      <w:pPr>
        <w:spacing w:after="0" w:line="165" w:lineRule="exact"/>
        <w:rPr>
          <w:rFonts w:ascii="Arial" w:cs="Arial" w:eastAsia="Arial" w:hAnsi="Arial"/>
          <w:sz w:val="16"/>
          <w:szCs w:val="16"/>
          <w:color w:val="auto"/>
        </w:rPr>
      </w:pPr>
    </w:p>
    <w:p>
      <w:pPr>
        <w:ind w:left="840" w:hanging="280"/>
        <w:spacing w:after="0" w:line="383" w:lineRule="auto"/>
        <w:tabs>
          <w:tab w:leader="none" w:pos="8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Reflects the proceeds of approximately $110.8 million from the issuance and sale of 11,080,600 shares of New OPAL common stock at $10.00 per share pursuant to the Amended Subscription Agreements entered into with the PIPE Investors in connection with the PIPE Investment and subsequent PIPE Extension.</w:t>
      </w:r>
    </w:p>
    <w:p>
      <w:pPr>
        <w:spacing w:after="0" w:line="88" w:lineRule="exact"/>
        <w:rPr>
          <w:rFonts w:ascii="Arial" w:cs="Arial" w:eastAsia="Arial" w:hAnsi="Arial"/>
          <w:sz w:val="13"/>
          <w:szCs w:val="13"/>
          <w:color w:val="auto"/>
        </w:rPr>
      </w:pPr>
    </w:p>
    <w:p>
      <w:pPr>
        <w:ind w:left="840" w:hanging="280"/>
        <w:spacing w:after="0"/>
        <w:tabs>
          <w:tab w:leader="none" w:pos="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Reflects the reclassification of the carrying value of Opco’s Series A and Series A-1 Preferred Units to Redeemable preferred noncontrolling interest.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62" w:name="page63"/>
    <w:bookmarkEnd w:id="62"/>
    <w:p>
      <w:pPr>
        <w:ind w:left="280" w:hanging="280"/>
        <w:spacing w:after="0"/>
        <w:tabs>
          <w:tab w:leader="none" w:pos="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Reflects the conversion of fifty percent (50%) of the principal and accrued interest outstanding pursuant to the Ares Note into New OPAL Class A common stock.</w:t>
      </w:r>
    </w:p>
    <w:p>
      <w:pPr>
        <w:spacing w:after="0" w:line="227" w:lineRule="exact"/>
        <w:rPr>
          <w:rFonts w:ascii="Arial" w:cs="Arial" w:eastAsia="Arial" w:hAnsi="Arial"/>
          <w:sz w:val="13"/>
          <w:szCs w:val="13"/>
          <w:color w:val="auto"/>
        </w:rPr>
      </w:pPr>
    </w:p>
    <w:p>
      <w:pPr>
        <w:jc w:val="both"/>
        <w:ind w:left="280" w:hanging="280"/>
        <w:spacing w:after="0" w:line="251" w:lineRule="auto"/>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recording of estimated additional transaction costs to be incurred of $1,616 thousand in additional paid in capital. The amount represents the estimated incremental advisory, legal, accounting and auditing fees and other professional fees as of June 30, 2022, that are deemed to be direct and incremental costs of the Business Combination and related transactions. The transaction costs excluded $24.9 million in aggregate fees due to ArcLight’s and Opco’s financial advisors for the transaction, including deferred underwriting commissions from ArcLight’s initial public offering. The advisors withdrew from the transaction and waived their fees in whole.</w:t>
      </w:r>
    </w:p>
    <w:p>
      <w:pPr>
        <w:spacing w:after="0" w:line="168" w:lineRule="exact"/>
        <w:rPr>
          <w:rFonts w:ascii="Arial" w:cs="Arial" w:eastAsia="Arial" w:hAnsi="Arial"/>
          <w:sz w:val="16"/>
          <w:szCs w:val="16"/>
          <w:color w:val="auto"/>
        </w:rPr>
      </w:pPr>
    </w:p>
    <w:p>
      <w:pPr>
        <w:jc w:val="both"/>
        <w:ind w:left="280"/>
        <w:spacing w:after="0" w:line="271" w:lineRule="auto"/>
        <w:rPr>
          <w:rFonts w:ascii="Arial" w:cs="Arial" w:eastAsia="Arial" w:hAnsi="Arial"/>
          <w:sz w:val="16"/>
          <w:szCs w:val="16"/>
          <w:color w:val="auto"/>
        </w:rPr>
      </w:pPr>
      <w:r>
        <w:rPr>
          <w:rFonts w:ascii="Arial" w:cs="Arial" w:eastAsia="Arial" w:hAnsi="Arial"/>
          <w:sz w:val="15"/>
          <w:szCs w:val="15"/>
          <w:color w:val="auto"/>
        </w:rPr>
        <w:t>The $1,400 thousand and $6,243 thousand decreases to accrued expenses and other current liabilities represent the adjustment to account for payments of accrued transaction cost liabilities in both Opco and ArcLight’s historical balance sheets, respectively, with an offsetting decrease to cash. The $6,443 deferred transaction costs incurred by Opco are adjusted against additional paid-in capital. Additionally, a $4,200 thousand adjustment was made to accrue for estimated fees related to directors’ and officers’ insurance tail policy (which is required as part of the business combination agreement), with offsetting decreases to retained earnings (accumulated deficit) and redeemable noncontrolling interests based on ownership percentage interests.</w:t>
      </w:r>
    </w:p>
    <w:p>
      <w:pPr>
        <w:spacing w:after="0" w:line="156" w:lineRule="exact"/>
        <w:rPr>
          <w:rFonts w:ascii="Arial" w:cs="Arial" w:eastAsia="Arial" w:hAnsi="Arial"/>
          <w:sz w:val="16"/>
          <w:szCs w:val="16"/>
          <w:color w:val="auto"/>
        </w:rPr>
      </w:pPr>
    </w:p>
    <w:p>
      <w:pPr>
        <w:jc w:val="both"/>
        <w:ind w:left="280" w:hanging="280"/>
        <w:spacing w:after="0" w:line="256" w:lineRule="auto"/>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the reclassification, prior to ArcLight Class A ordinary shareholders exercise their redemption rights, of Class A ordinary shares of $311,516 thousand to permanent equity. The Transaction Accounting Adjustment also includes conversion of outstanding ArcLight Class A and Class B ordinary shares into New OPAL Class A common stock concurrent with the consummation of the Business Combination.</w:t>
      </w:r>
    </w:p>
    <w:p>
      <w:pPr>
        <w:spacing w:after="0" w:line="165" w:lineRule="exact"/>
        <w:rPr>
          <w:rFonts w:ascii="Arial" w:cs="Arial" w:eastAsia="Arial" w:hAnsi="Arial"/>
          <w:sz w:val="16"/>
          <w:szCs w:val="16"/>
          <w:color w:val="auto"/>
        </w:rPr>
      </w:pPr>
    </w:p>
    <w:p>
      <w:pPr>
        <w:jc w:val="both"/>
        <w:ind w:left="280" w:right="20" w:hanging="280"/>
        <w:spacing w:after="0" w:line="252" w:lineRule="auto"/>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the recapitalization of prior ArcLight shares with 38,895,381 shares of New OPAL Class A common stock and the elimination of the accumulated deficit of ArcLight. As a result of the recapitalization, ArcLight’s historical accumulated deficit balance of $21,651 thousand on June 30, 2022 was derecognized and reclassified into additional paid in capital. The shares of New OPAL’s Class D common stock issued in exchange for Opco’s capital were recorded at par value in the amount of $15 thousand.</w:t>
      </w:r>
    </w:p>
    <w:p>
      <w:pPr>
        <w:spacing w:after="0" w:line="169" w:lineRule="exact"/>
        <w:rPr>
          <w:rFonts w:ascii="Arial" w:cs="Arial" w:eastAsia="Arial" w:hAnsi="Arial"/>
          <w:sz w:val="16"/>
          <w:szCs w:val="16"/>
          <w:color w:val="auto"/>
        </w:rPr>
      </w:pPr>
    </w:p>
    <w:p>
      <w:pPr>
        <w:jc w:val="both"/>
        <w:ind w:left="280" w:hanging="280"/>
        <w:spacing w:after="0" w:line="316" w:lineRule="auto"/>
        <w:tabs>
          <w:tab w:leader="none" w:pos="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Following the completion of the Transactions, New OPAL, as the registrant, does not own 100% of the economic interests in Opco due to the existing equityholders of Opco owning an approximately 85.4% economic interest in Opco. This percentage excludes the 913,907 forfeitable ArcLight Sponsor shares which are recognized as a liability at fair value as detailed above. The calculation of redeemable noncontrolling interest is based on the net assets of Opco and the ownership percentage held by existing equityholders of Opco in Opco following the completion of the Transactions. Shares pursuant to the earnout arrangements have been excluded from the calculation of the redeemable noncontrolling interest until such time they become vested. Accordingly, redeemable noncontrolling interest increased to $136,553 thousand with a corresponding decrease to additional paid-in capital. In addition, as a result of the recapitalization, the carrying value of Opco’s historical members’ equity of $47,681 thousand and retained earnings of $8,955 thousand were reclassified into redeemable noncontrolling interest.</w:t>
      </w:r>
    </w:p>
    <w:p>
      <w:pPr>
        <w:spacing w:after="0" w:line="129" w:lineRule="exact"/>
        <w:rPr>
          <w:rFonts w:ascii="Arial" w:cs="Arial" w:eastAsia="Arial" w:hAnsi="Arial"/>
          <w:sz w:val="13"/>
          <w:szCs w:val="13"/>
          <w:color w:val="auto"/>
        </w:rPr>
      </w:pPr>
    </w:p>
    <w:p>
      <w:pPr>
        <w:ind w:left="280" w:right="20" w:hanging="280"/>
        <w:spacing w:after="0" w:line="266" w:lineRule="auto"/>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the redemption of 27,364,124 Class A ordinary shares for approximately $274.2 million allocated to ArcLight common stock and additional paid in capital, using a par value of $0.0001 per share at a redemption price of approximately $10.02 per share.</w:t>
      </w:r>
    </w:p>
    <w:p>
      <w:pPr>
        <w:spacing w:after="0" w:line="157" w:lineRule="exact"/>
        <w:rPr>
          <w:rFonts w:ascii="Arial" w:cs="Arial" w:eastAsia="Arial" w:hAnsi="Arial"/>
          <w:sz w:val="16"/>
          <w:szCs w:val="16"/>
          <w:color w:val="auto"/>
        </w:rPr>
      </w:pPr>
    </w:p>
    <w:p>
      <w:pPr>
        <w:jc w:val="both"/>
        <w:ind w:left="280" w:right="20" w:hanging="280"/>
        <w:spacing w:after="0" w:line="322" w:lineRule="auto"/>
        <w:tabs>
          <w:tab w:leader="none" w:pos="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 connection with the Business Combination, New OPAL entered into the tax receivable agreement (the “</w:t>
      </w:r>
      <w:r>
        <w:rPr>
          <w:rFonts w:ascii="Arial" w:cs="Arial" w:eastAsia="Arial" w:hAnsi="Arial"/>
          <w:sz w:val="13"/>
          <w:szCs w:val="13"/>
          <w:b w:val="1"/>
          <w:bCs w:val="1"/>
          <w:i w:val="1"/>
          <w:iCs w:val="1"/>
          <w:color w:val="auto"/>
        </w:rPr>
        <w:t>Tax Receivable Agreement</w:t>
      </w:r>
      <w:r>
        <w:rPr>
          <w:rFonts w:ascii="Arial" w:cs="Arial" w:eastAsia="Arial" w:hAnsi="Arial"/>
          <w:sz w:val="13"/>
          <w:szCs w:val="13"/>
          <w:color w:val="auto"/>
        </w:rPr>
        <w:t>”) with OPAL Holdco and Hillman such persons, together with such other persons from time to time that become party thereto, collectively, the “</w:t>
      </w:r>
      <w:r>
        <w:rPr>
          <w:rFonts w:ascii="Arial" w:cs="Arial" w:eastAsia="Arial" w:hAnsi="Arial"/>
          <w:sz w:val="13"/>
          <w:szCs w:val="13"/>
          <w:b w:val="1"/>
          <w:bCs w:val="1"/>
          <w:i w:val="1"/>
          <w:iCs w:val="1"/>
          <w:color w:val="auto"/>
        </w:rPr>
        <w:t>TRA Participants</w:t>
      </w:r>
      <w:r>
        <w:rPr>
          <w:rFonts w:ascii="Arial" w:cs="Arial" w:eastAsia="Arial" w:hAnsi="Arial"/>
          <w:sz w:val="13"/>
          <w:szCs w:val="13"/>
          <w:color w:val="auto"/>
        </w:rPr>
        <w:t>”). Pursuant to the Tax Receivable Agreement, New OPAL will be required to pay the TRA Participants 85% of the amount of savings, if any, in U.S. federal, state and local income tax that New OPAL actually realizes (computed using certain simplifying assumptions) as a result of the increases in tax basis and certain other tax benefits related to any exchanges of OPAL Common Units (together with voting shares of New OPAL) for shares of New OPAL Class A common stock or Class C common stock.</w:t>
      </w:r>
    </w:p>
    <w:p>
      <w:pPr>
        <w:spacing w:after="0" w:line="31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10795</wp:posOffset>
            </wp:positionV>
            <wp:extent cx="715010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700"/>
          </w:cols>
          <w:pgMar w:left="880" w:top="786" w:right="319" w:bottom="1440" w:gutter="0" w:footer="0" w:header="0"/>
        </w:sectPr>
      </w:pPr>
    </w:p>
    <w:bookmarkStart w:id="63" w:name="page64"/>
    <w:bookmarkEnd w:id="63"/>
    <w:p>
      <w:pPr>
        <w:jc w:val="both"/>
        <w:ind w:left="840"/>
        <w:spacing w:after="0" w:line="304" w:lineRule="auto"/>
        <w:rPr>
          <w:sz w:val="20"/>
          <w:szCs w:val="20"/>
          <w:color w:val="auto"/>
        </w:rPr>
      </w:pPr>
      <w:r>
        <w:rPr>
          <w:rFonts w:ascii="Arial" w:cs="Arial" w:eastAsia="Arial" w:hAnsi="Arial"/>
          <w:sz w:val="13"/>
          <w:szCs w:val="13"/>
          <w:color w:val="auto"/>
        </w:rPr>
        <w:t>Due to the uncertainty as to the amount and timing of future exchanges of OPAL Common Units by the TRA Participants and as to the price of New OPAL Class A common stock at the time of any such exchanges, the unaudited pro forma condensed combined financial information assumes that no existing equityholders of Opco have exchanged OPAL Common Units in a transaction that would create an obligation under the Tax Receivable Agreement. Therefore, no increases in tax basis in New OPAL’s assets or other tax benefits that may be realized under the Tax Receivable Agreement have been reflected in the unaudited condensed combined pro forma financial information. Future exchanges will result in incremental tax attributes and potential cash tax savings for New OPAL. Depending on New OPAL’s assessment on realizability of such tax attributes, the arising Tax Receivable Agreement liability will be recorded at the exchange date against equity, or at a later point through income. If the TRA Participants were to exchange all of their OPAL Common Units, New OPAL would recognize a deferred tax asset of approximately $508.0 million and a related liability for payments under the Tax Receivable Agreement of approximately $432.0 million, assuming (i) that the TRA Participants redeemed or exchanged all of their OPAL Common Units on the closing date; (ii) a price of $10.00 per share; (iii) a constant combined effective income tax rate of 26.47%; (iv) New OPAL will have sufficient taxable income in each year to realize the tax benefits that are subject to the Tax Receivable Agreement; and</w:t>
      </w:r>
    </w:p>
    <w:p>
      <w:pPr>
        <w:spacing w:after="0" w:line="2" w:lineRule="exact"/>
        <w:rPr>
          <w:sz w:val="20"/>
          <w:szCs w:val="20"/>
          <w:color w:val="auto"/>
        </w:rPr>
      </w:pPr>
    </w:p>
    <w:p>
      <w:pPr>
        <w:jc w:val="both"/>
        <w:ind w:left="840" w:right="20" w:firstLine="2"/>
        <w:spacing w:after="0" w:line="248" w:lineRule="auto"/>
        <w:tabs>
          <w:tab w:leader="none" w:pos="1072"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w:t>
      </w:r>
    </w:p>
    <w:p>
      <w:pPr>
        <w:spacing w:after="0" w:line="172" w:lineRule="exact"/>
        <w:rPr>
          <w:sz w:val="20"/>
          <w:szCs w:val="20"/>
          <w:color w:val="auto"/>
        </w:rPr>
      </w:pPr>
    </w:p>
    <w:p>
      <w:pPr>
        <w:jc w:val="both"/>
        <w:ind w:left="840" w:right="20"/>
        <w:spacing w:after="0" w:line="281" w:lineRule="auto"/>
        <w:rPr>
          <w:sz w:val="20"/>
          <w:szCs w:val="20"/>
          <w:color w:val="auto"/>
        </w:rPr>
      </w:pPr>
      <w:r>
        <w:rPr>
          <w:rFonts w:ascii="Arial" w:cs="Arial" w:eastAsia="Arial" w:hAnsi="Arial"/>
          <w:sz w:val="15"/>
          <w:szCs w:val="15"/>
          <w:color w:val="auto"/>
        </w:rPr>
        <w:t>It is more likely than not that the deferred tax assets will not be realized in accordance with ASC Topic 740, ‘Income Taxes’ (“</w:t>
      </w:r>
      <w:r>
        <w:rPr>
          <w:rFonts w:ascii="Arial" w:cs="Arial" w:eastAsia="Arial" w:hAnsi="Arial"/>
          <w:sz w:val="15"/>
          <w:szCs w:val="15"/>
          <w:b w:val="1"/>
          <w:bCs w:val="1"/>
          <w:i w:val="1"/>
          <w:iCs w:val="1"/>
          <w:color w:val="auto"/>
        </w:rPr>
        <w:t>ASC 740</w:t>
      </w:r>
      <w:r>
        <w:rPr>
          <w:rFonts w:ascii="Arial" w:cs="Arial" w:eastAsia="Arial" w:hAnsi="Arial"/>
          <w:sz w:val="15"/>
          <w:szCs w:val="15"/>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48" w:lineRule="exact"/>
        <w:rPr>
          <w:sz w:val="20"/>
          <w:szCs w:val="20"/>
          <w:color w:val="auto"/>
        </w:rPr>
      </w:pPr>
    </w:p>
    <w:p>
      <w:pPr>
        <w:ind w:left="840" w:hanging="280"/>
        <w:spacing w:after="0" w:line="266" w:lineRule="auto"/>
        <w:tabs>
          <w:tab w:leader="none" w:pos="8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Reflects the fair value of $5,900 and $46,000 thousand of the Sponsor Earnout Awards and the OPAL Earnout Awards, respectively. Refer to Note 3 for more information.</w:t>
      </w:r>
    </w:p>
    <w:p>
      <w:pPr>
        <w:spacing w:after="0" w:line="157" w:lineRule="exact"/>
        <w:rPr>
          <w:rFonts w:ascii="Arial" w:cs="Arial" w:eastAsia="Arial" w:hAnsi="Arial"/>
          <w:sz w:val="16"/>
          <w:szCs w:val="16"/>
          <w:color w:val="auto"/>
        </w:rPr>
      </w:pPr>
    </w:p>
    <w:p>
      <w:pPr>
        <w:jc w:val="both"/>
        <w:ind w:left="840" w:right="20" w:hanging="280"/>
        <w:spacing w:after="0" w:line="256" w:lineRule="auto"/>
        <w:tabs>
          <w:tab w:leader="none" w:pos="8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Reflects the $5,000 thousand fair value of the Forward Purchase Agreement liability and associated fees of $625 thousand. The accounting treatment of these costs is still under evaluation, and for purposes of the unaudited condensed combined pro forma information these costs are presented as an adjustment to the equity issuance proceeds from the business combination.</w:t>
      </w:r>
    </w:p>
    <w:p>
      <w:pPr>
        <w:spacing w:after="0" w:line="165" w:lineRule="exact"/>
        <w:rPr>
          <w:rFonts w:ascii="Arial" w:cs="Arial" w:eastAsia="Arial" w:hAnsi="Arial"/>
          <w:sz w:val="16"/>
          <w:szCs w:val="16"/>
          <w:color w:val="auto"/>
        </w:rPr>
      </w:pPr>
    </w:p>
    <w:p>
      <w:pPr>
        <w:jc w:val="both"/>
        <w:ind w:left="840" w:hanging="280"/>
        <w:spacing w:after="0" w:line="256" w:lineRule="auto"/>
        <w:tabs>
          <w:tab w:leader="none" w:pos="8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Reflects the $2,084 thousand fair value of private placement warrants transferred by Sponsor to Encompass. The accounting treatment of these costs is still under evaluation, and for purposes of the unaudited condensed combined pro forma information these costs are presented as an offsetting contribution and adjustment to issuance proceeds from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Adjustments to Unaudited Pro Forma Condensed Combined Statements of Operations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pro forma adjustments included in the unaudited pro forma condensed combined statement of operations for the three months ended June 30, 2022 are as follows:</w:t>
      </w:r>
    </w:p>
    <w:p>
      <w:pPr>
        <w:spacing w:after="0" w:line="227" w:lineRule="exact"/>
        <w:rPr>
          <w:sz w:val="20"/>
          <w:szCs w:val="20"/>
          <w:color w:val="auto"/>
        </w:rPr>
      </w:pPr>
    </w:p>
    <w:p>
      <w:pPr>
        <w:ind w:left="840" w:hanging="280"/>
        <w:spacing w:after="0"/>
        <w:tabs>
          <w:tab w:leader="none" w:pos="8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As it is more likely than not that the ArcLight deferred tax assets will not be realized in accordance with ASC 740, no income tax benefit is recognized.</w:t>
      </w:r>
    </w:p>
    <w:p>
      <w:pPr>
        <w:spacing w:after="0" w:line="204" w:lineRule="exact"/>
        <w:rPr>
          <w:rFonts w:ascii="Arial" w:cs="Arial" w:eastAsia="Arial" w:hAnsi="Arial"/>
          <w:sz w:val="15"/>
          <w:szCs w:val="15"/>
          <w:color w:val="auto"/>
        </w:rPr>
      </w:pPr>
    </w:p>
    <w:p>
      <w:pPr>
        <w:jc w:val="both"/>
        <w:ind w:left="840" w:right="20" w:hanging="280"/>
        <w:spacing w:after="0" w:line="281" w:lineRule="auto"/>
        <w:tabs>
          <w:tab w:leader="none" w:pos="8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Represents the adjustment for the Net income (loss) attributable to redeemable preferred noncontrolling interest and redeemable noncontrolling interest. The Net income (loss) attributable to redeemable noncontrolling interest is based on a 85.4% percentage interest in Opco. The adjustment to the net income (loss) redeemable preferred noncontrolling interest represents the accrued dividends that would be settled in cash in connection with item 6(d) above.</w:t>
      </w:r>
    </w:p>
    <w:p>
      <w:pPr>
        <w:spacing w:after="0" w:line="147" w:lineRule="exact"/>
        <w:rPr>
          <w:rFonts w:ascii="Arial" w:cs="Arial" w:eastAsia="Arial" w:hAnsi="Arial"/>
          <w:sz w:val="15"/>
          <w:szCs w:val="15"/>
          <w:color w:val="auto"/>
        </w:rPr>
      </w:pPr>
    </w:p>
    <w:p>
      <w:pPr>
        <w:ind w:left="840" w:hanging="280"/>
        <w:spacing w:after="0"/>
        <w:tabs>
          <w:tab w:leader="none" w:pos="8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elimination of interest earned on marketable securities held in ArcLight’s Trust Account.</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pro forma adjustments included in the unaudited pro forma condensed combined statement of operations for the year ended December 31, 2021 are as follows:</w:t>
      </w:r>
    </w:p>
    <w:p>
      <w:pPr>
        <w:spacing w:after="0" w:line="227" w:lineRule="exact"/>
        <w:rPr>
          <w:sz w:val="20"/>
          <w:szCs w:val="20"/>
          <w:color w:val="auto"/>
        </w:rPr>
      </w:pPr>
    </w:p>
    <w:p>
      <w:pPr>
        <w:ind w:left="840" w:right="20" w:hanging="280"/>
        <w:spacing w:after="0" w:line="300" w:lineRule="auto"/>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Reflects adjustments to eliminate the income (loss) from the equity method investments in connection with Beacon prior to the acquisition, and to reflect the reduced depreciation expense pertaining to the acquired property, plant and equipment that was measured at the acquisition date fair value.</w:t>
      </w:r>
    </w:p>
    <w:p>
      <w:pPr>
        <w:spacing w:after="0" w:line="134" w:lineRule="exact"/>
        <w:rPr>
          <w:rFonts w:ascii="Arial" w:cs="Arial" w:eastAsia="Arial" w:hAnsi="Arial"/>
          <w:sz w:val="15"/>
          <w:szCs w:val="15"/>
          <w:color w:val="auto"/>
        </w:rPr>
      </w:pPr>
    </w:p>
    <w:p>
      <w:pPr>
        <w:ind w:left="840" w:hanging="280"/>
        <w:spacing w:after="0"/>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As it is more likely than not that the ArcLight deferred tax assets will not be realized in accordance with ASC 740, no income tax benefit is recognized.</w:t>
      </w:r>
    </w:p>
    <w:p>
      <w:pPr>
        <w:spacing w:after="0" w:line="204" w:lineRule="exact"/>
        <w:rPr>
          <w:rFonts w:ascii="Arial" w:cs="Arial" w:eastAsia="Arial" w:hAnsi="Arial"/>
          <w:sz w:val="15"/>
          <w:szCs w:val="15"/>
          <w:color w:val="auto"/>
        </w:rPr>
      </w:pPr>
    </w:p>
    <w:p>
      <w:pPr>
        <w:jc w:val="both"/>
        <w:ind w:left="840" w:right="20" w:hanging="280"/>
        <w:spacing w:after="0" w:line="342" w:lineRule="auto"/>
        <w:tabs>
          <w:tab w:leader="none" w:pos="8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the adjustment for the Net income (loss) attributable to redeemable preferred noncontrolling interest and redeemable noncontrolling interest. The Net income (loss) attributable to redeemable noncontrolling interest is based on a 85.4% common ownership interest in Opco. The adjustment to the net income (loss) redeemable preferred noncontrolling interest represents the accrued dividends that would be settled in cash in connection with item 6(d) above.</w:t>
      </w:r>
    </w:p>
    <w:p>
      <w:pPr>
        <w:spacing w:after="0" w:line="114" w:lineRule="exact"/>
        <w:rPr>
          <w:rFonts w:ascii="Arial" w:cs="Arial" w:eastAsia="Arial" w:hAnsi="Arial"/>
          <w:sz w:val="13"/>
          <w:szCs w:val="13"/>
          <w:color w:val="auto"/>
        </w:rPr>
      </w:pPr>
    </w:p>
    <w:p>
      <w:pPr>
        <w:ind w:left="840" w:hanging="280"/>
        <w:spacing w:after="0"/>
        <w:tabs>
          <w:tab w:leader="none" w:pos="8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elimination of interest earned on marketable securities held in ArcLight’s Trust Account.</w:t>
      </w:r>
    </w:p>
    <w:p>
      <w:pPr>
        <w:spacing w:after="0" w:line="192" w:lineRule="exact"/>
        <w:rPr>
          <w:rFonts w:ascii="Arial" w:cs="Arial" w:eastAsia="Arial" w:hAnsi="Arial"/>
          <w:sz w:val="16"/>
          <w:szCs w:val="16"/>
          <w:color w:val="auto"/>
        </w:rPr>
      </w:pPr>
    </w:p>
    <w:p>
      <w:pPr>
        <w:ind w:left="840" w:right="20" w:hanging="280"/>
        <w:spacing w:after="0" w:line="266" w:lineRule="auto"/>
        <w:tabs>
          <w:tab w:leader="none" w:pos="8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Reflects a $4,200 thousand adjustment for estimated costs attributable to a directors’ and officers’ insurance tail policy which will be contingently incurred upon closing of the transaction.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64" w:name="page65"/>
    <w:bookmarkEnd w:id="64"/>
    <w:p>
      <w:pPr>
        <w:ind w:left="6"/>
        <w:spacing w:after="0"/>
        <w:rPr>
          <w:sz w:val="20"/>
          <w:szCs w:val="20"/>
          <w:color w:val="auto"/>
        </w:rPr>
      </w:pPr>
      <w:r>
        <w:rPr>
          <w:rFonts w:ascii="Arial" w:cs="Arial" w:eastAsia="Arial" w:hAnsi="Arial"/>
          <w:sz w:val="16"/>
          <w:szCs w:val="16"/>
          <w:b w:val="1"/>
          <w:bCs w:val="1"/>
          <w:color w:val="auto"/>
        </w:rPr>
        <w:t>Note 8 — Net Income (Loss) per Share</w:t>
      </w:r>
    </w:p>
    <w:p>
      <w:pPr>
        <w:spacing w:after="0" w:line="197" w:lineRule="exact"/>
        <w:rPr>
          <w:sz w:val="20"/>
          <w:szCs w:val="20"/>
          <w:color w:val="auto"/>
        </w:rPr>
      </w:pPr>
    </w:p>
    <w:p>
      <w:pPr>
        <w:jc w:val="both"/>
        <w:ind w:left="6" w:firstLine="565"/>
        <w:spacing w:after="0" w:line="329" w:lineRule="auto"/>
        <w:rPr>
          <w:sz w:val="20"/>
          <w:szCs w:val="20"/>
          <w:color w:val="auto"/>
        </w:rPr>
      </w:pPr>
      <w:r>
        <w:rPr>
          <w:rFonts w:ascii="Arial" w:cs="Arial" w:eastAsia="Arial" w:hAnsi="Arial"/>
          <w:sz w:val="13"/>
          <w:szCs w:val="13"/>
          <w:color w:val="auto"/>
        </w:rPr>
        <w:t>Represents the net income (loss) per share calculated using the historical weighted average shares outstanding and the issuance of additional shares in connection with the Business Combination, the PIPE Investment, and other related events, assuming such additional shares were outstanding since January 1, 2021. As the Business Combination and PIPE Investment are being reflected as if they had occurred as of January 1, 2021, the calculation of weighted average shares outstanding for basic and diluted net income (loss) per share assumes the shares issued in connection with the Business Combination and PIPE Investment have been outstanding for the entire periods presented.</w:t>
      </w:r>
    </w:p>
    <w:p>
      <w:pPr>
        <w:spacing w:after="0" w:line="122" w:lineRule="exact"/>
        <w:rPr>
          <w:sz w:val="20"/>
          <w:szCs w:val="20"/>
          <w:color w:val="auto"/>
        </w:rPr>
      </w:pPr>
    </w:p>
    <w:p>
      <w:pPr>
        <w:jc w:val="both"/>
        <w:ind w:left="6" w:right="20" w:firstLine="565"/>
        <w:spacing w:after="0" w:line="322" w:lineRule="auto"/>
        <w:rPr>
          <w:sz w:val="20"/>
          <w:szCs w:val="20"/>
          <w:color w:val="auto"/>
        </w:rPr>
      </w:pPr>
      <w:r>
        <w:rPr>
          <w:rFonts w:ascii="Arial" w:cs="Arial" w:eastAsia="Arial" w:hAnsi="Arial"/>
          <w:sz w:val="13"/>
          <w:szCs w:val="13"/>
          <w:color w:val="auto"/>
        </w:rPr>
        <w:t>New OPAL has 6,223,261 public warrants and 9,223,261 private placement warrants. The warrants are exercisable at their $11.50 strike price which exceeds the current market price for New OPAL Class A common stock. The warrants are considered anti-dilutive and were excluded from the diluted earnings per share for the period presented below. In addition, the shares pursuant to the earnout arrangements as discussed in Note 1 were excluded from the diluted earnings per share calculation since such shares are contingently issuable or forfeitable, and the contingencies have not been resolved. Diluted earnings per share also does not reflect the conversion of Opco’s Class B units into New OPAL Class A common stock as the result would be anti-dilutive. As a result, the basic and diluted net income (loss) per share is the same for the periods presented.</w:t>
      </w:r>
    </w:p>
    <w:p>
      <w:pPr>
        <w:spacing w:after="0" w:line="124"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the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Six Months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Year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9"/>
        </w:trPr>
        <w:tc>
          <w:tcPr>
            <w:tcW w:w="856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shares and per share data)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6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i w:val="1"/>
                <w:iCs w:val="1"/>
                <w:color w:val="auto"/>
              </w:rPr>
              <w:t>Numerator</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 forma net income (loss) attributable to stockholders - basic and diluted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Pr>
          <w:p>
            <w:pPr>
              <w:spacing w:after="0"/>
              <w:rPr>
                <w:sz w:val="20"/>
                <w:szCs w:val="20"/>
                <w:color w:val="auto"/>
              </w:rPr>
            </w:pPr>
            <w:r>
              <w:rPr>
                <w:rFonts w:ascii="Arial" w:cs="Arial" w:eastAsia="Arial" w:hAnsi="Arial"/>
                <w:sz w:val="16"/>
                <w:szCs w:val="16"/>
                <w:b w:val="1"/>
                <w:bCs w:val="1"/>
                <w:i w:val="1"/>
                <w:iCs w:val="1"/>
                <w:color w:val="auto"/>
              </w:rPr>
              <w:t>Denominator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 average shares outstanding of New OPAL Class A common stock – basic</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24,757,483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24,757,483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Weighted average shares outstanding of New OPAL Class A common stock – diluted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24,761,483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24,761,483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Pro forma net income (loss) per share (Basic) attributable to New OPAL Class A common stockholders (1)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0.22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 forma net income (loss) per share (Diluted) attributable to New OPAL Class A common stockholders (1)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shares outstanding — basic</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ArcLight Public Shareholders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3,752,181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3,752,181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Sponsor Shareholders (2)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6,865,169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6,865,169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PIPE Investors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11,080,600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11,080,600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Ares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3,059,533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shares outstanding — diluted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ArcLight Public Shareholders (3)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3,756,181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3,756,181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Sponsor Shareholders (2)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6,865,169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6,865,169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PIPE Investors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11,080,600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11,080,600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Ares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3,059,533</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86" w:right="20" w:hanging="286"/>
        <w:spacing w:after="0" w:line="300" w:lineRule="auto"/>
        <w:tabs>
          <w:tab w:leader="none" w:pos="286" w:val="left"/>
        </w:tabs>
        <w:numPr>
          <w:ilvl w:val="0"/>
          <w:numId w:val="51"/>
        </w:numPr>
        <w:rPr>
          <w:rFonts w:ascii="Arial" w:cs="Arial" w:eastAsia="Arial" w:hAnsi="Arial"/>
          <w:sz w:val="15"/>
          <w:szCs w:val="15"/>
          <w:color w:val="auto"/>
        </w:rPr>
      </w:pPr>
      <w:r>
        <w:rPr>
          <w:rFonts w:ascii="Arial" w:cs="Arial" w:eastAsia="Arial" w:hAnsi="Arial"/>
          <w:sz w:val="15"/>
          <w:szCs w:val="15"/>
          <w:color w:val="auto"/>
        </w:rPr>
        <w:t>New OPAL’s Class B and Class D common stock outstanding do not participate in earnings or losses and therefore are not participating securities. As such, a separate presentation of basic and diluted earnings per share of Class B and Class D common stock under the two-class method has not been presented.</w:t>
      </w:r>
    </w:p>
    <w:p>
      <w:pPr>
        <w:spacing w:after="0" w:line="134" w:lineRule="exact"/>
        <w:rPr>
          <w:rFonts w:ascii="Arial" w:cs="Arial" w:eastAsia="Arial" w:hAnsi="Arial"/>
          <w:sz w:val="15"/>
          <w:szCs w:val="15"/>
          <w:color w:val="auto"/>
        </w:rPr>
      </w:pPr>
    </w:p>
    <w:p>
      <w:pPr>
        <w:ind w:left="286" w:right="20" w:hanging="286"/>
        <w:spacing w:after="0" w:line="300" w:lineRule="auto"/>
        <w:tabs>
          <w:tab w:leader="none" w:pos="286" w:val="left"/>
        </w:tabs>
        <w:numPr>
          <w:ilvl w:val="0"/>
          <w:numId w:val="51"/>
        </w:numPr>
        <w:rPr>
          <w:rFonts w:ascii="Arial" w:cs="Arial" w:eastAsia="Arial" w:hAnsi="Arial"/>
          <w:sz w:val="15"/>
          <w:szCs w:val="15"/>
          <w:color w:val="auto"/>
        </w:rPr>
      </w:pPr>
      <w:r>
        <w:rPr>
          <w:rFonts w:ascii="Arial" w:cs="Arial" w:eastAsia="Arial" w:hAnsi="Arial"/>
          <w:sz w:val="15"/>
          <w:szCs w:val="15"/>
          <w:color w:val="auto"/>
        </w:rPr>
        <w:t>Excludes 763,907 of New OPAL Class A common stock held directly by the Sponsor that are subject to forfeiture pursuant to the Sponsor Letter Agreement and an additional 150,000 of New OPAL Class A common stock held directly by the Sponsor that are subject to forfeiture pursuant to the Sponsor Side Letter</w:t>
      </w:r>
    </w:p>
    <w:p>
      <w:pPr>
        <w:spacing w:after="0" w:line="134" w:lineRule="exact"/>
        <w:rPr>
          <w:rFonts w:ascii="Arial" w:cs="Arial" w:eastAsia="Arial" w:hAnsi="Arial"/>
          <w:sz w:val="15"/>
          <w:szCs w:val="15"/>
          <w:color w:val="auto"/>
        </w:rPr>
      </w:pPr>
    </w:p>
    <w:p>
      <w:pPr>
        <w:ind w:left="286" w:hanging="286"/>
        <w:spacing w:after="0"/>
        <w:tabs>
          <w:tab w:leader="none" w:pos="286"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4,000 dilutive shares of New OPAL Class A Common Stock pursuant to the Forward Purchase Agreement under the reverse treasury stock method.</w:t>
      </w:r>
    </w:p>
    <w:p>
      <w:pPr>
        <w:spacing w:after="0" w:line="39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3"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19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i w:val="1"/>
          <w:iCs w:val="1"/>
          <w:color w:val="auto"/>
        </w:rPr>
        <w:t>In this Management’s Discussion and Analysis of Financial Condition and Results of Operations section, references to “OPAL”, “we”, “us”, “our”, and the “Company” refer to Opco and its consolidated subsidiaries. The following discussion and analysis should be read in conjunction with Opco’s unaudited condensed consolidated financial statements as of June 30, 2022 and for the six months ended June 30, 2022 and 2021, its audited consolidated financial statements as of and for the years ended December 31, 2021 and 2020, the related notes, and other information included elsewhere in this prospectus. This discussion and analysis should also be read in conjunction with Unaudited Pro Forma Condensed Combined Financial Information. In addition to historical information, this discussion and analysis includes certain forward-looking statements which reflect our current expectations. Our actual results may materially differ from these forward-looking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landfill gas and dairy manure as the source of the biogas. In addition, we have has recently begun implementing design, development, and construction services for hydrogen fueling stations, and we are pursuing opportunities to diversify its sources of biogas to other waste streams.</w:t>
      </w:r>
    </w:p>
    <w:p>
      <w:pPr>
        <w:spacing w:after="0" w:line="174"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We separately design, develop, construct, operate and service fueling stations for vehicle fleets across the country that dispense RNG and/or CNG to displace diesel as a fleet transportation fuel. During the six months ended June 30, 2022, we dispensed 13.1 million gasoline gallon equivalents (“</w:t>
      </w:r>
      <w:r>
        <w:rPr>
          <w:rFonts w:ascii="Arial" w:cs="Arial" w:eastAsia="Arial" w:hAnsi="Arial"/>
          <w:sz w:val="13"/>
          <w:szCs w:val="13"/>
          <w:b w:val="1"/>
          <w:bCs w:val="1"/>
          <w:i w:val="1"/>
          <w:iCs w:val="1"/>
          <w:color w:val="auto"/>
        </w:rPr>
        <w:t>GGEs</w:t>
      </w:r>
      <w:r>
        <w:rPr>
          <w:rFonts w:ascii="Arial" w:cs="Arial" w:eastAsia="Arial" w:hAnsi="Arial"/>
          <w:sz w:val="13"/>
          <w:szCs w:val="13"/>
          <w:color w:val="auto"/>
        </w:rPr>
        <w:t>”) of RNG to the transportation market, generating corresponding Environmental Attributes, utilizing its network of 241 Fueling Stations in 40 states in the United States, including more than 32 stations in California as of July 31, 2022. This is a substantial increase from 75 total stations as of December 2021, due to 129 new fueling stations from one fuel dispensing contract. We have has served as the general contractor or supervised qualified third-party contractors to complete over 387 Fueling Station projects and currently service more than 14,000 trucks on a daily basis.</w:t>
      </w:r>
    </w:p>
    <w:p>
      <w:pPr>
        <w:spacing w:after="0" w:line="128"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Opco was formed in December 2020 as a wholly owned subsidiary of OPAL Holdco under the laws of the State of Delaware. On December 31, 2020, Fortistar and certain of its affiliated entities (for purposes of this discussion, our “</w:t>
      </w:r>
      <w:r>
        <w:rPr>
          <w:rFonts w:ascii="Arial" w:cs="Arial" w:eastAsia="Arial" w:hAnsi="Arial"/>
          <w:sz w:val="15"/>
          <w:szCs w:val="15"/>
          <w:b w:val="1"/>
          <w:bCs w:val="1"/>
          <w:i w:val="1"/>
          <w:iCs w:val="1"/>
          <w:color w:val="auto"/>
        </w:rPr>
        <w:t>Ultimate Parent</w:t>
      </w:r>
      <w:r>
        <w:rPr>
          <w:rFonts w:ascii="Arial" w:cs="Arial" w:eastAsia="Arial" w:hAnsi="Arial"/>
          <w:sz w:val="15"/>
          <w:szCs w:val="15"/>
          <w:color w:val="auto"/>
        </w:rPr>
        <w:t>”) contributed their respective ownership interests in the following legal entities to Opco in a common-control reorganization: TruStar Energy LLC, Fortistar RNG LLC, Fortistar Methane 3 Holdings LLC, Fortistar Methane 3 LLC, Fortistar Contracting LLC, Fortistar Services LLC, Gas Recovery Systems, LLC, Minnesota Methane LLC and Fortistar Methane 4 LLC. Opco accounted for its receipt of these interests as a transfer under common control, and accordingly retained the historical basis of accounting by its Ultimate Parent as if the entities had always been held by Opco.</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193"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On July 21, 2022, we completed the proposed business combination as per the terms of the Business Combination Agreement. In addition, pursuant to subscription agreements entered into with certain investors (the “</w:t>
      </w:r>
      <w:r>
        <w:rPr>
          <w:rFonts w:ascii="Arial" w:cs="Arial" w:eastAsia="Arial" w:hAnsi="Arial"/>
          <w:sz w:val="16"/>
          <w:szCs w:val="16"/>
          <w:b w:val="1"/>
          <w:bCs w:val="1"/>
          <w:i w:val="1"/>
          <w:iCs w:val="1"/>
          <w:color w:val="auto"/>
        </w:rPr>
        <w:t>PIPE Investors</w:t>
      </w:r>
      <w:r>
        <w:rPr>
          <w:rFonts w:ascii="Arial" w:cs="Arial" w:eastAsia="Arial" w:hAnsi="Arial"/>
          <w:sz w:val="16"/>
          <w:szCs w:val="16"/>
          <w:color w:val="auto"/>
        </w:rPr>
        <w:t>”) in connection with the Business Combination (the “</w:t>
      </w:r>
      <w:r>
        <w:rPr>
          <w:rFonts w:ascii="Arial" w:cs="Arial" w:eastAsia="Arial" w:hAnsi="Arial"/>
          <w:sz w:val="16"/>
          <w:szCs w:val="16"/>
          <w:b w:val="1"/>
          <w:bCs w:val="1"/>
          <w:i w:val="1"/>
          <w:iCs w:val="1"/>
          <w:color w:val="auto"/>
        </w:rPr>
        <w:t>PIPE Investment</w:t>
      </w:r>
      <w:r>
        <w:rPr>
          <w:rFonts w:ascii="Arial" w:cs="Arial" w:eastAsia="Arial" w:hAnsi="Arial"/>
          <w:sz w:val="16"/>
          <w:szCs w:val="16"/>
          <w:color w:val="auto"/>
        </w:rPr>
        <w:t>”), concurrently with the closing of the Business Combination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we received $105.8 million in proceeds from the PIPE Investors, in exchange for which we issued 10,580,600 shares of Class A common stock to the PIPE Investors. We received the remaining $5 million subscribed for pursuant to the PIPE Investment from one of the PIPE Investors subsequent to the Closing and issued 500,000 shares of Class A common stock.</w:t>
      </w:r>
    </w:p>
    <w:p>
      <w:pPr>
        <w:spacing w:after="0" w:line="169"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After giving effect to the Business Combination, the redemption of public shares as described below, the consummation of the PIPE Investment, and the separation of the former ArcLight units, there are currently (i) 25,671,390 shares of our Class A common stock issued and outstanding, (ii) 144,399,037 shares of our Class D common stock issued and outstanding, (iii) no shares of Class B common stock, par value $0.0001 per share (“</w:t>
      </w:r>
      <w:r>
        <w:rPr>
          <w:rFonts w:ascii="Arial" w:cs="Arial" w:eastAsia="Arial" w:hAnsi="Arial"/>
          <w:sz w:val="15"/>
          <w:szCs w:val="15"/>
          <w:b w:val="1"/>
          <w:bCs w:val="1"/>
          <w:i w:val="1"/>
          <w:iCs w:val="1"/>
          <w:color w:val="auto"/>
        </w:rPr>
        <w:t>Class B common stock</w:t>
      </w:r>
      <w:r>
        <w:rPr>
          <w:rFonts w:ascii="Arial" w:cs="Arial" w:eastAsia="Arial" w:hAnsi="Arial"/>
          <w:sz w:val="15"/>
          <w:szCs w:val="15"/>
          <w:color w:val="auto"/>
        </w:rPr>
        <w:t>”) issued and outstanding (shares of Class B common stock do not have any economic value but entitle the holder thereof to one vote per share) and (iv) no shares of our Class C common stock, par value $0.0001 per share, (“</w:t>
      </w:r>
      <w:r>
        <w:rPr>
          <w:rFonts w:ascii="Arial" w:cs="Arial" w:eastAsia="Arial" w:hAnsi="Arial"/>
          <w:sz w:val="15"/>
          <w:szCs w:val="15"/>
          <w:b w:val="1"/>
          <w:bCs w:val="1"/>
          <w:i w:val="1"/>
          <w:iCs w:val="1"/>
          <w:color w:val="auto"/>
        </w:rPr>
        <w:t>Class C common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stock</w:t>
      </w:r>
      <w:r>
        <w:rPr>
          <w:rFonts w:ascii="Arial" w:cs="Arial" w:eastAsia="Arial" w:hAnsi="Arial"/>
          <w:sz w:val="15"/>
          <w:szCs w:val="15"/>
          <w:color w:val="auto"/>
        </w:rPr>
        <w:t>”) issued and outstanding (shares of Class C common stock entitle the holder thereof to five votes per share).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66" w:name="page67"/>
    <w:bookmarkEnd w:id="66"/>
    <w:p>
      <w:pPr>
        <w:jc w:val="both"/>
        <w:ind w:firstLine="283"/>
        <w:spacing w:after="0" w:line="266" w:lineRule="auto"/>
        <w:rPr>
          <w:sz w:val="20"/>
          <w:szCs w:val="20"/>
          <w:color w:val="auto"/>
        </w:rPr>
      </w:pPr>
      <w:r>
        <w:rPr>
          <w:rFonts w:ascii="Arial" w:cs="Arial" w:eastAsia="Arial" w:hAnsi="Arial"/>
          <w:sz w:val="16"/>
          <w:szCs w:val="16"/>
          <w:color w:val="auto"/>
        </w:rPr>
        <w:t>The Class A common stock and warrants commenced trading on Nasdaq under the symbols “OPAL” and “OPALW,” respectively, on July 22, 2022, subject to ongoing review of our satisfaction of all listing criteria following the Business Combination.</w:t>
      </w:r>
    </w:p>
    <w:p>
      <w:pPr>
        <w:spacing w:after="0" w:line="15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An aggregate of $274.2 million was paid from the trust account to holders that properly exercised their right to have their public shares redeemed, and the remaining balance immediately prior to the Closing of $37.6 million remained in the trust account. The remaining amount in the trust account, together with the proceeds from the PIPE Investment, were contributed by us to Opco after the set aside of funds in escrow to support a forward purchase agreement.</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Business</w:t>
      </w:r>
    </w:p>
    <w:p>
      <w:pPr>
        <w:spacing w:after="0" w:line="19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On November 29, 2021, we entered into a purchase and sale agreement with NextEra for the Environmental Attributes generated by the RNG Fuels business. Under this agreement, we plan to sell a minimum of 90% of the Environmental Attributes generated and will receive net proceeds based on the agreed upon price less a specified discount. A specified volume of Environmental Attributes sold per quarter will incur a small fee per environmental attribute in addition to the specified discount. The agreement became effective in the first quarter of 2022. During the six months ended June 30, 2022, we earned net revenues after discount of $29.7 million under this contract which was recorded as part of our “RNG fuels” revenue.</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On December 10, 2021, we entered into a new 50/50 joint venture and formed Emerald RNG LLC (“</w:t>
      </w:r>
      <w:r>
        <w:rPr>
          <w:rFonts w:ascii="Arial" w:cs="Arial" w:eastAsia="Arial" w:hAnsi="Arial"/>
          <w:sz w:val="13"/>
          <w:szCs w:val="13"/>
          <w:b w:val="1"/>
          <w:bCs w:val="1"/>
          <w:i w:val="1"/>
          <w:iCs w:val="1"/>
          <w:color w:val="auto"/>
        </w:rPr>
        <w:t>Emerald</w:t>
      </w:r>
      <w:r>
        <w:rPr>
          <w:rFonts w:ascii="Arial" w:cs="Arial" w:eastAsia="Arial" w:hAnsi="Arial"/>
          <w:sz w:val="13"/>
          <w:szCs w:val="13"/>
          <w:color w:val="auto"/>
        </w:rPr>
        <w:t>”) to convert an existing electric facility into an RNG facility.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we contributed $16.9 million as our share of capital investment towards the project.</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Financing</w:t>
      </w:r>
    </w:p>
    <w:p>
      <w:pPr>
        <w:spacing w:after="0" w:line="193" w:lineRule="exact"/>
        <w:rPr>
          <w:sz w:val="20"/>
          <w:szCs w:val="20"/>
          <w:color w:val="auto"/>
        </w:rPr>
      </w:pPr>
    </w:p>
    <w:p>
      <w:pPr>
        <w:ind w:right="140" w:firstLine="565"/>
        <w:spacing w:after="0" w:line="266" w:lineRule="auto"/>
        <w:rPr>
          <w:sz w:val="20"/>
          <w:szCs w:val="20"/>
          <w:color w:val="auto"/>
        </w:rPr>
      </w:pPr>
      <w:r>
        <w:rPr>
          <w:rFonts w:ascii="Arial" w:cs="Arial" w:eastAsia="Arial" w:hAnsi="Arial"/>
          <w:sz w:val="16"/>
          <w:szCs w:val="16"/>
          <w:color w:val="auto"/>
        </w:rPr>
        <w:t>On November 29, 2021, Mendocino Capital LLC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subscribed for up to 1,000,000 Series A preferred units, which are issuable (in whole or in increments) at our discretion prior to June 30, 2022. As of June 30, 2022, we issued 1,000,000 units for total proceeds of $100.0 million.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and Trends Influencing our Results of Operations</w:t>
      </w:r>
    </w:p>
    <w:p>
      <w:pPr>
        <w:spacing w:after="0" w:line="197" w:lineRule="exact"/>
        <w:rPr>
          <w:sz w:val="20"/>
          <w:szCs w:val="20"/>
          <w:color w:val="auto"/>
        </w:rPr>
      </w:pPr>
    </w:p>
    <w:p>
      <w:pPr>
        <w:jc w:val="both"/>
        <w:ind w:right="20" w:firstLine="283"/>
        <w:spacing w:after="0" w:line="300" w:lineRule="auto"/>
        <w:rPr>
          <w:sz w:val="20"/>
          <w:szCs w:val="20"/>
          <w:color w:val="auto"/>
        </w:rPr>
      </w:pPr>
      <w:r>
        <w:rPr>
          <w:rFonts w:ascii="Arial" w:cs="Arial" w:eastAsia="Arial" w:hAnsi="Arial"/>
          <w:sz w:val="15"/>
          <w:szCs w:val="15"/>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Arial" w:cs="Arial" w:eastAsia="Arial" w:hAnsi="Arial"/>
          <w:sz w:val="15"/>
          <w:szCs w:val="15"/>
          <w:i w:val="1"/>
          <w:iCs w:val="1"/>
          <w:color w:val="auto"/>
        </w:rPr>
        <w:t>Risk Factors</w:t>
      </w:r>
      <w:r>
        <w:rPr>
          <w:rFonts w:ascii="Arial" w:cs="Arial" w:eastAsia="Arial" w:hAnsi="Arial"/>
          <w:sz w:val="15"/>
          <w:szCs w:val="15"/>
          <w:color w:val="auto"/>
        </w:rPr>
        <w:t>” elsewhere in this prospectus.</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Market Demand for RNG</w:t>
      </w:r>
    </w:p>
    <w:p>
      <w:pPr>
        <w:spacing w:after="0" w:line="193" w:lineRule="exact"/>
        <w:rPr>
          <w:sz w:val="20"/>
          <w:szCs w:val="20"/>
          <w:color w:val="auto"/>
        </w:rPr>
      </w:pPr>
    </w:p>
    <w:p>
      <w:pPr>
        <w:jc w:val="both"/>
        <w:ind w:firstLine="283"/>
        <w:spacing w:after="0" w:line="248" w:lineRule="auto"/>
        <w:rPr>
          <w:sz w:val="20"/>
          <w:szCs w:val="20"/>
          <w:color w:val="auto"/>
        </w:rPr>
      </w:pPr>
      <w:r>
        <w:rPr>
          <w:rFonts w:ascii="Arial" w:cs="Arial" w:eastAsia="Arial" w:hAnsi="Arial"/>
          <w:sz w:val="16"/>
          <w:szCs w:val="16"/>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RVOs for D3 RINs in accordance with the mandates established by the EISA. The EPA’s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146" w:lineRule="exact"/>
        <w:rPr>
          <w:sz w:val="20"/>
          <w:szCs w:val="20"/>
          <w:color w:val="auto"/>
        </w:rPr>
      </w:pPr>
    </w:p>
    <w:p>
      <w:pPr>
        <w:jc w:val="both"/>
        <w:ind w:firstLine="283"/>
        <w:spacing w:after="0" w:line="201" w:lineRule="exact"/>
        <w:rPr>
          <w:sz w:val="20"/>
          <w:szCs w:val="20"/>
          <w:color w:val="auto"/>
        </w:rPr>
      </w:pPr>
      <w:r>
        <w:rPr>
          <w:rFonts w:ascii="Arial" w:cs="Arial" w:eastAsia="Arial" w:hAnsi="Arial"/>
          <w:sz w:val="16"/>
          <w:szCs w:val="16"/>
          <w:color w:val="auto"/>
        </w:rPr>
        <w:t>Commercial transportation, including heavy-duty trucking, generates approximately 30% emissions of overall CO</w:t>
      </w:r>
      <w:r>
        <w:rPr>
          <w:rFonts w:ascii="MS PGothic" w:cs="MS PGothic" w:eastAsia="MS PGothic" w:hAnsi="MS PGothic"/>
          <w:sz w:val="16"/>
          <w:szCs w:val="16"/>
          <w:color w:val="auto"/>
        </w:rPr>
        <w:t>₂</w:t>
      </w:r>
      <w:r>
        <w:rPr>
          <w:rFonts w:ascii="Arial" w:cs="Arial" w:eastAsia="Arial" w:hAnsi="Arial"/>
          <w:sz w:val="16"/>
          <w:szCs w:val="16"/>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also exposed to the commodity prices of natural gas and diesel, which serve as alternative fuel for RNG and therefore impact the demand for RNG.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67" w:name="page68"/>
    <w:bookmarkEnd w:id="67"/>
    <w:p>
      <w:pPr>
        <w:ind w:left="280"/>
        <w:spacing w:after="0"/>
        <w:rPr>
          <w:sz w:val="20"/>
          <w:szCs w:val="20"/>
          <w:color w:val="auto"/>
        </w:rPr>
      </w:pPr>
      <w:r>
        <w:rPr>
          <w:rFonts w:ascii="Arial" w:cs="Arial" w:eastAsia="Arial" w:hAnsi="Arial"/>
          <w:sz w:val="16"/>
          <w:szCs w:val="16"/>
          <w:b w:val="1"/>
          <w:bCs w:val="1"/>
          <w:i w:val="1"/>
          <w:iCs w:val="1"/>
          <w:color w:val="auto"/>
        </w:rPr>
        <w:t>Renewable Power Markets</w:t>
      </w:r>
    </w:p>
    <w:p>
      <w:pPr>
        <w:spacing w:after="0" w:line="193" w:lineRule="exact"/>
        <w:rPr>
          <w:sz w:val="20"/>
          <w:szCs w:val="20"/>
          <w:color w:val="auto"/>
        </w:rPr>
      </w:pPr>
    </w:p>
    <w:p>
      <w:pPr>
        <w:jc w:val="both"/>
        <w:ind w:right="20" w:firstLine="283"/>
        <w:spacing w:after="0" w:line="268" w:lineRule="auto"/>
        <w:rPr>
          <w:sz w:val="20"/>
          <w:szCs w:val="20"/>
          <w:color w:val="auto"/>
        </w:rPr>
      </w:pPr>
      <w:r>
        <w:rPr>
          <w:rFonts w:ascii="Arial" w:cs="Arial" w:eastAsia="Arial" w:hAnsi="Arial"/>
          <w:sz w:val="15"/>
          <w:szCs w:val="15"/>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LFG, or the sale of RECs could be expected to affect the market for, and the pricing of, the RECs that we can generate through production at our Biogas Conversion Projects. We periodically evaluate opportunities to convert existing biogas-to-Renewable Power projects to RNG production. This strategy has been an increasingly attractive avenue for growth when RNG from landfills became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197" w:lineRule="exact"/>
        <w:rPr>
          <w:sz w:val="20"/>
          <w:szCs w:val="20"/>
          <w:color w:val="auto"/>
        </w:rPr>
      </w:pPr>
    </w:p>
    <w:p>
      <w:pPr>
        <w:jc w:val="both"/>
        <w:ind w:right="20" w:firstLine="283"/>
        <w:spacing w:after="0" w:line="300" w:lineRule="auto"/>
        <w:rPr>
          <w:sz w:val="20"/>
          <w:szCs w:val="20"/>
          <w:color w:val="auto"/>
        </w:rPr>
      </w:pPr>
      <w:r>
        <w:rPr>
          <w:rFonts w:ascii="Arial" w:cs="Arial" w:eastAsia="Arial" w:hAnsi="Arial"/>
          <w:sz w:val="15"/>
          <w:szCs w:val="15"/>
          <w:color w:val="auto"/>
        </w:rPr>
        <w:t>We generate revenues from the sale of RNG fuel, Renewable Power, and associated Environmental Attributes, and from the construction, fuel supply, and servicing of Fueling Stations for commercial transportation vehicles. These revenue sources are presented in our statement of operations under the following captions:</w:t>
      </w:r>
    </w:p>
    <w:p>
      <w:pPr>
        <w:spacing w:after="0" w:line="130" w:lineRule="exact"/>
        <w:rPr>
          <w:sz w:val="20"/>
          <w:szCs w:val="20"/>
          <w:color w:val="auto"/>
        </w:rPr>
      </w:pPr>
    </w:p>
    <w:p>
      <w:pPr>
        <w:jc w:val="both"/>
        <w:ind w:left="560" w:hanging="283"/>
        <w:spacing w:after="0" w:line="331" w:lineRule="auto"/>
        <w:tabs>
          <w:tab w:leader="none" w:pos="560" w:val="left"/>
        </w:tabs>
        <w:numPr>
          <w:ilvl w:val="0"/>
          <w:numId w:val="52"/>
        </w:numPr>
        <w:rPr>
          <w:rFonts w:ascii="Arial" w:cs="Arial" w:eastAsia="Arial" w:hAnsi="Arial"/>
          <w:sz w:val="13"/>
          <w:szCs w:val="13"/>
          <w:color w:val="auto"/>
        </w:rPr>
      </w:pPr>
      <w:r>
        <w:rPr>
          <w:rFonts w:ascii="Arial" w:cs="Arial" w:eastAsia="Arial" w:hAnsi="Arial"/>
          <w:sz w:val="13"/>
          <w:szCs w:val="13"/>
          <w:b w:val="1"/>
          <w:bCs w:val="1"/>
          <w:color w:val="auto"/>
        </w:rPr>
        <w:t xml:space="preserve">RNG Fuel. </w:t>
      </w:r>
      <w:r>
        <w:rPr>
          <w:rFonts w:ascii="Arial" w:cs="Arial" w:eastAsia="Arial" w:hAnsi="Arial"/>
          <w:sz w:val="13"/>
          <w:szCs w:val="13"/>
          <w:color w:val="auto"/>
        </w:rPr>
        <w:t>Revenues are derived from the production and sale of RNG and Environmental Attributes to public utilities and other credit-worthy third parties, including</w:t>
      </w:r>
      <w:r>
        <w:rPr>
          <w:rFonts w:ascii="Arial" w:cs="Arial" w:eastAsia="Arial" w:hAnsi="Arial"/>
          <w:sz w:val="13"/>
          <w:szCs w:val="13"/>
          <w:b w:val="1"/>
          <w:bCs w:val="1"/>
          <w:color w:val="auto"/>
        </w:rPr>
        <w:t xml:space="preserve"> </w:t>
      </w:r>
      <w:r>
        <w:rPr>
          <w:rFonts w:ascii="Arial" w:cs="Arial" w:eastAsia="Arial" w:hAnsi="Arial"/>
          <w:sz w:val="13"/>
          <w:szCs w:val="13"/>
          <w:color w:val="auto"/>
        </w:rPr>
        <w:t>direct sales of RNG to commercial fueling stations. We generally sell brown gas in the spot market, RIN and LCFS credits under a medium-term contract, and CNG under 10-year contracts. Contract pricing is generally based on market price at the time of delivery, and our contracts generally do not have minimum volume commitments. Revenues presented under this caption include the results of our reportable segments “RNG Fuel Supply” and “RNG Fuel Dispensing.”</w:t>
      </w:r>
    </w:p>
    <w:p>
      <w:pPr>
        <w:spacing w:after="0" w:line="117" w:lineRule="exact"/>
        <w:rPr>
          <w:rFonts w:ascii="Arial" w:cs="Arial" w:eastAsia="Arial" w:hAnsi="Arial"/>
          <w:sz w:val="13"/>
          <w:szCs w:val="13"/>
          <w:color w:val="auto"/>
        </w:rPr>
      </w:pPr>
    </w:p>
    <w:p>
      <w:pPr>
        <w:jc w:val="both"/>
        <w:ind w:left="560" w:hanging="283"/>
        <w:spacing w:after="0" w:line="267" w:lineRule="auto"/>
        <w:tabs>
          <w:tab w:leader="none" w:pos="560"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 xml:space="preserve">Renewable Power. </w:t>
      </w:r>
      <w:r>
        <w:rPr>
          <w:rFonts w:ascii="Arial" w:cs="Arial" w:eastAsia="Arial" w:hAnsi="Arial"/>
          <w:sz w:val="15"/>
          <w:szCs w:val="15"/>
          <w:color w:val="auto"/>
        </w:rPr>
        <w:t>Revenues are derived from the production and sale of both Renewable Power and RECs to public utilities and other credit-worthy counterparties</w:t>
      </w:r>
      <w:r>
        <w:rPr>
          <w:rFonts w:ascii="Arial" w:cs="Arial" w:eastAsia="Arial" w:hAnsi="Arial"/>
          <w:sz w:val="15"/>
          <w:szCs w:val="15"/>
          <w:b w:val="1"/>
          <w:bCs w:val="1"/>
          <w:color w:val="auto"/>
        </w:rPr>
        <w:t xml:space="preserve"> </w:t>
      </w:r>
      <w:r>
        <w:rPr>
          <w:rFonts w:ascii="Arial" w:cs="Arial" w:eastAsia="Arial" w:hAnsi="Arial"/>
          <w:sz w:val="15"/>
          <w:szCs w:val="15"/>
          <w:color w:val="auto"/>
        </w:rPr>
        <w:t>under Power Purchase Agreements (“</w:t>
      </w:r>
      <w:r>
        <w:rPr>
          <w:rFonts w:ascii="Arial" w:cs="Arial" w:eastAsia="Arial" w:hAnsi="Arial"/>
          <w:sz w:val="15"/>
          <w:szCs w:val="15"/>
          <w:b w:val="1"/>
          <w:bCs w:val="1"/>
          <w:i w:val="1"/>
          <w:iCs w:val="1"/>
          <w:color w:val="auto"/>
        </w:rPr>
        <w:t>PPA</w:t>
      </w:r>
      <w:r>
        <w:rPr>
          <w:rFonts w:ascii="Arial" w:cs="Arial" w:eastAsia="Arial" w:hAnsi="Arial"/>
          <w:sz w:val="15"/>
          <w:szCs w:val="15"/>
          <w:color w:val="auto"/>
        </w:rPr>
        <w:t>”)s and other arrangements throughout the United States. The majority of our Renewable Power and REC production is sold together on a bundled basis under long-term contracts with fixed per-unit pricing, and without minimum volume commitments. Additionally, we receive revenue from public utilities to maintain capacity so that peak electricity demand may be met on an as-needed basis and from operating and maintenance agreements with landfill owners to maintain the site’s gas collection system. In an effort to reduce volatility in our revenues earned from sale of Renewable Power, we enter into certain commodity swap arrangements from time to time. In these arrangements, we deliver megawatt hour (“</w:t>
      </w:r>
      <w:r>
        <w:rPr>
          <w:rFonts w:ascii="Arial" w:cs="Arial" w:eastAsia="Arial" w:hAnsi="Arial"/>
          <w:sz w:val="15"/>
          <w:szCs w:val="15"/>
          <w:b w:val="1"/>
          <w:bCs w:val="1"/>
          <w:i w:val="1"/>
          <w:iCs w:val="1"/>
          <w:color w:val="auto"/>
        </w:rPr>
        <w:t>MWh</w:t>
      </w:r>
      <w:r>
        <w:rPr>
          <w:rFonts w:ascii="Arial" w:cs="Arial" w:eastAsia="Arial" w:hAnsi="Arial"/>
          <w:sz w:val="15"/>
          <w:szCs w:val="15"/>
          <w:color w:val="auto"/>
        </w:rPr>
        <w:t>”) capacity and receive a variable price based on market conditions. We convert this variable fee to a fixed fee by paying or receiving funds from the counterparty to the commodity swap arrangement based on the difference between the contract fixed price and the market price. Revenues presented under this caption include the results of our reportable segments “Renewable Power 3 Portfolio” and “Renewable Power 4 Portfolio.”</w:t>
      </w:r>
    </w:p>
    <w:p>
      <w:pPr>
        <w:spacing w:after="0" w:line="157" w:lineRule="exact"/>
        <w:rPr>
          <w:rFonts w:ascii="Arial" w:cs="Arial" w:eastAsia="Arial" w:hAnsi="Arial"/>
          <w:sz w:val="15"/>
          <w:szCs w:val="15"/>
          <w:color w:val="auto"/>
        </w:rPr>
      </w:pPr>
    </w:p>
    <w:p>
      <w:pPr>
        <w:jc w:val="both"/>
        <w:ind w:left="560" w:hanging="283"/>
        <w:spacing w:after="0" w:line="254" w:lineRule="auto"/>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Fuel Station Services. </w:t>
      </w:r>
      <w:r>
        <w:rPr>
          <w:rFonts w:ascii="Arial" w:cs="Arial" w:eastAsia="Arial" w:hAnsi="Arial"/>
          <w:sz w:val="16"/>
          <w:szCs w:val="16"/>
          <w:color w:val="auto"/>
        </w:rPr>
        <w:t>Revenues are derived from our services to design and construct RNG vehicle fueling stations for fleet operators, and to provide ongoing</w:t>
      </w:r>
      <w:r>
        <w:rPr>
          <w:rFonts w:ascii="Arial" w:cs="Arial" w:eastAsia="Arial" w:hAnsi="Arial"/>
          <w:sz w:val="16"/>
          <w:szCs w:val="16"/>
          <w:b w:val="1"/>
          <w:bCs w:val="1"/>
          <w:color w:val="auto"/>
        </w:rPr>
        <w:t xml:space="preserve"> </w:t>
      </w:r>
      <w:r>
        <w:rPr>
          <w:rFonts w:ascii="Arial" w:cs="Arial" w:eastAsia="Arial" w:hAnsi="Arial"/>
          <w:sz w:val="16"/>
          <w:szCs w:val="16"/>
          <w:color w:val="auto"/>
        </w:rPr>
        <w:t>maintenance services to station owners. Our design and construction arrangements are generally performed within one year and have a guaranteed maximum fixed price. Our maintenance services are generally performed under medium to long-term contracts with volume-based pricing. Revenues presented under this caption include the results of our reportable segments “Fuel Construction Services” and “Fuel Station Services.”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costs of sales associated with each revenue category are as follows:</w:t>
      </w:r>
    </w:p>
    <w:p>
      <w:pPr>
        <w:spacing w:after="0" w:line="189" w:lineRule="exact"/>
        <w:rPr>
          <w:sz w:val="20"/>
          <w:szCs w:val="20"/>
          <w:color w:val="auto"/>
        </w:rPr>
      </w:pPr>
    </w:p>
    <w:p>
      <w:pPr>
        <w:ind w:left="560" w:hanging="283"/>
        <w:spacing w:after="0" w:line="271" w:lineRule="auto"/>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RNG Fuel. </w:t>
      </w:r>
      <w:r>
        <w:rPr>
          <w:rFonts w:ascii="Arial" w:cs="Arial" w:eastAsia="Arial" w:hAnsi="Arial"/>
          <w:sz w:val="16"/>
          <w:szCs w:val="16"/>
          <w:color w:val="auto"/>
        </w:rPr>
        <w:t>Includes royalty payments to biogas site owners for the gas we capture; service provider costs; salaries and other indirect expenses related to the production</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utilities; transportation, storage, and insurance; and depreciation of production facilities.</w:t>
      </w:r>
    </w:p>
    <w:p>
      <w:pPr>
        <w:spacing w:after="0" w:line="149" w:lineRule="exact"/>
        <w:rPr>
          <w:rFonts w:ascii="Arial" w:cs="Arial" w:eastAsia="Arial" w:hAnsi="Arial"/>
          <w:sz w:val="16"/>
          <w:szCs w:val="16"/>
          <w:color w:val="auto"/>
        </w:rPr>
      </w:pPr>
    </w:p>
    <w:p>
      <w:pPr>
        <w:ind w:left="560" w:right="20" w:hanging="283"/>
        <w:spacing w:after="0" w:line="271" w:lineRule="auto"/>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Renewable Power. </w:t>
      </w:r>
      <w:r>
        <w:rPr>
          <w:rFonts w:ascii="Arial" w:cs="Arial" w:eastAsia="Arial" w:hAnsi="Arial"/>
          <w:sz w:val="16"/>
          <w:szCs w:val="16"/>
          <w:color w:val="auto"/>
        </w:rPr>
        <w:t>Includes land usage costs; service provider costs; salaries and other indirect expenses related to the production process; utilities; and depreciation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facilities.</w:t>
      </w:r>
    </w:p>
    <w:p>
      <w:pPr>
        <w:spacing w:after="0" w:line="149" w:lineRule="exact"/>
        <w:rPr>
          <w:rFonts w:ascii="Arial" w:cs="Arial" w:eastAsia="Arial" w:hAnsi="Arial"/>
          <w:sz w:val="16"/>
          <w:szCs w:val="16"/>
          <w:color w:val="auto"/>
        </w:rPr>
      </w:pPr>
    </w:p>
    <w:p>
      <w:pPr>
        <w:ind w:left="560" w:hanging="283"/>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Fuel Station Services. </w:t>
      </w:r>
      <w:r>
        <w:rPr>
          <w:rFonts w:ascii="Arial" w:cs="Arial" w:eastAsia="Arial" w:hAnsi="Arial"/>
          <w:sz w:val="16"/>
          <w:szCs w:val="16"/>
          <w:color w:val="auto"/>
        </w:rPr>
        <w:t>Include equipment supplier costs; service provider costs; and salaries and other indirect expenses.</w:t>
      </w:r>
    </w:p>
    <w:p>
      <w:pPr>
        <w:spacing w:after="0" w:line="197" w:lineRule="exact"/>
        <w:rPr>
          <w:sz w:val="20"/>
          <w:szCs w:val="20"/>
          <w:color w:val="auto"/>
        </w:rPr>
      </w:pPr>
    </w:p>
    <w:p>
      <w:pPr>
        <w:ind w:firstLine="283"/>
        <w:spacing w:after="0" w:line="266" w:lineRule="auto"/>
        <w:rPr>
          <w:sz w:val="20"/>
          <w:szCs w:val="20"/>
          <w:color w:val="auto"/>
        </w:rPr>
      </w:pPr>
      <w:r>
        <w:rPr>
          <w:rFonts w:ascii="Arial" w:cs="Arial" w:eastAsia="Arial" w:hAnsi="Arial"/>
          <w:sz w:val="16"/>
          <w:szCs w:val="16"/>
          <w:color w:val="auto"/>
        </w:rPr>
        <w:t>Selling, general, and administrative expense consists of costs involving corporate overhead functions, including cost of services provided to us by an affiliate, and marketing costs.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68" w:name="page69"/>
    <w:bookmarkEnd w:id="68"/>
    <w:p>
      <w:pPr>
        <w:jc w:val="both"/>
        <w:ind w:right="20" w:firstLine="283"/>
        <w:spacing w:after="0" w:line="256" w:lineRule="auto"/>
        <w:rPr>
          <w:sz w:val="20"/>
          <w:szCs w:val="20"/>
          <w:color w:val="auto"/>
        </w:rPr>
      </w:pPr>
      <w:r>
        <w:rPr>
          <w:rFonts w:ascii="Arial" w:cs="Arial" w:eastAsia="Arial" w:hAnsi="Arial"/>
          <w:sz w:val="16"/>
          <w:szCs w:val="16"/>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65"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See our period-over-period comparisons below for more information about our performance for the six months ended June 30, 2022 and 2021, as well as the fiscal years ended December 31, 2021 and 2020.</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Comparison of the Six Months Ended June 30, 2022, and 2021, and the Fiscal Years Ended December 31, 2021 and 2020</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following table presents the period-over-period change for each line item in the Company’s statement of operations for the six months ended June 30, 2022 and 2021 and the fiscal years ended December 31, 2021 and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5"/>
          </w:tcPr>
          <w:p>
            <w:pPr>
              <w:jc w:val="right"/>
              <w:ind w:right="322"/>
              <w:spacing w:after="0"/>
              <w:rPr>
                <w:sz w:val="20"/>
                <w:szCs w:val="20"/>
                <w:color w:val="auto"/>
              </w:rPr>
            </w:pPr>
            <w:r>
              <w:rPr>
                <w:rFonts w:ascii="Arial" w:cs="Arial" w:eastAsia="Arial" w:hAnsi="Arial"/>
                <w:sz w:val="16"/>
                <w:szCs w:val="16"/>
                <w:b w:val="1"/>
                <w:bCs w:val="1"/>
                <w:color w:val="auto"/>
                <w:w w:val="96"/>
              </w:rPr>
              <w:t>Six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jc w:val="right"/>
              <w:ind w:right="322"/>
              <w:spacing w:after="0"/>
              <w:rPr>
                <w:sz w:val="20"/>
                <w:szCs w:val="20"/>
                <w:color w:val="auto"/>
              </w:rPr>
            </w:pPr>
            <w:r>
              <w:rPr>
                <w:rFonts w:ascii="Arial" w:cs="Arial" w:eastAsia="Arial" w:hAnsi="Arial"/>
                <w:sz w:val="16"/>
                <w:szCs w:val="16"/>
                <w:b w:val="1"/>
                <w:bCs w:val="1"/>
                <w:color w:val="auto"/>
                <w:w w:val="95"/>
              </w:rPr>
              <w:t>Fiscal Year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8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80" w:type="dxa"/>
            <w:vAlign w:val="bottom"/>
          </w:tcPr>
          <w:p>
            <w:pPr>
              <w:jc w:val="right"/>
              <w:ind w:right="22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5"/>
          </w:tcPr>
          <w:p>
            <w:pPr>
              <w:jc w:val="right"/>
              <w:ind w:right="482"/>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8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80" w:type="dxa"/>
            <w:vAlign w:val="bottom"/>
          </w:tcPr>
          <w:p>
            <w:pPr>
              <w:jc w:val="right"/>
              <w:ind w:right="22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04"/>
        </w:trPr>
        <w:tc>
          <w:tcPr>
            <w:tcW w:w="31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3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RNG fuel</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50,815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19,174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31,641</w:t>
            </w: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165%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70,360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11,545</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58,815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w:t>
            </w:r>
          </w:p>
        </w:tc>
      </w:tr>
      <w:tr>
        <w:trPr>
          <w:trHeight w:val="188"/>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Renewable power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6"/>
                <w:szCs w:val="16"/>
                <w:color w:val="auto"/>
              </w:rPr>
              <w:t>19,152</w:t>
            </w:r>
          </w:p>
        </w:tc>
        <w:tc>
          <w:tcPr>
            <w:tcW w:w="200" w:type="dxa"/>
            <w:vAlign w:val="bottom"/>
          </w:tcPr>
          <w:p>
            <w:pPr>
              <w:spacing w:after="0"/>
              <w:rPr>
                <w:sz w:val="16"/>
                <w:szCs w:val="16"/>
                <w:color w:val="auto"/>
              </w:rPr>
            </w:pPr>
          </w:p>
        </w:tc>
        <w:tc>
          <w:tcPr>
            <w:tcW w:w="720" w:type="dxa"/>
            <w:vAlign w:val="bottom"/>
            <w:gridSpan w:val="2"/>
          </w:tcPr>
          <w:p>
            <w:pPr>
              <w:jc w:val="right"/>
              <w:ind w:right="62"/>
              <w:spacing w:after="0"/>
              <w:rPr>
                <w:sz w:val="20"/>
                <w:szCs w:val="20"/>
                <w:color w:val="auto"/>
              </w:rPr>
            </w:pPr>
            <w:r>
              <w:rPr>
                <w:rFonts w:ascii="Arial" w:cs="Arial" w:eastAsia="Arial" w:hAnsi="Arial"/>
                <w:sz w:val="16"/>
                <w:szCs w:val="16"/>
                <w:color w:val="auto"/>
              </w:rPr>
              <w:t>21,437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6"/>
                <w:szCs w:val="16"/>
                <w:color w:val="auto"/>
              </w:rPr>
              <w:t>(2,285)</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45,324</w:t>
            </w:r>
          </w:p>
        </w:tc>
        <w:tc>
          <w:tcPr>
            <w:tcW w:w="160" w:type="dxa"/>
            <w:vAlign w:val="bottom"/>
          </w:tcPr>
          <w:p>
            <w:pPr>
              <w:spacing w:after="0"/>
              <w:rPr>
                <w:sz w:val="16"/>
                <w:szCs w:val="16"/>
                <w:color w:val="auto"/>
              </w:rPr>
            </w:pPr>
          </w:p>
        </w:tc>
        <w:tc>
          <w:tcPr>
            <w:tcW w:w="760" w:type="dxa"/>
            <w:vAlign w:val="bottom"/>
            <w:gridSpan w:val="2"/>
          </w:tcPr>
          <w:p>
            <w:pPr>
              <w:jc w:val="right"/>
              <w:ind w:right="62"/>
              <w:spacing w:after="0"/>
              <w:rPr>
                <w:sz w:val="20"/>
                <w:szCs w:val="20"/>
                <w:color w:val="auto"/>
              </w:rPr>
            </w:pPr>
            <w:r>
              <w:rPr>
                <w:rFonts w:ascii="Arial" w:cs="Arial" w:eastAsia="Arial" w:hAnsi="Arial"/>
                <w:sz w:val="16"/>
                <w:szCs w:val="16"/>
                <w:color w:val="auto"/>
              </w:rPr>
              <w:t>51,250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(5,926)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220"/>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Fuel station service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32,297</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17,173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15,124</w:t>
            </w: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88%</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50,440</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76"/>
        </w:trPr>
        <w:tc>
          <w:tcPr>
            <w:tcW w:w="20" w:type="dxa"/>
            <w:vAlign w:val="bottom"/>
          </w:tcPr>
          <w:p>
            <w:pPr>
              <w:spacing w:after="0"/>
              <w:rPr>
                <w:sz w:val="15"/>
                <w:szCs w:val="15"/>
                <w:color w:val="auto"/>
              </w:rPr>
            </w:pPr>
          </w:p>
        </w:tc>
        <w:tc>
          <w:tcPr>
            <w:tcW w:w="314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102,264</w:t>
            </w:r>
          </w:p>
        </w:tc>
        <w:tc>
          <w:tcPr>
            <w:tcW w:w="20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57,784</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44,480</w:t>
            </w:r>
          </w:p>
        </w:tc>
        <w:tc>
          <w:tcPr>
            <w:tcW w:w="2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77</w:t>
            </w:r>
          </w:p>
        </w:tc>
        <w:tc>
          <w:tcPr>
            <w:tcW w:w="300" w:type="dxa"/>
            <w:vAlign w:val="bottom"/>
            <w:tcBorders>
              <w:top w:val="single" w:sz="8" w:color="CCEEFF"/>
              <w:bottom w:val="single" w:sz="8" w:color="CCEEFF"/>
            </w:tcBorders>
          </w:tcPr>
          <w:p>
            <w:pPr>
              <w:jc w:val="right"/>
              <w:ind w:right="82"/>
              <w:spacing w:after="0" w:line="172" w:lineRule="exact"/>
              <w:rPr>
                <w:sz w:val="20"/>
                <w:szCs w:val="20"/>
                <w:color w:val="auto"/>
              </w:rPr>
            </w:pPr>
            <w:r>
              <w:rPr>
                <w:rFonts w:ascii="Arial" w:cs="Arial" w:eastAsia="Arial" w:hAnsi="Arial"/>
                <w:sz w:val="16"/>
                <w:szCs w:val="16"/>
                <w:color w:val="auto"/>
                <w:w w:val="84"/>
              </w:rPr>
              <w:t>%</w:t>
            </w: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166,124</w:t>
            </w:r>
          </w:p>
        </w:tc>
        <w:tc>
          <w:tcPr>
            <w:tcW w:w="2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117,706</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48,418</w:t>
            </w:r>
          </w:p>
        </w:tc>
        <w:tc>
          <w:tcPr>
            <w:tcW w:w="2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41</w:t>
            </w:r>
          </w:p>
        </w:tc>
        <w:tc>
          <w:tcPr>
            <w:tcW w:w="200" w:type="dxa"/>
            <w:vAlign w:val="bottom"/>
            <w:tcBorders>
              <w:top w:val="single" w:sz="8" w:color="CCEEFF"/>
              <w:bottom w:val="single" w:sz="8" w:color="CCEEFF"/>
            </w:tcBorders>
          </w:tcPr>
          <w:p>
            <w:pPr>
              <w:jc w:val="right"/>
              <w:spacing w:after="0" w:line="172" w:lineRule="exact"/>
              <w:rPr>
                <w:sz w:val="20"/>
                <w:szCs w:val="20"/>
                <w:color w:val="auto"/>
              </w:rPr>
            </w:pPr>
            <w:r>
              <w:rPr>
                <w:rFonts w:ascii="Arial" w:cs="Arial" w:eastAsia="Arial" w:hAnsi="Arial"/>
                <w:sz w:val="16"/>
                <w:szCs w:val="16"/>
                <w:color w:val="auto"/>
                <w:w w:val="84"/>
              </w:rPr>
              <w:t>%</w:t>
            </w:r>
          </w:p>
        </w:tc>
      </w:tr>
      <w:tr>
        <w:trPr>
          <w:trHeight w:val="188"/>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6"/>
                <w:szCs w:val="16"/>
                <w:color w:val="auto"/>
              </w:rPr>
              <w:t>30,884</w:t>
            </w:r>
          </w:p>
        </w:tc>
        <w:tc>
          <w:tcPr>
            <w:tcW w:w="200" w:type="dxa"/>
            <w:vAlign w:val="bottom"/>
          </w:tcPr>
          <w:p>
            <w:pPr>
              <w:spacing w:after="0"/>
              <w:rPr>
                <w:sz w:val="16"/>
                <w:szCs w:val="16"/>
                <w:color w:val="auto"/>
              </w:rPr>
            </w:pPr>
          </w:p>
        </w:tc>
        <w:tc>
          <w:tcPr>
            <w:tcW w:w="720" w:type="dxa"/>
            <w:vAlign w:val="bottom"/>
            <w:gridSpan w:val="2"/>
          </w:tcPr>
          <w:p>
            <w:pPr>
              <w:jc w:val="right"/>
              <w:ind w:right="62"/>
              <w:spacing w:after="0"/>
              <w:rPr>
                <w:sz w:val="20"/>
                <w:szCs w:val="20"/>
                <w:color w:val="auto"/>
              </w:rPr>
            </w:pPr>
            <w:r>
              <w:rPr>
                <w:rFonts w:ascii="Arial" w:cs="Arial" w:eastAsia="Arial" w:hAnsi="Arial"/>
                <w:sz w:val="16"/>
                <w:szCs w:val="16"/>
                <w:color w:val="auto"/>
              </w:rPr>
              <w:t>11,080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6"/>
                <w:szCs w:val="16"/>
                <w:color w:val="auto"/>
              </w:rPr>
              <w:t>19,804</w:t>
            </w:r>
          </w:p>
        </w:tc>
        <w:tc>
          <w:tcPr>
            <w:tcW w:w="1080" w:type="dxa"/>
            <w:vAlign w:val="bottom"/>
            <w:gridSpan w:val="2"/>
          </w:tcPr>
          <w:p>
            <w:pPr>
              <w:jc w:val="right"/>
              <w:ind w:right="82"/>
              <w:spacing w:after="0"/>
              <w:rPr>
                <w:sz w:val="20"/>
                <w:szCs w:val="20"/>
                <w:color w:val="auto"/>
              </w:rPr>
            </w:pPr>
            <w:r>
              <w:rPr>
                <w:rFonts w:ascii="Arial" w:cs="Arial" w:eastAsia="Arial" w:hAnsi="Arial"/>
                <w:sz w:val="16"/>
                <w:szCs w:val="16"/>
                <w:color w:val="auto"/>
              </w:rPr>
              <w:t>179%</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41,075</w:t>
            </w:r>
          </w:p>
        </w:tc>
        <w:tc>
          <w:tcPr>
            <w:tcW w:w="160" w:type="dxa"/>
            <w:vAlign w:val="bottom"/>
          </w:tcPr>
          <w:p>
            <w:pPr>
              <w:spacing w:after="0"/>
              <w:rPr>
                <w:sz w:val="16"/>
                <w:szCs w:val="16"/>
                <w:color w:val="auto"/>
              </w:rPr>
            </w:pPr>
          </w:p>
        </w:tc>
        <w:tc>
          <w:tcPr>
            <w:tcW w:w="760" w:type="dxa"/>
            <w:vAlign w:val="bottom"/>
            <w:gridSpan w:val="2"/>
          </w:tcPr>
          <w:p>
            <w:pPr>
              <w:jc w:val="right"/>
              <w:ind w:right="62"/>
              <w:spacing w:after="0"/>
              <w:rPr>
                <w:sz w:val="20"/>
                <w:szCs w:val="20"/>
                <w:color w:val="auto"/>
              </w:rPr>
            </w:pPr>
            <w:r>
              <w:rPr>
                <w:rFonts w:ascii="Arial" w:cs="Arial" w:eastAsia="Arial" w:hAnsi="Arial"/>
                <w:sz w:val="16"/>
                <w:szCs w:val="16"/>
                <w:color w:val="auto"/>
              </w:rPr>
              <w:t>7,376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33,699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457%</w:t>
            </w:r>
          </w:p>
        </w:tc>
      </w:tr>
      <w:tr>
        <w:trPr>
          <w:trHeight w:val="188"/>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Renewable power</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15,948</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17,888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(1,940)</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31,152</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37,755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188"/>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Cost of sales - Fuel station service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6"/>
                <w:szCs w:val="16"/>
                <w:color w:val="auto"/>
              </w:rPr>
              <w:t>28,757</w:t>
            </w:r>
          </w:p>
        </w:tc>
        <w:tc>
          <w:tcPr>
            <w:tcW w:w="200" w:type="dxa"/>
            <w:vAlign w:val="bottom"/>
          </w:tcPr>
          <w:p>
            <w:pPr>
              <w:spacing w:after="0"/>
              <w:rPr>
                <w:sz w:val="16"/>
                <w:szCs w:val="16"/>
                <w:color w:val="auto"/>
              </w:rPr>
            </w:pPr>
          </w:p>
        </w:tc>
        <w:tc>
          <w:tcPr>
            <w:tcW w:w="720" w:type="dxa"/>
            <w:vAlign w:val="bottom"/>
            <w:gridSpan w:val="2"/>
          </w:tcPr>
          <w:p>
            <w:pPr>
              <w:jc w:val="right"/>
              <w:ind w:right="62"/>
              <w:spacing w:after="0"/>
              <w:rPr>
                <w:sz w:val="20"/>
                <w:szCs w:val="20"/>
                <w:color w:val="auto"/>
              </w:rPr>
            </w:pPr>
            <w:r>
              <w:rPr>
                <w:rFonts w:ascii="Arial" w:cs="Arial" w:eastAsia="Arial" w:hAnsi="Arial"/>
                <w:sz w:val="16"/>
                <w:szCs w:val="16"/>
                <w:color w:val="auto"/>
              </w:rPr>
              <w:t>14,317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6"/>
                <w:szCs w:val="16"/>
                <w:color w:val="auto"/>
              </w:rPr>
              <w:t>14,440</w:t>
            </w:r>
          </w:p>
        </w:tc>
        <w:tc>
          <w:tcPr>
            <w:tcW w:w="1080" w:type="dxa"/>
            <w:vAlign w:val="bottom"/>
            <w:gridSpan w:val="2"/>
          </w:tcPr>
          <w:p>
            <w:pPr>
              <w:jc w:val="right"/>
              <w:ind w:right="82"/>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42,838</w:t>
            </w:r>
          </w:p>
        </w:tc>
        <w:tc>
          <w:tcPr>
            <w:tcW w:w="160" w:type="dxa"/>
            <w:vAlign w:val="bottom"/>
          </w:tcPr>
          <w:p>
            <w:pPr>
              <w:spacing w:after="0"/>
              <w:rPr>
                <w:sz w:val="16"/>
                <w:szCs w:val="16"/>
                <w:color w:val="auto"/>
              </w:rPr>
            </w:pPr>
          </w:p>
        </w:tc>
        <w:tc>
          <w:tcPr>
            <w:tcW w:w="760" w:type="dxa"/>
            <w:vAlign w:val="bottom"/>
            <w:gridSpan w:val="2"/>
          </w:tcPr>
          <w:p>
            <w:pPr>
              <w:jc w:val="right"/>
              <w:ind w:right="62"/>
              <w:spacing w:after="0"/>
              <w:rPr>
                <w:sz w:val="20"/>
                <w:szCs w:val="20"/>
                <w:color w:val="auto"/>
              </w:rPr>
            </w:pPr>
            <w:r>
              <w:rPr>
                <w:rFonts w:ascii="Arial" w:cs="Arial" w:eastAsia="Arial" w:hAnsi="Arial"/>
                <w:sz w:val="16"/>
                <w:szCs w:val="16"/>
                <w:color w:val="auto"/>
              </w:rPr>
              <w:t>45,037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(2,199)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188"/>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18,810</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11,185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68%</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29,380</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20,474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8,906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188"/>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Depreciation, amortization, and accretion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6"/>
                <w:szCs w:val="16"/>
                <w:color w:val="auto"/>
              </w:rPr>
              <w:t>6,558</w:t>
            </w:r>
          </w:p>
        </w:tc>
        <w:tc>
          <w:tcPr>
            <w:tcW w:w="200" w:type="dxa"/>
            <w:vAlign w:val="bottom"/>
          </w:tcPr>
          <w:p>
            <w:pPr>
              <w:spacing w:after="0"/>
              <w:rPr>
                <w:sz w:val="16"/>
                <w:szCs w:val="16"/>
                <w:color w:val="auto"/>
              </w:rPr>
            </w:pPr>
          </w:p>
        </w:tc>
        <w:tc>
          <w:tcPr>
            <w:tcW w:w="720" w:type="dxa"/>
            <w:vAlign w:val="bottom"/>
            <w:gridSpan w:val="2"/>
          </w:tcPr>
          <w:p>
            <w:pPr>
              <w:jc w:val="right"/>
              <w:ind w:right="62"/>
              <w:spacing w:after="0"/>
              <w:rPr>
                <w:sz w:val="20"/>
                <w:szCs w:val="20"/>
                <w:color w:val="auto"/>
              </w:rPr>
            </w:pPr>
            <w:r>
              <w:rPr>
                <w:rFonts w:ascii="Arial" w:cs="Arial" w:eastAsia="Arial" w:hAnsi="Arial"/>
                <w:sz w:val="16"/>
                <w:szCs w:val="16"/>
                <w:color w:val="auto"/>
              </w:rPr>
              <w:t>4,059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2,499</w:t>
            </w:r>
          </w:p>
        </w:tc>
        <w:tc>
          <w:tcPr>
            <w:tcW w:w="200" w:type="dxa"/>
            <w:vAlign w:val="bottom"/>
          </w:tcPr>
          <w:p>
            <w:pPr>
              <w:spacing w:after="0"/>
              <w:rPr>
                <w:sz w:val="16"/>
                <w:szCs w:val="16"/>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10,653</w:t>
            </w:r>
          </w:p>
        </w:tc>
        <w:tc>
          <w:tcPr>
            <w:tcW w:w="160" w:type="dxa"/>
            <w:vAlign w:val="bottom"/>
          </w:tcPr>
          <w:p>
            <w:pPr>
              <w:spacing w:after="0"/>
              <w:rPr>
                <w:sz w:val="16"/>
                <w:szCs w:val="16"/>
                <w:color w:val="auto"/>
              </w:rPr>
            </w:pPr>
          </w:p>
        </w:tc>
        <w:tc>
          <w:tcPr>
            <w:tcW w:w="760" w:type="dxa"/>
            <w:vAlign w:val="bottom"/>
            <w:gridSpan w:val="2"/>
          </w:tcPr>
          <w:p>
            <w:pPr>
              <w:jc w:val="right"/>
              <w:ind w:right="62"/>
              <w:spacing w:after="0"/>
              <w:rPr>
                <w:sz w:val="20"/>
                <w:szCs w:val="20"/>
                <w:color w:val="auto"/>
              </w:rPr>
            </w:pPr>
            <w:r>
              <w:rPr>
                <w:rFonts w:ascii="Arial" w:cs="Arial" w:eastAsia="Arial" w:hAnsi="Arial"/>
                <w:sz w:val="16"/>
                <w:szCs w:val="16"/>
                <w:color w:val="auto"/>
              </w:rPr>
              <w:t>8,338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2,315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188"/>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Impairment of assets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17,689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88"/>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Gain on termination of PPA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
              <w:spacing w:after="0"/>
              <w:rPr>
                <w:sz w:val="20"/>
                <w:szCs w:val="20"/>
                <w:color w:val="auto"/>
              </w:rPr>
            </w:pPr>
            <w:r>
              <w:rPr>
                <w:rFonts w:ascii="Arial" w:cs="Arial" w:eastAsia="Arial" w:hAnsi="Arial"/>
                <w:sz w:val="16"/>
                <w:szCs w:val="16"/>
                <w:color w:val="auto"/>
              </w:rPr>
              <w:t>(1,292)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1,292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Loss on sale/disposal of assets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76"/>
        </w:trPr>
        <w:tc>
          <w:tcPr>
            <w:tcW w:w="20" w:type="dxa"/>
            <w:vAlign w:val="bottom"/>
          </w:tcPr>
          <w:p>
            <w:pPr>
              <w:spacing w:after="0"/>
              <w:rPr>
                <w:sz w:val="15"/>
                <w:szCs w:val="15"/>
                <w:color w:val="auto"/>
              </w:rPr>
            </w:pPr>
          </w:p>
        </w:tc>
        <w:tc>
          <w:tcPr>
            <w:tcW w:w="314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Total expenses</w:t>
            </w:r>
          </w:p>
        </w:tc>
        <w:tc>
          <w:tcPr>
            <w:tcW w:w="1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100,957</w:t>
            </w:r>
          </w:p>
        </w:tc>
        <w:tc>
          <w:tcPr>
            <w:tcW w:w="20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58,529</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42,428</w:t>
            </w:r>
          </w:p>
        </w:tc>
        <w:tc>
          <w:tcPr>
            <w:tcW w:w="2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72</w:t>
            </w:r>
          </w:p>
        </w:tc>
        <w:tc>
          <w:tcPr>
            <w:tcW w:w="300" w:type="dxa"/>
            <w:vAlign w:val="bottom"/>
            <w:tcBorders>
              <w:top w:val="single" w:sz="8" w:color="CCEEFF"/>
              <w:bottom w:val="single" w:sz="8" w:color="CCEEFF"/>
            </w:tcBorders>
          </w:tcPr>
          <w:p>
            <w:pPr>
              <w:jc w:val="right"/>
              <w:ind w:right="82"/>
              <w:spacing w:after="0" w:line="172" w:lineRule="exact"/>
              <w:rPr>
                <w:sz w:val="20"/>
                <w:szCs w:val="20"/>
                <w:color w:val="auto"/>
              </w:rPr>
            </w:pPr>
            <w:r>
              <w:rPr>
                <w:rFonts w:ascii="Arial" w:cs="Arial" w:eastAsia="Arial" w:hAnsi="Arial"/>
                <w:sz w:val="16"/>
                <w:szCs w:val="16"/>
                <w:color w:val="auto"/>
                <w:w w:val="84"/>
              </w:rPr>
              <w:t>%</w:t>
            </w: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155,098</w:t>
            </w:r>
          </w:p>
        </w:tc>
        <w:tc>
          <w:tcPr>
            <w:tcW w:w="2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135,542</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19,556</w:t>
            </w:r>
          </w:p>
        </w:tc>
        <w:tc>
          <w:tcPr>
            <w:tcW w:w="2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14</w:t>
            </w:r>
          </w:p>
        </w:tc>
        <w:tc>
          <w:tcPr>
            <w:tcW w:w="200" w:type="dxa"/>
            <w:vAlign w:val="bottom"/>
            <w:tcBorders>
              <w:top w:val="single" w:sz="8" w:color="CCEEFF"/>
              <w:bottom w:val="single" w:sz="8" w:color="CCEEFF"/>
            </w:tcBorders>
          </w:tcPr>
          <w:p>
            <w:pPr>
              <w:jc w:val="right"/>
              <w:spacing w:after="0" w:line="172" w:lineRule="exact"/>
              <w:rPr>
                <w:sz w:val="20"/>
                <w:szCs w:val="20"/>
                <w:color w:val="auto"/>
              </w:rPr>
            </w:pPr>
            <w:r>
              <w:rPr>
                <w:rFonts w:ascii="Arial" w:cs="Arial" w:eastAsia="Arial" w:hAnsi="Arial"/>
                <w:sz w:val="16"/>
                <w:szCs w:val="16"/>
                <w:color w:val="auto"/>
                <w:w w:val="84"/>
              </w:rPr>
              <w:t>%</w:t>
            </w:r>
          </w:p>
        </w:tc>
      </w:tr>
      <w:tr>
        <w:trPr>
          <w:trHeight w:val="208"/>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4"/>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(17,836</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28,862</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172"/>
        </w:trPr>
        <w:tc>
          <w:tcPr>
            <w:tcW w:w="20" w:type="dxa"/>
            <w:vAlign w:val="bottom"/>
          </w:tcPr>
          <w:p>
            <w:pPr>
              <w:spacing w:after="0"/>
              <w:rPr>
                <w:sz w:val="14"/>
                <w:szCs w:val="14"/>
                <w:color w:val="auto"/>
              </w:rPr>
            </w:pPr>
          </w:p>
        </w:tc>
        <w:tc>
          <w:tcPr>
            <w:tcW w:w="3140" w:type="dxa"/>
            <w:vAlign w:val="bottom"/>
          </w:tcPr>
          <w:p>
            <w:pPr>
              <w:spacing w:after="0" w:line="172" w:lineRule="exact"/>
              <w:rPr>
                <w:sz w:val="20"/>
                <w:szCs w:val="20"/>
                <w:color w:val="auto"/>
              </w:rPr>
            </w:pPr>
            <w:r>
              <w:rPr>
                <w:rFonts w:ascii="Arial" w:cs="Arial" w:eastAsia="Arial" w:hAnsi="Arial"/>
                <w:sz w:val="16"/>
                <w:szCs w:val="16"/>
                <w:b w:val="1"/>
                <w:bCs w:val="1"/>
                <w:color w:val="auto"/>
              </w:rPr>
              <w:t>Other income (expense)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Interest and financing expense, net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(6,408)</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(3,305)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(3,103)</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(7,467)</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(6,655)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76"/>
        </w:trPr>
        <w:tc>
          <w:tcPr>
            <w:tcW w:w="20" w:type="dxa"/>
            <w:vAlign w:val="bottom"/>
          </w:tcPr>
          <w:p>
            <w:pPr>
              <w:spacing w:after="0"/>
              <w:rPr>
                <w:sz w:val="15"/>
                <w:szCs w:val="15"/>
                <w:color w:val="auto"/>
              </w:rPr>
            </w:pPr>
          </w:p>
        </w:tc>
        <w:tc>
          <w:tcPr>
            <w:tcW w:w="3140" w:type="dxa"/>
            <w:vAlign w:val="bottom"/>
          </w:tcPr>
          <w:p>
            <w:pPr>
              <w:spacing w:after="0" w:line="176" w:lineRule="exact"/>
              <w:rPr>
                <w:sz w:val="20"/>
                <w:szCs w:val="20"/>
                <w:color w:val="auto"/>
              </w:rPr>
            </w:pPr>
            <w:r>
              <w:rPr>
                <w:rFonts w:ascii="Arial" w:cs="Arial" w:eastAsia="Arial" w:hAnsi="Arial"/>
                <w:sz w:val="16"/>
                <w:szCs w:val="16"/>
                <w:color w:val="auto"/>
                <w:w w:val="90"/>
              </w:rPr>
              <w:t>Realized and unrealized gain (loss) on derivative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financial instruments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6"/>
                <w:szCs w:val="16"/>
                <w:color w:val="auto"/>
              </w:rPr>
              <w:t>328</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6"/>
                <w:szCs w:val="16"/>
                <w:color w:val="auto"/>
              </w:rPr>
              <w:t>311</w:t>
            </w:r>
          </w:p>
        </w:tc>
        <w:tc>
          <w:tcPr>
            <w:tcW w:w="1080" w:type="dxa"/>
            <w:vAlign w:val="bottom"/>
            <w:gridSpan w:val="2"/>
          </w:tcPr>
          <w:p>
            <w:pPr>
              <w:jc w:val="right"/>
              <w:ind w:right="82"/>
              <w:spacing w:after="0"/>
              <w:rPr>
                <w:sz w:val="20"/>
                <w:szCs w:val="20"/>
                <w:color w:val="auto"/>
              </w:rPr>
            </w:pPr>
            <w:r>
              <w:rPr>
                <w:rFonts w:ascii="Arial" w:cs="Arial" w:eastAsia="Arial" w:hAnsi="Arial"/>
                <w:sz w:val="16"/>
                <w:szCs w:val="16"/>
                <w:color w:val="auto"/>
              </w:rPr>
              <w:t>1829%</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7"/>
                <w:szCs w:val="17"/>
                <w:color w:val="auto"/>
              </w:rPr>
            </w:pPr>
          </w:p>
        </w:tc>
        <w:tc>
          <w:tcPr>
            <w:tcW w:w="760" w:type="dxa"/>
            <w:vAlign w:val="bottom"/>
            <w:gridSpan w:val="2"/>
          </w:tcPr>
          <w:p>
            <w:pPr>
              <w:jc w:val="right"/>
              <w:ind w:right="2"/>
              <w:spacing w:after="0"/>
              <w:rPr>
                <w:sz w:val="20"/>
                <w:szCs w:val="20"/>
                <w:color w:val="auto"/>
              </w:rPr>
            </w:pPr>
            <w:r>
              <w:rPr>
                <w:rFonts w:ascii="Arial" w:cs="Arial" w:eastAsia="Arial" w:hAnsi="Arial"/>
                <w:sz w:val="16"/>
                <w:szCs w:val="16"/>
                <w:color w:val="auto"/>
              </w:rPr>
              <w:t>(2,197)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2,296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105%</w:t>
            </w:r>
          </w:p>
        </w:tc>
      </w:tr>
      <w:tr>
        <w:trPr>
          <w:trHeight w:val="190"/>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w w:val="93"/>
              </w:rPr>
              <w:t>(Loss) Income from equity method investments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2,392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(2,428)</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(102)%</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2,268</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188"/>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w w:val="91"/>
              </w:rPr>
              <w:t>Gain on acquisition of equity method investment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20" w:type="dxa"/>
            <w:vAlign w:val="bottom"/>
            <w:gridSpan w:val="2"/>
          </w:tcPr>
          <w:p>
            <w:pPr>
              <w:jc w:val="right"/>
              <w:ind w:right="62"/>
              <w:spacing w:after="0"/>
              <w:rPr>
                <w:sz w:val="20"/>
                <w:szCs w:val="20"/>
                <w:color w:val="auto"/>
              </w:rPr>
            </w:pPr>
            <w:r>
              <w:rPr>
                <w:rFonts w:ascii="Arial" w:cs="Arial" w:eastAsia="Arial" w:hAnsi="Arial"/>
                <w:sz w:val="16"/>
                <w:szCs w:val="16"/>
                <w:color w:val="auto"/>
              </w:rPr>
              <w:t>19,818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6"/>
                <w:szCs w:val="16"/>
                <w:color w:val="auto"/>
              </w:rPr>
              <w:t>(19,818)</w:t>
            </w:r>
          </w:p>
        </w:tc>
        <w:tc>
          <w:tcPr>
            <w:tcW w:w="1080" w:type="dxa"/>
            <w:vAlign w:val="bottom"/>
            <w:gridSpan w:val="2"/>
          </w:tcPr>
          <w:p>
            <w:pPr>
              <w:jc w:val="right"/>
              <w:ind w:right="82"/>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19,818</w:t>
            </w:r>
          </w:p>
        </w:tc>
        <w:tc>
          <w:tcPr>
            <w:tcW w:w="160" w:type="dxa"/>
            <w:vAlign w:val="bottom"/>
          </w:tcPr>
          <w:p>
            <w:pPr>
              <w:spacing w:after="0"/>
              <w:rPr>
                <w:sz w:val="16"/>
                <w:szCs w:val="16"/>
                <w:color w:val="auto"/>
              </w:rPr>
            </w:pPr>
          </w:p>
        </w:tc>
        <w:tc>
          <w:tcPr>
            <w:tcW w:w="7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19,818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Gain on PPP loan forgiveness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1,792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76"/>
        </w:trPr>
        <w:tc>
          <w:tcPr>
            <w:tcW w:w="20" w:type="dxa"/>
            <w:vAlign w:val="bottom"/>
          </w:tcPr>
          <w:p>
            <w:pPr>
              <w:spacing w:after="0"/>
              <w:rPr>
                <w:sz w:val="15"/>
                <w:szCs w:val="15"/>
                <w:color w:val="auto"/>
              </w:rPr>
            </w:pPr>
          </w:p>
        </w:tc>
        <w:tc>
          <w:tcPr>
            <w:tcW w:w="314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Net (loss) income</w:t>
            </w:r>
          </w:p>
        </w:tc>
        <w:tc>
          <w:tcPr>
            <w:tcW w:w="1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(4,809</w:t>
            </w:r>
          </w:p>
        </w:tc>
        <w:tc>
          <w:tcPr>
            <w:tcW w:w="20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18,177</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(22,986</w:t>
            </w:r>
          </w:p>
        </w:tc>
        <w:tc>
          <w:tcPr>
            <w:tcW w:w="20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(126</w:t>
            </w:r>
          </w:p>
        </w:tc>
        <w:tc>
          <w:tcPr>
            <w:tcW w:w="300" w:type="dxa"/>
            <w:vAlign w:val="bottom"/>
            <w:tcBorders>
              <w:top w:val="single" w:sz="8" w:color="CCEEFF"/>
              <w:bottom w:val="single" w:sz="8" w:color="CCEEFF"/>
            </w:tcBorders>
          </w:tcPr>
          <w:p>
            <w:pPr>
              <w:jc w:val="right"/>
              <w:ind w:right="42"/>
              <w:spacing w:after="0" w:line="172" w:lineRule="exact"/>
              <w:rPr>
                <w:sz w:val="20"/>
                <w:szCs w:val="20"/>
                <w:color w:val="auto"/>
              </w:rPr>
            </w:pPr>
            <w:r>
              <w:rPr>
                <w:rFonts w:ascii="Arial" w:cs="Arial" w:eastAsia="Arial" w:hAnsi="Arial"/>
                <w:sz w:val="16"/>
                <w:szCs w:val="16"/>
                <w:color w:val="auto"/>
                <w:w w:val="81"/>
              </w:rPr>
              <w:t>)%</w:t>
            </w: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40,769</w:t>
            </w:r>
          </w:p>
        </w:tc>
        <w:tc>
          <w:tcPr>
            <w:tcW w:w="2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(25,371</w:t>
            </w:r>
          </w:p>
        </w:tc>
        <w:tc>
          <w:tcPr>
            <w:tcW w:w="140" w:type="dxa"/>
            <w:vAlign w:val="bottom"/>
            <w:tcBorders>
              <w:top w:val="single" w:sz="8" w:color="CCEEFF"/>
              <w:bottom w:val="single" w:sz="8" w:color="CCEEFF"/>
            </w:tcBorders>
          </w:tcPr>
          <w:p>
            <w:pPr>
              <w:jc w:val="right"/>
              <w:ind w:right="2"/>
              <w:spacing w:after="0" w:line="172"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66,140</w:t>
            </w:r>
          </w:p>
        </w:tc>
        <w:tc>
          <w:tcPr>
            <w:tcW w:w="2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261</w:t>
            </w:r>
          </w:p>
        </w:tc>
        <w:tc>
          <w:tcPr>
            <w:tcW w:w="200" w:type="dxa"/>
            <w:vAlign w:val="bottom"/>
            <w:tcBorders>
              <w:top w:val="single" w:sz="8" w:color="CCEEFF"/>
              <w:bottom w:val="single" w:sz="8" w:color="CCEEFF"/>
            </w:tcBorders>
          </w:tcPr>
          <w:p>
            <w:pPr>
              <w:jc w:val="right"/>
              <w:spacing w:after="0" w:line="172" w:lineRule="exact"/>
              <w:rPr>
                <w:sz w:val="20"/>
                <w:szCs w:val="20"/>
                <w:color w:val="auto"/>
              </w:rPr>
            </w:pPr>
            <w:r>
              <w:rPr>
                <w:rFonts w:ascii="Arial" w:cs="Arial" w:eastAsia="Arial" w:hAnsi="Arial"/>
                <w:sz w:val="16"/>
                <w:szCs w:val="16"/>
                <w:color w:val="auto"/>
                <w:w w:val="84"/>
              </w:rPr>
              <w:t>%</w:t>
            </w:r>
          </w:p>
        </w:tc>
      </w:tr>
      <w:tr>
        <w:trPr>
          <w:trHeight w:val="188"/>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Paid-in-kind preferred dividends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4"/>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w w:val="93"/>
              </w:rPr>
              <w:t>Net loss attributable to non-controlling interests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6"/>
                <w:szCs w:val="16"/>
                <w:color w:val="auto"/>
              </w:rPr>
              <w:t>(499)</w:t>
            </w:r>
          </w:p>
        </w:tc>
        <w:tc>
          <w:tcPr>
            <w:tcW w:w="200" w:type="dxa"/>
            <w:vAlign w:val="bottom"/>
          </w:tcPr>
          <w:p>
            <w:pPr>
              <w:spacing w:after="0"/>
              <w:rPr>
                <w:sz w:val="17"/>
                <w:szCs w:val="17"/>
                <w:color w:val="auto"/>
              </w:rPr>
            </w:pPr>
          </w:p>
        </w:tc>
        <w:tc>
          <w:tcPr>
            <w:tcW w:w="720" w:type="dxa"/>
            <w:vAlign w:val="bottom"/>
            <w:gridSpan w:val="2"/>
          </w:tcPr>
          <w:p>
            <w:pPr>
              <w:jc w:val="right"/>
              <w:ind w:right="2"/>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6"/>
                <w:szCs w:val="16"/>
                <w:color w:val="auto"/>
              </w:rPr>
              <w:t>(301)</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(152)%</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(804)</w:t>
            </w:r>
          </w:p>
        </w:tc>
        <w:tc>
          <w:tcPr>
            <w:tcW w:w="160" w:type="dxa"/>
            <w:vAlign w:val="bottom"/>
          </w:tcPr>
          <w:p>
            <w:pPr>
              <w:spacing w:after="0"/>
              <w:rPr>
                <w:sz w:val="17"/>
                <w:szCs w:val="17"/>
                <w:color w:val="auto"/>
              </w:rPr>
            </w:pPr>
          </w:p>
        </w:tc>
        <w:tc>
          <w:tcPr>
            <w:tcW w:w="760" w:type="dxa"/>
            <w:vAlign w:val="bottom"/>
            <w:gridSpan w:val="2"/>
          </w:tcPr>
          <w:p>
            <w:pPr>
              <w:jc w:val="right"/>
              <w:ind w:right="2"/>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(791)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(6085)%</w:t>
            </w:r>
          </w:p>
        </w:tc>
      </w:tr>
      <w:tr>
        <w:trPr>
          <w:trHeight w:val="160"/>
        </w:trPr>
        <w:tc>
          <w:tcPr>
            <w:tcW w:w="20" w:type="dxa"/>
            <w:vAlign w:val="bottom"/>
          </w:tcPr>
          <w:p>
            <w:pPr>
              <w:spacing w:after="0"/>
              <w:rPr>
                <w:sz w:val="13"/>
                <w:szCs w:val="13"/>
                <w:color w:val="auto"/>
              </w:rPr>
            </w:pPr>
          </w:p>
        </w:tc>
        <w:tc>
          <w:tcPr>
            <w:tcW w:w="314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6"/>
                <w:szCs w:val="16"/>
                <w:b w:val="1"/>
                <w:bCs w:val="1"/>
                <w:color w:val="auto"/>
                <w:w w:val="91"/>
              </w:rPr>
              <w:t>Net (loss) income attributable to OPAL Fuels</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244"/>
        </w:trPr>
        <w:tc>
          <w:tcPr>
            <w:tcW w:w="20" w:type="dxa"/>
            <w:vAlign w:val="bottom"/>
          </w:tcPr>
          <w:p>
            <w:pPr>
              <w:spacing w:after="0"/>
              <w:rPr>
                <w:sz w:val="21"/>
                <w:szCs w:val="21"/>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LLC</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1"/>
              <w:spacing w:after="0" w:line="240" w:lineRule="exact"/>
              <w:rPr>
                <w:sz w:val="20"/>
                <w:szCs w:val="20"/>
                <w:color w:val="auto"/>
              </w:rPr>
            </w:pPr>
            <w:r>
              <w:rPr>
                <w:rFonts w:ascii="Arial" w:cs="Arial" w:eastAsia="Arial" w:hAnsi="Arial"/>
                <w:sz w:val="14"/>
                <w:szCs w:val="14"/>
                <w:color w:val="auto"/>
              </w:rPr>
              <w:t>(6,745</w:t>
            </w:r>
            <w:r>
              <w:rPr>
                <w:rFonts w:ascii="Arial" w:cs="Arial" w:eastAsia="Arial" w:hAnsi="Arial"/>
                <w:sz w:val="27"/>
                <w:szCs w:val="27"/>
                <w:color w:val="auto"/>
                <w:vertAlign w:val="superscript"/>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18,375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1"/>
              <w:spacing w:after="0" w:line="240" w:lineRule="exact"/>
              <w:rPr>
                <w:sz w:val="20"/>
                <w:szCs w:val="20"/>
                <w:color w:val="auto"/>
              </w:rPr>
            </w:pPr>
            <w:r>
              <w:rPr>
                <w:rFonts w:ascii="Arial" w:cs="Arial" w:eastAsia="Arial" w:hAnsi="Arial"/>
                <w:sz w:val="14"/>
                <w:szCs w:val="14"/>
                <w:color w:val="auto"/>
              </w:rPr>
              <w:t>(25,120</w:t>
            </w:r>
            <w:r>
              <w:rPr>
                <w:rFonts w:ascii="Arial" w:cs="Arial" w:eastAsia="Arial" w:hAnsi="Arial"/>
                <w:sz w:val="27"/>
                <w:szCs w:val="27"/>
                <w:color w:val="auto"/>
                <w:vertAlign w:val="superscript"/>
              </w:rPr>
              <w:t>)</w:t>
            </w:r>
          </w:p>
        </w:tc>
        <w:tc>
          <w:tcPr>
            <w:tcW w:w="1080" w:type="dxa"/>
            <w:vAlign w:val="bottom"/>
            <w:gridSpan w:val="2"/>
            <w:shd w:val="clear" w:color="auto" w:fill="CCEEFF"/>
          </w:tcPr>
          <w:p>
            <w:pPr>
              <w:jc w:val="right"/>
              <w:ind w:right="42"/>
              <w:spacing w:after="0" w:line="240" w:lineRule="exact"/>
              <w:rPr>
                <w:sz w:val="20"/>
                <w:szCs w:val="20"/>
                <w:color w:val="auto"/>
              </w:rPr>
            </w:pPr>
            <w:r>
              <w:rPr>
                <w:rFonts w:ascii="Arial" w:cs="Arial" w:eastAsia="Arial" w:hAnsi="Arial"/>
                <w:sz w:val="14"/>
                <w:szCs w:val="14"/>
                <w:color w:val="auto"/>
              </w:rPr>
              <w:t>(137</w:t>
            </w:r>
            <w:r>
              <w:rPr>
                <w:rFonts w:ascii="Arial" w:cs="Arial" w:eastAsia="Arial" w:hAnsi="Arial"/>
                <w:sz w:val="27"/>
                <w:szCs w:val="27"/>
                <w:color w:val="auto"/>
                <w:vertAlign w:val="superscript"/>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41,363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
              <w:spacing w:after="0" w:line="240" w:lineRule="exact"/>
              <w:rPr>
                <w:sz w:val="20"/>
                <w:szCs w:val="20"/>
                <w:color w:val="auto"/>
              </w:rPr>
            </w:pPr>
            <w:r>
              <w:rPr>
                <w:rFonts w:ascii="Arial" w:cs="Arial" w:eastAsia="Arial" w:hAnsi="Arial"/>
                <w:sz w:val="14"/>
                <w:szCs w:val="14"/>
                <w:color w:val="auto"/>
              </w:rPr>
              <w:t>(25,358</w:t>
            </w:r>
            <w:r>
              <w:rPr>
                <w:rFonts w:ascii="Arial" w:cs="Arial" w:eastAsia="Arial" w:hAnsi="Arial"/>
                <w:sz w:val="27"/>
                <w:szCs w:val="27"/>
                <w:color w:val="auto"/>
                <w:vertAlign w:val="superscript"/>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66,721</w:t>
            </w:r>
          </w:p>
        </w:tc>
        <w:tc>
          <w:tcPr>
            <w:tcW w:w="980" w:type="dxa"/>
            <w:vAlign w:val="bottom"/>
            <w:gridSpan w:val="2"/>
            <w:shd w:val="clear" w:color="auto" w:fill="CCEEFF"/>
          </w:tcPr>
          <w:p>
            <w:pPr>
              <w:jc w:val="right"/>
              <w:spacing w:after="0" w:line="240" w:lineRule="exact"/>
              <w:rPr>
                <w:sz w:val="20"/>
                <w:szCs w:val="20"/>
                <w:color w:val="auto"/>
              </w:rPr>
            </w:pPr>
            <w:r>
              <w:rPr>
                <w:rFonts w:ascii="Arial" w:cs="Arial" w:eastAsia="Arial" w:hAnsi="Arial"/>
                <w:sz w:val="14"/>
                <w:szCs w:val="14"/>
                <w:color w:val="auto"/>
              </w:rPr>
              <w:t>263</w:t>
            </w:r>
            <w:r>
              <w:rPr>
                <w:rFonts w:ascii="Arial" w:cs="Arial" w:eastAsia="Arial" w:hAnsi="Arial"/>
                <w:sz w:val="27"/>
                <w:szCs w:val="27"/>
                <w:color w:val="auto"/>
                <w:vertAlign w:val="superscript"/>
              </w:rPr>
              <w:t>%</w:t>
            </w: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RNG Fuel</w:t>
      </w:r>
    </w:p>
    <w:p>
      <w:pPr>
        <w:spacing w:after="0" w:line="193"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Revenue from RNG Fuel increased by $31.6 million, or 165%, for the six months ended June 30, 2022 compared to the six months ended June 30, 2021. This change was attributable primarily to a $22.0 million increase from acquiring the remaining 56% interest in Beacon. Beacon was accounted for as an equity method investment for the period between January 1 to April 30, 2021. There was an increase of $6.8 million from sale of environmental credits coupled with an increase of $1.4 million in fuel dispensing from increase in volumes due to five new sites. Additionally, there was an revenue increase of $1.0 million due to two new RNG facilities coming online - Sunoma and New River.</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69" w:name="page70"/>
    <w:bookmarkEnd w:id="69"/>
    <w:p>
      <w:pPr>
        <w:jc w:val="both"/>
        <w:ind w:right="20" w:firstLine="283"/>
        <w:spacing w:after="0" w:line="274" w:lineRule="auto"/>
        <w:rPr>
          <w:sz w:val="20"/>
          <w:szCs w:val="20"/>
          <w:color w:val="auto"/>
        </w:rPr>
      </w:pPr>
      <w:r>
        <w:rPr>
          <w:rFonts w:ascii="Arial" w:cs="Arial" w:eastAsia="Arial" w:hAnsi="Arial"/>
          <w:sz w:val="15"/>
          <w:szCs w:val="15"/>
          <w:color w:val="auto"/>
        </w:rPr>
        <w:t>Revenue from RNG Fuel increased by $58.8 million, or 509%, for the year ended December 31, 2021 compared to the year ended December 31, 2020. This change was primarily attributable to the introduction of Beacon revenues upon consolidation in 2021 and the termination of an off-market RNG sales agreement effective in late 2020 resulting in an increase of revenues of $47.3 million. Additionally, revenues increased from the sale of environmental credits of $8.1 million primarily due to increased volumes, and an increase in fuel dispensing sales of $2.9 million as a result of an increase in third party dispensing and OPAL-owned fueling stations.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Renewable Power</w:t>
      </w:r>
    </w:p>
    <w:p>
      <w:pPr>
        <w:spacing w:after="0" w:line="193"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Revenue from Renewable Power decreased by $2.3 million, or 11%, for the six months ended June 30, 2022 compared to the six months ended June 30, 2021. This change was attributable primarily due to a decrease of $1.9 million from gas production downtime related to the conversion of a facility from Renewable Power to RNG. Additionally, there was a decrease of $1.0 million due to unplanned maintenance at two facilities offset by a $1.0 million decrease in unrealized loss on commodity swaps.</w:t>
      </w:r>
    </w:p>
    <w:p>
      <w:pPr>
        <w:spacing w:after="0" w:line="148"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Revenue from Renewable Power decreased by $5.9 million, or 12%, for the year ended December 31, 2021 compared to the year ended December 31, 2020. This change was attributable primarily to a decrease of $3.1 million from the reduction in production volumes as a result of closure of two facilities that were impaired in December 2020. Additionally, there was a reduction of $1.3 million due to the change in fair value of commodity swap contracts, a $0.7 million decrease due to the expiration of an existing contract, and a $0.6 million decrease from lower volume of REC sales.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Fuel Station Service</w:t>
      </w:r>
    </w:p>
    <w:p>
      <w:pPr>
        <w:spacing w:after="0" w:line="193"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Revenue from Fuel Station Service increased by $15.1 million, or 88%, for the six months ended June 30, 2022 compared to the six months ended June 30, 2021. This change was primarily attributable to an increase of $12.8 million in construction revenue from additional projects and an increase of $2.6 million from additional service volumes from the addition of 16 new fueling service sites.</w:t>
      </w:r>
    </w:p>
    <w:p>
      <w:pPr>
        <w:spacing w:after="0" w:line="16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Revenue from Fuel Station Service decreased by $4.5 million, or 8%, for the year ended December 31, 2021 compared to the year ended December 31, 2020. This was primarily attributable to a decrease of revenue by $7.2 million from third party construction projects which were delayed into 2022, partially offset by an increase in revenues from fuel station services of $2.6 million as we built new fuel stations during the year.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sales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RNG Fuel</w:t>
      </w:r>
    </w:p>
    <w:p>
      <w:pPr>
        <w:spacing w:after="0" w:line="19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Cost of sales from RNG Fuel increased by $19.8 million, or 179%, for the six months ended June 30, 2022 compared to the six months ended June 30, 2021. This change was attributable primarily to the introduction of Beacon’s cost of sales upon consolidation in the second quarter of 2021 resulting in an increase of $9.8 million. There was an increase of $2.2 million from new RNG facilities coming online at Sunoma and New River. The Company incurred $0.8 million of development costs for its Emerald and Central Valley facilities that are currently under construction. Additionally, there was an increase of $4.8 million in costs in downstream dispensing and an increase of $1.7 million in costs for additional brown gas sales.</w:t>
      </w:r>
    </w:p>
    <w:p>
      <w:pPr>
        <w:spacing w:after="0" w:line="169"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Cost of sales from RNG Fuel increased by $33.7 million, or 457%, for the year ended December 31, 2021 compared to the year ended December 31, 2020. This change was attributable primarily to the introduction of Beacon’s cost of sales upon consolidation in 2021 resulting in an increase of $22.4 million, a $1.9 million increase in development costs for building new RNG facilities and a $8.8 million increase relating to increased dispensing fees from an increased volume of environmental credits generated.</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Renewable Power</w:t>
      </w:r>
    </w:p>
    <w:p>
      <w:pPr>
        <w:spacing w:after="0" w:line="193"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Cost of sales from Renewable Power decreased by $1.9 million, or 11%, for the six months ended June 30, 2022 compared to the six months ended June 30, 2021. The decrease was primarily attributable to a $0.7 million decrease in major maintenance at two of our facilities due to timing and a $0.9 million decrease in LFG expense at one of our facilities due to lower Renewable Power generation due to gas issues.</w:t>
      </w:r>
    </w:p>
    <w:p>
      <w:pPr>
        <w:spacing w:after="0" w:line="165"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Cost of sales from Renewable Power decreased by $6.6 million, or 17%, for the year ended December 31, 2021 compared to the year ended December 31, 2020. This change is attributable primarily to closure of two facilities that were previously impaired in December 2020, a $0.4 million decrease as a result of lower royalty fees, and a $2.5 million decrease relating to timing of major maintenance on existing facilities.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70" w:name="page71"/>
    <w:bookmarkEnd w:id="70"/>
    <w:p>
      <w:pPr>
        <w:ind w:left="280"/>
        <w:spacing w:after="0"/>
        <w:rPr>
          <w:sz w:val="20"/>
          <w:szCs w:val="20"/>
          <w:color w:val="auto"/>
        </w:rPr>
      </w:pPr>
      <w:r>
        <w:rPr>
          <w:rFonts w:ascii="Arial" w:cs="Arial" w:eastAsia="Arial" w:hAnsi="Arial"/>
          <w:sz w:val="16"/>
          <w:szCs w:val="16"/>
          <w:b w:val="1"/>
          <w:bCs w:val="1"/>
          <w:i w:val="1"/>
          <w:iCs w:val="1"/>
          <w:color w:val="auto"/>
        </w:rPr>
        <w:t>Fuel Station Service</w:t>
      </w:r>
    </w:p>
    <w:p>
      <w:pPr>
        <w:spacing w:after="0" w:line="193" w:lineRule="exact"/>
        <w:rPr>
          <w:sz w:val="20"/>
          <w:szCs w:val="20"/>
          <w:color w:val="auto"/>
        </w:rPr>
      </w:pPr>
    </w:p>
    <w:p>
      <w:pPr>
        <w:jc w:val="both"/>
        <w:ind w:right="20" w:firstLine="283"/>
        <w:spacing w:after="0" w:line="383" w:lineRule="auto"/>
        <w:rPr>
          <w:sz w:val="20"/>
          <w:szCs w:val="20"/>
          <w:color w:val="auto"/>
        </w:rPr>
      </w:pPr>
      <w:r>
        <w:rPr>
          <w:rFonts w:ascii="Arial" w:cs="Arial" w:eastAsia="Arial" w:hAnsi="Arial"/>
          <w:sz w:val="13"/>
          <w:szCs w:val="13"/>
          <w:color w:val="auto"/>
        </w:rPr>
        <w:t>Cost of sales from Fuel Station Service increased by $14.4 million, or 101%, for the six months ended June 30, 2022 compared to the six months ended June 30, 2021. This change was primarily attributable to an increase of $13.3 million from construction of additional projects and an increase of $1.0 million increase in service from higher volumes.</w:t>
      </w:r>
    </w:p>
    <w:p>
      <w:pPr>
        <w:spacing w:after="0" w:line="88"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Cost of sales from Fuel Station Service decreased by $2.2 million, or 5%, for the year ended December 31, 2021 compared to the year ended December 31, 2020. This change was attributable primarily to a decrease in costs of $5.2 million for third party construction projects due to delays into 2022, offset by increase in the cost of the construction project by $2.8 million.</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Selling, general, and administrative expenses increased by a total of $7.6 million, or 68%, for the six months ended June 30, 2022 compared to the six months ended June 30, 2021. This change was attributable primarily to higher employee headcount and related compensation and benefit expenses of $3.8 million to support our organic growth, an increase of $2.1 million in professional fees and audit fees relating to our efforts to become a publicly traded company, an increase of $1.7 million in IT-related expenses as we invested to improve our technology platforms and $0.7 million in insurance and marketing expenses.</w:t>
      </w:r>
    </w:p>
    <w:p>
      <w:pPr>
        <w:spacing w:after="0" w:line="169"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Selling, general, and administrative expenses increased by a total of $8.9 million, or 43%, for the year ended December 31, 2021 compared to the year ended December 31, 2020. This change was attributable primarily to higher employee headcount and related compensation and benefit expenses of $5.8 million to support our organic growth year-over-year, and a $4.6 million increase in professional fees related to audit, tax, legal and consulting fees.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Depreciation, amortization, and accretion</w:t>
      </w:r>
    </w:p>
    <w:p>
      <w:pPr>
        <w:spacing w:after="0" w:line="193"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Depreciation, amortization, and accretion increased by a total of $2.5 million, or 62%, for the six months ended June 30, 2022 compared to the six months ended June 30, 2021. This change was attributable primarily to the introduction of Beacon’s property, plant and equipment balances upon consolidation in the second quarter of 2021, increasing our depreciation expense by $0.8 million. Additionally, there was an increase of $0.8 million due to two new RNG facilities coming online at Sunoma and New River, $0.6 million of accelerated depreciation relating to shutdown of one of our Renewable Power generation facilities and $0.2 million increase upon construction of new fueling stations.</w:t>
      </w:r>
    </w:p>
    <w:p>
      <w:pPr>
        <w:spacing w:after="0" w:line="122"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Depreciation, amortization, and accretion increased by a total of $2.3 million, or 28%, for the year ended December 31, 2021 compared to the year ended December 31, 2020. This change was attributable primarily to the introduction of Beacon’s property, plant and equipment balances upon consolidation in 2021 increasing our depreciation expense by $2.1 million, a $0.4 million increase from new downstream dispensing sites becoming operational, a $0.1 million increase from one additional RNG facility becoming operational during the fourth quarter of 2021, partially offset by a $0.3 million decrease due to lower depreciation on assets in our Renewable Power business because of the impairment recognized in December 2020.</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Gain on termination of PPA</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Gain on termination of PPA decreased by $1.3 million or 100% for the year ended December 31, 2021 compared to the year ended December 31, 2020. This change was attributable primarily to the closure of a facility by a mutual agreement with a customer.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71" w:name="page72"/>
    <w:bookmarkEnd w:id="71"/>
    <w:p>
      <w:pPr>
        <w:ind w:left="280"/>
        <w:spacing w:after="0"/>
        <w:rPr>
          <w:sz w:val="20"/>
          <w:szCs w:val="20"/>
          <w:color w:val="auto"/>
        </w:rPr>
      </w:pPr>
      <w:r>
        <w:rPr>
          <w:rFonts w:ascii="Arial" w:cs="Arial" w:eastAsia="Arial" w:hAnsi="Arial"/>
          <w:sz w:val="16"/>
          <w:szCs w:val="16"/>
          <w:b w:val="1"/>
          <w:bCs w:val="1"/>
          <w:i w:val="1"/>
          <w:iCs w:val="1"/>
          <w:color w:val="auto"/>
        </w:rPr>
        <w:t>Loss on sale/disposal of assets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was no loss or gain on the sale/disposal of assets for the six months ended June 30, 2022 and 2021.</w:t>
      </w:r>
    </w:p>
    <w:p>
      <w:pPr>
        <w:spacing w:after="0" w:line="193"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6"/>
          <w:szCs w:val="16"/>
          <w:color w:val="auto"/>
        </w:rPr>
        <w:t>Loss on disposal assets decreased by $0.2 million or 100% for the year ended December 31, 2021 compared to the year ended December 31, 2020 due to certain losses being incurred for write-offs of property, plant and equipment in the prior year.</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Interest and financing expense, net</w:t>
      </w:r>
    </w:p>
    <w:p>
      <w:pPr>
        <w:spacing w:after="0" w:line="193"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Interest and financing expenses, net, increased by $3.1 million, or 94%, for the six months ended June 30, 2022 compared to the six months ended June 30, 2021. This change was primarily due to increase in outstanding debt from OPAL term loan resulting in an increase in an interest expense of $1.7 million (includes $0.4 million of amortization of deferred financing costs), $1.2 million of paid-in-kind interest on Convertible note payable relating to acquisition of Beacon, $0.9 million increase from the Sunoma loan as the interest expense was expensed for the six months ended June 30, 2022 whereas the interest was capitalized in the same period prior year as because the construction was completed during the first quarter of 2022. These were offset by savings of $0.3 million on TruStar revolving credit facility as it was paid down in October 2021 and a $0.9 million increase in interest income from Note receivable.</w:t>
      </w:r>
    </w:p>
    <w:p>
      <w:pPr>
        <w:spacing w:after="0" w:line="174" w:lineRule="exact"/>
        <w:rPr>
          <w:sz w:val="20"/>
          <w:szCs w:val="20"/>
          <w:color w:val="auto"/>
        </w:rPr>
      </w:pPr>
    </w:p>
    <w:p>
      <w:pPr>
        <w:jc w:val="both"/>
        <w:ind w:right="20" w:firstLine="283"/>
        <w:spacing w:after="0" w:line="274" w:lineRule="auto"/>
        <w:rPr>
          <w:sz w:val="20"/>
          <w:szCs w:val="20"/>
          <w:color w:val="auto"/>
        </w:rPr>
      </w:pPr>
      <w:r>
        <w:rPr>
          <w:rFonts w:ascii="Arial" w:cs="Arial" w:eastAsia="Arial" w:hAnsi="Arial"/>
          <w:sz w:val="15"/>
          <w:szCs w:val="15"/>
          <w:color w:val="auto"/>
        </w:rPr>
        <w:t>Interest and financing expenses, net increased by $0.8 million, or 12%, for the year ended December 31, 2021 compared to the year ended December 31, 2020. The increase is primarily attributable to the increase in the interest on the convertible note payable of $3.3 million, $0.6 million increase in interest on the OPAL term loan, partially offset by a decrease of $0.9 million in interest on the senior secured facility, a $1.7 million decrease in interest on the TruStar revolver facility which was repaid in October 2021, and a $0.5 million increase in income received from patronage dividends in the current year compared to prior year.</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Realized and unrealized gain on interest rate swaps</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Realized and unrealized gain on interest rate swaps increased by $0.3 million, or 1829%, for the six months ended June 30, 2022 compared to the six months ended June 30, 2021. This change was attributable primarily to fair value adjustments in connection with our interest rate swaps.</w:t>
      </w:r>
    </w:p>
    <w:p>
      <w:pPr>
        <w:spacing w:after="0" w:line="15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Realized and unrealized gain (loss) on interest rate swaps increased by $2.3 million, or 105%, for the year ended December 31, 2021 compared to the year ended December 31, 2020. This change was attributable primarily to fair value adjustments in connection with our interest rate swaps.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Net (Loss) Income from equity method investment</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Net (loss) income attributable to equity in method investments decreased by $2.4 million, or 102%, for the six months ended June 30, 2022, compared to the six months ended June 30, 2021. This change was attributable primarily to a decrease of $2.4 million from Beacon being accounted for under the equity method for the period between January 1, 2021 and April 30, 2021 and as a consolidated subsidiary thereafter. For the six months ended June 30, 2022, there was net loss from equity method investments in the Pine Bend, Noble Road and GREP.</w:t>
      </w:r>
    </w:p>
    <w:p>
      <w:pPr>
        <w:spacing w:after="0" w:line="169"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Net income (loss) attributable to equity method investments increased by $2.7 million, or 577%, for the year ended December 31, 2021 compared to the year ended December 31, 2020. This change was attributable primarily to the increase in net income of Beacon of $2.4 million offset by our share of net loss from our investment in GREP for the period between August 2021 and December 2021 of $0.1 million as compared to net loss of $0.5million for Beacon for the year ended December 31, 2020. Upon the step acquisition of the 56% of controlling interest in Beacon in May 2021, the results of Beacon were consolidated in the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72" w:name="page73"/>
    <w:bookmarkEnd w:id="72"/>
    <w:p>
      <w:pPr>
        <w:ind w:left="280"/>
        <w:spacing w:after="0"/>
        <w:rPr>
          <w:sz w:val="20"/>
          <w:szCs w:val="20"/>
          <w:color w:val="auto"/>
        </w:rPr>
      </w:pPr>
      <w:r>
        <w:rPr>
          <w:rFonts w:ascii="Arial" w:cs="Arial" w:eastAsia="Arial" w:hAnsi="Arial"/>
          <w:sz w:val="16"/>
          <w:szCs w:val="16"/>
          <w:b w:val="1"/>
          <w:bCs w:val="1"/>
          <w:i w:val="1"/>
          <w:iCs w:val="1"/>
          <w:color w:val="auto"/>
        </w:rPr>
        <w:t>Gain on acquisition of equity method investment</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There was no gain on equity method investment for the six months ended June 30, 2022. The gain on acquisition of equity method investment was $19.8 million for the six months ended June 30, 2021 primarily due to our step acquisition of the remaining interest in Beacon in May 2021.</w:t>
      </w:r>
    </w:p>
    <w:p>
      <w:pPr>
        <w:spacing w:after="0" w:line="15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gain on acquisition of equity method investment increased by $19.8 million, or 100%, for the year ended December 31, 2021 compared to the year ended December 31, 2020. This change was attributable primarily to our step acquisition of the remaining interest in Beacon in May 2021.</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Gain on deconsolidation of entities</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 xml:space="preserve">As of December 31, 2021, we re-assessed our equity interests in Pine Bend and Noble Road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and determined the entities no longer meet any of the characteristics of a variable interest entity primarily because the two projects are fully funded and there is sufficient equity at risk as of December 31, 2021. We determined that we should account for our interests in both entities under the equity method of accounting pursuant to ASC 323, </w:t>
      </w:r>
      <w:r>
        <w:rPr>
          <w:rFonts w:ascii="Arial" w:cs="Arial" w:eastAsia="Arial" w:hAnsi="Arial"/>
          <w:sz w:val="16"/>
          <w:szCs w:val="16"/>
          <w:i w:val="1"/>
          <w:iCs w:val="1"/>
          <w:color w:val="auto"/>
        </w:rPr>
        <w:t>Investments Equity Method and Joint Ventures</w:t>
      </w:r>
      <w:r>
        <w:rPr>
          <w:rFonts w:ascii="Arial" w:cs="Arial" w:eastAsia="Arial" w:hAnsi="Arial"/>
          <w:sz w:val="16"/>
          <w:szCs w:val="16"/>
          <w:color w:val="auto"/>
        </w:rPr>
        <w:t>, prospectively, as we have the ability to exercise significant influence, but not control, over both entities.</w:t>
      </w:r>
    </w:p>
    <w:p>
      <w:pPr>
        <w:spacing w:after="0" w:line="169"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 xml:space="preserve">Prior to December 31, 2021, we consolidated these entities in accordance with the variable interest entity model guidance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Upon deconsolidation, we remeasured the fair value of the retained investment and recognized a gain of $3.1 million on Pine Bend and $11.9 million on Noble Road in its consolidated statement of operations for the year ended December 31, 2021 and a corresponding increase in our basis in “Investment in other entities” on our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Paid-in-kind preferred dividends</w:t>
      </w:r>
    </w:p>
    <w:p>
      <w:pPr>
        <w:spacing w:after="0" w:line="193"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Opco. On the same day, we entered into a subscription agreement with NextEra for up to 1,000,000 Series A Preferred Units, which were issued to NextEra during first and second quarters of 2022 for total proceeds of $100.0 million.</w:t>
      </w:r>
    </w:p>
    <w:p>
      <w:pPr>
        <w:spacing w:after="0" w:line="115"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Both Series A Preferred Units and Series A-1 Preferred Units carry an interest of 8% dividend payable quarterly either in cash or paid-in-kind for the first eight quarters at the option of the Company. The Company recorded the paid-in-kind dividends of 1.2 million on Series A-1 Preferred Units and 1.2 million on Series A Preferred Units for the six months ended June 30, 2022.</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was $0.2 million and $- paid-in-kind preferred dividend for the years ended December 31, 2021 and 2020,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Liquidity</w:t>
      </w:r>
    </w:p>
    <w:p>
      <w:pPr>
        <w:spacing w:after="0" w:line="193"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As of June 30, 2022, our liquidity consisted of cash and cash equivalents including restricted cash of $100.3 million. The completion of the Business Combination in July resulted in an additional cash infusion of $123.4 million. The Company received the remaining $5 million subscribed for pursuant to the PIPE Investment from one of the PIPE Investors subsequent to the Closing and issued 500,000 shares of Class A common stock. Additionally, we entered into a senior secured credit facility which provides an approximately two year delayed term loan facility (the “</w:t>
      </w:r>
      <w:r>
        <w:rPr>
          <w:rFonts w:ascii="Arial" w:cs="Arial" w:eastAsia="Arial" w:hAnsi="Arial"/>
          <w:sz w:val="15"/>
          <w:szCs w:val="15"/>
          <w:b w:val="1"/>
          <w:bCs w:val="1"/>
          <w:i w:val="1"/>
          <w:iCs w:val="1"/>
          <w:color w:val="auto"/>
        </w:rPr>
        <w:t>DDTL Facility</w:t>
      </w:r>
      <w:r>
        <w:rPr>
          <w:rFonts w:ascii="Arial" w:cs="Arial" w:eastAsia="Arial" w:hAnsi="Arial"/>
          <w:sz w:val="15"/>
          <w:szCs w:val="15"/>
          <w:color w:val="auto"/>
        </w:rPr>
        <w:t>”) of up to a maximum aggregate principal amount of $100.0 million and Debt Service Reserve facility (the “</w:t>
      </w:r>
      <w:r>
        <w:rPr>
          <w:rFonts w:ascii="Arial" w:cs="Arial" w:eastAsia="Arial" w:hAnsi="Arial"/>
          <w:sz w:val="15"/>
          <w:szCs w:val="15"/>
          <w:b w:val="1"/>
          <w:bCs w:val="1"/>
          <w:i w:val="1"/>
          <w:iCs w:val="1"/>
          <w:color w:val="auto"/>
        </w:rPr>
        <w:t>DSR Facility</w:t>
      </w:r>
      <w:r>
        <w:rPr>
          <w:rFonts w:ascii="Arial" w:cs="Arial" w:eastAsia="Arial" w:hAnsi="Arial"/>
          <w:sz w:val="15"/>
          <w:szCs w:val="15"/>
          <w:color w:val="auto"/>
        </w:rPr>
        <w:t xml:space="preserve">”)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Please see Note 16, </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to our condensed consolidated financial statements beginning on page F-22 for additional information. Additionally, we expect to have an additional $35.0 million available under the OPAL term loan in the second half of 2022 upon the commencement of operations of three additional RNG facilities.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73" w:name="page74"/>
    <w:bookmarkEnd w:id="73"/>
    <w:p>
      <w:pPr>
        <w:jc w:val="both"/>
        <w:ind w:firstLine="283"/>
        <w:spacing w:after="0" w:line="329" w:lineRule="auto"/>
        <w:rPr>
          <w:sz w:val="20"/>
          <w:szCs w:val="20"/>
          <w:color w:val="auto"/>
        </w:rPr>
      </w:pPr>
      <w:r>
        <w:rPr>
          <w:rFonts w:ascii="Arial" w:cs="Arial" w:eastAsia="Arial" w:hAnsi="Arial"/>
          <w:sz w:val="13"/>
          <w:szCs w:val="13"/>
          <w:color w:val="auto"/>
        </w:rPr>
        <w:t>We expect that our available cash following the consummation of the Business Combination and PIPE Investment, together with our other assets, expected cash flows from operations, and available lines of credit under various debt facilities will be sufficient to meet our existing commitments for a period of at least twelve months following the date of this prospectus. Any reduction in demand for our products or our ability to manage our production facilities may result in lower cash flows from operations which may impact our ability to make investments and may require changes to our growth plan. See “</w:t>
      </w:r>
      <w:r>
        <w:rPr>
          <w:rFonts w:ascii="Arial" w:cs="Arial" w:eastAsia="Arial" w:hAnsi="Arial"/>
          <w:sz w:val="13"/>
          <w:szCs w:val="13"/>
          <w:i w:val="1"/>
          <w:iCs w:val="1"/>
          <w:color w:val="auto"/>
        </w:rPr>
        <w:t>Risk Factors</w:t>
      </w:r>
      <w:r>
        <w:rPr>
          <w:rFonts w:ascii="Arial" w:cs="Arial" w:eastAsia="Arial" w:hAnsi="Arial"/>
          <w:sz w:val="13"/>
          <w:szCs w:val="13"/>
          <w:color w:val="auto"/>
        </w:rPr>
        <w:t>” and “</w:t>
      </w:r>
      <w:r>
        <w:rPr>
          <w:rFonts w:ascii="Arial" w:cs="Arial" w:eastAsia="Arial" w:hAnsi="Arial"/>
          <w:sz w:val="13"/>
          <w:szCs w:val="13"/>
          <w:i w:val="1"/>
          <w:iCs w:val="1"/>
          <w:color w:val="auto"/>
        </w:rPr>
        <w:t>Cautionary Statement Regarding Forward-Looking Statements</w:t>
      </w:r>
      <w:r>
        <w:rPr>
          <w:rFonts w:ascii="Arial" w:cs="Arial" w:eastAsia="Arial" w:hAnsi="Arial"/>
          <w:sz w:val="13"/>
          <w:szCs w:val="13"/>
          <w:color w:val="auto"/>
        </w:rPr>
        <w:t>.”</w:t>
      </w:r>
    </w:p>
    <w:p>
      <w:pPr>
        <w:spacing w:after="0" w:line="122" w:lineRule="exact"/>
        <w:rPr>
          <w:sz w:val="20"/>
          <w:szCs w:val="20"/>
          <w:color w:val="auto"/>
        </w:rPr>
      </w:pPr>
    </w:p>
    <w:p>
      <w:pPr>
        <w:jc w:val="both"/>
        <w:ind w:right="20" w:firstLine="283"/>
        <w:spacing w:after="0" w:line="274" w:lineRule="auto"/>
        <w:rPr>
          <w:sz w:val="20"/>
          <w:szCs w:val="20"/>
          <w:color w:val="auto"/>
        </w:rPr>
      </w:pPr>
      <w:r>
        <w:rPr>
          <w:rFonts w:ascii="Arial" w:cs="Arial" w:eastAsia="Arial" w:hAnsi="Arial"/>
          <w:sz w:val="15"/>
          <w:szCs w:val="15"/>
          <w:color w:val="auto"/>
        </w:rPr>
        <w:t>To fund future growth, we may seek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5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As of June 30, 2022, we had total indebtedness excluding deferred financing costs of $244.1 million in principal amount which primarily consists of $80.1 million under the Senior secured credit facility, $60.8 million under the Convertible note payable, $83.6 million under the OPAL term loan, $174,000 under the Municipality loan and $19.4 million under the Sunoma loan.</w:t>
      </w:r>
    </w:p>
    <w:p>
      <w:pPr>
        <w:spacing w:after="0" w:line="165"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5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We intend to make payments under our various debt instruments when due and pursue opportunities for earlier repayment and/or refinancing if and when these opportunities arise.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See Note 7,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our condensed consolidated financial statements beginning on page F-58.</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Company’s cash flows for the six months ended June 30, 2022 and 2021, and the years ended December 31, 2021 and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6"/>
                <w:szCs w:val="16"/>
                <w:color w:val="auto"/>
              </w:rPr>
            </w:pPr>
          </w:p>
        </w:tc>
        <w:tc>
          <w:tcPr>
            <w:tcW w:w="232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Fiscal Year Ended</w:t>
            </w: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40" w:type="dxa"/>
            <w:vAlign w:val="bottom"/>
          </w:tcPr>
          <w:p>
            <w:pPr>
              <w:spacing w:after="0"/>
              <w:rPr>
                <w:sz w:val="17"/>
                <w:szCs w:val="17"/>
                <w:color w:val="auto"/>
              </w:rPr>
            </w:pPr>
          </w:p>
        </w:tc>
        <w:tc>
          <w:tcPr>
            <w:tcW w:w="900" w:type="dxa"/>
            <w:vAlign w:val="bottom"/>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2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7"/>
                <w:szCs w:val="17"/>
                <w:color w:val="auto"/>
              </w:rPr>
            </w:pPr>
          </w:p>
        </w:tc>
      </w:tr>
      <w:tr>
        <w:trPr>
          <w:trHeight w:val="188"/>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cash (used in) provided from operating activities</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(9,438)</w:t>
            </w: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16,808</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18,856</w:t>
            </w: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598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(54,298)</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(28,752)</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(117,204)</w:t>
            </w: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(22,179)</w:t>
            </w:r>
          </w:p>
        </w:tc>
      </w:tr>
      <w:tr>
        <w:trPr>
          <w:trHeight w:val="220"/>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from financing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121,961</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28,278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125,014</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21,453</w:t>
            </w:r>
          </w:p>
        </w:tc>
      </w:tr>
      <w:tr>
        <w:trPr>
          <w:trHeight w:val="184"/>
        </w:trPr>
        <w:tc>
          <w:tcPr>
            <w:tcW w:w="5980" w:type="dxa"/>
            <w:vAlign w:val="bottom"/>
            <w:tcBorders>
              <w:top w:val="single" w:sz="8" w:color="CCEEFF"/>
            </w:tcBorders>
            <w:gridSpan w:val="2"/>
          </w:tcPr>
          <w:p>
            <w:pPr>
              <w:spacing w:after="0" w:line="180" w:lineRule="exact"/>
              <w:rPr>
                <w:sz w:val="20"/>
                <w:szCs w:val="20"/>
                <w:color w:val="auto"/>
              </w:rPr>
            </w:pPr>
            <w:r>
              <w:rPr>
                <w:rFonts w:ascii="Arial" w:cs="Arial" w:eastAsia="Arial" w:hAnsi="Arial"/>
                <w:sz w:val="16"/>
                <w:szCs w:val="16"/>
                <w:color w:val="auto"/>
              </w:rPr>
              <w:t>Net increase in cash, restricted cash, and cash equivalents</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58,225</w:t>
            </w:r>
          </w:p>
        </w:tc>
        <w:tc>
          <w:tcPr>
            <w:tcW w:w="2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16,334</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26,666</w:t>
            </w:r>
          </w:p>
        </w:tc>
        <w:tc>
          <w:tcPr>
            <w:tcW w:w="2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120" w:type="dxa"/>
            <w:vAlign w:val="bottom"/>
            <w:tcBorders>
              <w:top w:val="single" w:sz="8" w:color="CCEEFF"/>
            </w:tcBorders>
          </w:tcPr>
          <w:p>
            <w:pPr>
              <w:spacing w:after="0"/>
              <w:rPr>
                <w:sz w:val="15"/>
                <w:szCs w:val="15"/>
                <w:color w:val="auto"/>
              </w:rPr>
            </w:pPr>
          </w:p>
        </w:tc>
      </w:tr>
    </w:tbl>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193"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Net cash used in operating activities for the six months ended June 30, 2022 was $9.4 million, a decrease of $26.2 million compared to net cash provided of $16.8 million for the six months ended June 30, 2021. The decrease in cash provided by operating activities was primarily attributable to an increase in net operating losses year over year and negative working capital changes.</w:t>
      </w:r>
    </w:p>
    <w:p>
      <w:pPr>
        <w:spacing w:after="0" w:line="16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Net cash provided by operating activities for the year ended December 31, 2021 was $18.9 million compared to the $2.3 million for the year ended December 31, 2020. The increase in cash provided by operating activities was primarily attributable to an increase in top line revenue growth as well as profitability due to the step acquisition of Beacon, and the sale and pricing increase of environmental credits year over year.</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193" w:lineRule="exact"/>
        <w:rPr>
          <w:sz w:val="20"/>
          <w:szCs w:val="20"/>
          <w:color w:val="auto"/>
        </w:rPr>
      </w:pPr>
    </w:p>
    <w:p>
      <w:pPr>
        <w:jc w:val="both"/>
        <w:ind w:right="20" w:firstLine="283"/>
        <w:spacing w:after="0" w:line="383" w:lineRule="auto"/>
        <w:rPr>
          <w:sz w:val="20"/>
          <w:szCs w:val="20"/>
          <w:color w:val="auto"/>
        </w:rPr>
      </w:pPr>
      <w:r>
        <w:rPr>
          <w:rFonts w:ascii="Arial" w:cs="Arial" w:eastAsia="Arial" w:hAnsi="Arial"/>
          <w:sz w:val="13"/>
          <w:szCs w:val="13"/>
          <w:color w:val="auto"/>
        </w:rPr>
        <w:t>Net cash used in investing activities for the six months ended June 30, 2022 was $54.3 million , an increase of $25.5 million compared to the $28.8 million used in investing activities for the six months ended June 30, 2021. This was primarily driven by more payments made for the construction of various RNG generation and dispensing facilities.</w:t>
      </w:r>
    </w:p>
    <w:p>
      <w:pPr>
        <w:spacing w:after="0" w:line="88"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Net cash used in investing activities for the year ended December 31, 2021 was $117.2 million, compared to the $22.2 million used in investing activities for the year ended December 31, 2020. This was primarily driven by the purchase of property, plant, and equipment for $89.6 million relating to construction of various RNG generation and dispensing facilities, cash paid for 20% equity interest of another RNG facility of $1.6 million, cash acquired from business acquisition of $2.0 million, deconsolidation of VIEs net of cash of $21.2 million, and disbursements for note receivable of $10.5 million.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74" w:name="page75"/>
    <w:bookmarkEnd w:id="74"/>
    <w:p>
      <w:pPr>
        <w:ind w:left="286"/>
        <w:spacing w:after="0"/>
        <w:rPr>
          <w:sz w:val="20"/>
          <w:szCs w:val="20"/>
          <w:color w:val="auto"/>
        </w:rPr>
      </w:pPr>
      <w:r>
        <w:rPr>
          <w:rFonts w:ascii="Arial" w:cs="Arial" w:eastAsia="Arial" w:hAnsi="Arial"/>
          <w:sz w:val="16"/>
          <w:szCs w:val="16"/>
          <w:b w:val="1"/>
          <w:bCs w:val="1"/>
          <w:i w:val="1"/>
          <w:iCs w:val="1"/>
          <w:color w:val="auto"/>
        </w:rPr>
        <w:t>Net Cash Provided by Financing Activities</w:t>
      </w:r>
    </w:p>
    <w:p>
      <w:pPr>
        <w:spacing w:after="0" w:line="193" w:lineRule="exact"/>
        <w:rPr>
          <w:sz w:val="20"/>
          <w:szCs w:val="20"/>
          <w:color w:val="auto"/>
        </w:rPr>
      </w:pPr>
    </w:p>
    <w:p>
      <w:pPr>
        <w:jc w:val="both"/>
        <w:ind w:left="6" w:firstLine="283"/>
        <w:spacing w:after="0" w:line="274" w:lineRule="auto"/>
        <w:rPr>
          <w:sz w:val="20"/>
          <w:szCs w:val="20"/>
          <w:color w:val="auto"/>
        </w:rPr>
      </w:pPr>
      <w:r>
        <w:rPr>
          <w:rFonts w:ascii="Arial" w:cs="Arial" w:eastAsia="Arial" w:hAnsi="Arial"/>
          <w:sz w:val="15"/>
          <w:szCs w:val="15"/>
          <w:color w:val="auto"/>
        </w:rPr>
        <w:t>Net cash provided from financing activities for the six months ended June 30, 2022 was $122.0 million, an increase of $93.7 million compared to the $28.3 million provided from financing activities for the six months ended June 30, 2021. This was primarily driven by issuance of preferred units for total proceeds of $100.0 million, proceeds from the OPAL term loan of $15.0 million, proceeds from the Sunoma loan of $1.0 million, capital contribution from a joint venture of $16.9 million offset by debt repayments of $1.2 million and $6.4 million on the Senior Secured Facility and the OPAL term loan, respectively, and $3.2 million paid as financing costs.</w:t>
      </w:r>
    </w:p>
    <w:p>
      <w:pPr>
        <w:spacing w:after="0" w:line="155" w:lineRule="exact"/>
        <w:rPr>
          <w:sz w:val="20"/>
          <w:szCs w:val="20"/>
          <w:color w:val="auto"/>
        </w:rPr>
      </w:pPr>
    </w:p>
    <w:p>
      <w:pPr>
        <w:jc w:val="both"/>
        <w:ind w:left="6" w:firstLine="283"/>
        <w:spacing w:after="0" w:line="249" w:lineRule="auto"/>
        <w:rPr>
          <w:sz w:val="20"/>
          <w:szCs w:val="20"/>
          <w:color w:val="auto"/>
        </w:rPr>
      </w:pPr>
      <w:r>
        <w:rPr>
          <w:rFonts w:ascii="Arial" w:cs="Arial" w:eastAsia="Arial" w:hAnsi="Arial"/>
          <w:sz w:val="16"/>
          <w:szCs w:val="16"/>
          <w:color w:val="auto"/>
        </w:rPr>
        <w:t>Net cash provided from financing activities for the year ended December 31, 2021 was $125.0 million, compared to the $21.4 million for the year ended December 31, 2020. This was primarily driven by partial divesting of ownership interests in our RNG generating construction projects to NextEra for $21.6 million, issuance of non-controlling interest to Hillman of $16.6 million, contributions from non-controlling interests from NextEra of $7.8 million, contributions from Hillman of $13.4 million, contributions from members of $7.5 million, proceeds from the Opal term loan $75.0 million, and proceeds from the construction loan under the Sunoma loan of $15.7 million which was offset by repayment of the term loan under the Senior secured credit facility of $4.9 million, purchase of non-controlling interests of $5.0 million, financing costs paid to lenders of $3.6 million and distributions to members of $3.7 million.</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Capital Expenditures</w:t>
      </w:r>
    </w:p>
    <w:p>
      <w:pPr>
        <w:spacing w:after="0" w:line="197" w:lineRule="exact"/>
        <w:rPr>
          <w:sz w:val="20"/>
          <w:szCs w:val="20"/>
          <w:color w:val="auto"/>
        </w:rPr>
      </w:pPr>
    </w:p>
    <w:p>
      <w:pPr>
        <w:jc w:val="both"/>
        <w:ind w:left="6" w:firstLine="283"/>
        <w:spacing w:after="0" w:line="322" w:lineRule="auto"/>
        <w:rPr>
          <w:sz w:val="20"/>
          <w:szCs w:val="20"/>
          <w:color w:val="auto"/>
        </w:rPr>
      </w:pPr>
      <w:r>
        <w:rPr>
          <w:rFonts w:ascii="Arial" w:cs="Arial" w:eastAsia="Arial" w:hAnsi="Arial"/>
          <w:sz w:val="13"/>
          <w:szCs w:val="13"/>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28" w:lineRule="exact"/>
        <w:rPr>
          <w:sz w:val="20"/>
          <w:szCs w:val="20"/>
          <w:color w:val="auto"/>
        </w:rPr>
      </w:pPr>
    </w:p>
    <w:p>
      <w:pPr>
        <w:jc w:val="both"/>
        <w:ind w:left="6" w:right="20" w:firstLine="283"/>
        <w:spacing w:after="0" w:line="274" w:lineRule="auto"/>
        <w:rPr>
          <w:sz w:val="20"/>
          <w:szCs w:val="20"/>
          <w:color w:val="auto"/>
        </w:rPr>
      </w:pPr>
      <w:r>
        <w:rPr>
          <w:rFonts w:ascii="Arial" w:cs="Arial" w:eastAsia="Arial" w:hAnsi="Arial"/>
          <w:sz w:val="15"/>
          <w:szCs w:val="15"/>
          <w:color w:val="auto"/>
        </w:rPr>
        <w:t>As of June 30, 2022, we have budgeted for $368.0 million in capital expenditures for the next 12 months, of which $269.0 million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Arial" w:cs="Arial" w:eastAsia="Arial" w:hAnsi="Arial"/>
          <w:sz w:val="15"/>
          <w:szCs w:val="15"/>
          <w:b w:val="1"/>
          <w:bCs w:val="1"/>
          <w:color w:val="auto"/>
        </w:rPr>
        <w:t>.</w:t>
      </w:r>
      <w:r>
        <w:rPr>
          <w:rFonts w:ascii="Arial" w:cs="Arial" w:eastAsia="Arial" w:hAnsi="Arial"/>
          <w:sz w:val="15"/>
          <w:szCs w:val="15"/>
          <w:color w:val="auto"/>
        </w:rPr>
        <w:t xml:space="preserve"> We plan to fund these expenditures primarily through cash on hand, cash generated from operations, and cash from the Business Combination and PIPE Investment.</w:t>
      </w:r>
    </w:p>
    <w:p>
      <w:pPr>
        <w:spacing w:after="0" w:line="15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Contractual Obligations</w:t>
      </w:r>
    </w:p>
    <w:p>
      <w:pPr>
        <w:spacing w:after="0" w:line="197"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The following table presents cash requirements arising from our contractual obligations as of June 30, 2022. For the avoidance of doubt, this excludes cash requirements associated with new financing arrangements executed after June 30, 2022:</w:t>
      </w:r>
    </w:p>
    <w:p>
      <w:pPr>
        <w:spacing w:after="0" w:line="342"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2025 and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6"/>
              </w:rPr>
              <w:t>2023-2024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beyond</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Senior secured facility – term loan</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72,632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72,632</w:t>
            </w:r>
          </w:p>
        </w:tc>
        <w:tc>
          <w:tcPr>
            <w:tcW w:w="0" w:type="dxa"/>
            <w:vAlign w:val="bottom"/>
          </w:tcPr>
          <w:p>
            <w:pPr>
              <w:spacing w:after="0"/>
              <w:rPr>
                <w:sz w:val="1"/>
                <w:szCs w:val="1"/>
                <w:color w:val="auto"/>
              </w:rPr>
            </w:pPr>
          </w:p>
        </w:tc>
      </w:tr>
      <w:tr>
        <w:trPr>
          <w:trHeight w:val="224"/>
        </w:trPr>
        <w:tc>
          <w:tcPr>
            <w:tcW w:w="5980" w:type="dxa"/>
            <w:vAlign w:val="bottom"/>
            <w:gridSpan w:val="2"/>
          </w:tcPr>
          <w:p>
            <w:pPr>
              <w:spacing w:after="0" w:line="223" w:lineRule="exact"/>
              <w:rPr>
                <w:sz w:val="20"/>
                <w:szCs w:val="20"/>
                <w:color w:val="auto"/>
              </w:rPr>
            </w:pPr>
            <w:r>
              <w:rPr>
                <w:rFonts w:ascii="Arial" w:cs="Arial" w:eastAsia="Arial" w:hAnsi="Arial"/>
                <w:sz w:val="15"/>
                <w:szCs w:val="15"/>
                <w:color w:val="auto"/>
              </w:rPr>
              <w:t>Senior secured facility – working capital facility</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7,500</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Sunoma loan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709</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5,293</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13,429</w:t>
            </w: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19,431</w:t>
            </w:r>
          </w:p>
        </w:tc>
        <w:tc>
          <w:tcPr>
            <w:tcW w:w="0" w:type="dxa"/>
            <w:vAlign w:val="bottom"/>
          </w:tcPr>
          <w:p>
            <w:pPr>
              <w:spacing w:after="0"/>
              <w:rPr>
                <w:sz w:val="1"/>
                <w:szCs w:val="1"/>
                <w:color w:val="auto"/>
              </w:rPr>
            </w:pPr>
          </w:p>
        </w:tc>
      </w:tr>
      <w:tr>
        <w:trPr>
          <w:trHeight w:val="224"/>
        </w:trPr>
        <w:tc>
          <w:tcPr>
            <w:tcW w:w="5980" w:type="dxa"/>
            <w:vAlign w:val="bottom"/>
            <w:gridSpan w:val="2"/>
          </w:tcPr>
          <w:p>
            <w:pPr>
              <w:spacing w:after="0" w:line="223" w:lineRule="exact"/>
              <w:rPr>
                <w:sz w:val="20"/>
                <w:szCs w:val="20"/>
                <w:color w:val="auto"/>
              </w:rPr>
            </w:pPr>
            <w:r>
              <w:rPr>
                <w:rFonts w:ascii="Arial" w:cs="Arial" w:eastAsia="Arial" w:hAnsi="Arial"/>
                <w:sz w:val="15"/>
                <w:szCs w:val="15"/>
                <w:color w:val="auto"/>
              </w:rPr>
              <w:t>Municipality loan</w:t>
            </w:r>
            <w:r>
              <w:rPr>
                <w:rFonts w:ascii="Arial" w:cs="Arial" w:eastAsia="Arial" w:hAnsi="Arial"/>
                <w:sz w:val="25"/>
                <w:szCs w:val="25"/>
                <w:color w:val="auto"/>
                <w:vertAlign w:val="superscript"/>
              </w:rPr>
              <w:t>(2)</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64</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80" w:type="dxa"/>
            <w:vAlign w:val="bottom"/>
            <w:gridSpan w:val="2"/>
            <w:shd w:val="clear" w:color="auto" w:fill="CCEEFF"/>
          </w:tcPr>
          <w:p>
            <w:pPr>
              <w:spacing w:after="0" w:line="223" w:lineRule="exact"/>
              <w:rPr>
                <w:sz w:val="20"/>
                <w:szCs w:val="20"/>
                <w:color w:val="auto"/>
              </w:rPr>
            </w:pPr>
            <w:r>
              <w:rPr>
                <w:rFonts w:ascii="Arial" w:cs="Arial" w:eastAsia="Arial" w:hAnsi="Arial"/>
                <w:sz w:val="15"/>
                <w:szCs w:val="15"/>
                <w:color w:val="auto"/>
              </w:rPr>
              <w:t>Convertible note payable</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60,820</w:t>
            </w:r>
          </w:p>
        </w:tc>
        <w:tc>
          <w:tcPr>
            <w:tcW w:w="2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60,820</w:t>
            </w:r>
          </w:p>
        </w:tc>
        <w:tc>
          <w:tcPr>
            <w:tcW w:w="0" w:type="dxa"/>
            <w:vAlign w:val="bottom"/>
          </w:tcPr>
          <w:p>
            <w:pPr>
              <w:spacing w:after="0"/>
              <w:rPr>
                <w:sz w:val="1"/>
                <w:szCs w:val="1"/>
                <w:color w:val="auto"/>
              </w:rPr>
            </w:pPr>
          </w:p>
        </w:tc>
      </w:tr>
      <w:tr>
        <w:trPr>
          <w:trHeight w:val="224"/>
        </w:trPr>
        <w:tc>
          <w:tcPr>
            <w:tcW w:w="5980" w:type="dxa"/>
            <w:vAlign w:val="bottom"/>
            <w:gridSpan w:val="2"/>
          </w:tcPr>
          <w:p>
            <w:pPr>
              <w:spacing w:after="0" w:line="223" w:lineRule="exact"/>
              <w:rPr>
                <w:sz w:val="20"/>
                <w:szCs w:val="20"/>
                <w:color w:val="auto"/>
              </w:rPr>
            </w:pPr>
            <w:r>
              <w:rPr>
                <w:rFonts w:ascii="Arial" w:cs="Arial" w:eastAsia="Arial" w:hAnsi="Arial"/>
                <w:sz w:val="15"/>
                <w:szCs w:val="15"/>
                <w:color w:val="auto"/>
              </w:rPr>
              <w:t>OPAL term loan</w:t>
            </w:r>
            <w:r>
              <w:rPr>
                <w:rFonts w:ascii="Arial" w:cs="Arial" w:eastAsia="Arial" w:hAnsi="Arial"/>
                <w:sz w:val="25"/>
                <w:szCs w:val="25"/>
                <w:color w:val="auto"/>
                <w:vertAlign w:val="superscript"/>
              </w:rPr>
              <w:t>(4)</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9,666</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38,664</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35,226</w:t>
            </w:r>
          </w:p>
        </w:tc>
        <w:tc>
          <w:tcPr>
            <w:tcW w:w="24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83,556</w:t>
            </w:r>
          </w:p>
        </w:tc>
        <w:tc>
          <w:tcPr>
            <w:tcW w:w="0" w:type="dxa"/>
            <w:vAlign w:val="bottom"/>
          </w:tcPr>
          <w:p>
            <w:pPr>
              <w:spacing w:after="0"/>
              <w:rPr>
                <w:sz w:val="1"/>
                <w:szCs w:val="1"/>
                <w:color w:val="auto"/>
              </w:rPr>
            </w:pPr>
          </w:p>
        </w:tc>
      </w:tr>
      <w:tr>
        <w:trPr>
          <w:trHeight w:val="236"/>
        </w:trPr>
        <w:tc>
          <w:tcPr>
            <w:tcW w:w="5980" w:type="dxa"/>
            <w:vAlign w:val="bottom"/>
            <w:gridSpan w:val="2"/>
            <w:shd w:val="clear" w:color="auto" w:fill="CCEEFF"/>
          </w:tcPr>
          <w:p>
            <w:pPr>
              <w:spacing w:after="0" w:line="236" w:lineRule="exact"/>
              <w:rPr>
                <w:sz w:val="20"/>
                <w:szCs w:val="20"/>
                <w:color w:val="auto"/>
              </w:rPr>
            </w:pPr>
            <w:r>
              <w:rPr>
                <w:rFonts w:ascii="Arial" w:cs="Arial" w:eastAsia="Arial" w:hAnsi="Arial"/>
                <w:sz w:val="16"/>
                <w:szCs w:val="16"/>
                <w:color w:val="auto"/>
              </w:rPr>
              <w:t>Lease commitments</w:t>
            </w:r>
            <w:r>
              <w:rPr>
                <w:rFonts w:ascii="Arial" w:cs="Arial" w:eastAsia="Arial" w:hAnsi="Arial"/>
                <w:sz w:val="26"/>
                <w:szCs w:val="26"/>
                <w:color w:val="auto"/>
                <w:vertAlign w:val="superscript"/>
              </w:rPr>
              <w:t>(5)</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1,576</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80" w:type="dxa"/>
            <w:vAlign w:val="bottom"/>
            <w:gridSpan w:val="2"/>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90,956</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45,597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110,225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246,778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6" w:hanging="286"/>
        <w:spacing w:after="0"/>
        <w:tabs>
          <w:tab w:leader="none" w:pos="2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debt is due to be fully repaid in December 2022.</w:t>
      </w:r>
    </w:p>
    <w:p>
      <w:pPr>
        <w:spacing w:after="0" w:line="192" w:lineRule="exact"/>
        <w:rPr>
          <w:rFonts w:ascii="Arial" w:cs="Arial" w:eastAsia="Arial" w:hAnsi="Arial"/>
          <w:sz w:val="16"/>
          <w:szCs w:val="16"/>
          <w:color w:val="auto"/>
        </w:rPr>
      </w:pPr>
    </w:p>
    <w:p>
      <w:pPr>
        <w:ind w:left="286" w:hanging="286"/>
        <w:spacing w:after="0"/>
        <w:tabs>
          <w:tab w:leader="none" w:pos="2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debt payments represent the quarterly amortization payments due to be paid per the terms of the Municipality loan.</w:t>
      </w:r>
    </w:p>
    <w:p>
      <w:pPr>
        <w:spacing w:after="0" w:line="38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7" w:right="319" w:bottom="1440" w:gutter="0" w:footer="0" w:header="0"/>
        </w:sectPr>
      </w:pPr>
    </w:p>
    <w:bookmarkStart w:id="75" w:name="page76"/>
    <w:bookmarkEnd w:id="75"/>
    <w:p>
      <w:pPr>
        <w:jc w:val="both"/>
        <w:ind w:left="286" w:hanging="286"/>
        <w:spacing w:after="0" w:line="252" w:lineRule="auto"/>
        <w:tabs>
          <w:tab w:leader="none" w:pos="2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the fair value of the convertible note payable as of June 30, 2022 which includes $5.4 million of payment- in-kind interest. In connection with our step acquisition of Beacon in May 2021, we issued Ares a convertible note recorded at a fair value of $55.4 million. The original principal balance of the note was $50.0 million with interest accrued at 8.0% per annum and is convertible into our equity pursuant to qualified events. On July 21, 2022, 50% of the Convertible note payable was converted to equity upon consummation of the Business Combination.</w:t>
      </w:r>
    </w:p>
    <w:p>
      <w:pPr>
        <w:spacing w:after="0" w:line="169" w:lineRule="exact"/>
        <w:rPr>
          <w:rFonts w:ascii="Arial" w:cs="Arial" w:eastAsia="Arial" w:hAnsi="Arial"/>
          <w:sz w:val="16"/>
          <w:szCs w:val="16"/>
          <w:color w:val="auto"/>
        </w:rPr>
      </w:pPr>
    </w:p>
    <w:p>
      <w:pPr>
        <w:ind w:left="286" w:hanging="286"/>
        <w:spacing w:after="0"/>
        <w:tabs>
          <w:tab w:leader="none" w:pos="2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debt payments represent the quarterly amortization payments due to be paid per the terms of the OPAL term loan.</w:t>
      </w:r>
    </w:p>
    <w:p>
      <w:pPr>
        <w:spacing w:after="0" w:line="192" w:lineRule="exact"/>
        <w:rPr>
          <w:rFonts w:ascii="Arial" w:cs="Arial" w:eastAsia="Arial" w:hAnsi="Arial"/>
          <w:sz w:val="16"/>
          <w:szCs w:val="16"/>
          <w:color w:val="auto"/>
        </w:rPr>
      </w:pPr>
    </w:p>
    <w:p>
      <w:pPr>
        <w:ind w:left="286" w:hanging="286"/>
        <w:spacing w:after="0"/>
        <w:tabs>
          <w:tab w:leader="none" w:pos="2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Lease commitments represent payments due on our office and vehicle leases.</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Off-Balance Sheet Arrangements</w:t>
      </w:r>
    </w:p>
    <w:p>
      <w:pPr>
        <w:spacing w:after="0" w:line="197"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As of June 30, 2022, we do not have any off-balance sheet arrangements, as defined in Item 303 of Regulation S-K, that are reasonably likely to have a current or future material effect on our financial condition, results of operations, liquidity, capital expenditures, or capital resources.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Critical Accounting Policies and Use of Estimates</w:t>
      </w:r>
    </w:p>
    <w:p>
      <w:pPr>
        <w:spacing w:after="0" w:line="193" w:lineRule="exact"/>
        <w:rPr>
          <w:sz w:val="20"/>
          <w:szCs w:val="20"/>
          <w:color w:val="auto"/>
        </w:rPr>
      </w:pPr>
    </w:p>
    <w:p>
      <w:pPr>
        <w:jc w:val="both"/>
        <w:ind w:left="6" w:right="20" w:firstLine="283"/>
        <w:spacing w:after="0" w:line="271" w:lineRule="auto"/>
        <w:rPr>
          <w:sz w:val="20"/>
          <w:szCs w:val="20"/>
          <w:color w:val="auto"/>
        </w:rPr>
      </w:pPr>
      <w:r>
        <w:rPr>
          <w:rFonts w:ascii="Arial" w:cs="Arial" w:eastAsia="Arial" w:hAnsi="Arial"/>
          <w:sz w:val="16"/>
          <w:szCs w:val="16"/>
          <w:b w:val="1"/>
          <w:bCs w:val="1"/>
          <w:color w:val="auto"/>
        </w:rPr>
        <w:t>The preparation of financial statements in conformity with generally accepted accounting principles in the United States (“</w:t>
      </w:r>
      <w:r>
        <w:rPr>
          <w:rFonts w:ascii="Arial" w:cs="Arial" w:eastAsia="Arial" w:hAnsi="Arial"/>
          <w:sz w:val="16"/>
          <w:szCs w:val="16"/>
          <w:b w:val="1"/>
          <w:bCs w:val="1"/>
          <w:i w:val="1"/>
          <w:iCs w:val="1"/>
          <w:color w:val="auto"/>
        </w:rPr>
        <w:t>GAAP</w:t>
      </w:r>
      <w:r>
        <w:rPr>
          <w:rFonts w:ascii="Arial" w:cs="Arial" w:eastAsia="Arial" w:hAnsi="Arial"/>
          <w:sz w:val="16"/>
          <w:szCs w:val="16"/>
          <w:b w:val="1"/>
          <w:bCs w:val="1"/>
          <w:color w:val="auto"/>
        </w:rPr>
        <w:t>”) requires management to make estimates and assumptions that affect the reported amounts and disclosures in our financial statements.</w:t>
      </w:r>
    </w:p>
    <w:p>
      <w:pPr>
        <w:spacing w:after="0" w:line="154"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The significant estimates and assumptions of the Company are residual value of the useful lives of our property, plant and equipment, the fair value of stock-based compensation, the estimated losses on our trade receivables, the fair value of Convertible note payable (as defined below), Asset retirement obligations, the impairment assessment of goodwill and the fair value of derivatives. Actual results could differ from those estimates.</w:t>
      </w:r>
    </w:p>
    <w:p>
      <w:pPr>
        <w:spacing w:after="0" w:line="165"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 xml:space="preserve">The critical accounting policies discussed below are a subset of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our condensed consolidated financial statements beginning on page F-11. The policies outlined in this section involve a significant level of estimation uncertainty and are reasonably likely to have a material impact on our financial statements.</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Revenue Recognition</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6"/>
          <w:szCs w:val="16"/>
          <w:b w:val="1"/>
          <w:bCs w:val="1"/>
          <w:i w:val="1"/>
          <w:iCs w:val="1"/>
          <w:color w:val="auto"/>
        </w:rPr>
        <w:t>Renewable Power</w:t>
      </w:r>
    </w:p>
    <w:p>
      <w:pPr>
        <w:spacing w:after="0" w:line="193" w:lineRule="exact"/>
        <w:rPr>
          <w:sz w:val="20"/>
          <w:szCs w:val="20"/>
          <w:color w:val="auto"/>
        </w:rPr>
      </w:pPr>
    </w:p>
    <w:p>
      <w:pPr>
        <w:jc w:val="both"/>
        <w:ind w:left="6" w:firstLine="283"/>
        <w:spacing w:after="0" w:line="251" w:lineRule="auto"/>
        <w:rPr>
          <w:sz w:val="20"/>
          <w:szCs w:val="20"/>
          <w:color w:val="auto"/>
        </w:rPr>
      </w:pPr>
      <w:r>
        <w:rPr>
          <w:rFonts w:ascii="Arial" w:cs="Arial" w:eastAsia="Arial" w:hAnsi="Arial"/>
          <w:sz w:val="16"/>
          <w:szCs w:val="16"/>
          <w:color w:val="auto"/>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spacing w:after="0" w:line="169" w:lineRule="exact"/>
        <w:rPr>
          <w:sz w:val="20"/>
          <w:szCs w:val="20"/>
          <w:color w:val="auto"/>
        </w:rPr>
      </w:pPr>
    </w:p>
    <w:p>
      <w:pPr>
        <w:ind w:left="286"/>
        <w:spacing w:after="0"/>
        <w:rPr>
          <w:sz w:val="20"/>
          <w:szCs w:val="20"/>
          <w:color w:val="auto"/>
        </w:rPr>
      </w:pPr>
      <w:r>
        <w:rPr>
          <w:rFonts w:ascii="Arial" w:cs="Arial" w:eastAsia="Arial" w:hAnsi="Arial"/>
          <w:sz w:val="16"/>
          <w:szCs w:val="16"/>
          <w:b w:val="1"/>
          <w:bCs w:val="1"/>
          <w:i w:val="1"/>
          <w:iCs w:val="1"/>
          <w:color w:val="auto"/>
        </w:rPr>
        <w:t>Gas — Fuel Purchase Agreements</w:t>
      </w:r>
    </w:p>
    <w:p>
      <w:pPr>
        <w:spacing w:after="0" w:line="193"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169" w:lineRule="exact"/>
        <w:rPr>
          <w:sz w:val="20"/>
          <w:szCs w:val="20"/>
          <w:color w:val="auto"/>
        </w:rPr>
      </w:pPr>
    </w:p>
    <w:p>
      <w:pPr>
        <w:ind w:left="286"/>
        <w:spacing w:after="0"/>
        <w:rPr>
          <w:sz w:val="20"/>
          <w:szCs w:val="20"/>
          <w:color w:val="auto"/>
        </w:rPr>
      </w:pPr>
      <w:r>
        <w:rPr>
          <w:rFonts w:ascii="Arial" w:cs="Arial" w:eastAsia="Arial" w:hAnsi="Arial"/>
          <w:sz w:val="16"/>
          <w:szCs w:val="16"/>
          <w:b w:val="1"/>
          <w:bCs w:val="1"/>
          <w:i w:val="1"/>
          <w:iCs w:val="1"/>
          <w:color w:val="auto"/>
        </w:rPr>
        <w:t>Interstate Gas Pipeline Delivery</w:t>
      </w:r>
    </w:p>
    <w:p>
      <w:pPr>
        <w:spacing w:after="0" w:line="193" w:lineRule="exact"/>
        <w:rPr>
          <w:sz w:val="20"/>
          <w:szCs w:val="20"/>
          <w:color w:val="auto"/>
        </w:rPr>
      </w:pPr>
    </w:p>
    <w:p>
      <w:pPr>
        <w:jc w:val="both"/>
        <w:ind w:left="6" w:right="20" w:firstLine="283"/>
        <w:spacing w:after="0" w:line="300" w:lineRule="auto"/>
        <w:rPr>
          <w:sz w:val="20"/>
          <w:szCs w:val="20"/>
          <w:color w:val="auto"/>
        </w:rPr>
      </w:pPr>
      <w:r>
        <w:rPr>
          <w:rFonts w:ascii="Arial" w:cs="Arial" w:eastAsia="Arial" w:hAnsi="Arial"/>
          <w:sz w:val="15"/>
          <w:szCs w:val="15"/>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76" w:name="page77"/>
    <w:bookmarkEnd w:id="76"/>
    <w:p>
      <w:pPr>
        <w:ind w:left="280"/>
        <w:spacing w:after="0"/>
        <w:rPr>
          <w:sz w:val="20"/>
          <w:szCs w:val="20"/>
          <w:color w:val="auto"/>
        </w:rPr>
      </w:pPr>
      <w:r>
        <w:rPr>
          <w:rFonts w:ascii="Arial" w:cs="Arial" w:eastAsia="Arial" w:hAnsi="Arial"/>
          <w:sz w:val="16"/>
          <w:szCs w:val="16"/>
          <w:b w:val="1"/>
          <w:bCs w:val="1"/>
          <w:i w:val="1"/>
          <w:iCs w:val="1"/>
          <w:color w:val="auto"/>
        </w:rPr>
        <w:t>Environmental Attributes</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Operation and Maintenance</w:t>
      </w:r>
    </w:p>
    <w:p>
      <w:pPr>
        <w:spacing w:after="0" w:line="193"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We have operating and maintenance (“</w:t>
      </w:r>
      <w:r>
        <w:rPr>
          <w:rFonts w:ascii="Arial" w:cs="Arial" w:eastAsia="Arial" w:hAnsi="Arial"/>
          <w:sz w:val="13"/>
          <w:szCs w:val="13"/>
          <w:b w:val="1"/>
          <w:bCs w:val="1"/>
          <w:i w:val="1"/>
          <w:iCs w:val="1"/>
          <w:color w:val="auto"/>
        </w:rPr>
        <w:t>O&amp;M</w:t>
      </w:r>
      <w:r>
        <w:rPr>
          <w:rFonts w:ascii="Arial" w:cs="Arial" w:eastAsia="Arial" w:hAnsi="Arial"/>
          <w:sz w:val="13"/>
          <w:szCs w:val="13"/>
          <w:color w:val="auto"/>
        </w:rPr>
        <w:t>”) agreements in which we are contracted to operate, maintain, and repair landfill site gas collection systems. Revenue is based on the volume of per million British thermal units (“</w:t>
      </w:r>
      <w:r>
        <w:rPr>
          <w:rFonts w:ascii="Arial" w:cs="Arial" w:eastAsia="Arial" w:hAnsi="Arial"/>
          <w:sz w:val="13"/>
          <w:szCs w:val="13"/>
          <w:b w:val="1"/>
          <w:bCs w:val="1"/>
          <w:i w:val="1"/>
          <w:iCs w:val="1"/>
          <w:color w:val="auto"/>
        </w:rPr>
        <w:t>MMBtu</w:t>
      </w:r>
      <w:r>
        <w:rPr>
          <w:rFonts w:ascii="Arial" w:cs="Arial" w:eastAsia="Arial" w:hAnsi="Arial"/>
          <w:sz w:val="13"/>
          <w:szCs w:val="13"/>
          <w:color w:val="auto"/>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Construction Type Contracts — Third Party</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Impairment of Goodwill and Long-Lived Assets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Impairment of Goodwill</w:t>
      </w:r>
    </w:p>
    <w:p>
      <w:pPr>
        <w:spacing w:after="0" w:line="193" w:lineRule="exact"/>
        <w:rPr>
          <w:sz w:val="20"/>
          <w:szCs w:val="20"/>
          <w:color w:val="auto"/>
        </w:rPr>
      </w:pPr>
    </w:p>
    <w:p>
      <w:pPr>
        <w:jc w:val="both"/>
        <w:ind w:right="20" w:firstLine="283"/>
        <w:spacing w:after="0" w:line="271" w:lineRule="auto"/>
        <w:rPr>
          <w:sz w:val="20"/>
          <w:szCs w:val="20"/>
          <w:color w:val="auto"/>
        </w:rPr>
      </w:pPr>
      <w:r>
        <w:rPr>
          <w:rFonts w:ascii="Arial" w:cs="Arial" w:eastAsia="Arial" w:hAnsi="Arial"/>
          <w:sz w:val="15"/>
          <w:szCs w:val="15"/>
          <w:color w:val="auto"/>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57"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5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Impairment of Long-Lived Assets</w:t>
      </w:r>
    </w:p>
    <w:p>
      <w:pPr>
        <w:spacing w:after="0" w:line="193" w:lineRule="exact"/>
        <w:rPr>
          <w:sz w:val="20"/>
          <w:szCs w:val="20"/>
          <w:color w:val="auto"/>
        </w:rPr>
      </w:pPr>
    </w:p>
    <w:p>
      <w:pPr>
        <w:jc w:val="both"/>
        <w:ind w:firstLine="283"/>
        <w:spacing w:after="0" w:line="310" w:lineRule="auto"/>
        <w:rPr>
          <w:sz w:val="20"/>
          <w:szCs w:val="20"/>
          <w:color w:val="auto"/>
        </w:rPr>
      </w:pPr>
      <w:r>
        <w:rPr>
          <w:rFonts w:ascii="Arial" w:cs="Arial" w:eastAsia="Arial" w:hAnsi="Arial"/>
          <w:sz w:val="13"/>
          <w:szCs w:val="13"/>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32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Based on our assessment for the six months ended June 30, 2022, there is no impairment recorded on our Plant, Property and Equipment.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77" w:name="page78"/>
    <w:bookmarkEnd w:id="77"/>
    <w:p>
      <w:pPr>
        <w:ind w:left="28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93"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64"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Derivative Financial Instruments and Fair Value Measurements,</w:t>
      </w:r>
      <w:r>
        <w:rPr>
          <w:rFonts w:ascii="Arial" w:cs="Arial" w:eastAsia="Arial" w:hAnsi="Arial"/>
          <w:sz w:val="16"/>
          <w:szCs w:val="16"/>
          <w:color w:val="auto"/>
        </w:rPr>
        <w:t xml:space="preserve"> to our condensed consolidated financial statements, for details on our assets and liabilities regularly recorded at fair value and the respective placements in the fair value hierarchy.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w:t>
      </w:r>
    </w:p>
    <w:p>
      <w:pPr>
        <w:spacing w:after="0" w:line="19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In response to the COVID-19 pandemic, we instituted a safety committee that oversees our compliance with federal, state, and local government mandates, and ensures that the Company adheres to Centers for Disease Control (“</w:t>
      </w:r>
      <w:r>
        <w:rPr>
          <w:rFonts w:ascii="Arial" w:cs="Arial" w:eastAsia="Arial" w:hAnsi="Arial"/>
          <w:sz w:val="16"/>
          <w:szCs w:val="16"/>
          <w:b w:val="1"/>
          <w:bCs w:val="1"/>
          <w:i w:val="1"/>
          <w:iCs w:val="1"/>
          <w:color w:val="auto"/>
        </w:rPr>
        <w:t>CDC</w:t>
      </w:r>
      <w:r>
        <w:rPr>
          <w:rFonts w:ascii="Arial" w:cs="Arial" w:eastAsia="Arial" w:hAnsi="Arial"/>
          <w:sz w:val="16"/>
          <w:szCs w:val="16"/>
          <w:color w:val="auto"/>
        </w:rPr>
        <w:t>”)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69"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As of the date of this prospectus, the COVID-19 pandemic has had a relatively minimal economic impact on our results of operations. In May 2020, we received a $1.8 million PPP loan. At the time we applied for the loan there was considerable uncertainty as to the impact of the pandemic to our operations and the U.S. economy in general. However, as our operations have been designated “essential critical infrastructure work” in the energy sector by the U.S. Department of Homeland Security, we have been able to fully continue our operations. We have not experienced either a decline in our customer base or employee layoffs. In November 2020, the full amount of the PPP loan was forgiven. Aside from the PPP loan, any other impacts to our financial condition have been minimal.</w:t>
      </w:r>
    </w:p>
    <w:p>
      <w:pPr>
        <w:spacing w:after="0" w:line="15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duration and future economic severity of the COVID-19 remains uncertain, and our results of operations and financial condition could potentially face material adverse effect(s) in the future due to COVID-19. For additional information regarding the possible impact of the COVID-19 pandemic on our business, see the section titled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197"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97" w:lineRule="exact"/>
        <w:rPr>
          <w:sz w:val="20"/>
          <w:szCs w:val="20"/>
          <w:color w:val="auto"/>
        </w:rPr>
      </w:pPr>
    </w:p>
    <w:p>
      <w:pPr>
        <w:jc w:val="both"/>
        <w:ind w:right="20" w:firstLine="283"/>
        <w:spacing w:after="0" w:line="300" w:lineRule="auto"/>
        <w:rPr>
          <w:sz w:val="20"/>
          <w:szCs w:val="20"/>
          <w:color w:val="auto"/>
        </w:rPr>
      </w:pPr>
      <w:r>
        <w:rPr>
          <w:rFonts w:ascii="Arial" w:cs="Arial" w:eastAsia="Arial" w:hAnsi="Arial"/>
          <w:sz w:val="15"/>
          <w:szCs w:val="15"/>
          <w:color w:val="auto"/>
        </w:rPr>
        <w:t>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34"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9, </w:t>
      </w:r>
      <w:r>
        <w:rPr>
          <w:rFonts w:ascii="Arial" w:cs="Arial" w:eastAsia="Arial" w:hAnsi="Arial"/>
          <w:sz w:val="16"/>
          <w:szCs w:val="16"/>
          <w:i w:val="1"/>
          <w:iCs w:val="1"/>
          <w:color w:val="auto"/>
        </w:rPr>
        <w:t>Derivative Financial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Measurements, </w:t>
      </w:r>
      <w:r>
        <w:rPr>
          <w:rFonts w:ascii="Arial" w:cs="Arial" w:eastAsia="Arial" w:hAnsi="Arial"/>
          <w:sz w:val="16"/>
          <w:szCs w:val="16"/>
          <w:color w:val="auto"/>
        </w:rPr>
        <w:t>to our condensed consolidated financial statements.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9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The energy markets have been historically very volatile and we expect that the Renewable Power prices to fluctuate in a wide range. In an effort to reduce volatility in our revenues earned from sale of Renewable Power, we entered into certain commodity swap arrangements - the International Swaps and Derivatives Association Agreement (“</w:t>
      </w:r>
      <w:r>
        <w:rPr>
          <w:rFonts w:ascii="Arial" w:cs="Arial" w:eastAsia="Arial" w:hAnsi="Arial"/>
          <w:sz w:val="16"/>
          <w:szCs w:val="16"/>
          <w:b w:val="1"/>
          <w:bCs w:val="1"/>
          <w:i w:val="1"/>
          <w:iCs w:val="1"/>
          <w:color w:val="auto"/>
        </w:rPr>
        <w:t>ISDA</w:t>
      </w:r>
      <w:r>
        <w:rPr>
          <w:rFonts w:ascii="Arial" w:cs="Arial" w:eastAsia="Arial" w:hAnsi="Arial"/>
          <w:sz w:val="16"/>
          <w:szCs w:val="16"/>
          <w:color w:val="auto"/>
        </w:rPr>
        <w:t>”) entered into in 2019, and an amendment that converted a PPA into a commodity swap contract entered into 2018. In these arrangements, we deliver MWh capacity and receive a variable price based on market conditions. We convert this variable fee to a fixed fee by paying or receiving funds from the counterparty to the commodity swap arrangement based on the difference between the contract fixed price and the market price.</w:t>
      </w:r>
    </w:p>
    <w:p>
      <w:pPr>
        <w:spacing w:after="0" w:line="169"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following table summarizes the commodity swaps in place as of June 30, 2022 and December 31, 2021. There were no new commodity swap contracts entered in the six months ended June 30,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Notional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Average</w:t>
            </w:r>
          </w:p>
        </w:tc>
      </w:tr>
      <w:tr>
        <w:trPr>
          <w:trHeight w:val="188"/>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Quantity per</w:t>
            </w:r>
          </w:p>
        </w:tc>
        <w:tc>
          <w:tcPr>
            <w:tcW w:w="100" w:type="dxa"/>
            <w:vAlign w:val="bottom"/>
          </w:tcPr>
          <w:p>
            <w:pPr>
              <w:spacing w:after="0"/>
              <w:rPr>
                <w:sz w:val="16"/>
                <w:szCs w:val="16"/>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Contract Price</w:t>
            </w:r>
          </w:p>
        </w:tc>
      </w:tr>
      <w:tr>
        <w:trPr>
          <w:trHeight w:val="209"/>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Trade Date</w:t>
            </w:r>
          </w:p>
        </w:tc>
        <w:tc>
          <w:tcPr>
            <w:tcW w:w="2160" w:type="dxa"/>
            <w:vAlign w:val="bottom"/>
            <w:gridSpan w:val="2"/>
          </w:tcPr>
          <w:p>
            <w:pPr>
              <w:ind w:left="600"/>
              <w:spacing w:after="0"/>
              <w:rPr>
                <w:sz w:val="20"/>
                <w:szCs w:val="20"/>
                <w:color w:val="auto"/>
              </w:rPr>
            </w:pPr>
            <w:r>
              <w:rPr>
                <w:rFonts w:ascii="Arial" w:cs="Arial" w:eastAsia="Arial" w:hAnsi="Arial"/>
                <w:sz w:val="16"/>
                <w:szCs w:val="16"/>
                <w:b w:val="1"/>
                <w:bCs w:val="1"/>
                <w:color w:val="auto"/>
              </w:rPr>
              <w:t>Period From</w:t>
            </w:r>
          </w:p>
        </w:tc>
        <w:tc>
          <w:tcPr>
            <w:tcW w:w="2140" w:type="dxa"/>
            <w:vAlign w:val="bottom"/>
            <w:gridSpan w:val="2"/>
          </w:tcPr>
          <w:p>
            <w:pPr>
              <w:ind w:left="680"/>
              <w:spacing w:after="0"/>
              <w:rPr>
                <w:sz w:val="20"/>
                <w:szCs w:val="20"/>
                <w:color w:val="auto"/>
              </w:rPr>
            </w:pPr>
            <w:r>
              <w:rPr>
                <w:rFonts w:ascii="Arial" w:cs="Arial" w:eastAsia="Arial" w:hAnsi="Arial"/>
                <w:sz w:val="16"/>
                <w:szCs w:val="16"/>
                <w:b w:val="1"/>
                <w:bCs w:val="1"/>
                <w:color w:val="auto"/>
              </w:rPr>
              <w:t>Period To</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Year (“MWh”)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(per MWh)</w:t>
            </w:r>
          </w:p>
        </w:tc>
      </w:tr>
      <w:tr>
        <w:trPr>
          <w:trHeight w:val="188"/>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14, 2018</w:t>
            </w:r>
          </w:p>
        </w:tc>
        <w:tc>
          <w:tcPr>
            <w:tcW w:w="12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January 1, 2019</w:t>
            </w:r>
          </w:p>
        </w:tc>
        <w:tc>
          <w:tcPr>
            <w:tcW w:w="12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September 30, 2022</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79"/>
              </w:rPr>
              <w:t>66.12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400" w:type="dxa"/>
            <w:vAlign w:val="bottom"/>
            <w:gridSpan w:val="2"/>
          </w:tcPr>
          <w:p>
            <w:pPr>
              <w:spacing w:after="0"/>
              <w:rPr>
                <w:sz w:val="20"/>
                <w:szCs w:val="20"/>
                <w:color w:val="auto"/>
              </w:rPr>
            </w:pPr>
            <w:r>
              <w:rPr>
                <w:rFonts w:ascii="Arial" w:cs="Arial" w:eastAsia="Arial" w:hAnsi="Arial"/>
                <w:sz w:val="16"/>
                <w:szCs w:val="16"/>
                <w:color w:val="auto"/>
              </w:rPr>
              <w:t>October 28, 2021</w:t>
            </w:r>
          </w:p>
        </w:tc>
        <w:tc>
          <w:tcPr>
            <w:tcW w:w="21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November 1, 2021</w:t>
            </w:r>
          </w:p>
        </w:tc>
        <w:tc>
          <w:tcPr>
            <w:tcW w:w="2140" w:type="dxa"/>
            <w:vAlign w:val="bottom"/>
            <w:gridSpan w:val="2"/>
          </w:tcPr>
          <w:p>
            <w:pPr>
              <w:ind w:left="420"/>
              <w:spacing w:after="0"/>
              <w:rPr>
                <w:sz w:val="20"/>
                <w:szCs w:val="20"/>
                <w:color w:val="auto"/>
              </w:rPr>
            </w:pPr>
            <w:r>
              <w:rPr>
                <w:rFonts w:ascii="Arial" w:cs="Arial" w:eastAsia="Arial" w:hAnsi="Arial"/>
                <w:sz w:val="16"/>
                <w:szCs w:val="16"/>
                <w:color w:val="auto"/>
              </w:rPr>
              <w:t>December 31, 2022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30,660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640"/>
              <w:spacing w:after="0"/>
              <w:rPr>
                <w:sz w:val="20"/>
                <w:szCs w:val="20"/>
                <w:color w:val="auto"/>
              </w:rPr>
            </w:pPr>
            <w:r>
              <w:rPr>
                <w:rFonts w:ascii="Arial" w:cs="Arial" w:eastAsia="Arial" w:hAnsi="Arial"/>
                <w:sz w:val="16"/>
                <w:szCs w:val="16"/>
                <w:color w:val="auto"/>
              </w:rPr>
              <w:t>48.75</w:t>
            </w:r>
          </w:p>
        </w:tc>
      </w:tr>
      <w:tr>
        <w:trPr>
          <w:trHeight w:val="188"/>
        </w:trPr>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27, 2021</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January 1, 2022</w:t>
            </w:r>
          </w:p>
        </w:tc>
        <w:tc>
          <w:tcPr>
            <w:tcW w:w="21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December 31, 2022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50.75</w:t>
            </w:r>
          </w:p>
        </w:tc>
      </w:tr>
    </w:tbl>
    <w:p>
      <w:pPr>
        <w:spacing w:after="0" w:line="176"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 xml:space="preserve">We have prepared a sensitivity analysis to estimate our exposure to market risk with respect to changes in pricing of MWh, Based on our analysis, which may differ from actual results, a hypothetical 10% increase or decrease in the pricing of MWh in this market would not have a material adverse impact on our financial condition, or results of operations for June 30, 2022 and December 31, 2021. For more information about our commodity swap agreements, see Note 9, </w:t>
      </w:r>
      <w:r>
        <w:rPr>
          <w:rFonts w:ascii="Arial" w:cs="Arial" w:eastAsia="Arial" w:hAnsi="Arial"/>
          <w:sz w:val="16"/>
          <w:szCs w:val="16"/>
          <w:i w:val="1"/>
          <w:iCs w:val="1"/>
          <w:color w:val="auto"/>
        </w:rPr>
        <w:t>Derivative Financial Instruments and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to our condensed consolidated financial statements beginning on page F-63.</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79" w:name="page80"/>
    <w:bookmarkEnd w:id="79"/>
    <w:p>
      <w:pPr>
        <w:ind w:left="280"/>
        <w:spacing w:after="0"/>
        <w:rPr>
          <w:sz w:val="20"/>
          <w:szCs w:val="20"/>
          <w:color w:val="auto"/>
        </w:rPr>
      </w:pPr>
      <w:r>
        <w:rPr>
          <w:rFonts w:ascii="Arial" w:cs="Arial" w:eastAsia="Arial" w:hAnsi="Arial"/>
          <w:sz w:val="16"/>
          <w:szCs w:val="16"/>
          <w:b w:val="1"/>
          <w:bCs w:val="1"/>
          <w:i w:val="1"/>
          <w:iCs w:val="1"/>
          <w:color w:val="auto"/>
        </w:rPr>
        <w:t>Environmental Attribute Pricing Risk</w:t>
      </w:r>
    </w:p>
    <w:p>
      <w:pPr>
        <w:spacing w:after="0" w:line="19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Market prices for Environmental Attributes associated with our RNG and Renewable Power vary based on regulatory mandates and commercial interest in green energy products. We generally sell Environmental Attributes under a mix of short-term and sales arrangements in which pricing is tied to the market rate for these attributes at the time of delivery. To manage this market risk, we negotiate long-term biogas feedstock arrangements in which payments are based on the market price of Environmental Attributes and/or natural gas and electricity commodity prices. Reductions in the market prices of Environmental Attributes may have a material adverse effect on our revenues, but also generally reduce our expenses for biogas feedstock.</w:t>
      </w:r>
    </w:p>
    <w:p>
      <w:pPr>
        <w:spacing w:after="0" w:line="169"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We have prepared a sensitivity analysis to estimate our exposure to market risk with respect to RIN prices. Our analysis, which may differ from actual results, was based on a 2022 estimated D3 RIN Index price of approximately $2.73 and our actual 2021 RINs sold. The estimated annual impact of a hypothetical 10% decrease in the average realized price per RIN would have a negative effect on our operating profit of approximately $7.3 million for the six months ended June 30, 2022 and $4.7 million for December 31, 2021.</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9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To maintain our liquidity we utilize an existing term loan facility, an existing working capital facility, and an existing line of credit, which bear a variable interest rate based on the LIBOR Margin or Base Rate Margin (in each case, as those terms are defined in the relevant credit agreement). We use an interest rate swap to set the variable interest rates under the term loan facility at a fixed interest rate to manage our interest rate risk.</w:t>
      </w:r>
    </w:p>
    <w:p>
      <w:pPr>
        <w:spacing w:after="0" w:line="165"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As of June 30, 2022, we had $80.1 million aggregate outstanding under the Senior secured facility. Our weighted average interest rate on variable debt was approximately 4.25%.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69"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As of December 31, 2021, we had $81.4 million aggregate outstanding under the Senior secured facility. Our weighted average interest rate on variable debt was approximately 4.8%.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Counterparty Credit Risk</w:t>
      </w:r>
    </w:p>
    <w:p>
      <w:pPr>
        <w:spacing w:after="0" w:line="193"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We have certain financial and derivative instruments that subject us to credit risk. These consist of our interest rate swaps and Environmental Attribute forward sales. We are exposed to credit losses in the event of non-performance by the counterparties to our financial and derivative instruments. Risks surrounding counterparty performance and credit could ultimately impact the amount and timing of expected cash flows. We seek to mitigate counterparty risk by having a diversified portfolio of counterparties and the evaluation and monitoring of the creditworthiness of counterparties. Although we may be exposed to losses in the event of nonperformance by counterparties, we do not expect such losses, if any, to be significant.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80" w:name="page81"/>
    <w:bookmarkEnd w:id="80"/>
    <w:p>
      <w:pPr>
        <w:jc w:val="center"/>
        <w:ind w:right="-5"/>
        <w:spacing w:after="0"/>
        <w:rPr>
          <w:sz w:val="20"/>
          <w:szCs w:val="20"/>
          <w:color w:val="auto"/>
        </w:rPr>
      </w:pPr>
      <w:r>
        <w:rPr>
          <w:rFonts w:ascii="Arial" w:cs="Arial" w:eastAsia="Arial" w:hAnsi="Arial"/>
          <w:sz w:val="16"/>
          <w:szCs w:val="16"/>
          <w:b w:val="1"/>
          <w:bCs w:val="1"/>
          <w:color w:val="auto"/>
        </w:rPr>
        <w:t>BUSINESS</w:t>
      </w:r>
    </w:p>
    <w:p>
      <w:pPr>
        <w:spacing w:after="0" w:line="197" w:lineRule="exact"/>
        <w:rPr>
          <w:sz w:val="20"/>
          <w:szCs w:val="20"/>
          <w:color w:val="auto"/>
        </w:rPr>
      </w:pPr>
    </w:p>
    <w:p>
      <w:pPr>
        <w:ind w:left="6" w:firstLine="283"/>
        <w:spacing w:after="0" w:line="311" w:lineRule="auto"/>
        <w:rPr>
          <w:sz w:val="20"/>
          <w:szCs w:val="20"/>
          <w:color w:val="auto"/>
        </w:rPr>
      </w:pPr>
      <w:r>
        <w:rPr>
          <w:rFonts w:ascii="Arial" w:cs="Arial" w:eastAsia="Arial" w:hAnsi="Arial"/>
          <w:sz w:val="13"/>
          <w:szCs w:val="13"/>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w:t>
      </w:r>
    </w:p>
    <w:p>
      <w:pPr>
        <w:spacing w:after="0" w:line="1" w:lineRule="exact"/>
        <w:rPr>
          <w:sz w:val="20"/>
          <w:szCs w:val="20"/>
          <w:color w:val="auto"/>
        </w:rPr>
      </w:pPr>
    </w:p>
    <w:p>
      <w:pPr>
        <w:jc w:val="both"/>
        <w:ind w:left="6" w:hanging="6"/>
        <w:spacing w:after="0" w:line="247" w:lineRule="auto"/>
        <w:tabs>
          <w:tab w:leader="none" w:pos="282" w:val="left"/>
        </w:tabs>
        <w:numPr>
          <w:ilvl w:val="0"/>
          <w:numId w:val="56"/>
        </w:numPr>
        <w:rPr>
          <w:rFonts w:ascii="Arial" w:cs="Arial" w:eastAsia="Arial" w:hAnsi="Arial"/>
          <w:sz w:val="16"/>
          <w:szCs w:val="16"/>
          <w:color w:val="auto"/>
        </w:rPr>
      </w:pPr>
      <w:r>
        <w:rPr>
          <w:rFonts w:ascii="Arial" w:cs="Arial" w:eastAsia="Arial" w:hAnsi="Arial"/>
          <w:sz w:val="16"/>
          <w:szCs w:val="16"/>
          <w:color w:val="auto"/>
        </w:rPr>
        <w:t>sales of RNG as pipeline quality natural gas.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Overview of Capture and Conversion Business</w:t>
      </w:r>
    </w:p>
    <w:p>
      <w:pPr>
        <w:spacing w:after="0" w:line="197"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We design, develop, construct, own, maintain, and operate Biogas Conversion Projects using proven technologies to produce RNG for sale as a vehicle fuel for transportation use and to generate Renewable Power. We are an established biogas-to-energy producer in the United States, having participated in the landfill gas to energy industry for over 20 years. We have established our operating portfolio through self-development, partnerships, and acquisitions.</w:t>
      </w:r>
    </w:p>
    <w:p>
      <w:pPr>
        <w:spacing w:after="0" w:line="165" w:lineRule="exact"/>
        <w:rPr>
          <w:sz w:val="20"/>
          <w:szCs w:val="20"/>
          <w:color w:val="auto"/>
        </w:rPr>
      </w:pPr>
    </w:p>
    <w:p>
      <w:pPr>
        <w:jc w:val="both"/>
        <w:ind w:left="6" w:right="20" w:firstLine="283"/>
        <w:spacing w:after="0" w:line="252" w:lineRule="auto"/>
        <w:rPr>
          <w:sz w:val="20"/>
          <w:szCs w:val="20"/>
          <w:color w:val="auto"/>
        </w:rPr>
      </w:pPr>
      <w:r>
        <w:rPr>
          <w:rFonts w:ascii="Arial" w:cs="Arial" w:eastAsia="Arial" w:hAnsi="Arial"/>
          <w:sz w:val="16"/>
          <w:szCs w:val="16"/>
          <w:color w:val="auto"/>
        </w:rPr>
        <w:t>Biogas is comprised of non-fossil waste gas, with high concentrations of methane, which is the primary component of RNG and the source for combustion utilized by Renewable Power plants to generate Renewable Power. The biogas is generated by microbes as they break down organic matter in the absence of oxygen. Our principal sources of biogas are (i) LFG, which is produced by the decomposition of organic waste at landfills and (ii) dairy manure, which is processed through anaerobic digesters to produce the biogas.</w:t>
      </w:r>
    </w:p>
    <w:p>
      <w:pPr>
        <w:spacing w:after="0" w:line="169" w:lineRule="exact"/>
        <w:rPr>
          <w:sz w:val="20"/>
          <w:szCs w:val="20"/>
          <w:color w:val="auto"/>
        </w:rPr>
      </w:pPr>
    </w:p>
    <w:p>
      <w:pPr>
        <w:jc w:val="both"/>
        <w:ind w:left="6" w:firstLine="283"/>
        <w:spacing w:after="0" w:line="311" w:lineRule="auto"/>
        <w:rPr>
          <w:sz w:val="20"/>
          <w:szCs w:val="20"/>
          <w:color w:val="auto"/>
        </w:rPr>
      </w:pPr>
      <w:r>
        <w:rPr>
          <w:rFonts w:ascii="Arial" w:cs="Arial" w:eastAsia="Arial" w:hAnsi="Arial"/>
          <w:sz w:val="13"/>
          <w:szCs w:val="13"/>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w:t>
      </w:r>
    </w:p>
    <w:p>
      <w:pPr>
        <w:spacing w:after="0" w:line="1" w:lineRule="exact"/>
        <w:rPr>
          <w:sz w:val="20"/>
          <w:szCs w:val="20"/>
          <w:color w:val="auto"/>
        </w:rPr>
      </w:pPr>
    </w:p>
    <w:p>
      <w:pPr>
        <w:jc w:val="both"/>
        <w:ind w:left="6" w:hanging="6"/>
        <w:spacing w:after="0" w:line="315" w:lineRule="auto"/>
        <w:tabs>
          <w:tab w:leader="none" w:pos="2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primarily as vehicle fuel for heavy and medium-duty transportation fleets, and generate associated Environmental Attributes when the RNG is dispensed at Fueling Stations. These Environmental Attributes are then monetized via sale to obligated parties as defined under the RFS promulgated by the US federal government and Low Carbon Fuel Standard Programs established by several states, including California. We also sell Renewable Power to public utilities through long-term power purchase agreements.</w:t>
      </w:r>
    </w:p>
    <w:p>
      <w:pPr>
        <w:spacing w:after="0" w:line="130" w:lineRule="exact"/>
        <w:rPr>
          <w:sz w:val="20"/>
          <w:szCs w:val="20"/>
          <w:color w:val="auto"/>
        </w:rPr>
      </w:pPr>
    </w:p>
    <w:p>
      <w:pPr>
        <w:jc w:val="both"/>
        <w:ind w:left="6" w:firstLine="283"/>
        <w:spacing w:after="0" w:line="322" w:lineRule="auto"/>
        <w:rPr>
          <w:sz w:val="20"/>
          <w:szCs w:val="20"/>
          <w:color w:val="auto"/>
        </w:rPr>
      </w:pPr>
      <w:r>
        <w:rPr>
          <w:rFonts w:ascii="Arial" w:cs="Arial" w:eastAsia="Arial" w:hAnsi="Arial"/>
          <w:sz w:val="13"/>
          <w:szCs w:val="13"/>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28" w:lineRule="exact"/>
        <w:rPr>
          <w:sz w:val="20"/>
          <w:szCs w:val="20"/>
          <w:color w:val="auto"/>
        </w:rPr>
      </w:pPr>
    </w:p>
    <w:p>
      <w:pPr>
        <w:jc w:val="both"/>
        <w:ind w:left="6" w:firstLine="283"/>
        <w:spacing w:after="0" w:line="281" w:lineRule="auto"/>
        <w:rPr>
          <w:sz w:val="20"/>
          <w:szCs w:val="20"/>
          <w:color w:val="auto"/>
        </w:rPr>
      </w:pPr>
      <w:r>
        <w:rPr>
          <w:rFonts w:ascii="Arial" w:cs="Arial" w:eastAsia="Arial" w:hAnsi="Arial"/>
          <w:sz w:val="15"/>
          <w:szCs w:val="15"/>
          <w:color w:val="auto"/>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148" w:lineRule="exact"/>
        <w:rPr>
          <w:sz w:val="20"/>
          <w:szCs w:val="20"/>
          <w:color w:val="auto"/>
        </w:rPr>
      </w:pPr>
    </w:p>
    <w:p>
      <w:pPr>
        <w:ind w:left="286"/>
        <w:spacing w:after="0"/>
        <w:rPr>
          <w:sz w:val="20"/>
          <w:szCs w:val="20"/>
          <w:color w:val="auto"/>
        </w:rPr>
      </w:pPr>
      <w:r>
        <w:rPr>
          <w:rFonts w:ascii="Arial" w:cs="Arial" w:eastAsia="Arial" w:hAnsi="Arial"/>
          <w:sz w:val="13"/>
          <w:szCs w:val="13"/>
          <w:color w:val="auto"/>
        </w:rPr>
        <w:t>We differentiate ourself from our competitors based on our vertically integrated business model and long history of working with leading vendors, technologies and utilities.</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3"/>
          <w:szCs w:val="13"/>
          <w:color w:val="auto"/>
        </w:rPr>
        <w:t>Our competitive advantage is further strengthened by our expertise in designing, developing, constructing and operating Biogas Conversion Projects and Fueling Stations.</w:t>
      </w:r>
    </w:p>
    <w:p>
      <w:pPr>
        <w:spacing w:after="0" w:line="200" w:lineRule="exact"/>
        <w:rPr>
          <w:sz w:val="20"/>
          <w:szCs w:val="20"/>
          <w:color w:val="auto"/>
        </w:rPr>
      </w:pPr>
    </w:p>
    <w:p>
      <w:pPr>
        <w:spacing w:after="0" w:line="20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2" w:right="319" w:bottom="1440" w:gutter="0" w:footer="0" w:header="0"/>
        </w:sectPr>
      </w:pPr>
    </w:p>
    <w:bookmarkStart w:id="81" w:name="page82"/>
    <w:bookmarkEnd w:id="81"/>
    <w:p>
      <w:pPr>
        <w:ind w:left="280"/>
        <w:spacing w:after="0"/>
        <w:rPr>
          <w:sz w:val="20"/>
          <w:szCs w:val="20"/>
          <w:color w:val="auto"/>
        </w:rPr>
      </w:pPr>
      <w:r>
        <w:rPr>
          <w:rFonts w:ascii="Arial" w:cs="Arial" w:eastAsia="Arial" w:hAnsi="Arial"/>
          <w:sz w:val="16"/>
          <w:szCs w:val="16"/>
          <w:b w:val="1"/>
          <w:bCs w:val="1"/>
          <w:i w:val="1"/>
          <w:iCs w:val="1"/>
          <w:color w:val="auto"/>
        </w:rPr>
        <w:t>Overview of Dispensing and Monetization Business</w:t>
      </w:r>
    </w:p>
    <w:p>
      <w:pPr>
        <w:spacing w:after="0" w:line="193"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We are also a leading provider of RNG marketing and dispensing in the alternative vehicle fuels market for heavy and medium-duty trucking fleets throughout the United States. In this sector, we focus on dispensing RNG (procured from our own Biogas Conversion Projects or from third parties) through Fueling Stations that serve fleets that use natural gas instead of diesel fuel. We have participated in the alternative vehicle fuels industry for approximately twelve years and have established an expanding network of Fueling Stations for dispensing RNG.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59"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74" w:lineRule="exact"/>
        <w:rPr>
          <w:sz w:val="20"/>
          <w:szCs w:val="20"/>
          <w:color w:val="auto"/>
        </w:rPr>
      </w:pPr>
    </w:p>
    <w:p>
      <w:pPr>
        <w:jc w:val="both"/>
        <w:ind w:firstLine="283"/>
        <w:spacing w:after="0" w:line="310" w:lineRule="auto"/>
        <w:rPr>
          <w:sz w:val="20"/>
          <w:szCs w:val="20"/>
          <w:color w:val="auto"/>
        </w:rPr>
      </w:pPr>
      <w:r>
        <w:rPr>
          <w:rFonts w:ascii="Arial" w:cs="Arial" w:eastAsia="Arial" w:hAnsi="Arial"/>
          <w:sz w:val="13"/>
          <w:szCs w:val="13"/>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Arial" w:cs="Arial" w:eastAsia="Arial" w:hAnsi="Arial"/>
          <w:sz w:val="13"/>
          <w:szCs w:val="13"/>
          <w:b w:val="1"/>
          <w:bCs w:val="1"/>
          <w:i w:val="1"/>
          <w:iCs w:val="1"/>
          <w:color w:val="auto"/>
        </w:rPr>
        <w:t>Shortfall Amount</w:t>
      </w:r>
      <w:r>
        <w:rPr>
          <w:rFonts w:ascii="Arial" w:cs="Arial" w:eastAsia="Arial" w:hAnsi="Arial"/>
          <w:sz w:val="13"/>
          <w:szCs w:val="13"/>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326" w:lineRule="exact"/>
        <w:rPr>
          <w:sz w:val="20"/>
          <w:szCs w:val="20"/>
          <w:color w:val="auto"/>
        </w:rPr>
      </w:pPr>
    </w:p>
    <w:p>
      <w:pPr>
        <w:jc w:val="both"/>
        <w:ind w:right="20" w:firstLine="283"/>
        <w:spacing w:after="0" w:line="281" w:lineRule="auto"/>
        <w:rPr>
          <w:sz w:val="20"/>
          <w:szCs w:val="20"/>
          <w:color w:val="auto"/>
        </w:rPr>
      </w:pPr>
      <w:r>
        <w:rPr>
          <w:rFonts w:ascii="Arial" w:cs="Arial" w:eastAsia="Arial" w:hAnsi="Arial"/>
          <w:sz w:val="15"/>
          <w:szCs w:val="15"/>
          <w:color w:val="auto"/>
        </w:rPr>
        <w:t>In the coming years, we believe we will also be able to provide hydrogen fuel to vehicle fleets, by constructing and servicing hydrogen fueling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We Generate Revenue</w:t>
      </w:r>
    </w:p>
    <w:p>
      <w:pPr>
        <w:spacing w:after="0" w:line="193" w:lineRule="exact"/>
        <w:rPr>
          <w:sz w:val="20"/>
          <w:szCs w:val="20"/>
          <w:color w:val="auto"/>
        </w:rPr>
      </w:pPr>
    </w:p>
    <w:p>
      <w:pPr>
        <w:jc w:val="both"/>
        <w:ind w:firstLine="283"/>
        <w:spacing w:after="0" w:line="258" w:lineRule="auto"/>
        <w:rPr>
          <w:sz w:val="20"/>
          <w:szCs w:val="20"/>
          <w:color w:val="auto"/>
        </w:rPr>
      </w:pPr>
      <w:r>
        <w:rPr>
          <w:rFonts w:ascii="Arial" w:cs="Arial" w:eastAsia="Arial" w:hAnsi="Arial"/>
          <w:sz w:val="16"/>
          <w:szCs w:val="16"/>
          <w:b w:val="1"/>
          <w:bCs w:val="1"/>
          <w:i w:val="1"/>
          <w:iCs w:val="1"/>
          <w:color w:val="auto"/>
        </w:rPr>
        <w:t>Overview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revenues are driven principally from the sale of Environmental Attributes that are generated from dispensing RNG as transportation fuel for heavy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medium-duty trucking fleets at Fueling Stations. In addition, we generate revenue from the sale of (i) Renewable Power, (ii) design, development, construction and service of Fueling Stations, and (iii) from sales of RNG produced by OPAL as pipeline quality natural gas.</w:t>
      </w:r>
    </w:p>
    <w:p>
      <w:pPr>
        <w:spacing w:after="0" w:line="160"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b w:val="1"/>
          <w:bCs w:val="1"/>
          <w:i w:val="1"/>
          <w:iCs w:val="1"/>
          <w:color w:val="auto"/>
        </w:rPr>
        <w:t>Environmental Attributes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our Environmental Attributes revenue stream is primarily comprised of RINs, LCFS credits, and RECs. If RNG is dispensed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w:t>
      </w:r>
      <w:r>
        <w:rPr>
          <w:rFonts w:ascii="Arial" w:cs="Arial" w:eastAsia="Arial" w:hAnsi="Arial"/>
          <w:sz w:val="16"/>
          <w:szCs w:val="16"/>
          <w:i w:val="1"/>
          <w:iCs w:val="1"/>
          <w:color w:val="auto"/>
        </w:rPr>
        <w:t>—Biogas RNG Market Opportunity.</w:t>
      </w:r>
      <w:r>
        <w:rPr>
          <w:rFonts w:ascii="Arial" w:cs="Arial" w:eastAsia="Arial" w:hAnsi="Arial"/>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82" w:name="page83"/>
    <w:bookmarkEnd w:id="82"/>
    <w:p>
      <w:pPr>
        <w:jc w:val="both"/>
        <w:ind w:right="20" w:firstLine="283"/>
        <w:spacing w:after="0" w:line="284" w:lineRule="auto"/>
        <w:rPr>
          <w:sz w:val="20"/>
          <w:szCs w:val="20"/>
          <w:color w:val="auto"/>
        </w:rPr>
      </w:pPr>
      <w:r>
        <w:rPr>
          <w:rFonts w:ascii="Arial" w:cs="Arial" w:eastAsia="Arial" w:hAnsi="Arial"/>
          <w:sz w:val="15"/>
          <w:szCs w:val="15"/>
          <w:b w:val="1"/>
          <w:bCs w:val="1"/>
          <w:i w:val="1"/>
          <w:iCs w:val="1"/>
          <w:color w:val="auto"/>
        </w:rPr>
        <w:t>Power Purchase Agreements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Renewable Power projects generally have associated long-term Power Purchase Agreements (“</w:t>
      </w:r>
      <w:r>
        <w:rPr>
          <w:rFonts w:ascii="Arial" w:cs="Arial" w:eastAsia="Arial" w:hAnsi="Arial"/>
          <w:sz w:val="15"/>
          <w:szCs w:val="15"/>
          <w:b w:val="1"/>
          <w:bCs w:val="1"/>
          <w:i w:val="1"/>
          <w:iCs w:val="1"/>
          <w:color w:val="auto"/>
        </w:rPr>
        <w:t>PPAs</w:t>
      </w:r>
      <w:r>
        <w:rPr>
          <w:rFonts w:ascii="Arial" w:cs="Arial" w:eastAsia="Arial" w:hAnsi="Arial"/>
          <w:sz w:val="15"/>
          <w:szCs w:val="15"/>
          <w:color w:val="auto"/>
        </w:rPr>
        <w:t>”) with creditworthy utility off-takers or municipalities. Nearly all of our Renewable Power off-takers have investment grade credit ratings with either S&amp;P or Moody’s. As discussed above, we also generate Renewable Energy Credits (“</w:t>
      </w:r>
      <w:r>
        <w:rPr>
          <w:rFonts w:ascii="Arial" w:cs="Arial" w:eastAsia="Arial" w:hAnsi="Arial"/>
          <w:sz w:val="15"/>
          <w:szCs w:val="15"/>
          <w:b w:val="1"/>
          <w:bCs w:val="1"/>
          <w:i w:val="1"/>
          <w:iCs w:val="1"/>
          <w:color w:val="auto"/>
        </w:rPr>
        <w:t>RECs</w:t>
      </w:r>
      <w:r>
        <w:rPr>
          <w:rFonts w:ascii="Arial" w:cs="Arial" w:eastAsia="Arial" w:hAnsi="Arial"/>
          <w:sz w:val="15"/>
          <w:szCs w:val="15"/>
          <w:color w:val="auto"/>
        </w:rPr>
        <w:t>”) from Renewable Power projects through the conversion of biogas to Renewable Power.</w:t>
      </w:r>
    </w:p>
    <w:p>
      <w:pPr>
        <w:spacing w:after="0" w:line="141" w:lineRule="exact"/>
        <w:rPr>
          <w:sz w:val="20"/>
          <w:szCs w:val="20"/>
          <w:color w:val="auto"/>
        </w:rPr>
      </w:pPr>
    </w:p>
    <w:p>
      <w:pPr>
        <w:jc w:val="both"/>
        <w:ind w:firstLine="283"/>
        <w:spacing w:after="0" w:line="319" w:lineRule="auto"/>
        <w:rPr>
          <w:sz w:val="20"/>
          <w:szCs w:val="20"/>
          <w:color w:val="auto"/>
        </w:rPr>
      </w:pPr>
      <w:r>
        <w:rPr>
          <w:rFonts w:ascii="Arial" w:cs="Arial" w:eastAsia="Arial" w:hAnsi="Arial"/>
          <w:sz w:val="13"/>
          <w:szCs w:val="13"/>
          <w:b w:val="1"/>
          <w:bCs w:val="1"/>
          <w:i w:val="1"/>
          <w:iCs w:val="1"/>
          <w:color w:val="auto"/>
        </w:rPr>
        <w:t>Fueling Station Construction and Services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have significant experience in the engineering, design, construction and operation of Fueling Stations that dispense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RNG. Since 2009, TruStar Energy,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its customers obtain federal, state and local tax credits, grants and incentives.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Biogas Conversion Projects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Typically, a Biogas Conversion Project includes two phases: (i) biogas collection and (ii) processing and purifying biogas.</w:t>
      </w:r>
    </w:p>
    <w:p>
      <w:pPr>
        <w:spacing w:after="0" w:line="193" w:lineRule="exact"/>
        <w:rPr>
          <w:sz w:val="20"/>
          <w:szCs w:val="20"/>
          <w:color w:val="auto"/>
        </w:rPr>
      </w:pPr>
    </w:p>
    <w:p>
      <w:pPr>
        <w:jc w:val="both"/>
        <w:ind w:right="20" w:firstLine="283"/>
        <w:spacing w:after="0" w:line="271" w:lineRule="auto"/>
        <w:rPr>
          <w:sz w:val="20"/>
          <w:szCs w:val="20"/>
          <w:color w:val="auto"/>
        </w:rPr>
      </w:pPr>
      <w:r>
        <w:rPr>
          <w:rFonts w:ascii="Arial" w:cs="Arial" w:eastAsia="Arial" w:hAnsi="Arial"/>
          <w:sz w:val="15"/>
          <w:szCs w:val="15"/>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is able to leverage existing collection infrastructure in biogas plant design.</w:t>
      </w:r>
    </w:p>
    <w:p>
      <w:pPr>
        <w:spacing w:after="0" w:line="157" w:lineRule="exact"/>
        <w:rPr>
          <w:sz w:val="20"/>
          <w:szCs w:val="20"/>
          <w:color w:val="auto"/>
        </w:rPr>
      </w:pPr>
    </w:p>
    <w:p>
      <w:pPr>
        <w:jc w:val="both"/>
        <w:ind w:firstLine="283"/>
        <w:spacing w:after="0" w:line="241" w:lineRule="auto"/>
        <w:rPr>
          <w:sz w:val="20"/>
          <w:szCs w:val="20"/>
          <w:color w:val="auto"/>
        </w:rPr>
      </w:pPr>
      <w:r>
        <w:rPr>
          <w:rFonts w:ascii="Arial" w:cs="Arial" w:eastAsia="Arial" w:hAnsi="Arial"/>
          <w:sz w:val="15"/>
          <w:szCs w:val="15"/>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and which can be immediately used or deployed into the grid. To further upgrade the gas to pipeline quality RNG, the partially treated biogas then goes through separation of the CO</w:t>
      </w:r>
      <w:r>
        <w:rPr>
          <w:rFonts w:ascii="Arial" w:cs="Arial" w:eastAsia="Arial" w:hAnsi="Arial"/>
          <w:sz w:val="25"/>
          <w:szCs w:val="25"/>
          <w:color w:val="auto"/>
          <w:vertAlign w:val="subscript"/>
        </w:rPr>
        <w:t>2</w:t>
      </w:r>
      <w:r>
        <w:rPr>
          <w:rFonts w:ascii="Arial" w:cs="Arial" w:eastAsia="Arial" w:hAnsi="Arial"/>
          <w:sz w:val="15"/>
          <w:szCs w:val="15"/>
          <w:color w:val="auto"/>
        </w:rPr>
        <w:t xml:space="preserve"> from the methane molecules. Further treatment of the biogas is often required to remove residual nitrogen and/or oxygen to meet pipeline specifications.</w:t>
      </w:r>
    </w:p>
    <w:p>
      <w:pPr>
        <w:spacing w:after="0" w:line="176"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If a biogas capture and conversion project is not within close proximity to a pipeline, the RNG is transported by road using tube trailers to a gas injection point.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Biogas RNG Market Opportunity</w:t>
      </w:r>
    </w:p>
    <w:p>
      <w:pPr>
        <w:spacing w:after="0" w:line="19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spacing w:after="0" w:line="16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83" w:name="page84"/>
    <w:bookmarkEnd w:id="83"/>
    <w:p>
      <w:pPr>
        <w:ind w:left="280"/>
        <w:spacing w:after="0"/>
        <w:rPr>
          <w:sz w:val="20"/>
          <w:szCs w:val="20"/>
          <w:color w:val="auto"/>
        </w:rPr>
      </w:pPr>
      <w:r>
        <w:rPr>
          <w:rFonts w:ascii="Arial" w:cs="Arial" w:eastAsia="Arial" w:hAnsi="Arial"/>
          <w:sz w:val="16"/>
          <w:szCs w:val="16"/>
          <w:b w:val="1"/>
          <w:bCs w:val="1"/>
          <w:i w:val="1"/>
          <w:iCs w:val="1"/>
          <w:color w:val="auto"/>
        </w:rPr>
        <w:t>Overview of Landfill Gas Sources</w:t>
      </w:r>
    </w:p>
    <w:p>
      <w:pPr>
        <w:spacing w:after="0" w:line="193" w:lineRule="exact"/>
        <w:rPr>
          <w:sz w:val="20"/>
          <w:szCs w:val="20"/>
          <w:color w:val="auto"/>
        </w:rPr>
      </w:pPr>
    </w:p>
    <w:p>
      <w:pPr>
        <w:jc w:val="both"/>
        <w:ind w:right="20" w:firstLine="283"/>
        <w:spacing w:after="0" w:line="271" w:lineRule="auto"/>
        <w:rPr>
          <w:sz w:val="20"/>
          <w:szCs w:val="20"/>
          <w:color w:val="auto"/>
        </w:rPr>
      </w:pPr>
      <w:r>
        <w:rPr>
          <w:rFonts w:ascii="Arial" w:cs="Arial" w:eastAsia="Arial" w:hAnsi="Arial"/>
          <w:sz w:val="15"/>
          <w:szCs w:val="15"/>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5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spacing w:after="0" w:line="169" w:lineRule="exact"/>
        <w:rPr>
          <w:sz w:val="20"/>
          <w:szCs w:val="20"/>
          <w:color w:val="auto"/>
        </w:rPr>
      </w:pPr>
    </w:p>
    <w:p>
      <w:pPr>
        <w:jc w:val="both"/>
        <w:ind w:firstLine="283"/>
        <w:spacing w:after="0" w:line="227" w:lineRule="auto"/>
        <w:rPr>
          <w:sz w:val="20"/>
          <w:szCs w:val="20"/>
          <w:color w:val="auto"/>
        </w:rPr>
      </w:pPr>
      <w:r>
        <w:rPr>
          <w:rFonts w:ascii="Arial" w:cs="Arial" w:eastAsia="Arial" w:hAnsi="Arial"/>
          <w:sz w:val="16"/>
          <w:szCs w:val="16"/>
          <w:color w:val="auto"/>
        </w:rPr>
        <w:t>Using proven gas purification technology, biogas can be processed onsite to remove impurities, and used at around 50% methane to generate Renewable Power. Biogas can be further processed and upgraded to remove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Overview of Livestock Sources</w:t>
      </w:r>
    </w:p>
    <w:p>
      <w:pPr>
        <w:spacing w:after="0" w:line="193"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Livestock are the top agricultural source of GHG worldwide, according to the EPA. Livestock waste, particularly from dairies, produces biomethane which can be converted to RNG through the use of an ADG.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28"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We view dairy farms as a significant opportunity for us to expand our RNG business. Processing biogas from dairy farms requires similar expertise and capabilities as processing biogas from landfills.</w:t>
      </w:r>
    </w:p>
    <w:p>
      <w:pPr>
        <w:spacing w:after="0" w:line="157"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Highly Fragmented Market</w:t>
      </w:r>
    </w:p>
    <w:p>
      <w:pPr>
        <w:spacing w:after="0" w:line="193"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LFG market is heavily fragmented, which we believe represents an opportunity for companies like us to find project opportunities. According to the EPA, the top ten players account for approximately 54% of installed LFG capacity as of September 2021, and over 90% of developers own five or fewer projects. This market dynamic creates the opportunity for consolidation by well capitalized, experienced market participants such as OPAL.</w:t>
      </w:r>
    </w:p>
    <w:p>
      <w:pPr>
        <w:spacing w:after="0" w:line="165"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While LFG has accounted for most of the growth in Biogas Conversion Projects to date, we believe additional economically viable LFG project opportunities exist. According to the EPA LMOP project database, as of September 2021, there were 548 LFG projects in operation in the United States, including 383 operating LFG-to-electricity projects that may be converted to produce RNG, 14 construction projects, and 53 planned RNG and Renewable Power projects, as well as 483 additional candidate landfills. Based on EPA data, these 483 candidate landfills have the potential to collect a combined 346.0 million standard cubic feet of LFG per day. Based on our industry experience, technical knowledge and analysis, we believe many of these sites are potentially economically viable for RNG project acquisitions.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84" w:name="page85"/>
    <w:bookmarkEnd w:id="84"/>
    <w:p>
      <w:pPr>
        <w:jc w:val="both"/>
        <w:ind w:firstLine="283"/>
        <w:spacing w:after="0" w:line="266" w:lineRule="auto"/>
        <w:rPr>
          <w:sz w:val="20"/>
          <w:szCs w:val="20"/>
          <w:color w:val="auto"/>
        </w:rPr>
      </w:pPr>
      <w:r>
        <w:rPr>
          <w:rFonts w:ascii="Arial" w:cs="Arial" w:eastAsia="Arial" w:hAnsi="Arial"/>
          <w:sz w:val="15"/>
          <w:szCs w:val="15"/>
          <w:color w:val="auto"/>
        </w:rPr>
        <w:t>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carbon dioxide 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its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Well-Established Regulatory Framework</w:t>
      </w:r>
    </w:p>
    <w:p>
      <w:pPr>
        <w:spacing w:after="0" w:line="193"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w:t>
      </w:r>
      <w:r>
        <w:rPr>
          <w:rFonts w:ascii="Arial" w:cs="Arial" w:eastAsia="Arial" w:hAnsi="Arial"/>
          <w:sz w:val="15"/>
          <w:szCs w:val="15"/>
          <w:b w:val="1"/>
          <w:bCs w:val="1"/>
          <w:i w:val="1"/>
          <w:iCs w:val="1"/>
          <w:color w:val="auto"/>
        </w:rPr>
        <w:t>D3</w:t>
      </w:r>
      <w:r>
        <w:rPr>
          <w:rFonts w:ascii="Arial" w:cs="Arial" w:eastAsia="Arial" w:hAnsi="Arial"/>
          <w:sz w:val="15"/>
          <w:szCs w:val="15"/>
          <w:color w:val="auto"/>
        </w:rPr>
        <w:t>”) RIN, which is currently the highest priced RIN and commands a premium compared to non-cellulosic renewable fuels such as ethanol and renewable diesel.</w:t>
      </w:r>
    </w:p>
    <w:p>
      <w:pPr>
        <w:spacing w:after="0" w:line="155"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6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LCFS programs are state-level market-based programs designed to decrease carbon intensity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spacing w:after="0" w:line="165" w:lineRule="exact"/>
        <w:rPr>
          <w:sz w:val="20"/>
          <w:szCs w:val="20"/>
          <w:color w:val="auto"/>
        </w:rPr>
      </w:pPr>
    </w:p>
    <w:p>
      <w:pPr>
        <w:jc w:val="both"/>
        <w:ind w:right="20" w:firstLine="283"/>
        <w:spacing w:after="0" w:line="249" w:lineRule="auto"/>
        <w:rPr>
          <w:sz w:val="20"/>
          <w:szCs w:val="20"/>
          <w:color w:val="auto"/>
        </w:rPr>
      </w:pPr>
      <w:r>
        <w:rPr>
          <w:rFonts w:ascii="Arial" w:cs="Arial" w:eastAsia="Arial" w:hAnsi="Arial"/>
          <w:sz w:val="16"/>
          <w:szCs w:val="16"/>
          <w:color w:val="auto"/>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spacing w:after="0" w:line="174"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Economic Benefits Incentivize Switching to RNG</w:t>
      </w:r>
    </w:p>
    <w:p>
      <w:pPr>
        <w:spacing w:after="0" w:line="19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85" w:name="page86"/>
    <w:bookmarkEnd w:id="85"/>
    <w:tbl>
      <w:tblPr>
        <w:tblLayout w:type="fixed"/>
        <w:tblInd w:w="6" w:type="dxa"/>
        <w:tblCellMar>
          <w:top w:w="0" w:type="dxa"/>
          <w:left w:w="0" w:type="dxa"/>
          <w:bottom w:w="0" w:type="dxa"/>
          <w:right w:w="0" w:type="dxa"/>
        </w:tblCellMar>
      </w:tblPr>
      <w:tr>
        <w:trPr>
          <w:trHeight w:val="204"/>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Our Projects</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7080" w:type="dxa"/>
            <w:vAlign w:val="bottom"/>
          </w:tcPr>
          <w:p>
            <w:pPr>
              <w:ind w:left="260"/>
              <w:spacing w:after="0"/>
              <w:rPr>
                <w:sz w:val="20"/>
                <w:szCs w:val="20"/>
                <w:color w:val="auto"/>
              </w:rPr>
            </w:pPr>
            <w:r>
              <w:rPr>
                <w:rFonts w:ascii="Arial" w:cs="Arial" w:eastAsia="Arial" w:hAnsi="Arial"/>
                <w:sz w:val="16"/>
                <w:szCs w:val="16"/>
                <w:b w:val="1"/>
                <w:bCs w:val="1"/>
                <w:i w:val="1"/>
                <w:iCs w:val="1"/>
                <w:color w:val="auto"/>
              </w:rPr>
              <w:t>RNG Projects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7080" w:type="dxa"/>
            <w:vAlign w:val="bottom"/>
          </w:tcPr>
          <w:p>
            <w:pPr>
              <w:ind w:left="260"/>
              <w:spacing w:after="0"/>
              <w:rPr>
                <w:sz w:val="20"/>
                <w:szCs w:val="20"/>
                <w:color w:val="auto"/>
              </w:rPr>
            </w:pPr>
            <w:r>
              <w:rPr>
                <w:rFonts w:ascii="Arial" w:cs="Arial" w:eastAsia="Arial" w:hAnsi="Arial"/>
                <w:sz w:val="16"/>
                <w:szCs w:val="16"/>
                <w:color w:val="auto"/>
              </w:rPr>
              <w:t>Below is a table setting forth the RNG projects in our portfolio as of July 31, 2022:</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Design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Capacity</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(MMBtus</w:t>
            </w: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3"/>
              </w:rPr>
              <w:t>Source of</w:t>
            </w:r>
          </w:p>
        </w:tc>
        <w:tc>
          <w:tcPr>
            <w:tcW w:w="15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OPAL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320" w:type="dxa"/>
            <w:vAlign w:val="bottom"/>
            <w:gridSpan w:val="2"/>
          </w:tcPr>
          <w:p>
            <w:pPr>
              <w:jc w:val="center"/>
              <w:ind w:right="200"/>
              <w:spacing w:after="0" w:line="236" w:lineRule="exact"/>
              <w:rPr>
                <w:sz w:val="20"/>
                <w:szCs w:val="20"/>
                <w:color w:val="auto"/>
              </w:rPr>
            </w:pPr>
            <w:r>
              <w:rPr>
                <w:rFonts w:ascii="Arial" w:cs="Arial" w:eastAsia="Arial" w:hAnsi="Arial"/>
                <w:sz w:val="16"/>
                <w:szCs w:val="16"/>
                <w:b w:val="1"/>
                <w:bCs w:val="1"/>
                <w:color w:val="auto"/>
                <w:w w:val="87"/>
              </w:rPr>
              <w:t>Per Year)</w:t>
            </w:r>
            <w:r>
              <w:rPr>
                <w:rFonts w:ascii="Arial" w:cs="Arial" w:eastAsia="Arial" w:hAnsi="Arial"/>
                <w:sz w:val="26"/>
                <w:szCs w:val="26"/>
                <w:b w:val="1"/>
                <w:bCs w:val="1"/>
                <w:color w:val="auto"/>
                <w:w w:val="87"/>
                <w:vertAlign w:val="superscript"/>
              </w:rPr>
              <w:t>(1)</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2"/>
              </w:rPr>
              <w:t>Biogas</w:t>
            </w:r>
          </w:p>
        </w:tc>
        <w:tc>
          <w:tcPr>
            <w:tcW w:w="1500" w:type="dxa"/>
            <w:vAlign w:val="bottom"/>
            <w:gridSpan w:val="2"/>
          </w:tcPr>
          <w:p>
            <w:pPr>
              <w:jc w:val="right"/>
              <w:ind w:right="280"/>
              <w:spacing w:after="0" w:line="236" w:lineRule="exact"/>
              <w:rPr>
                <w:sz w:val="20"/>
                <w:szCs w:val="20"/>
                <w:color w:val="auto"/>
              </w:rPr>
            </w:pPr>
            <w:r>
              <w:rPr>
                <w:rFonts w:ascii="Arial" w:cs="Arial" w:eastAsia="Arial" w:hAnsi="Arial"/>
                <w:sz w:val="16"/>
                <w:szCs w:val="16"/>
                <w:b w:val="1"/>
                <w:bCs w:val="1"/>
                <w:color w:val="auto"/>
                <w:w w:val="97"/>
              </w:rPr>
              <w:t>Ownership %</w:t>
            </w:r>
            <w:r>
              <w:rPr>
                <w:rFonts w:ascii="Arial" w:cs="Arial" w:eastAsia="Arial" w:hAnsi="Arial"/>
                <w:sz w:val="26"/>
                <w:szCs w:val="26"/>
                <w:b w:val="1"/>
                <w:bCs w:val="1"/>
                <w:color w:val="auto"/>
                <w:w w:val="97"/>
                <w:vertAlign w:val="superscript"/>
              </w:rPr>
              <w:t>(2)</w:t>
            </w:r>
          </w:p>
        </w:tc>
        <w:tc>
          <w:tcPr>
            <w:tcW w:w="0" w:type="dxa"/>
            <w:vAlign w:val="bottom"/>
          </w:tcPr>
          <w:p>
            <w:pPr>
              <w:spacing w:after="0"/>
              <w:rPr>
                <w:sz w:val="1"/>
                <w:szCs w:val="1"/>
                <w:color w:val="auto"/>
              </w:rPr>
            </w:pPr>
          </w:p>
        </w:tc>
      </w:tr>
      <w:tr>
        <w:trPr>
          <w:trHeight w:val="187"/>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RNG Projects in Operation</w:t>
            </w: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Greentree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900,000</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6"/>
              </w:rPr>
              <w:t>LFG</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Arial" w:cs="Arial" w:eastAsia="Arial" w:hAnsi="Arial"/>
                <w:sz w:val="16"/>
                <w:szCs w:val="16"/>
                <w:color w:val="auto"/>
              </w:rPr>
              <w:t>Imperial</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900,000</w:t>
            </w:r>
          </w:p>
        </w:tc>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LFG</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8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New River</w:t>
            </w:r>
            <w:r>
              <w:rPr>
                <w:rFonts w:ascii="Arial" w:cs="Arial" w:eastAsia="Arial" w:hAnsi="Arial"/>
                <w:sz w:val="25"/>
                <w:szCs w:val="25"/>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600,000</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6"/>
              </w:rPr>
              <w:t>LFG</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80" w:type="dxa"/>
            <w:vAlign w:val="bottom"/>
          </w:tcPr>
          <w:p>
            <w:pPr>
              <w:spacing w:after="0" w:line="223" w:lineRule="exact"/>
              <w:rPr>
                <w:sz w:val="20"/>
                <w:szCs w:val="20"/>
                <w:color w:val="auto"/>
              </w:rPr>
            </w:pPr>
            <w:r>
              <w:rPr>
                <w:rFonts w:ascii="Arial" w:cs="Arial" w:eastAsia="Arial" w:hAnsi="Arial"/>
                <w:sz w:val="15"/>
                <w:szCs w:val="15"/>
                <w:color w:val="auto"/>
              </w:rPr>
              <w:t>Noble Road</w:t>
            </w:r>
            <w:r>
              <w:rPr>
                <w:rFonts w:ascii="Arial" w:cs="Arial" w:eastAsia="Arial" w:hAnsi="Arial"/>
                <w:sz w:val="25"/>
                <w:szCs w:val="25"/>
                <w:color w:val="auto"/>
                <w:vertAlign w:val="superscript"/>
              </w:rPr>
              <w:t>(3)</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800,000</w:t>
            </w:r>
          </w:p>
        </w:tc>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LFG</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50%/62.5%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8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Pine Bend</w:t>
            </w:r>
            <w:r>
              <w:rPr>
                <w:rFonts w:ascii="Arial" w:cs="Arial" w:eastAsia="Arial" w:hAnsi="Arial"/>
                <w:sz w:val="25"/>
                <w:szCs w:val="25"/>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775,000</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6"/>
              </w:rPr>
              <w:t>LFG</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50%/62.5%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Arial" w:cs="Arial" w:eastAsia="Arial" w:hAnsi="Arial"/>
                <w:sz w:val="16"/>
                <w:szCs w:val="16"/>
                <w:color w:val="auto"/>
              </w:rPr>
              <w:t>Sunoma</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200,000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Dairy</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90%/30%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Subtotal</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4,175,000</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RNG Projects In Construction</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Arial" w:cs="Arial" w:eastAsia="Arial" w:hAnsi="Arial"/>
                <w:sz w:val="16"/>
                <w:szCs w:val="16"/>
                <w:color w:val="auto"/>
              </w:rPr>
              <w:t>BioTown</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375,000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Dairy</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Hilltop</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250,000</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Dairy</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Arial" w:cs="Arial" w:eastAsia="Arial" w:hAnsi="Arial"/>
                <w:sz w:val="16"/>
                <w:szCs w:val="16"/>
                <w:color w:val="auto"/>
              </w:rPr>
              <w:t>Michigan 1</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2,200,000</w:t>
            </w:r>
          </w:p>
        </w:tc>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LFG</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8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North Carolina 2</w:t>
            </w:r>
            <w:r>
              <w:rPr>
                <w:rFonts w:ascii="Arial" w:cs="Arial" w:eastAsia="Arial" w:hAnsi="Arial"/>
                <w:sz w:val="25"/>
                <w:szCs w:val="25"/>
                <w:color w:val="auto"/>
                <w:vertAlign w:val="superscript"/>
              </w:rPr>
              <w:t>(4)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1,100,000</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6"/>
              </w:rPr>
              <w:t>LFG</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Arial" w:cs="Arial" w:eastAsia="Arial" w:hAnsi="Arial"/>
                <w:sz w:val="16"/>
                <w:szCs w:val="16"/>
                <w:color w:val="auto"/>
              </w:rPr>
              <w:t>Prince William</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1,600,000</w:t>
            </w:r>
          </w:p>
        </w:tc>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LFG</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Vander Schaaf</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250,000</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Dairy</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5,775,000</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86" w:hanging="286"/>
        <w:spacing w:after="0" w:line="266" w:lineRule="auto"/>
        <w:tabs>
          <w:tab w:leader="none" w:pos="286"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57" w:lineRule="exact"/>
        <w:rPr>
          <w:rFonts w:ascii="Arial" w:cs="Arial" w:eastAsia="Arial" w:hAnsi="Arial"/>
          <w:sz w:val="16"/>
          <w:szCs w:val="16"/>
          <w:color w:val="auto"/>
        </w:rPr>
      </w:pPr>
    </w:p>
    <w:p>
      <w:pPr>
        <w:ind w:left="286" w:hanging="286"/>
        <w:spacing w:after="0" w:line="266" w:lineRule="auto"/>
        <w:tabs>
          <w:tab w:leader="none" w:pos="286" w:val="left"/>
        </w:tabs>
        <w:numPr>
          <w:ilvl w:val="0"/>
          <w:numId w:val="58"/>
        </w:numPr>
        <w:rPr>
          <w:rFonts w:ascii="Arial" w:cs="Arial" w:eastAsia="Arial" w:hAnsi="Arial"/>
          <w:sz w:val="16"/>
          <w:szCs w:val="16"/>
          <w:color w:val="auto"/>
        </w:rPr>
      </w:pPr>
      <w:r>
        <w:rPr>
          <w:rFonts w:ascii="Arial" w:cs="Arial" w:eastAsia="Arial" w:hAnsi="Arial"/>
          <w:sz w:val="16"/>
          <w:szCs w:val="16"/>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157" w:lineRule="exact"/>
        <w:rPr>
          <w:rFonts w:ascii="Arial" w:cs="Arial" w:eastAsia="Arial" w:hAnsi="Arial"/>
          <w:sz w:val="16"/>
          <w:szCs w:val="16"/>
          <w:color w:val="auto"/>
        </w:rPr>
      </w:pPr>
    </w:p>
    <w:p>
      <w:pPr>
        <w:ind w:left="286" w:hanging="286"/>
        <w:spacing w:after="0"/>
        <w:tabs>
          <w:tab w:leader="none" w:pos="286"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New River, Noble Road and Pine Bend have just recently begun operations and are in a ramp-up phase.</w:t>
      </w:r>
    </w:p>
    <w:p>
      <w:pPr>
        <w:spacing w:after="0" w:line="192" w:lineRule="exact"/>
        <w:rPr>
          <w:rFonts w:ascii="Arial" w:cs="Arial" w:eastAsia="Arial" w:hAnsi="Arial"/>
          <w:sz w:val="16"/>
          <w:szCs w:val="16"/>
          <w:color w:val="auto"/>
        </w:rPr>
      </w:pPr>
    </w:p>
    <w:p>
      <w:pPr>
        <w:ind w:left="286" w:hanging="286"/>
        <w:spacing w:after="0"/>
        <w:tabs>
          <w:tab w:leader="none" w:pos="286"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North Carolina 2 has secured gas rights and site access and is anticipated to begin construction in the second quarter of 2022.</w:t>
      </w:r>
    </w:p>
    <w:p>
      <w:pPr>
        <w:spacing w:after="0" w:line="38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2" w:right="319" w:bottom="1440" w:gutter="0" w:footer="0" w:header="0"/>
        </w:sectPr>
      </w:pPr>
    </w:p>
    <w:bookmarkStart w:id="86" w:name="page87"/>
    <w:bookmarkEnd w:id="86"/>
    <w:tbl>
      <w:tblPr>
        <w:tblLayout w:type="fixed"/>
        <w:tblInd w:w="6" w:type="dxa"/>
        <w:tblCellMar>
          <w:top w:w="0" w:type="dxa"/>
          <w:left w:w="0" w:type="dxa"/>
          <w:bottom w:w="0" w:type="dxa"/>
          <w:right w:w="0" w:type="dxa"/>
        </w:tblCellMar>
      </w:tblPr>
      <w:tr>
        <w:trPr>
          <w:trHeight w:val="200"/>
        </w:trPr>
        <w:tc>
          <w:tcPr>
            <w:tcW w:w="6880" w:type="dxa"/>
            <w:vAlign w:val="bottom"/>
          </w:tcPr>
          <w:p>
            <w:pPr>
              <w:ind w:left="280"/>
              <w:spacing w:after="0"/>
              <w:rPr>
                <w:sz w:val="20"/>
                <w:szCs w:val="20"/>
                <w:color w:val="auto"/>
              </w:rPr>
            </w:pPr>
            <w:r>
              <w:rPr>
                <w:rFonts w:ascii="Arial" w:cs="Arial" w:eastAsia="Arial" w:hAnsi="Arial"/>
                <w:sz w:val="16"/>
                <w:szCs w:val="16"/>
                <w:b w:val="1"/>
                <w:bCs w:val="1"/>
                <w:i w:val="1"/>
                <w:iCs w:val="1"/>
                <w:color w:val="auto"/>
              </w:rPr>
              <w:t>Renewable Power Projects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77"/>
        </w:trPr>
        <w:tc>
          <w:tcPr>
            <w:tcW w:w="6880" w:type="dxa"/>
            <w:vAlign w:val="bottom"/>
          </w:tcPr>
          <w:p>
            <w:pPr>
              <w:ind w:left="280"/>
              <w:spacing w:after="0"/>
              <w:rPr>
                <w:sz w:val="20"/>
                <w:szCs w:val="20"/>
                <w:color w:val="auto"/>
              </w:rPr>
            </w:pPr>
            <w:r>
              <w:rPr>
                <w:rFonts w:ascii="Arial" w:cs="Arial" w:eastAsia="Arial" w:hAnsi="Arial"/>
                <w:sz w:val="16"/>
                <w:szCs w:val="16"/>
                <w:color w:val="auto"/>
              </w:rPr>
              <w:t>Below is a table setting forth the Renewable Power projects in operation in our portfolio:</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1"/>
        </w:trPr>
        <w:tc>
          <w:tcPr>
            <w:tcW w:w="6880" w:type="dxa"/>
            <w:vAlign w:val="bottom"/>
          </w:tcPr>
          <w:p>
            <w:pPr>
              <w:spacing w:after="0"/>
              <w:rPr>
                <w:sz w:val="24"/>
                <w:szCs w:val="2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Nameplate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3"/>
        </w:trPr>
        <w:tc>
          <w:tcPr>
            <w:tcW w:w="6880" w:type="dxa"/>
            <w:vAlign w:val="bottom"/>
          </w:tcPr>
          <w:p>
            <w:pPr>
              <w:spacing w:after="0"/>
              <w:rPr>
                <w:sz w:val="16"/>
                <w:szCs w:val="16"/>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Capacity</w:t>
            </w:r>
          </w:p>
        </w:tc>
        <w:tc>
          <w:tcPr>
            <w:tcW w:w="1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RNG</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Stage</w:t>
            </w:r>
          </w:p>
        </w:tc>
      </w:tr>
      <w:tr>
        <w:trPr>
          <w:trHeight w:val="188"/>
        </w:trPr>
        <w:tc>
          <w:tcPr>
            <w:tcW w:w="6880" w:type="dxa"/>
            <w:vAlign w:val="bottom"/>
          </w:tcPr>
          <w:p>
            <w:pPr>
              <w:spacing w:after="0"/>
              <w:rPr>
                <w:sz w:val="16"/>
                <w:szCs w:val="16"/>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(MW Per</w:t>
            </w:r>
          </w:p>
        </w:tc>
        <w:tc>
          <w:tcPr>
            <w:tcW w:w="1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Conversion</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of RNG</w:t>
            </w:r>
          </w:p>
        </w:tc>
      </w:tr>
      <w:tr>
        <w:trPr>
          <w:trHeight w:val="239"/>
        </w:trPr>
        <w:tc>
          <w:tcPr>
            <w:tcW w:w="6880" w:type="dxa"/>
            <w:vAlign w:val="bottom"/>
          </w:tcPr>
          <w:p>
            <w:pPr>
              <w:spacing w:after="0"/>
              <w:rPr>
                <w:sz w:val="20"/>
                <w:szCs w:val="20"/>
                <w:color w:val="auto"/>
              </w:rPr>
            </w:pPr>
          </w:p>
        </w:tc>
        <w:tc>
          <w:tcPr>
            <w:tcW w:w="1160" w:type="dxa"/>
            <w:vAlign w:val="bottom"/>
            <w:gridSpan w:val="2"/>
          </w:tcPr>
          <w:p>
            <w:pPr>
              <w:jc w:val="center"/>
              <w:ind w:right="40"/>
              <w:spacing w:after="0" w:line="236" w:lineRule="exact"/>
              <w:rPr>
                <w:sz w:val="20"/>
                <w:szCs w:val="20"/>
                <w:color w:val="auto"/>
              </w:rPr>
            </w:pPr>
            <w:r>
              <w:rPr>
                <w:rFonts w:ascii="Arial" w:cs="Arial" w:eastAsia="Arial" w:hAnsi="Arial"/>
                <w:sz w:val="16"/>
                <w:szCs w:val="16"/>
                <w:b w:val="1"/>
                <w:bCs w:val="1"/>
                <w:color w:val="auto"/>
                <w:w w:val="87"/>
              </w:rPr>
              <w:t>Hour)</w:t>
            </w:r>
            <w:r>
              <w:rPr>
                <w:rFonts w:ascii="Arial" w:cs="Arial" w:eastAsia="Arial" w:hAnsi="Arial"/>
                <w:sz w:val="26"/>
                <w:szCs w:val="26"/>
                <w:b w:val="1"/>
                <w:bCs w:val="1"/>
                <w:color w:val="auto"/>
                <w:w w:val="87"/>
                <w:vertAlign w:val="superscript"/>
              </w:rPr>
              <w:t>(1)</w:t>
            </w:r>
          </w:p>
        </w:tc>
        <w:tc>
          <w:tcPr>
            <w:tcW w:w="18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Candidate?</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Conversion</w:t>
            </w:r>
          </w:p>
        </w:tc>
      </w:tr>
      <w:tr>
        <w:trPr>
          <w:trHeight w:val="188"/>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California 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79"/>
              </w:rPr>
              <w:t>Yes</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In Development</w:t>
            </w:r>
          </w:p>
        </w:tc>
      </w:tr>
      <w:tr>
        <w:trPr>
          <w:trHeight w:val="188"/>
        </w:trPr>
        <w:tc>
          <w:tcPr>
            <w:tcW w:w="6880" w:type="dxa"/>
            <w:vAlign w:val="bottom"/>
          </w:tcPr>
          <w:p>
            <w:pPr>
              <w:spacing w:after="0"/>
              <w:rPr>
                <w:sz w:val="20"/>
                <w:szCs w:val="20"/>
                <w:color w:val="auto"/>
              </w:rPr>
            </w:pPr>
            <w:r>
              <w:rPr>
                <w:rFonts w:ascii="Arial" w:cs="Arial" w:eastAsia="Arial" w:hAnsi="Arial"/>
                <w:sz w:val="16"/>
                <w:szCs w:val="16"/>
                <w:color w:val="auto"/>
              </w:rPr>
              <w:t>California 2</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6.06</w:t>
            </w:r>
          </w:p>
        </w:tc>
        <w:tc>
          <w:tcPr>
            <w:tcW w:w="1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79"/>
              </w:rPr>
              <w:t>Yes</w:t>
            </w: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In Development</w:t>
            </w: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California 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8"/>
        </w:trPr>
        <w:tc>
          <w:tcPr>
            <w:tcW w:w="6880" w:type="dxa"/>
            <w:vAlign w:val="bottom"/>
          </w:tcPr>
          <w:p>
            <w:pPr>
              <w:spacing w:after="0"/>
              <w:rPr>
                <w:sz w:val="20"/>
                <w:szCs w:val="20"/>
                <w:color w:val="auto"/>
              </w:rPr>
            </w:pPr>
            <w:r>
              <w:rPr>
                <w:rFonts w:ascii="Arial" w:cs="Arial" w:eastAsia="Arial" w:hAnsi="Arial"/>
                <w:sz w:val="16"/>
                <w:szCs w:val="16"/>
                <w:color w:val="auto"/>
              </w:rPr>
              <w:t>California 4</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No</w:t>
            </w:r>
          </w:p>
        </w:tc>
        <w:tc>
          <w:tcPr>
            <w:tcW w:w="170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California 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8"/>
        </w:trPr>
        <w:tc>
          <w:tcPr>
            <w:tcW w:w="6880" w:type="dxa"/>
            <w:vAlign w:val="bottom"/>
          </w:tcPr>
          <w:p>
            <w:pPr>
              <w:spacing w:after="0"/>
              <w:rPr>
                <w:sz w:val="20"/>
                <w:szCs w:val="20"/>
                <w:color w:val="auto"/>
              </w:rPr>
            </w:pPr>
            <w:r>
              <w:rPr>
                <w:rFonts w:ascii="Arial" w:cs="Arial" w:eastAsia="Arial" w:hAnsi="Arial"/>
                <w:sz w:val="16"/>
                <w:szCs w:val="16"/>
                <w:color w:val="auto"/>
              </w:rPr>
              <w:t>California 6</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No</w:t>
            </w:r>
          </w:p>
        </w:tc>
        <w:tc>
          <w:tcPr>
            <w:tcW w:w="170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California 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8"/>
        </w:trPr>
        <w:tc>
          <w:tcPr>
            <w:tcW w:w="6880" w:type="dxa"/>
            <w:vAlign w:val="bottom"/>
          </w:tcPr>
          <w:p>
            <w:pPr>
              <w:spacing w:after="0"/>
              <w:rPr>
                <w:sz w:val="20"/>
                <w:szCs w:val="20"/>
                <w:color w:val="auto"/>
              </w:rPr>
            </w:pPr>
            <w:r>
              <w:rPr>
                <w:rFonts w:ascii="Arial" w:cs="Arial" w:eastAsia="Arial" w:hAnsi="Arial"/>
                <w:sz w:val="16"/>
                <w:szCs w:val="16"/>
                <w:color w:val="auto"/>
              </w:rPr>
              <w:t>California 8</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c>
          <w:tcPr>
            <w:tcW w:w="1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No</w:t>
            </w:r>
          </w:p>
        </w:tc>
        <w:tc>
          <w:tcPr>
            <w:tcW w:w="170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Florida</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8"/>
        </w:trPr>
        <w:tc>
          <w:tcPr>
            <w:tcW w:w="6880" w:type="dxa"/>
            <w:vAlign w:val="bottom"/>
          </w:tcPr>
          <w:p>
            <w:pPr>
              <w:spacing w:after="0"/>
              <w:rPr>
                <w:sz w:val="20"/>
                <w:szCs w:val="20"/>
                <w:color w:val="auto"/>
              </w:rPr>
            </w:pPr>
            <w:r>
              <w:rPr>
                <w:rFonts w:ascii="Arial" w:cs="Arial" w:eastAsia="Arial" w:hAnsi="Arial"/>
                <w:sz w:val="16"/>
                <w:szCs w:val="16"/>
                <w:color w:val="auto"/>
              </w:rPr>
              <w:t>Massachusetts 1</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5.3</w:t>
            </w:r>
          </w:p>
        </w:tc>
        <w:tc>
          <w:tcPr>
            <w:tcW w:w="1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79"/>
              </w:rPr>
              <w:t>Yes</w:t>
            </w: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In Development</w:t>
            </w: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Massachusetts 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24"/>
        </w:trPr>
        <w:tc>
          <w:tcPr>
            <w:tcW w:w="6880" w:type="dxa"/>
            <w:vAlign w:val="bottom"/>
          </w:tcPr>
          <w:p>
            <w:pPr>
              <w:spacing w:after="0" w:line="223" w:lineRule="exact"/>
              <w:rPr>
                <w:sz w:val="20"/>
                <w:szCs w:val="20"/>
                <w:color w:val="auto"/>
              </w:rPr>
            </w:pPr>
            <w:r>
              <w:rPr>
                <w:rFonts w:ascii="Arial" w:cs="Arial" w:eastAsia="Arial" w:hAnsi="Arial"/>
                <w:sz w:val="15"/>
                <w:szCs w:val="15"/>
                <w:color w:val="auto"/>
              </w:rPr>
              <w:t>Michigan 1E</w:t>
            </w:r>
            <w:r>
              <w:rPr>
                <w:rFonts w:ascii="Arial" w:cs="Arial" w:eastAsia="Arial" w:hAnsi="Arial"/>
                <w:sz w:val="25"/>
                <w:szCs w:val="25"/>
                <w:color w:val="auto"/>
                <w:vertAlign w:val="superscript"/>
              </w:rPr>
              <w:t>(2)</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28.9</w:t>
            </w:r>
          </w:p>
        </w:tc>
        <w:tc>
          <w:tcPr>
            <w:tcW w:w="18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79"/>
              </w:rPr>
              <w:t>Yes</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In Construction</w:t>
            </w: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Michigan 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79"/>
              </w:rPr>
              <w:t>Yes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In Development</w:t>
            </w:r>
          </w:p>
        </w:tc>
      </w:tr>
      <w:tr>
        <w:trPr>
          <w:trHeight w:val="188"/>
        </w:trPr>
        <w:tc>
          <w:tcPr>
            <w:tcW w:w="6880" w:type="dxa"/>
            <w:vAlign w:val="bottom"/>
          </w:tcPr>
          <w:p>
            <w:pPr>
              <w:spacing w:after="0"/>
              <w:rPr>
                <w:sz w:val="20"/>
                <w:szCs w:val="20"/>
                <w:color w:val="auto"/>
              </w:rPr>
            </w:pPr>
            <w:r>
              <w:rPr>
                <w:rFonts w:ascii="Arial" w:cs="Arial" w:eastAsia="Arial" w:hAnsi="Arial"/>
                <w:sz w:val="16"/>
                <w:szCs w:val="16"/>
                <w:color w:val="auto"/>
              </w:rPr>
              <w:t>New York</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No</w:t>
            </w:r>
          </w:p>
        </w:tc>
        <w:tc>
          <w:tcPr>
            <w:tcW w:w="170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North Carolina 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79"/>
              </w:rPr>
              <w:t>Yes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In Development</w:t>
            </w:r>
          </w:p>
        </w:tc>
      </w:tr>
      <w:tr>
        <w:trPr>
          <w:trHeight w:val="188"/>
        </w:trPr>
        <w:tc>
          <w:tcPr>
            <w:tcW w:w="6880" w:type="dxa"/>
            <w:vAlign w:val="bottom"/>
          </w:tcPr>
          <w:p>
            <w:pPr>
              <w:spacing w:after="0"/>
              <w:rPr>
                <w:sz w:val="20"/>
                <w:szCs w:val="20"/>
                <w:color w:val="auto"/>
              </w:rPr>
            </w:pPr>
            <w:r>
              <w:rPr>
                <w:rFonts w:ascii="Arial" w:cs="Arial" w:eastAsia="Arial" w:hAnsi="Arial"/>
                <w:sz w:val="16"/>
                <w:szCs w:val="16"/>
                <w:color w:val="auto"/>
              </w:rPr>
              <w:t>Pennsylvania</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79"/>
              </w:rPr>
              <w:t>Yes</w:t>
            </w: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In Development</w:t>
            </w:r>
          </w:p>
        </w:tc>
      </w:tr>
      <w:tr>
        <w:trPr>
          <w:trHeight w:val="224"/>
        </w:trPr>
        <w:tc>
          <w:tcPr>
            <w:tcW w:w="688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Prince William 1E</w:t>
            </w:r>
            <w:r>
              <w:rPr>
                <w:rFonts w:ascii="Arial" w:cs="Arial" w:eastAsia="Arial" w:hAnsi="Arial"/>
                <w:sz w:val="25"/>
                <w:szCs w:val="25"/>
                <w:color w:val="auto"/>
                <w:vertAlign w:val="superscript"/>
              </w:rPr>
              <w:t>(3)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79"/>
              </w:rPr>
              <w:t>Yes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In Construction</w:t>
            </w:r>
          </w:p>
        </w:tc>
      </w:tr>
      <w:tr>
        <w:trPr>
          <w:trHeight w:val="224"/>
        </w:trPr>
        <w:tc>
          <w:tcPr>
            <w:tcW w:w="6880" w:type="dxa"/>
            <w:vAlign w:val="bottom"/>
          </w:tcPr>
          <w:p>
            <w:pPr>
              <w:spacing w:after="0" w:line="223" w:lineRule="exact"/>
              <w:rPr>
                <w:sz w:val="20"/>
                <w:szCs w:val="20"/>
                <w:color w:val="auto"/>
              </w:rPr>
            </w:pPr>
            <w:r>
              <w:rPr>
                <w:rFonts w:ascii="Arial" w:cs="Arial" w:eastAsia="Arial" w:hAnsi="Arial"/>
                <w:sz w:val="15"/>
                <w:szCs w:val="15"/>
                <w:color w:val="auto"/>
              </w:rPr>
              <w:t>Prince William 2E</w:t>
            </w:r>
            <w:r>
              <w:rPr>
                <w:rFonts w:ascii="Arial" w:cs="Arial" w:eastAsia="Arial" w:hAnsi="Arial"/>
                <w:sz w:val="25"/>
                <w:szCs w:val="25"/>
                <w:color w:val="auto"/>
                <w:vertAlign w:val="superscript"/>
              </w:rPr>
              <w:t>(4)</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79"/>
              </w:rPr>
              <w:t>Yes</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In Construction</w:t>
            </w:r>
          </w:p>
        </w:tc>
      </w:tr>
      <w:tr>
        <w:trPr>
          <w:trHeight w:val="220"/>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Virginia</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79"/>
              </w:rPr>
              <w:t>Yes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In Development</w:t>
            </w:r>
          </w:p>
        </w:tc>
      </w:tr>
      <w:tr>
        <w:trPr>
          <w:trHeight w:val="199"/>
        </w:trPr>
        <w:tc>
          <w:tcPr>
            <w:tcW w:w="68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123.77</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6" w:right="20" w:hanging="286"/>
        <w:spacing w:after="0" w:line="266" w:lineRule="auto"/>
        <w:tabs>
          <w:tab w:leader="none" w:pos="286" w:val="left"/>
        </w:tabs>
        <w:numPr>
          <w:ilvl w:val="0"/>
          <w:numId w:val="59"/>
        </w:numPr>
        <w:rPr>
          <w:rFonts w:ascii="Arial" w:cs="Arial" w:eastAsia="Arial" w:hAnsi="Arial"/>
          <w:sz w:val="16"/>
          <w:szCs w:val="16"/>
          <w:color w:val="auto"/>
        </w:rPr>
      </w:pPr>
      <w:r>
        <w:rPr>
          <w:rFonts w:ascii="Arial" w:cs="Arial" w:eastAsia="Arial" w:hAnsi="Arial"/>
          <w:sz w:val="16"/>
          <w:szCs w:val="16"/>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34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87" w:name="page88"/>
    <w:bookmarkEnd w:id="87"/>
    <w:p>
      <w:pPr>
        <w:ind w:left="286" w:right="20" w:hanging="286"/>
        <w:spacing w:after="0" w:line="266" w:lineRule="auto"/>
        <w:tabs>
          <w:tab w:leader="none" w:pos="286"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spacing w:after="0" w:line="157" w:lineRule="exact"/>
        <w:rPr>
          <w:rFonts w:ascii="Arial" w:cs="Arial" w:eastAsia="Arial" w:hAnsi="Arial"/>
          <w:sz w:val="16"/>
          <w:szCs w:val="16"/>
          <w:color w:val="auto"/>
        </w:rPr>
      </w:pPr>
    </w:p>
    <w:p>
      <w:pPr>
        <w:ind w:left="286" w:hanging="286"/>
        <w:spacing w:after="0" w:line="266" w:lineRule="auto"/>
        <w:tabs>
          <w:tab w:leader="none" w:pos="286"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See RNG Projects Table above, reference “Prince William” under “RNG Projects In Construction.” It is currently contemplated that the Prince William 1E renewable power plant will continue operations through approximately December 2022</w:t>
      </w:r>
    </w:p>
    <w:p>
      <w:pPr>
        <w:spacing w:after="0" w:line="157" w:lineRule="exact"/>
        <w:rPr>
          <w:rFonts w:ascii="Arial" w:cs="Arial" w:eastAsia="Arial" w:hAnsi="Arial"/>
          <w:sz w:val="16"/>
          <w:szCs w:val="16"/>
          <w:color w:val="auto"/>
        </w:rPr>
      </w:pPr>
    </w:p>
    <w:p>
      <w:pPr>
        <w:ind w:left="286" w:hanging="286"/>
        <w:spacing w:after="0" w:line="266" w:lineRule="auto"/>
        <w:tabs>
          <w:tab w:leader="none" w:pos="286"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See RNG Projects Table above, reference “Prince William” under “RNG Projects In Construction.” It is currently contemplated that the Prince William 2E renewable power plant will continue operations through approximately December 2022</w:t>
      </w:r>
    </w:p>
    <w:p>
      <w:pPr>
        <w:spacing w:after="0" w:line="157"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For purposes of determining whether a Renewable Power project should be considered an RNG conversion candidate, we use various criteria, including (i) the quantity and quality of landfill gas, (ii) the proximity to pipeline interconnect and (iii) the ability to enter into contracts including site leases and gas rights agreements with host sites. These factors, as represented in the table above, reflect our current views and are subject to change.</w:t>
      </w:r>
    </w:p>
    <w:p>
      <w:pPr>
        <w:spacing w:after="0" w:line="165" w:lineRule="exact"/>
        <w:rPr>
          <w:sz w:val="20"/>
          <w:szCs w:val="20"/>
          <w:color w:val="auto"/>
        </w:rPr>
      </w:pPr>
    </w:p>
    <w:p>
      <w:pPr>
        <w:ind w:left="286"/>
        <w:spacing w:after="0"/>
        <w:rPr>
          <w:sz w:val="20"/>
          <w:szCs w:val="20"/>
          <w:color w:val="auto"/>
        </w:rPr>
      </w:pPr>
      <w:r>
        <w:rPr>
          <w:rFonts w:ascii="Arial" w:cs="Arial" w:eastAsia="Arial" w:hAnsi="Arial"/>
          <w:sz w:val="16"/>
          <w:szCs w:val="16"/>
          <w:b w:val="1"/>
          <w:bCs w:val="1"/>
          <w:i w:val="1"/>
          <w:iCs w:val="1"/>
          <w:color w:val="auto"/>
        </w:rPr>
        <w:t>Other RNG Projects in Development</w:t>
      </w:r>
    </w:p>
    <w:p>
      <w:pPr>
        <w:spacing w:after="0" w:line="193" w:lineRule="exact"/>
        <w:rPr>
          <w:sz w:val="20"/>
          <w:szCs w:val="20"/>
          <w:color w:val="auto"/>
        </w:rPr>
      </w:pPr>
    </w:p>
    <w:p>
      <w:pPr>
        <w:jc w:val="both"/>
        <w:ind w:left="6" w:firstLine="283"/>
        <w:spacing w:after="0" w:line="249" w:lineRule="auto"/>
        <w:rPr>
          <w:sz w:val="20"/>
          <w:szCs w:val="20"/>
          <w:color w:val="auto"/>
        </w:rPr>
      </w:pPr>
      <w:r>
        <w:rPr>
          <w:rFonts w:ascii="Arial" w:cs="Arial" w:eastAsia="Arial" w:hAnsi="Arial"/>
          <w:sz w:val="16"/>
          <w:szCs w:val="16"/>
          <w:color w:val="auto"/>
        </w:rPr>
        <w:t>In addition to the projects listed in the tables above, we are actively performing development work on seven potential projects (“</w:t>
      </w:r>
      <w:r>
        <w:rPr>
          <w:rFonts w:ascii="Arial" w:cs="Arial" w:eastAsia="Arial" w:hAnsi="Arial"/>
          <w:sz w:val="16"/>
          <w:szCs w:val="16"/>
          <w:b w:val="1"/>
          <w:bCs w:val="1"/>
          <w:i w:val="1"/>
          <w:iCs w:val="1"/>
          <w:color w:val="auto"/>
        </w:rPr>
        <w:t>RNG Projects in Development</w:t>
      </w:r>
      <w:r>
        <w:rPr>
          <w:rFonts w:ascii="Arial" w:cs="Arial" w:eastAsia="Arial" w:hAnsi="Arial"/>
          <w:sz w:val="16"/>
          <w:szCs w:val="16"/>
          <w:color w:val="auto"/>
        </w:rPr>
        <w:t>”). We have identified key milestones (“</w:t>
      </w:r>
      <w:r>
        <w:rPr>
          <w:rFonts w:ascii="Arial" w:cs="Arial" w:eastAsia="Arial" w:hAnsi="Arial"/>
          <w:sz w:val="16"/>
          <w:szCs w:val="16"/>
          <w:b w:val="1"/>
          <w:bCs w:val="1"/>
          <w:i w:val="1"/>
          <w:iCs w:val="1"/>
          <w:color w:val="auto"/>
        </w:rPr>
        <w:t>Key Milestones</w:t>
      </w:r>
      <w:r>
        <w:rPr>
          <w:rFonts w:ascii="Arial" w:cs="Arial" w:eastAsia="Arial" w:hAnsi="Arial"/>
          <w:sz w:val="16"/>
          <w:szCs w:val="16"/>
          <w:color w:val="auto"/>
        </w:rPr>
        <w:t>”) that these RNG Projects in Development must achieve prior to moving into construction. These RNG Projects in Development have achieved one or more of these Key Milestones, which include: (i) controlling the right to conduct due diligence on the project, (ii) completing the analysis of the biogas in terms of quantity and quality, (iii) securing control over the rights to the biogas and site for production of RNG, (iv) establishing the design basis for the RNG production facility, (v) negotiating engineering, procurement and construction contracts, (vi) developing an environmental regulatory compliance plan, and (vii) securing interconnection agreements with pipeline and electric utilities.</w:t>
      </w:r>
    </w:p>
    <w:p>
      <w:pPr>
        <w:spacing w:after="0" w:line="174" w:lineRule="exact"/>
        <w:rPr>
          <w:sz w:val="20"/>
          <w:szCs w:val="20"/>
          <w:color w:val="auto"/>
        </w:rPr>
      </w:pPr>
    </w:p>
    <w:p>
      <w:pPr>
        <w:jc w:val="both"/>
        <w:ind w:left="6" w:firstLine="283"/>
        <w:spacing w:after="0" w:line="281" w:lineRule="auto"/>
        <w:rPr>
          <w:sz w:val="20"/>
          <w:szCs w:val="20"/>
          <w:color w:val="auto"/>
        </w:rPr>
      </w:pPr>
      <w:r>
        <w:rPr>
          <w:rFonts w:ascii="Arial" w:cs="Arial" w:eastAsia="Arial" w:hAnsi="Arial"/>
          <w:sz w:val="15"/>
          <w:szCs w:val="15"/>
          <w:color w:val="auto"/>
        </w:rPr>
        <w:t>With the passage of time, the list of RNG Projects in Development is likely to be somewhat dynamic and will necessarily evolve. Not all RNG Projects in Development will achieve the Key Milestones and move into construction. Some RNG Projects in Development may need to be scaled back in order to achieve the Key Milestones. On the other hand, however, we are continually pursuing opportunities for other projects that are candidates to become RNG Projects in Development.</w:t>
      </w:r>
    </w:p>
    <w:p>
      <w:pPr>
        <w:spacing w:after="0" w:line="148" w:lineRule="exact"/>
        <w:rPr>
          <w:sz w:val="20"/>
          <w:szCs w:val="20"/>
          <w:color w:val="auto"/>
        </w:rPr>
      </w:pPr>
    </w:p>
    <w:p>
      <w:pPr>
        <w:ind w:left="286"/>
        <w:spacing w:after="0"/>
        <w:rPr>
          <w:sz w:val="20"/>
          <w:szCs w:val="20"/>
          <w:color w:val="auto"/>
        </w:rPr>
      </w:pPr>
      <w:r>
        <w:rPr>
          <w:rFonts w:ascii="Arial" w:cs="Arial" w:eastAsia="Arial" w:hAnsi="Arial"/>
          <w:sz w:val="16"/>
          <w:szCs w:val="16"/>
          <w:b w:val="1"/>
          <w:bCs w:val="1"/>
          <w:i w:val="1"/>
          <w:iCs w:val="1"/>
          <w:color w:val="auto"/>
        </w:rPr>
        <w:t>Dispensing and Monetization Business</w:t>
      </w:r>
    </w:p>
    <w:p>
      <w:pPr>
        <w:spacing w:after="0" w:line="193"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At present, we believe the best use of RNG is as a replacement for fossil-based fuel in the heavy and medium-duty transportation sector.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65" w:lineRule="exact"/>
        <w:rPr>
          <w:sz w:val="20"/>
          <w:szCs w:val="20"/>
          <w:color w:val="auto"/>
        </w:rPr>
      </w:pPr>
    </w:p>
    <w:p>
      <w:pPr>
        <w:jc w:val="both"/>
        <w:ind w:left="6" w:firstLine="283"/>
        <w:spacing w:after="0" w:line="342" w:lineRule="auto"/>
        <w:rPr>
          <w:sz w:val="20"/>
          <w:szCs w:val="20"/>
          <w:color w:val="auto"/>
        </w:rPr>
      </w:pPr>
      <w:r>
        <w:rPr>
          <w:rFonts w:ascii="Arial" w:cs="Arial" w:eastAsia="Arial" w:hAnsi="Arial"/>
          <w:sz w:val="13"/>
          <w:szCs w:val="13"/>
          <w:color w:val="auto"/>
        </w:rPr>
        <w:t>In the coming years, we believe it will also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30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Our Strengths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Vertical Integration of Business</w:t>
      </w:r>
    </w:p>
    <w:p>
      <w:pPr>
        <w:spacing w:after="0" w:line="19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65"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it to offer better terms to its increasing number of transportation customers. The increasing adoption of RNG as a fuel for transportation use amongst its customers subsequently gives us more opportunities to secure additional gas rights for Biogas Conversion Projects.</w:t>
      </w:r>
    </w:p>
    <w:p>
      <w:pPr>
        <w:spacing w:after="0" w:line="169"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Our vertical integration also attracts low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Management and Project Expertise</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spacing w:after="0" w:line="169"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color w:val="auto"/>
        </w:rPr>
        <w:t>Our experience and existing project portfolio has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serves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again is fairly consistent from site to site and they have both been widely used in the past several decades. Additionally, we also work with key vendors on initiatives to develop and test upgrades to existing technologies.</w:t>
      </w:r>
    </w:p>
    <w:p>
      <w:pPr>
        <w:spacing w:after="0" w:line="161" w:lineRule="exact"/>
        <w:rPr>
          <w:sz w:val="20"/>
          <w:szCs w:val="20"/>
          <w:color w:val="auto"/>
        </w:rPr>
      </w:pPr>
    </w:p>
    <w:p>
      <w:pPr>
        <w:jc w:val="both"/>
        <w:ind w:right="20" w:firstLine="283"/>
        <w:spacing w:after="0" w:line="281" w:lineRule="auto"/>
        <w:rPr>
          <w:sz w:val="20"/>
          <w:szCs w:val="20"/>
          <w:color w:val="auto"/>
        </w:rPr>
      </w:pPr>
      <w:r>
        <w:rPr>
          <w:rFonts w:ascii="Arial" w:cs="Arial" w:eastAsia="Arial" w:hAnsi="Arial"/>
          <w:sz w:val="15"/>
          <w:szCs w:val="15"/>
          <w:color w:val="auto"/>
        </w:rPr>
        <w:t>We also have a network of experienced and creditworthy EPC contractors to perform design, development, procurement and construction services under supervision by us. Typically, our current contracts for EPC services contain fixed price, date certain provisions and liquidated damages provisions, which greatly reduce the risks typically associated with construction projects. Additionally, we also work with key vendors on initiatives to develop and test upgrades to existing technologies.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Access to Development Opportunities</w:t>
      </w:r>
    </w:p>
    <w:p>
      <w:pPr>
        <w:spacing w:after="0" w:line="193"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69"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Arial" w:cs="Arial" w:eastAsia="Arial" w:hAnsi="Arial"/>
          <w:sz w:val="15"/>
          <w:szCs w:val="15"/>
          <w:i w:val="1"/>
          <w:iCs w:val="1"/>
          <w:color w:val="auto"/>
        </w:rPr>
        <w:t>.</w:t>
      </w:r>
      <w:r>
        <w:rPr>
          <w:rFonts w:ascii="Arial" w:cs="Arial" w:eastAsia="Arial" w:hAnsi="Arial"/>
          <w:sz w:val="15"/>
          <w:szCs w:val="15"/>
          <w:color w:val="auto"/>
        </w:rPr>
        <w:t xml:space="preserve"> We actively seek to extend the term of our contracts at project sites and views our positive relationships with the owners and managers of its host landfills and dairy farms as a contributing factor to our ability to extend contract terms as they come due.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89" w:name="page90"/>
    <w:bookmarkEnd w:id="89"/>
    <w:p>
      <w:pPr>
        <w:ind w:left="280"/>
        <w:spacing w:after="0"/>
        <w:rPr>
          <w:sz w:val="20"/>
          <w:szCs w:val="20"/>
          <w:color w:val="auto"/>
        </w:rPr>
      </w:pPr>
      <w:r>
        <w:rPr>
          <w:rFonts w:ascii="Arial" w:cs="Arial" w:eastAsia="Arial" w:hAnsi="Arial"/>
          <w:sz w:val="16"/>
          <w:szCs w:val="16"/>
          <w:b w:val="1"/>
          <w:bCs w:val="1"/>
          <w:i w:val="1"/>
          <w:iCs w:val="1"/>
          <w:color w:val="auto"/>
        </w:rPr>
        <w:t>Large and Diverse Project Portfolio</w:t>
      </w:r>
    </w:p>
    <w:p>
      <w:pPr>
        <w:spacing w:after="0" w:line="19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is actively sought out for new project and acquisition opportunities. Additionally, our size and financial discipline generally affords it the ability to achieve priority service and pricing from contractors, service providers, and equipment suppliers.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EHS and Compliance</w:t>
      </w:r>
    </w:p>
    <w:p>
      <w:pPr>
        <w:spacing w:after="0" w:line="193"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Capture and Conversion Business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We aim to maintain and grow our position as a leading producer and dispenser of RNG in the United States. We support this objective through a multi-pronged strategy of:</w:t>
      </w:r>
    </w:p>
    <w:p>
      <w:pPr>
        <w:spacing w:after="0" w:line="227" w:lineRule="exact"/>
        <w:rPr>
          <w:sz w:val="20"/>
          <w:szCs w:val="20"/>
          <w:color w:val="auto"/>
        </w:rPr>
      </w:pPr>
    </w:p>
    <w:p>
      <w:pPr>
        <w:ind w:left="560" w:hanging="283"/>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promoting the reduction of methane emissions and expanding the use of renewable fuels to displace fossil-based fuels;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expanding our industry position as a full-service partner for development opportunities, including through strategic transactions;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expanding our capabilities to new feedstock sources and technologies.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Promoting the Reduction of Methane Emissions and Expanding the Use of Renewable Fuels to Displace Fossil-Based Fuels</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strive to optimize the economics of capturing biogas from our host landfills and dairy farms for conversion to RNG by balancing the capital and operating costs with the current and future quality and quantity of biogas.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90" w:name="page91"/>
    <w:bookmarkEnd w:id="90"/>
    <w:p>
      <w:pPr>
        <w:jc w:val="both"/>
        <w:ind w:firstLine="283"/>
        <w:spacing w:after="0" w:line="312" w:lineRule="auto"/>
        <w:rPr>
          <w:sz w:val="20"/>
          <w:szCs w:val="20"/>
          <w:color w:val="auto"/>
        </w:rPr>
      </w:pPr>
      <w:r>
        <w:rPr>
          <w:rFonts w:ascii="Arial" w:cs="Arial" w:eastAsia="Arial" w:hAnsi="Arial"/>
          <w:sz w:val="13"/>
          <w:szCs w:val="13"/>
          <w:color w:val="auto"/>
        </w:rPr>
        <w:t>In addition to methane emission reduction, the increased production and use of RNG has several other environmental benefits. Anaerobically digested livestock waste produces significantly less odor than conventional storage and land application systems. The odor of stored livestock waste mainly comes from volatile organic acids and hydrogen sulfide, which has a sulphury smell. In an anaerobic digester, volatile organic compounds are reduced to methane and carbon dioxide, which are odorless gases. The volatized fraction of hydrogen sulfide is captured with the collected ADG and destroyed. Anaerobic digestion provides several water quality and land conservation benefits as well. Digesters, particularly heated digesters, can destroy more than 90% of disease-causing bacteria that might otherwise enter surface waters and pose a risk to human and animal health. Digesters also reduce biochemical oxygen demand (“</w:t>
      </w:r>
      <w:r>
        <w:rPr>
          <w:rFonts w:ascii="Arial" w:cs="Arial" w:eastAsia="Arial" w:hAnsi="Arial"/>
          <w:sz w:val="13"/>
          <w:szCs w:val="13"/>
          <w:b w:val="1"/>
          <w:bCs w:val="1"/>
          <w:i w:val="1"/>
          <w:iCs w:val="1"/>
          <w:color w:val="auto"/>
        </w:rPr>
        <w:t>BOD</w:t>
      </w:r>
      <w:r>
        <w:rPr>
          <w:rFonts w:ascii="Arial" w:cs="Arial" w:eastAsia="Arial" w:hAnsi="Arial"/>
          <w:sz w:val="13"/>
          <w:szCs w:val="13"/>
          <w:color w:val="auto"/>
        </w:rPr>
        <w:t>”). BOD is one measure of the potential for organic wastes to reduce dissolved oxygen in natural waters. Because fish and other aquatic organisms need minimum levels of dissolved oxygen for survival, farm practices that reduce BOD protect the health of aquatic ecosystems. In addition to protecting local water resources, implementing anaerobic digesters on livestock facilities improves soil health. Adding digestate to soil increases the organic matter content, reduces the need for chemical fertilizers, improves plant growth and alleviates soil compaction. Further, digestion converts nutrients in manure to a more accessible form for plants to use. The risks of water and soil contamination from flooding of open lagoons are also mitigated by digesters.</w:t>
      </w:r>
    </w:p>
    <w:p>
      <w:pPr>
        <w:spacing w:after="0" w:line="324"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As a leading producer of RNG, we believe it is imperative to its continued growth and success that we remain a strong advocate for the sustainable development, deployment and utilization of RNG to reduce dependence on fossil fuels while increasing domestic energy production.</w:t>
      </w:r>
    </w:p>
    <w:p>
      <w:pPr>
        <w:spacing w:after="0" w:line="15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Many of our team members have been involved in the biogas conversion industry for over 20 years. We are an active participant in several industry trade organizations. Our participation in these groups allows us to align with industry colleagues to better understand the challenges facing the industry and to collaborate with them to develop creative solutions to such problems.</w:t>
      </w:r>
    </w:p>
    <w:p>
      <w:pPr>
        <w:spacing w:after="0" w:line="165" w:lineRule="exact"/>
        <w:rPr>
          <w:sz w:val="20"/>
          <w:szCs w:val="20"/>
          <w:color w:val="auto"/>
        </w:rPr>
      </w:pPr>
    </w:p>
    <w:p>
      <w:pPr>
        <w:jc w:val="both"/>
        <w:ind w:right="20" w:firstLine="283"/>
        <w:spacing w:after="0" w:line="249" w:lineRule="auto"/>
        <w:rPr>
          <w:sz w:val="20"/>
          <w:szCs w:val="20"/>
          <w:color w:val="auto"/>
        </w:rPr>
      </w:pPr>
      <w:r>
        <w:rPr>
          <w:rFonts w:ascii="Arial" w:cs="Arial" w:eastAsia="Arial" w:hAnsi="Arial"/>
          <w:sz w:val="16"/>
          <w:szCs w:val="16"/>
          <w:color w:val="auto"/>
        </w:rPr>
        <w:t>As an active participant in industry trade organizations, we regularly participate in conferences and regulatory initiatives, including lobbying, to address key issues and promote the RNG industry. Collaborating with other industry teams provides us with a holistic view of the RNG industry, which aides us in identifying emerging trends and opportunities. Our participation allows us to align with industry colleagues to better understand the challenges facing the industry and to collaborate with them to develop creative solutions to such problems. We are focused on maintaining and nurturing our relationships with pipeline off-takers and seeks to ensure that such relationships are a priority, including by maintaining continuous communication, enforcing stringent real-time monitoring of our product quality, and providing materials to assist with their corporate sustainability communications.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Expanding Our Industry Position as a Full-Service Partner for Development Opportunities, Including Through Strategic Transactions</w:t>
      </w:r>
    </w:p>
    <w:p>
      <w:pPr>
        <w:spacing w:after="0" w:line="19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Throughout its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By vertically integrating across RNG services, we are able to reduce development and operations costs, optimize efficiencies and improve operations. Our full suite of capabilities allows it to serve as a multi-project partner for certain project hosts across multiple transactions, including through strategic transactions. To that end, we actively identify and evaluates opportunities to acquire entities that will further our vertically-integrated services.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91" w:name="page92"/>
    <w:bookmarkEnd w:id="91"/>
    <w:p>
      <w:pPr>
        <w:ind w:left="280"/>
        <w:spacing w:after="0"/>
        <w:rPr>
          <w:sz w:val="20"/>
          <w:szCs w:val="20"/>
          <w:color w:val="auto"/>
        </w:rPr>
      </w:pPr>
      <w:r>
        <w:rPr>
          <w:rFonts w:ascii="Arial" w:cs="Arial" w:eastAsia="Arial" w:hAnsi="Arial"/>
          <w:sz w:val="16"/>
          <w:szCs w:val="16"/>
          <w:u w:val="single" w:color="auto"/>
          <w:color w:val="auto"/>
        </w:rPr>
        <w:t>Expanding Our Capabilities to New Feedstock Sources and Technologies</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We believe the market has not yet unlocked the full potential of RNG and Renewable Power. However, as biogas processing technology continues to improve and the required energy intensity of the RNG and Renewable Power production process is reduced, we expect that we will be able to enter new markets for our products, such as providing fuel for the production of renewable energy sources. With our experience and industry expertise, we believe it is well-positioned to take advantage of opportunities to meet the clean energy needs of other industries looking to use renewable energy in their operations.</w:t>
      </w:r>
    </w:p>
    <w:p>
      <w:pPr>
        <w:spacing w:after="0" w:line="169"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We are actively reviewing opportunities beyond our core LFG and dairy RNG business. We intend to diversify our project portfolio beyond landfill biogas through expansion into additional methane producing assets, while opportunistically adding third-party developed technology capabilities to boost financial performance and our overall cost competitiveness. The drive toward voluntary and most likely regulatory-required organic waste diversion from landfills is of particular interest as we leverages our current experience base. We believe this trend will provide long-term growth opportunities.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Dispensing and Monetization Business</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We aim to maintain and increase its position as a leading provider of RNG to the heavy and medium-duty commercial vehicle market in the United States. We support this objective through a multi-pronged strategy of:</w:t>
      </w:r>
    </w:p>
    <w:p>
      <w:pPr>
        <w:spacing w:after="0" w:line="157" w:lineRule="exact"/>
        <w:rPr>
          <w:sz w:val="20"/>
          <w:szCs w:val="20"/>
          <w:color w:val="auto"/>
        </w:rPr>
      </w:pPr>
    </w:p>
    <w:p>
      <w:pPr>
        <w:ind w:left="560" w:hanging="283"/>
        <w:spacing w:after="0"/>
        <w:tabs>
          <w:tab w:leader="none" w:pos="5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promoting the reduction of GHG emissions and expanding the use of renewable fuels to displace fossil-based fuels;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empowering our customers to achieve their sustainability and carbon reduction objectives.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Promoting the Reduction of GHG Emissions and Expanding the Use of Renewable Fuels to Displace Fossil-Based Fuels.</w:t>
      </w:r>
    </w:p>
    <w:p>
      <w:pPr>
        <w:spacing w:after="0" w:line="193"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We share the renewable fuel industry’s commitment to providing sustainable renewable energy solutions and to offering products with high economic and ecological value. By simultaneously replacing fossil-based fuels and reducing overall methane emissions, our business has a substantial positive environmental impact. We are committed to the sustainable development, deployment, and utilization of RNG to reduce the country’s dependence on fossil fuels.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Empowering Our Customers to Achieve their Sustainability and Carbon Reduction Objectives.</w:t>
      </w:r>
    </w:p>
    <w:p>
      <w:pPr>
        <w:spacing w:after="0" w:line="193"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color w:val="auto"/>
        </w:rPr>
        <w:t>In November 2021, global leaders met in Glasgow for the United Nations Climate Change Conference (COP26) to draw up a successor plan to the Paris Agreement. With evidence indicating that the Paris Agreement targets may fall short of limiting global warming to 1.5°C, governments and regulators globally face mounting public pressure to address the threat of climate change. The United States has re-joined the Paris Agreement and key investors have made climate change risk management a key priority: BlackRock has stated in its 2021 stewardship expectations guidelines that “[t]he events of [2020] have intensified our conviction that sustainability risk — and climate risk in particular — is investment risk” and plans to expand its engagement to the over 1,000 companies that are responsible for producing 90% of GHG emissions in its investment portfolio. Similarly, in his letter to boards, Cyrus Taraporevala, State Street’s CEO and President, said the asset manager will be elevating its focus on climate risk, noting that ahead of COP26, “policymakers are assessing progress on climate change action . . . many jurisdictions are signaling their intentions to make climate risk disclosure mandatory.” Vanguard has determined that “it is critical that public company boards fully understand and own climate-related risks.”</w:t>
      </w:r>
    </w:p>
    <w:p>
      <w:pPr>
        <w:spacing w:after="0" w:line="161"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We are well positioned to empower our customers to achieve their sustainability and carbon reduction goals. Because our business involves the capture and transformation of waste methane into a renewable source of energy, we believe our customers can significantly reduce GHG emissions from their commercial transportation activities. Further, our RNG is available today to reduce GHG emissions and meet sustainability objectives at a cost to customers that is competitive to other fuels like diesel. OPAL also assists its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92" w:name="page93"/>
    <w:bookmarkEnd w:id="92"/>
    <w:p>
      <w:pPr>
        <w:ind w:left="6"/>
        <w:spacing w:after="0"/>
        <w:rPr>
          <w:sz w:val="20"/>
          <w:szCs w:val="20"/>
          <w:color w:val="auto"/>
        </w:rPr>
      </w:pPr>
      <w:r>
        <w:rPr>
          <w:rFonts w:ascii="Arial" w:cs="Arial" w:eastAsia="Arial" w:hAnsi="Arial"/>
          <w:sz w:val="16"/>
          <w:szCs w:val="16"/>
          <w:b w:val="1"/>
          <w:bCs w:val="1"/>
          <w:color w:val="auto"/>
        </w:rPr>
        <w:t>Competition</w:t>
      </w:r>
    </w:p>
    <w:p>
      <w:pPr>
        <w:spacing w:after="0" w:line="197" w:lineRule="exact"/>
        <w:rPr>
          <w:sz w:val="20"/>
          <w:szCs w:val="20"/>
          <w:color w:val="auto"/>
        </w:rPr>
      </w:pPr>
    </w:p>
    <w:p>
      <w:pPr>
        <w:ind w:left="6" w:firstLine="283"/>
        <w:spacing w:after="0" w:line="266" w:lineRule="auto"/>
        <w:rPr>
          <w:sz w:val="20"/>
          <w:szCs w:val="20"/>
          <w:color w:val="auto"/>
        </w:rPr>
      </w:pPr>
      <w:r>
        <w:rPr>
          <w:rFonts w:ascii="Arial" w:cs="Arial" w:eastAsia="Arial" w:hAnsi="Arial"/>
          <w:sz w:val="16"/>
          <w:szCs w:val="16"/>
          <w:color w:val="auto"/>
        </w:rPr>
        <w:t>There are a number of other companies operating in the renewable energy and waste-to-energy space, ranging from other project developers to service or equipment providers.</w:t>
      </w:r>
    </w:p>
    <w:p>
      <w:pPr>
        <w:spacing w:after="0" w:line="157" w:lineRule="exact"/>
        <w:rPr>
          <w:sz w:val="20"/>
          <w:szCs w:val="20"/>
          <w:color w:val="auto"/>
        </w:rPr>
      </w:pPr>
    </w:p>
    <w:p>
      <w:pPr>
        <w:ind w:left="6" w:right="20" w:firstLine="283"/>
        <w:spacing w:after="0" w:line="311" w:lineRule="auto"/>
        <w:rPr>
          <w:sz w:val="20"/>
          <w:szCs w:val="20"/>
          <w:color w:val="auto"/>
        </w:rPr>
      </w:pPr>
      <w:r>
        <w:rPr>
          <w:rFonts w:ascii="Arial" w:cs="Arial" w:eastAsia="Arial" w:hAnsi="Arial"/>
          <w:sz w:val="13"/>
          <w:szCs w:val="13"/>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w:t>
      </w:r>
    </w:p>
    <w:p>
      <w:pPr>
        <w:spacing w:after="0" w:line="1" w:lineRule="exact"/>
        <w:rPr>
          <w:sz w:val="20"/>
          <w:szCs w:val="20"/>
          <w:color w:val="auto"/>
        </w:rPr>
      </w:pPr>
    </w:p>
    <w:p>
      <w:pPr>
        <w:jc w:val="both"/>
        <w:ind w:left="6" w:hanging="6"/>
        <w:spacing w:after="0" w:line="323" w:lineRule="auto"/>
        <w:tabs>
          <w:tab w:leader="none" w:pos="194" w:val="left"/>
        </w:tabs>
        <w:numPr>
          <w:ilvl w:val="0"/>
          <w:numId w:val="63"/>
        </w:numPr>
        <w:rPr>
          <w:rFonts w:ascii="Arial" w:cs="Arial" w:eastAsia="Arial" w:hAnsi="Arial"/>
          <w:sz w:val="13"/>
          <w:szCs w:val="13"/>
          <w:color w:val="auto"/>
        </w:rPr>
      </w:pPr>
      <w:r>
        <w:rPr>
          <w:rFonts w:ascii="Arial" w:cs="Arial" w:eastAsia="Arial" w:hAnsi="Arial"/>
          <w:sz w:val="13"/>
          <w:szCs w:val="13"/>
          <w:color w:val="auto"/>
        </w:rPr>
        <w:t>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farms in the country, we are well-positioned to continue to operate and grow its portfolio and respond to competitive pressures. We have demonstrated a track record of strategic flexibility across its over 20-year history which has allowed us to pivot towards projects and markets that we believe deliver optimal returns and shareholder value in response to changes in market, regulatory and competitive pressures.</w:t>
      </w:r>
    </w:p>
    <w:p>
      <w:pPr>
        <w:spacing w:after="0" w:line="126" w:lineRule="exact"/>
        <w:rPr>
          <w:sz w:val="20"/>
          <w:szCs w:val="20"/>
          <w:color w:val="auto"/>
        </w:rPr>
      </w:pPr>
    </w:p>
    <w:p>
      <w:pPr>
        <w:jc w:val="both"/>
        <w:ind w:left="6" w:firstLine="283"/>
        <w:spacing w:after="0" w:line="268" w:lineRule="auto"/>
        <w:rPr>
          <w:sz w:val="20"/>
          <w:szCs w:val="20"/>
          <w:color w:val="auto"/>
        </w:rPr>
      </w:pPr>
      <w:r>
        <w:rPr>
          <w:rFonts w:ascii="Arial" w:cs="Arial" w:eastAsia="Arial" w:hAnsi="Arial"/>
          <w:sz w:val="15"/>
          <w:szCs w:val="15"/>
          <w:color w:val="auto"/>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its industry peers.</w:t>
      </w:r>
    </w:p>
    <w:p>
      <w:pPr>
        <w:spacing w:after="0" w:line="159"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We are aware of several competitors in the United States that have a similar business model to our own, including Clean Energy Fuels (Nasdaq: CLNE), Archaea Energy (NYSE: LFG), U.S. Gain, Montauk Renewables (Nasdaq: MNTK), Brightmark, AMP Energy and Morrow Renewables, as well as companies with biogas-to-energy facilities as a segment or subsidiary of their operations, including DTE, SJI, UGI, Kinder Morgan, and Ameresco. In addition, certain landfill operators such as Waste Management have also chosen to selectively pursue biogas conversion projects at their sites.</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Governmental Regulation</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6"/>
          <w:szCs w:val="16"/>
          <w:b w:val="1"/>
          <w:bCs w:val="1"/>
          <w:i w:val="1"/>
          <w:iCs w:val="1"/>
          <w:color w:val="auto"/>
        </w:rPr>
        <w:t>General</w:t>
      </w:r>
    </w:p>
    <w:p>
      <w:pPr>
        <w:spacing w:after="0" w:line="193"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69" w:lineRule="exact"/>
        <w:rPr>
          <w:sz w:val="20"/>
          <w:szCs w:val="20"/>
          <w:color w:val="auto"/>
        </w:rPr>
      </w:pPr>
    </w:p>
    <w:p>
      <w:pPr>
        <w:jc w:val="both"/>
        <w:ind w:left="6" w:firstLine="283"/>
        <w:spacing w:after="0" w:line="267" w:lineRule="auto"/>
        <w:rPr>
          <w:sz w:val="20"/>
          <w:szCs w:val="20"/>
          <w:color w:val="auto"/>
        </w:rPr>
      </w:pPr>
      <w:r>
        <w:rPr>
          <w:rFonts w:ascii="Arial" w:cs="Arial" w:eastAsia="Arial" w:hAnsi="Arial"/>
          <w:sz w:val="15"/>
          <w:szCs w:val="15"/>
          <w:color w:val="auto"/>
        </w:rPr>
        <w:t>Our RNG projects are subject to federal RFS program regulations, including the Energy Policy Act of 2005 (the “</w:t>
      </w:r>
      <w:r>
        <w:rPr>
          <w:rFonts w:ascii="Arial" w:cs="Arial" w:eastAsia="Arial" w:hAnsi="Arial"/>
          <w:sz w:val="15"/>
          <w:szCs w:val="15"/>
          <w:b w:val="1"/>
          <w:bCs w:val="1"/>
          <w:i w:val="1"/>
          <w:iCs w:val="1"/>
          <w:color w:val="auto"/>
        </w:rPr>
        <w:t>EPACT 2005</w:t>
      </w:r>
      <w:r>
        <w:rPr>
          <w:rFonts w:ascii="Arial" w:cs="Arial" w:eastAsia="Arial" w:hAnsi="Arial"/>
          <w:sz w:val="15"/>
          <w:szCs w:val="15"/>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34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2" w:right="319" w:bottom="1440" w:gutter="0" w:footer="0" w:header="0"/>
        </w:sectPr>
      </w:pPr>
    </w:p>
    <w:bookmarkStart w:id="93" w:name="page94"/>
    <w:bookmarkEnd w:id="93"/>
    <w:p>
      <w:pPr>
        <w:jc w:val="both"/>
        <w:ind w:right="20" w:firstLine="283"/>
        <w:spacing w:after="0" w:line="251" w:lineRule="auto"/>
        <w:rPr>
          <w:sz w:val="20"/>
          <w:szCs w:val="20"/>
          <w:color w:val="auto"/>
        </w:rPr>
      </w:pPr>
      <w:r>
        <w:rPr>
          <w:rFonts w:ascii="Arial" w:cs="Arial" w:eastAsia="Arial" w:hAnsi="Arial"/>
          <w:sz w:val="16"/>
          <w:szCs w:val="16"/>
          <w:color w:val="auto"/>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16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The EPA under the Clean Air Act (the “</w:t>
      </w:r>
      <w:r>
        <w:rPr>
          <w:rFonts w:ascii="Arial" w:cs="Arial" w:eastAsia="Arial" w:hAnsi="Arial"/>
          <w:sz w:val="15"/>
          <w:szCs w:val="15"/>
          <w:b w:val="1"/>
          <w:bCs w:val="1"/>
          <w:i w:val="1"/>
          <w:iCs w:val="1"/>
          <w:color w:val="auto"/>
        </w:rPr>
        <w:t>CAA</w:t>
      </w:r>
      <w:r>
        <w:rPr>
          <w:rFonts w:ascii="Arial" w:cs="Arial" w:eastAsia="Arial" w:hAnsi="Arial"/>
          <w:sz w:val="15"/>
          <w:szCs w:val="15"/>
          <w:color w:val="auto"/>
        </w:rPr>
        <w:t>”) regulates emissions of pollutants to protect the environment and public health and contains provisions for New Source Review (the “</w:t>
      </w:r>
      <w:r>
        <w:rPr>
          <w:rFonts w:ascii="Arial" w:cs="Arial" w:eastAsia="Arial" w:hAnsi="Arial"/>
          <w:sz w:val="15"/>
          <w:szCs w:val="15"/>
          <w:b w:val="1"/>
          <w:bCs w:val="1"/>
          <w:i w:val="1"/>
          <w:iCs w:val="1"/>
          <w:color w:val="auto"/>
        </w:rPr>
        <w:t>NSR</w:t>
      </w:r>
      <w:r>
        <w:rPr>
          <w:rFonts w:ascii="Arial" w:cs="Arial" w:eastAsia="Arial" w:hAnsi="Arial"/>
          <w:sz w:val="15"/>
          <w:szCs w:val="15"/>
          <w:color w:val="auto"/>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64"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65"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Before an RNG project can be developed, all the Resource Conservation and Recovery (the “</w:t>
      </w:r>
      <w:r>
        <w:rPr>
          <w:rFonts w:ascii="Arial" w:cs="Arial" w:eastAsia="Arial" w:hAnsi="Arial"/>
          <w:sz w:val="16"/>
          <w:szCs w:val="16"/>
          <w:b w:val="1"/>
          <w:bCs w:val="1"/>
          <w:i w:val="1"/>
          <w:iCs w:val="1"/>
          <w:color w:val="auto"/>
        </w:rPr>
        <w:t>RCRA”)</w:t>
      </w:r>
      <w:r>
        <w:rPr>
          <w:rFonts w:ascii="Arial" w:cs="Arial" w:eastAsia="Arial" w:hAnsi="Arial"/>
          <w:sz w:val="16"/>
          <w:szCs w:val="16"/>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69"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15"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69"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163" w:right="319" w:bottom="1440" w:gutter="0" w:footer="0" w:header="0"/>
        </w:sectPr>
      </w:pPr>
    </w:p>
    <w:bookmarkStart w:id="94" w:name="page95"/>
    <w:bookmarkEnd w:id="94"/>
    <w:p>
      <w:pPr>
        <w:ind w:left="280"/>
        <w:spacing w:after="0"/>
        <w:rPr>
          <w:sz w:val="20"/>
          <w:szCs w:val="20"/>
          <w:color w:val="auto"/>
        </w:rPr>
      </w:pPr>
      <w:r>
        <w:rPr>
          <w:rFonts w:ascii="Arial" w:cs="Arial" w:eastAsia="Arial" w:hAnsi="Arial"/>
          <w:sz w:val="16"/>
          <w:szCs w:val="16"/>
          <w:b w:val="1"/>
          <w:bCs w:val="1"/>
          <w:i w:val="1"/>
          <w:iCs w:val="1"/>
          <w:color w:val="auto"/>
        </w:rPr>
        <w:t>FERC</w:t>
      </w:r>
    </w:p>
    <w:p>
      <w:pPr>
        <w:spacing w:after="0" w:line="19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65"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69"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Qualifying Facilities</w:t>
      </w:r>
    </w:p>
    <w:p>
      <w:pPr>
        <w:spacing w:after="0" w:line="193"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The Public Utility Regulatory Policies Act (“</w:t>
      </w:r>
      <w:r>
        <w:rPr>
          <w:rFonts w:ascii="Arial" w:cs="Arial" w:eastAsia="Arial" w:hAnsi="Arial"/>
          <w:sz w:val="16"/>
          <w:szCs w:val="16"/>
          <w:b w:val="1"/>
          <w:bCs w:val="1"/>
          <w:i w:val="1"/>
          <w:iCs w:val="1"/>
          <w:color w:val="auto"/>
        </w:rPr>
        <w:t>PURPA</w:t>
      </w:r>
      <w:r>
        <w:rPr>
          <w:rFonts w:ascii="Arial" w:cs="Arial" w:eastAsia="Arial" w:hAnsi="Arial"/>
          <w:sz w:val="16"/>
          <w:szCs w:val="16"/>
          <w:color w:val="auto"/>
        </w:rPr>
        <w: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74"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State Utility Regulation</w:t>
      </w:r>
    </w:p>
    <w:p>
      <w:pPr>
        <w:spacing w:after="0" w:line="193"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59"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RNG Production and Sale</w:t>
      </w:r>
    </w:p>
    <w:p>
      <w:pPr>
        <w:spacing w:after="0" w:line="193" w:lineRule="exact"/>
        <w:rPr>
          <w:sz w:val="20"/>
          <w:szCs w:val="20"/>
          <w:color w:val="auto"/>
        </w:rPr>
      </w:pPr>
    </w:p>
    <w:p>
      <w:pPr>
        <w:jc w:val="both"/>
        <w:ind w:firstLine="283"/>
        <w:spacing w:after="0" w:line="316" w:lineRule="auto"/>
        <w:rPr>
          <w:sz w:val="20"/>
          <w:szCs w:val="20"/>
          <w:color w:val="auto"/>
        </w:rPr>
      </w:pPr>
      <w:r>
        <w:rPr>
          <w:rFonts w:ascii="Arial" w:cs="Arial" w:eastAsia="Arial" w:hAnsi="Arial"/>
          <w:sz w:val="13"/>
          <w:szCs w:val="13"/>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95" w:name="page96"/>
    <w:bookmarkEnd w:id="95"/>
    <w:p>
      <w:pPr>
        <w:ind w:left="280"/>
        <w:spacing w:after="0"/>
        <w:rPr>
          <w:sz w:val="20"/>
          <w:szCs w:val="20"/>
          <w:color w:val="auto"/>
        </w:rPr>
      </w:pPr>
      <w:r>
        <w:rPr>
          <w:rFonts w:ascii="Arial" w:cs="Arial" w:eastAsia="Arial" w:hAnsi="Arial"/>
          <w:sz w:val="16"/>
          <w:szCs w:val="16"/>
          <w:b w:val="1"/>
          <w:bCs w:val="1"/>
          <w:i w:val="1"/>
          <w:iCs w:val="1"/>
          <w:color w:val="auto"/>
        </w:rPr>
        <w:t>Future Regulations</w:t>
      </w:r>
    </w:p>
    <w:p>
      <w:pPr>
        <w:spacing w:after="0" w:line="193"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Effect of Existing or Probable Government Regulations on Our Business</w:t>
      </w:r>
    </w:p>
    <w:p>
      <w:pPr>
        <w:spacing w:after="0" w:line="19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69"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Segments and Geographic Information</w:t>
      </w:r>
    </w:p>
    <w:p>
      <w:pPr>
        <w:spacing w:after="0" w:line="197" w:lineRule="exact"/>
        <w:rPr>
          <w:sz w:val="20"/>
          <w:szCs w:val="20"/>
          <w:color w:val="auto"/>
        </w:rPr>
      </w:pPr>
    </w:p>
    <w:p>
      <w:pPr>
        <w:jc w:val="both"/>
        <w:ind w:firstLine="283"/>
        <w:spacing w:after="0" w:line="300" w:lineRule="auto"/>
        <w:rPr>
          <w:sz w:val="20"/>
          <w:szCs w:val="20"/>
          <w:color w:val="auto"/>
        </w:rPr>
      </w:pPr>
      <w:r>
        <w:rPr>
          <w:rFonts w:ascii="Arial" w:cs="Arial" w:eastAsia="Arial" w:hAnsi="Arial"/>
          <w:sz w:val="15"/>
          <w:szCs w:val="15"/>
          <w:color w:val="auto"/>
        </w:rPr>
        <w:t>For information regarding revenues and other information regarding our results of operations for each of the last two fiscal years by financial reporting segment, please refer to the financial statements included in this prospectus and “</w:t>
      </w:r>
      <w:r>
        <w:rPr>
          <w:rFonts w:ascii="Arial" w:cs="Arial" w:eastAsia="Arial" w:hAnsi="Arial"/>
          <w:sz w:val="15"/>
          <w:szCs w:val="15"/>
          <w:i w:val="1"/>
          <w:iCs w:val="1"/>
          <w:color w:val="auto"/>
        </w:rPr>
        <w:t>Management’s Discussion and Analysis of Financial Condition and Results of Operations.</w:t>
      </w:r>
      <w:r>
        <w:rPr>
          <w:rFonts w:ascii="Arial" w:cs="Arial" w:eastAsia="Arial" w:hAnsi="Arial"/>
          <w:sz w:val="15"/>
          <w:szCs w:val="15"/>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w:t>
      </w:r>
    </w:p>
    <w:p>
      <w:pPr>
        <w:spacing w:after="0" w:line="197"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Our corporate headquarters are located in White Plains, New York, where we occupy approximately 13,600 square feet of shared office space with an affiliate of Fortistar pursuant to an Administrative Services Agreement. See “</w:t>
      </w:r>
      <w:r>
        <w:rPr>
          <w:rFonts w:ascii="Arial" w:cs="Arial" w:eastAsia="Arial" w:hAnsi="Arial"/>
          <w:sz w:val="13"/>
          <w:szCs w:val="13"/>
          <w:i w:val="1"/>
          <w:iCs w:val="1"/>
          <w:color w:val="auto"/>
        </w:rPr>
        <w:t>Certain Relationships and Related Party Transactions—Administrative Services Agreement.</w:t>
      </w:r>
      <w:r>
        <w:rPr>
          <w:rFonts w:ascii="Arial" w:cs="Arial" w:eastAsia="Arial" w:hAnsi="Arial"/>
          <w:sz w:val="13"/>
          <w:szCs w:val="13"/>
          <w:color w:val="auto"/>
        </w:rPr>
        <w:t>” We believe this office space is adequate for our needs for the immediate future and that, should it be necessary, we can lease additional space to accommodate any future growth.</w:t>
      </w:r>
    </w:p>
    <w:p>
      <w:pPr>
        <w:spacing w:after="0" w:line="115"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Our services office and maintenance facility is located in Oronoco, Minnesota, where we own and occupy an 20,000 square foot building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spacing w:after="0" w:line="165"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Our construction office and maintenance facility is located in Rancho Cucamonga, California, where we occupy approximately 29,935 square feet of combined office space, maintenance shop and loading dock. Our lease expires on January 31, 2023, and we have an option to extend the lease for one additional term of 24 months. We believe the space that we currently lease is adequate for our needs for the immediate future but we will likely seek additional space during the course of 2022 to accommodate future growth, which we believe will be available to us on satisfactory terms.</w:t>
      </w:r>
    </w:p>
    <w:p>
      <w:pPr>
        <w:spacing w:after="0" w:line="205"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As of July 31, 2022, we owned and operated 25 projects, six of which are RNG projects and 19 of which are Renewable Power projects. See “</w:t>
      </w:r>
      <w:r>
        <w:rPr>
          <w:rFonts w:ascii="Arial" w:cs="Arial" w:eastAsia="Arial" w:hAnsi="Arial"/>
          <w:sz w:val="16"/>
          <w:szCs w:val="16"/>
          <w:i w:val="1"/>
          <w:iCs w:val="1"/>
          <w:color w:val="auto"/>
        </w:rPr>
        <w:t>— Our Projects</w:t>
      </w:r>
      <w:r>
        <w:rPr>
          <w:rFonts w:ascii="Arial" w:cs="Arial" w:eastAsia="Arial" w:hAnsi="Arial"/>
          <w:sz w:val="16"/>
          <w:szCs w:val="16"/>
          <w:color w:val="auto"/>
        </w:rPr>
        <w:t>” for further summary of our projects.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Employees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As of July 31, 2022, OPAL had approximately 289 full-time employees, all of whom are located in the United States. None of our employees are subject to a collective bargaining agreement and we believe we have a good relationship with our employees.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City of Albany Matter</w:t>
      </w:r>
    </w:p>
    <w:p>
      <w:pPr>
        <w:spacing w:after="0" w:line="193"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On March 10, 2020, the City of Albany (“</w:t>
      </w:r>
      <w:r>
        <w:rPr>
          <w:rFonts w:ascii="Arial" w:cs="Arial" w:eastAsia="Arial" w:hAnsi="Arial"/>
          <w:sz w:val="16"/>
          <w:szCs w:val="16"/>
          <w:b w:val="1"/>
          <w:bCs w:val="1"/>
          <w:i w:val="1"/>
          <w:iCs w:val="1"/>
          <w:color w:val="auto"/>
        </w:rPr>
        <w:t>City</w:t>
      </w:r>
      <w:r>
        <w:rPr>
          <w:rFonts w:ascii="Arial" w:cs="Arial" w:eastAsia="Arial" w:hAnsi="Arial"/>
          <w:sz w:val="16"/>
          <w:szCs w:val="16"/>
          <w:color w:val="auto"/>
        </w:rPr>
        <w:t>”) commenced an action against two of our subsidiaries, Albany Energy LLC (“</w:t>
      </w:r>
      <w:r>
        <w:rPr>
          <w:rFonts w:ascii="Arial" w:cs="Arial" w:eastAsia="Arial" w:hAnsi="Arial"/>
          <w:sz w:val="16"/>
          <w:szCs w:val="16"/>
          <w:b w:val="1"/>
          <w:bCs w:val="1"/>
          <w:i w:val="1"/>
          <w:iCs w:val="1"/>
          <w:color w:val="auto"/>
        </w:rPr>
        <w:t>Albany Energy</w:t>
      </w:r>
      <w:r>
        <w:rPr>
          <w:rFonts w:ascii="Arial" w:cs="Arial" w:eastAsia="Arial" w:hAnsi="Arial"/>
          <w:sz w:val="16"/>
          <w:szCs w:val="16"/>
          <w:color w:val="auto"/>
        </w:rPr>
        <w:t>”) and NEO Albany L.L.C. (“</w:t>
      </w:r>
      <w:r>
        <w:rPr>
          <w:rFonts w:ascii="Arial" w:cs="Arial" w:eastAsia="Arial" w:hAnsi="Arial"/>
          <w:sz w:val="16"/>
          <w:szCs w:val="16"/>
          <w:b w:val="1"/>
          <w:bCs w:val="1"/>
          <w:i w:val="1"/>
          <w:iCs w:val="1"/>
          <w:color w:val="auto"/>
        </w:rPr>
        <w:t>NEO</w:t>
      </w:r>
      <w:r>
        <w:rPr>
          <w:rFonts w:ascii="Arial" w:cs="Arial" w:eastAsia="Arial" w:hAnsi="Arial"/>
          <w:sz w:val="16"/>
          <w:szCs w:val="16"/>
          <w:color w:val="auto"/>
        </w:rPr>
        <w:t>”), in the Supreme Court of the State of New York, County of Albany alleging that Albany Energy and NEO have defaulted in their obligation to utilize the Landfill Gas and convert it to electricity, depriving the City of royalty payments. The City has not quantified this portion of its claim. In addition, the City is alleging that Albany Energy was unjustly enriched when it applied for and received money under the section 1603 Grant program that was part of the American Recovery and Reinvestment Act of 2009. NEO and Albany Energy have counterclaimed against the City, alleging that the City failed in its contractual obligation and refused to deliver landfill gas that it collected in quantities that would make NEO and Albany Energy’s production of electricity commercially viable. This failure includes the City’s refusal to modify its landfill gas flare to operate in a more efficient manner.</w:t>
      </w:r>
    </w:p>
    <w:p>
      <w:pPr>
        <w:spacing w:after="0" w:line="171"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The City, in May of 2021, moved for partial summary judgment on its claim for half of the 1603 grant payment (approximately $1.0 million) and NEO and Albany Energy moved in opposition to the City’s motion. On September 29, 2021, the judge in the proceeding issued his decision rejecting the City’s claim that it was entitled to one-half of the 1603 Grant. Unless the City appeals the judge’s decision and wins a reversal, this claim cannot be pursued further. As of this writing, the City has not appealed.</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Arbor Hills Matters</w:t>
      </w:r>
    </w:p>
    <w:p>
      <w:pPr>
        <w:spacing w:after="0" w:line="193"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One of our subsidiaries, Arbor Hills Energy LLC (“</w:t>
      </w:r>
      <w:r>
        <w:rPr>
          <w:rFonts w:ascii="Arial" w:cs="Arial" w:eastAsia="Arial" w:hAnsi="Arial"/>
          <w:sz w:val="16"/>
          <w:szCs w:val="16"/>
          <w:b w:val="1"/>
          <w:bCs w:val="1"/>
          <w:i w:val="1"/>
          <w:iCs w:val="1"/>
          <w:color w:val="auto"/>
        </w:rPr>
        <w:t>AHE</w:t>
      </w:r>
      <w:r>
        <w:rPr>
          <w:rFonts w:ascii="Arial" w:cs="Arial" w:eastAsia="Arial" w:hAnsi="Arial"/>
          <w:sz w:val="16"/>
          <w:szCs w:val="16"/>
          <w:color w:val="auto"/>
        </w:rPr>
        <w:t>”), has received various notices of violation from the Michigan Department of Environment, Great Lakes and Energy (“</w:t>
      </w:r>
      <w:r>
        <w:rPr>
          <w:rFonts w:ascii="Arial" w:cs="Arial" w:eastAsia="Arial" w:hAnsi="Arial"/>
          <w:sz w:val="16"/>
          <w:szCs w:val="16"/>
          <w:b w:val="1"/>
          <w:bCs w:val="1"/>
          <w:i w:val="1"/>
          <w:iCs w:val="1"/>
          <w:color w:val="auto"/>
        </w:rPr>
        <w:t>EGLE</w:t>
      </w:r>
      <w:r>
        <w:rPr>
          <w:rFonts w:ascii="Arial" w:cs="Arial" w:eastAsia="Arial" w:hAnsi="Arial"/>
          <w:sz w:val="16"/>
          <w:szCs w:val="16"/>
          <w:color w:val="auto"/>
        </w:rPr>
        <w:t>”) and the EPA relating to alleged violations of the Clean Air Act and Part 55 of the Michigan Natural Resources and Environmental Protection Act. On March 3, 2020, AHE received an Enforcement Letter from the U.S. Department of Justice seeking to resolve these alleged violations through settlement in a Consent Decree that would include civil fines and penalties and injunctive relief. The parties have entered into a consent decree, which was formally entered by the court in December 2021, that resolves the matter and which requires that the Company pay a fine in the approximate amount of $750,000, payable in three installments over two years, and install a sulfur treatment system in accordance with the schedule set forth in the Consent Decree.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97" w:name="page98"/>
    <w:bookmarkEnd w:id="97"/>
    <w:p>
      <w:pPr>
        <w:ind w:left="280"/>
        <w:spacing w:after="0"/>
        <w:rPr>
          <w:sz w:val="20"/>
          <w:szCs w:val="20"/>
          <w:color w:val="auto"/>
        </w:rPr>
      </w:pPr>
      <w:r>
        <w:rPr>
          <w:rFonts w:ascii="Arial" w:cs="Arial" w:eastAsia="Arial" w:hAnsi="Arial"/>
          <w:sz w:val="16"/>
          <w:szCs w:val="16"/>
          <w:b w:val="1"/>
          <w:bCs w:val="1"/>
          <w:i w:val="1"/>
          <w:iCs w:val="1"/>
          <w:color w:val="auto"/>
        </w:rPr>
        <w:t>Virginia Matters</w:t>
      </w:r>
    </w:p>
    <w:p>
      <w:pPr>
        <w:spacing w:after="0" w:line="193" w:lineRule="exact"/>
        <w:rPr>
          <w:sz w:val="20"/>
          <w:szCs w:val="20"/>
          <w:color w:val="auto"/>
        </w:rPr>
      </w:pPr>
    </w:p>
    <w:p>
      <w:pPr>
        <w:jc w:val="both"/>
        <w:ind w:right="20" w:firstLine="283"/>
        <w:spacing w:after="0" w:line="271" w:lineRule="auto"/>
        <w:rPr>
          <w:sz w:val="20"/>
          <w:szCs w:val="20"/>
          <w:color w:val="auto"/>
        </w:rPr>
      </w:pPr>
      <w:r>
        <w:rPr>
          <w:rFonts w:ascii="Arial" w:cs="Arial" w:eastAsia="Arial" w:hAnsi="Arial"/>
          <w:sz w:val="15"/>
          <w:szCs w:val="15"/>
          <w:color w:val="auto"/>
        </w:rPr>
        <w:t>On July 30, 2021, Richmond Energy, a Company subsidiary, entered into a Consent Order with the VDEQ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Richmond Energy facility has been shut down since April 3, 2020 while Richmond Energy modifies the facility’s permit, which will require the installation of a chiller treatment system at an estimated cost of $1.0 million. The facility is expected to be back online within the next twelve months.</w:t>
      </w:r>
    </w:p>
    <w:p>
      <w:pPr>
        <w:spacing w:after="0" w:line="157" w:lineRule="exact"/>
        <w:rPr>
          <w:sz w:val="20"/>
          <w:szCs w:val="20"/>
          <w:color w:val="auto"/>
        </w:rPr>
      </w:pPr>
    </w:p>
    <w:p>
      <w:pPr>
        <w:jc w:val="both"/>
        <w:ind w:right="20" w:firstLine="283"/>
        <w:spacing w:after="0" w:line="315" w:lineRule="auto"/>
        <w:rPr>
          <w:sz w:val="20"/>
          <w:szCs w:val="20"/>
          <w:color w:val="auto"/>
        </w:rPr>
      </w:pPr>
      <w:r>
        <w:rPr>
          <w:rFonts w:ascii="Arial" w:cs="Arial" w:eastAsia="Arial" w:hAnsi="Arial"/>
          <w:sz w:val="13"/>
          <w:szCs w:val="13"/>
          <w:color w:val="auto"/>
        </w:rPr>
        <w:t>On June 26, 2020, Richmond Energy declared a Force Majeure event under its PPA with Old Dominion Electric Cooperative (“</w:t>
      </w:r>
      <w:r>
        <w:rPr>
          <w:rFonts w:ascii="Arial" w:cs="Arial" w:eastAsia="Arial" w:hAnsi="Arial"/>
          <w:sz w:val="13"/>
          <w:szCs w:val="13"/>
          <w:b w:val="1"/>
          <w:bCs w:val="1"/>
          <w:i w:val="1"/>
          <w:iCs w:val="1"/>
          <w:color w:val="auto"/>
        </w:rPr>
        <w:t>ODEC</w:t>
      </w:r>
      <w:r>
        <w:rPr>
          <w:rFonts w:ascii="Arial" w:cs="Arial" w:eastAsia="Arial" w:hAnsi="Arial"/>
          <w:sz w:val="13"/>
          <w:szCs w:val="13"/>
          <w:color w:val="auto"/>
        </w:rPr>
        <w:t>”). The Force Majeure declaration stated that inspections of its this landfill gas-to-electric facility under a scheduled maintenance outage revealed extensive damage to the engine generator sets. The Richmond Energy facility, which is currently shut down as described in the previous paragraph, is currently undertaking significant capital expenditures, in cooperation with the landfill owner, and expects facility to restart during the next twelve months. In early 2022, Richmond Energy received an invoice and associated correspondence from ODEC asserting aggregated liquidated damages under the ODEC PPA for calendar years 2020 and 2021, reflecting the cover value of renewable energy certificates that would have been generated in those years, in the amount of $467,320.74. Richmond and ODEC entered into a settlement agreement whereby Richmond Energy would pay ODEC the specified damages for calendar years 2020 and 2021, as well as those to be assessed for calendar year 2022. On February 8, 2022, Richmond paid ODEC $467,320.74 pursuant to this settlement agreement; liquidated damages for calendar year 2022, if any, will be assessed by ODEC during the first quarter of 2023.</w:t>
      </w:r>
    </w:p>
    <w:p>
      <w:pPr>
        <w:spacing w:after="0" w:line="32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Ohio Edison Arbitration Demand</w:t>
      </w:r>
    </w:p>
    <w:p>
      <w:pPr>
        <w:spacing w:after="0" w:line="193"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Noble Road RNG LLC (“</w:t>
      </w:r>
      <w:r>
        <w:rPr>
          <w:rFonts w:ascii="Arial" w:cs="Arial" w:eastAsia="Arial" w:hAnsi="Arial"/>
          <w:sz w:val="16"/>
          <w:szCs w:val="16"/>
          <w:b w:val="1"/>
          <w:bCs w:val="1"/>
          <w:i w:val="1"/>
          <w:iCs w:val="1"/>
          <w:color w:val="auto"/>
        </w:rPr>
        <w:t>Noble Road</w:t>
      </w:r>
      <w:r>
        <w:rPr>
          <w:rFonts w:ascii="Arial" w:cs="Arial" w:eastAsia="Arial" w:hAnsi="Arial"/>
          <w:sz w:val="16"/>
          <w:szCs w:val="16"/>
          <w:color w:val="auto"/>
        </w:rPr>
        <w:t>”), a subsidiary of Opco, and Ohio Edison Company (“</w:t>
      </w:r>
      <w:r>
        <w:rPr>
          <w:rFonts w:ascii="Arial" w:cs="Arial" w:eastAsia="Arial" w:hAnsi="Arial"/>
          <w:sz w:val="16"/>
          <w:szCs w:val="16"/>
          <w:b w:val="1"/>
          <w:bCs w:val="1"/>
          <w:i w:val="1"/>
          <w:iCs w:val="1"/>
          <w:color w:val="auto"/>
        </w:rPr>
        <w:t>Ohio Edison</w:t>
      </w:r>
      <w:r>
        <w:rPr>
          <w:rFonts w:ascii="Arial" w:cs="Arial" w:eastAsia="Arial" w:hAnsi="Arial"/>
          <w:sz w:val="16"/>
          <w:szCs w:val="16"/>
          <w:color w:val="auto"/>
        </w:rPr>
        <w:t>”) entered into several contracts pursuant to which Ohio Edison agreed to, among other things furnish to Noble Road alternating current, sixty cycle, three phase electrical energy at approximately 12,500 volts, up to approximately 2,100 kW of capacity, and agreed to construct upgrades to Ohio Edison’s facilities to serve the required load to Noble Road’s RNG facility.</w:t>
      </w:r>
    </w:p>
    <w:p>
      <w:pPr>
        <w:spacing w:after="0" w:line="165"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Noble Road sent Ohio Edison an arbitration demand on January 24, 2022 alleging that, as a result of Ohio Edison’s failure to perform under the contracts, Noble Road was substantially delayed in completing its commission activities at its RNG facility and, although it has been able to maintain operations through use of generators, is unable to operate the equipment at its RNG facility at expected capacity. In addition, Noble Road asserts that Ohio Edison’s breach of the contracts has caused and continues to cause substantial damage. In its demand, Noble Road has stated that it is willing to defer arbitration in order to allow the parties to focus on reaching a consensual resolution and has proposed that the parties agree to hold the arbitration in abeyance while current efforts to resolve the problems are ongoing. Noble Road and Ohio Edison have entered into a tolling agreement with respect to this matter which is in effect until November 1, 2022.</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auto"/>
        </w:rPr>
        <w:t>MANAGEMENT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Our Board</w:t>
      </w:r>
    </w:p>
    <w:p>
      <w:pPr>
        <w:spacing w:after="0" w:line="193" w:lineRule="exact"/>
        <w:rPr>
          <w:sz w:val="20"/>
          <w:szCs w:val="20"/>
          <w:color w:val="auto"/>
        </w:rPr>
      </w:pPr>
    </w:p>
    <w:p>
      <w:pPr>
        <w:jc w:val="both"/>
        <w:ind w:right="20" w:firstLine="283"/>
        <w:spacing w:after="0" w:line="269" w:lineRule="auto"/>
        <w:rPr>
          <w:sz w:val="20"/>
          <w:szCs w:val="20"/>
          <w:color w:val="auto"/>
        </w:rPr>
      </w:pPr>
      <w:r>
        <w:rPr>
          <w:rFonts w:ascii="Arial" w:cs="Arial" w:eastAsia="Arial" w:hAnsi="Arial"/>
          <w:sz w:val="15"/>
          <w:szCs w:val="15"/>
          <w:color w:val="auto"/>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spacing w:after="0" w:line="159"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directors of our board are as follows. Each director was appointed to our board in connection with the Closing of the Business Combination and holds his or her office until his or her successor has been duly elected or appointed and has qualified, or until his earlier death, resignation or removal.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Position with OPAL</w:t>
            </w:r>
          </w:p>
        </w:tc>
        <w:tc>
          <w:tcPr>
            <w:tcW w:w="12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Age</w:t>
            </w:r>
          </w:p>
        </w:tc>
      </w:tr>
      <w:tr>
        <w:trPr>
          <w:trHeight w:val="188"/>
        </w:trPr>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 Comora</w:t>
            </w:r>
          </w:p>
        </w:tc>
        <w:tc>
          <w:tcPr>
            <w:tcW w:w="1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Chairman</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81</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8220" w:type="dxa"/>
            <w:vAlign w:val="bottom"/>
            <w:gridSpan w:val="2"/>
          </w:tcPr>
          <w:p>
            <w:pPr>
              <w:spacing w:after="0"/>
              <w:rPr>
                <w:sz w:val="20"/>
                <w:szCs w:val="20"/>
                <w:color w:val="auto"/>
              </w:rPr>
            </w:pPr>
            <w:r>
              <w:rPr>
                <w:rFonts w:ascii="Arial" w:cs="Arial" w:eastAsia="Arial" w:hAnsi="Arial"/>
                <w:sz w:val="16"/>
                <w:szCs w:val="16"/>
                <w:color w:val="auto"/>
              </w:rPr>
              <w:t>Nadeem Nisar</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Director</w:t>
            </w:r>
          </w:p>
        </w:tc>
        <w:tc>
          <w:tcPr>
            <w:tcW w:w="1120" w:type="dxa"/>
            <w:vAlign w:val="bottom"/>
          </w:tcPr>
          <w:p>
            <w:pPr>
              <w:jc w:val="right"/>
              <w:ind w:right="342"/>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6"/>
                <w:szCs w:val="16"/>
                <w:color w:val="auto"/>
              </w:rPr>
            </w:pPr>
          </w:p>
        </w:tc>
      </w:tr>
      <w:tr>
        <w:trPr>
          <w:trHeight w:val="188"/>
        </w:trPr>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Marco F. Gatti</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2"/>
              </w:rPr>
              <w:t>Director</w:t>
            </w:r>
          </w:p>
        </w:tc>
        <w:tc>
          <w:tcPr>
            <w:tcW w:w="11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6"/>
                <w:szCs w:val="16"/>
                <w:color w:val="auto"/>
              </w:rPr>
            </w:pPr>
          </w:p>
        </w:tc>
      </w:tr>
      <w:tr>
        <w:trPr>
          <w:trHeight w:val="188"/>
        </w:trPr>
        <w:tc>
          <w:tcPr>
            <w:tcW w:w="8220" w:type="dxa"/>
            <w:vAlign w:val="bottom"/>
            <w:gridSpan w:val="2"/>
          </w:tcPr>
          <w:p>
            <w:pPr>
              <w:spacing w:after="0"/>
              <w:rPr>
                <w:sz w:val="20"/>
                <w:szCs w:val="20"/>
                <w:color w:val="auto"/>
              </w:rPr>
            </w:pPr>
            <w:r>
              <w:rPr>
                <w:rFonts w:ascii="Arial" w:cs="Arial" w:eastAsia="Arial" w:hAnsi="Arial"/>
                <w:sz w:val="16"/>
                <w:szCs w:val="16"/>
                <w:color w:val="auto"/>
              </w:rPr>
              <w:t>Kevin M. Fogarty</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Director</w:t>
            </w:r>
          </w:p>
        </w:tc>
        <w:tc>
          <w:tcPr>
            <w:tcW w:w="1120" w:type="dxa"/>
            <w:vAlign w:val="bottom"/>
          </w:tcPr>
          <w:p>
            <w:pPr>
              <w:jc w:val="right"/>
              <w:ind w:right="342"/>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6"/>
                <w:szCs w:val="16"/>
                <w:color w:val="auto"/>
              </w:rPr>
            </w:pPr>
          </w:p>
        </w:tc>
      </w:tr>
      <w:tr>
        <w:trPr>
          <w:trHeight w:val="188"/>
        </w:trPr>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Betsy L. Battle</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2"/>
              </w:rPr>
              <w:t>Director</w:t>
            </w:r>
          </w:p>
        </w:tc>
        <w:tc>
          <w:tcPr>
            <w:tcW w:w="11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6"/>
                <w:szCs w:val="16"/>
                <w:color w:val="auto"/>
              </w:rPr>
            </w:pPr>
          </w:p>
        </w:tc>
      </w:tr>
      <w:tr>
        <w:trPr>
          <w:trHeight w:val="188"/>
        </w:trPr>
        <w:tc>
          <w:tcPr>
            <w:tcW w:w="8220" w:type="dxa"/>
            <w:vAlign w:val="bottom"/>
            <w:gridSpan w:val="2"/>
          </w:tcPr>
          <w:p>
            <w:pPr>
              <w:spacing w:after="0"/>
              <w:rPr>
                <w:sz w:val="20"/>
                <w:szCs w:val="20"/>
                <w:color w:val="auto"/>
              </w:rPr>
            </w:pPr>
            <w:r>
              <w:rPr>
                <w:rFonts w:ascii="Arial" w:cs="Arial" w:eastAsia="Arial" w:hAnsi="Arial"/>
                <w:sz w:val="16"/>
                <w:szCs w:val="16"/>
                <w:color w:val="auto"/>
              </w:rPr>
              <w:t>Scott Dols</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Director</w:t>
            </w:r>
          </w:p>
        </w:tc>
        <w:tc>
          <w:tcPr>
            <w:tcW w:w="1120" w:type="dxa"/>
            <w:vAlign w:val="bottom"/>
          </w:tcPr>
          <w:p>
            <w:pPr>
              <w:jc w:val="right"/>
              <w:ind w:right="342"/>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r>
      <w:tr>
        <w:trPr>
          <w:trHeight w:val="188"/>
        </w:trPr>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Ashok Vemuri</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2"/>
              </w:rPr>
              <w:t>Director</w:t>
            </w:r>
          </w:p>
        </w:tc>
        <w:tc>
          <w:tcPr>
            <w:tcW w:w="11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6"/>
                <w:szCs w:val="16"/>
                <w:color w:val="auto"/>
              </w:rPr>
            </w:pPr>
          </w:p>
        </w:tc>
      </w:tr>
    </w:tbl>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brief biography of each director of our board.</w:t>
      </w:r>
    </w:p>
    <w:p>
      <w:pPr>
        <w:spacing w:after="0" w:line="193"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b w:val="1"/>
          <w:bCs w:val="1"/>
          <w:i w:val="1"/>
          <w:iCs w:val="1"/>
          <w:color w:val="auto"/>
        </w:rPr>
        <w:t xml:space="preserve">Mark S. Comora </w:t>
      </w:r>
      <w:r>
        <w:rPr>
          <w:rFonts w:ascii="Arial" w:cs="Arial" w:eastAsia="Arial" w:hAnsi="Arial"/>
          <w:sz w:val="15"/>
          <w:szCs w:val="15"/>
          <w:color w:val="auto"/>
        </w:rPr>
        <w:t>is the Founder and President of Fortistar. Since founding Fortistar in 1993, Mr. Comora has led Fortistar’s growth in the decarbonization of power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generation, transportation fuels, and industrial processes. Mr. Comora is the chairman of Fortistar’s management and investment committees. Additionally, Mr. Comora currently serves as Chairman of the Board of Directors of Fortistar Sustainable Solutions Corp. (Nasdaq: FSSI) and as a member of the Board of Managers at Braven Environmental, LLC (“</w:t>
      </w:r>
      <w:r>
        <w:rPr>
          <w:rFonts w:ascii="Arial" w:cs="Arial" w:eastAsia="Arial" w:hAnsi="Arial"/>
          <w:sz w:val="15"/>
          <w:szCs w:val="15"/>
          <w:b w:val="1"/>
          <w:bCs w:val="1"/>
          <w:i w:val="1"/>
          <w:iCs w:val="1"/>
          <w:color w:val="auto"/>
        </w:rPr>
        <w:t>Braven Environmental</w:t>
      </w:r>
      <w:r>
        <w:rPr>
          <w:rFonts w:ascii="Arial" w:cs="Arial" w:eastAsia="Arial" w:hAnsi="Arial"/>
          <w:sz w:val="15"/>
          <w:szCs w:val="15"/>
          <w:color w:val="auto"/>
        </w:rPr>
        <w:t>”). Mr. Comora is an Officer and Member of the Board of the American Museum of Fly Fishing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w:t>
      </w:r>
    </w:p>
    <w:p>
      <w:pPr>
        <w:spacing w:after="0" w:line="159"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b w:val="1"/>
          <w:bCs w:val="1"/>
          <w:i w:val="1"/>
          <w:iCs w:val="1"/>
          <w:color w:val="auto"/>
        </w:rPr>
        <w:t xml:space="preserve">Nadeem Nisar </w:t>
      </w:r>
      <w:r>
        <w:rPr>
          <w:rFonts w:ascii="Arial" w:cs="Arial" w:eastAsia="Arial" w:hAnsi="Arial"/>
          <w:sz w:val="15"/>
          <w:szCs w:val="15"/>
          <w:color w:val="auto"/>
        </w:rPr>
        <w:t>has been serving as a Managing Director of Fortistar since July 2008, where he serves as Head of Fortistar’s Investment Team. Mr. Nisar is a member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Fortistar’s management and investment committees which oversee the operations of Fortistar’s portfolio companies. Mr. Nisar is also the Chief Executive Officer of Fortistar Sustainable Solutions Corp. Mr. Nisar also serves on the board of directors of several of Fortistar’s portfolio companies, including Fortistar Sustainable Solutions Corp,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161"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b w:val="1"/>
          <w:bCs w:val="1"/>
          <w:i w:val="1"/>
          <w:iCs w:val="1"/>
          <w:color w:val="auto"/>
        </w:rPr>
        <w:t xml:space="preserve">Marco F. Gatti </w:t>
      </w:r>
      <w:r>
        <w:rPr>
          <w:rFonts w:ascii="Arial" w:cs="Arial" w:eastAsia="Arial" w:hAnsi="Arial"/>
          <w:sz w:val="13"/>
          <w:szCs w:val="13"/>
          <w:color w:val="auto"/>
        </w:rPr>
        <w:t>currently serves as a Managing Director or ArcLight Capital. Mr. Gatti joined ArcLight Capital in 2018 and has 11 years of energy and private equity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99" w:name="page100"/>
    <w:bookmarkEnd w:id="99"/>
    <w:p>
      <w:pPr>
        <w:jc w:val="both"/>
        <w:ind w:firstLine="283"/>
        <w:spacing w:after="0" w:line="266" w:lineRule="auto"/>
        <w:rPr>
          <w:sz w:val="20"/>
          <w:szCs w:val="20"/>
          <w:color w:val="auto"/>
        </w:rPr>
      </w:pPr>
      <w:r>
        <w:rPr>
          <w:rFonts w:ascii="Arial" w:cs="Arial" w:eastAsia="Arial" w:hAnsi="Arial"/>
          <w:sz w:val="15"/>
          <w:szCs w:val="15"/>
          <w:b w:val="1"/>
          <w:bCs w:val="1"/>
          <w:i w:val="1"/>
          <w:iCs w:val="1"/>
          <w:color w:val="auto"/>
        </w:rPr>
        <w:t xml:space="preserve">Kevin M. Fogarty </w:t>
      </w:r>
      <w:r>
        <w:rPr>
          <w:rFonts w:ascii="Arial" w:cs="Arial" w:eastAsia="Arial" w:hAnsi="Arial"/>
          <w:sz w:val="15"/>
          <w:szCs w:val="15"/>
          <w:color w:val="auto"/>
        </w:rPr>
        <w:t>recently retired from Kraton Corporation, Inc. (“</w:t>
      </w:r>
      <w:r>
        <w:rPr>
          <w:rFonts w:ascii="Arial" w:cs="Arial" w:eastAsia="Arial" w:hAnsi="Arial"/>
          <w:sz w:val="15"/>
          <w:szCs w:val="15"/>
          <w:b w:val="1"/>
          <w:bCs w:val="1"/>
          <w:i w:val="1"/>
          <w:iCs w:val="1"/>
          <w:color w:val="auto"/>
        </w:rPr>
        <w:t>Kraton</w:t>
      </w:r>
      <w:r>
        <w:rPr>
          <w:rFonts w:ascii="Arial" w:cs="Arial" w:eastAsia="Arial" w:hAnsi="Arial"/>
          <w:sz w:val="15"/>
          <w:szCs w:val="15"/>
          <w:color w:val="auto"/>
        </w:rPr>
        <w:t>”), where he served as President, Chief Executive Officer and Director, since 2008, following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was appointed non-executive Chairperson of the Board of Directors at Ecovyst Inc. (NYSE:ECVT), a leading integrated and innovative global provider of specialty catalysts and services, in April 2022. Since 2012, Mr. Fogarty has served as a Director of Glatfelter Corporation (NYSE:GLT), a leading global supplier of sustainable, cellulosic-based engineered materials, where he served as lead independent director from 2018 to 2021 and currently as Chairperson of the Nominating and Corporate Governance Committee. Mr. Fogarty is also a director of Circulus Holdings, PBLLC, a plastic recycling company. Mr. Fogarty previously served on the Board of Directors of the American Chemistry Council from 2017 through 2022. Mr. Fogarty graduated from Dalhousie University, in Halifax, Nova Scotia with a Bachelor of Engineering in 1990.</w:t>
      </w:r>
    </w:p>
    <w:p>
      <w:pPr>
        <w:spacing w:after="0" w:line="164"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b w:val="1"/>
          <w:bCs w:val="1"/>
          <w:i w:val="1"/>
          <w:iCs w:val="1"/>
          <w:color w:val="auto"/>
        </w:rPr>
        <w:t xml:space="preserve">Betsy L. Battle </w:t>
      </w:r>
      <w:r>
        <w:rPr>
          <w:rFonts w:ascii="Arial" w:cs="Arial" w:eastAsia="Arial" w:hAnsi="Arial"/>
          <w:sz w:val="15"/>
          <w:szCs w:val="15"/>
          <w:color w:val="auto"/>
        </w:rPr>
        <w:t>has served since 2009 as Founding Partner and Chief Investment Officer of Lone Peak Partners Management, LP, an investment firm registered with the SEC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NFA.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spacing w:after="0" w:line="161"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b w:val="1"/>
          <w:bCs w:val="1"/>
          <w:i w:val="1"/>
          <w:iCs w:val="1"/>
          <w:color w:val="auto"/>
        </w:rPr>
        <w:t xml:space="preserve">Scott Dols </w:t>
      </w:r>
      <w:r>
        <w:rPr>
          <w:rFonts w:ascii="Arial" w:cs="Arial" w:eastAsia="Arial" w:hAnsi="Arial"/>
          <w:sz w:val="15"/>
          <w:szCs w:val="15"/>
          <w:color w:val="auto"/>
        </w:rPr>
        <w:t>is the CEO of several waste-related companies. Mr. Dols is the Founder and, since 2002, has served as CEO of Big Truck Rental, which is a provider of new refuse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spacing w:after="0" w:line="155"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b w:val="1"/>
          <w:bCs w:val="1"/>
          <w:i w:val="1"/>
          <w:iCs w:val="1"/>
          <w:color w:val="auto"/>
        </w:rPr>
        <w:t xml:space="preserve">Ashok Vemuri </w:t>
      </w:r>
      <w:r>
        <w:rPr>
          <w:rFonts w:ascii="Arial" w:cs="Arial" w:eastAsia="Arial" w:hAnsi="Arial"/>
          <w:sz w:val="15"/>
          <w:szCs w:val="15"/>
          <w:color w:val="auto"/>
        </w:rPr>
        <w:t>served as Chief Executive Officer and a Director of Conduent Incorporated, a global digital interactions company, from the company’s inception as a result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20" w:type="dxa"/>
            <w:vAlign w:val="bottom"/>
          </w:tcPr>
          <w:p>
            <w:pPr>
              <w:spacing w:after="0"/>
              <w:rPr>
                <w:sz w:val="20"/>
                <w:szCs w:val="20"/>
                <w:color w:val="auto"/>
              </w:rPr>
            </w:pPr>
            <w:r>
              <w:rPr>
                <w:rFonts w:ascii="Arial" w:cs="Arial" w:eastAsia="Arial" w:hAnsi="Arial"/>
                <w:sz w:val="16"/>
                <w:szCs w:val="16"/>
                <w:b w:val="1"/>
                <w:bCs w:val="1"/>
                <w:color w:val="auto"/>
              </w:rPr>
              <w:t>Executive Officers</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7"/>
        </w:trPr>
        <w:tc>
          <w:tcPr>
            <w:tcW w:w="4620" w:type="dxa"/>
            <w:vAlign w:val="bottom"/>
          </w:tcPr>
          <w:p>
            <w:pPr>
              <w:ind w:left="280"/>
              <w:spacing w:after="0"/>
              <w:rPr>
                <w:sz w:val="20"/>
                <w:szCs w:val="20"/>
                <w:color w:val="auto"/>
              </w:rPr>
            </w:pPr>
            <w:r>
              <w:rPr>
                <w:rFonts w:ascii="Arial" w:cs="Arial" w:eastAsia="Arial" w:hAnsi="Arial"/>
                <w:sz w:val="16"/>
                <w:szCs w:val="16"/>
                <w:color w:val="auto"/>
              </w:rPr>
              <w:t>The following persons serve as our executive officers:</w:t>
            </w: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46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Position with OPAL</w:t>
            </w:r>
          </w:p>
        </w:tc>
        <w:tc>
          <w:tcPr>
            <w:tcW w:w="12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Age</w:t>
            </w:r>
          </w:p>
        </w:tc>
      </w:tr>
      <w:tr>
        <w:trPr>
          <w:trHeight w:val="188"/>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Adam Comora</w:t>
            </w:r>
          </w:p>
        </w:tc>
        <w:tc>
          <w:tcPr>
            <w:tcW w:w="2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Co-Chief Executive Officer</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620" w:type="dxa"/>
            <w:vAlign w:val="bottom"/>
          </w:tcPr>
          <w:p>
            <w:pPr>
              <w:spacing w:after="0"/>
              <w:rPr>
                <w:sz w:val="20"/>
                <w:szCs w:val="20"/>
                <w:color w:val="auto"/>
              </w:rPr>
            </w:pPr>
            <w:r>
              <w:rPr>
                <w:rFonts w:ascii="Arial" w:cs="Arial" w:eastAsia="Arial" w:hAnsi="Arial"/>
                <w:sz w:val="16"/>
                <w:szCs w:val="16"/>
                <w:color w:val="auto"/>
              </w:rPr>
              <w:t>Jonathan Maurer</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Co-Chief Executive Officer</w:t>
            </w:r>
          </w:p>
        </w:tc>
        <w:tc>
          <w:tcPr>
            <w:tcW w:w="1120" w:type="dxa"/>
            <w:vAlign w:val="bottom"/>
          </w:tcPr>
          <w:p>
            <w:pPr>
              <w:jc w:val="right"/>
              <w:ind w:right="342"/>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r>
      <w:tr>
        <w:trPr>
          <w:trHeight w:val="188"/>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Ann Anthony</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Chief Financial Officer</w:t>
            </w:r>
          </w:p>
        </w:tc>
        <w:tc>
          <w:tcPr>
            <w:tcW w:w="11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6"/>
                <w:szCs w:val="16"/>
                <w:color w:val="auto"/>
              </w:rPr>
            </w:pPr>
          </w:p>
        </w:tc>
      </w:tr>
      <w:tr>
        <w:trPr>
          <w:trHeight w:val="188"/>
        </w:trPr>
        <w:tc>
          <w:tcPr>
            <w:tcW w:w="4620" w:type="dxa"/>
            <w:vAlign w:val="bottom"/>
          </w:tcPr>
          <w:p>
            <w:pPr>
              <w:spacing w:after="0"/>
              <w:rPr>
                <w:sz w:val="20"/>
                <w:szCs w:val="20"/>
                <w:color w:val="auto"/>
              </w:rPr>
            </w:pPr>
            <w:r>
              <w:rPr>
                <w:rFonts w:ascii="Arial" w:cs="Arial" w:eastAsia="Arial" w:hAnsi="Arial"/>
                <w:sz w:val="16"/>
                <w:szCs w:val="16"/>
                <w:color w:val="auto"/>
              </w:rPr>
              <w:t>David Unger</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Executive Vice President</w:t>
            </w:r>
          </w:p>
        </w:tc>
        <w:tc>
          <w:tcPr>
            <w:tcW w:w="1120" w:type="dxa"/>
            <w:vAlign w:val="bottom"/>
          </w:tcPr>
          <w:p>
            <w:pPr>
              <w:jc w:val="right"/>
              <w:ind w:right="342"/>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r>
      <w:tr>
        <w:trPr>
          <w:trHeight w:val="188"/>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Anthony Falbo</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Chief Operating Officer</w:t>
            </w:r>
          </w:p>
        </w:tc>
        <w:tc>
          <w:tcPr>
            <w:tcW w:w="11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6"/>
                <w:szCs w:val="16"/>
                <w:color w:val="auto"/>
              </w:rPr>
            </w:pPr>
          </w:p>
        </w:tc>
      </w:tr>
      <w:tr>
        <w:trPr>
          <w:trHeight w:val="188"/>
        </w:trPr>
        <w:tc>
          <w:tcPr>
            <w:tcW w:w="4620" w:type="dxa"/>
            <w:vAlign w:val="bottom"/>
          </w:tcPr>
          <w:p>
            <w:pPr>
              <w:spacing w:after="0"/>
              <w:rPr>
                <w:sz w:val="20"/>
                <w:szCs w:val="20"/>
                <w:color w:val="auto"/>
              </w:rPr>
            </w:pPr>
            <w:r>
              <w:rPr>
                <w:rFonts w:ascii="Arial" w:cs="Arial" w:eastAsia="Arial" w:hAnsi="Arial"/>
                <w:sz w:val="16"/>
                <w:szCs w:val="16"/>
                <w:color w:val="auto"/>
              </w:rPr>
              <w:t>Scott Edelbach</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Executive Vice President</w:t>
            </w:r>
          </w:p>
        </w:tc>
        <w:tc>
          <w:tcPr>
            <w:tcW w:w="1120" w:type="dxa"/>
            <w:vAlign w:val="bottom"/>
          </w:tcPr>
          <w:p>
            <w:pPr>
              <w:jc w:val="right"/>
              <w:ind w:right="342"/>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6"/>
                <w:szCs w:val="16"/>
                <w:color w:val="auto"/>
              </w:rPr>
            </w:pPr>
          </w:p>
        </w:tc>
      </w:tr>
      <w:tr>
        <w:trPr>
          <w:trHeight w:val="188"/>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Hugh Donnell</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Senior Vice President</w:t>
            </w:r>
          </w:p>
        </w:tc>
        <w:tc>
          <w:tcPr>
            <w:tcW w:w="11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6"/>
                <w:szCs w:val="16"/>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John Coghlin</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General Counsel</w:t>
            </w:r>
          </w:p>
        </w:tc>
        <w:tc>
          <w:tcPr>
            <w:tcW w:w="1120" w:type="dxa"/>
            <w:vAlign w:val="bottom"/>
          </w:tcPr>
          <w:p>
            <w:pPr>
              <w:jc w:val="right"/>
              <w:ind w:right="342"/>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r>
      <w:tr>
        <w:trPr>
          <w:trHeight w:val="557"/>
        </w:trPr>
        <w:tc>
          <w:tcPr>
            <w:tcW w:w="46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1202"/>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6" w:right="319" w:bottom="1440" w:gutter="0" w:footer="0" w:header="0"/>
        </w:sectPr>
      </w:pPr>
    </w:p>
    <w:bookmarkStart w:id="100" w:name="page101"/>
    <w:bookmarkEnd w:id="100"/>
    <w:p>
      <w:pPr>
        <w:ind w:left="280"/>
        <w:spacing w:after="0"/>
        <w:rPr>
          <w:sz w:val="20"/>
          <w:szCs w:val="20"/>
          <w:color w:val="auto"/>
        </w:rPr>
      </w:pPr>
      <w:r>
        <w:rPr>
          <w:rFonts w:ascii="Arial" w:cs="Arial" w:eastAsia="Arial" w:hAnsi="Arial"/>
          <w:sz w:val="16"/>
          <w:szCs w:val="16"/>
          <w:color w:val="auto"/>
        </w:rPr>
        <w:t>The following is a brief biography of each of our executive officers.</w:t>
      </w:r>
    </w:p>
    <w:p>
      <w:pPr>
        <w:spacing w:after="0" w:line="193" w:lineRule="exact"/>
        <w:rPr>
          <w:sz w:val="20"/>
          <w:szCs w:val="20"/>
          <w:color w:val="auto"/>
        </w:rPr>
      </w:pPr>
    </w:p>
    <w:p>
      <w:pPr>
        <w:jc w:val="both"/>
        <w:ind w:firstLine="283"/>
        <w:spacing w:after="0" w:line="248" w:lineRule="auto"/>
        <w:rPr>
          <w:sz w:val="20"/>
          <w:szCs w:val="20"/>
          <w:color w:val="auto"/>
        </w:rPr>
      </w:pPr>
      <w:r>
        <w:rPr>
          <w:rFonts w:ascii="Arial" w:cs="Arial" w:eastAsia="Arial" w:hAnsi="Arial"/>
          <w:sz w:val="16"/>
          <w:szCs w:val="16"/>
          <w:b w:val="1"/>
          <w:bCs w:val="1"/>
          <w:i w:val="1"/>
          <w:iCs w:val="1"/>
          <w:color w:val="auto"/>
        </w:rPr>
        <w:t xml:space="preserve">Adam Comora </w:t>
      </w:r>
      <w:r>
        <w:rPr>
          <w:rFonts w:ascii="Arial" w:cs="Arial" w:eastAsia="Arial" w:hAnsi="Arial"/>
          <w:sz w:val="16"/>
          <w:szCs w:val="16"/>
          <w:color w:val="auto"/>
        </w:rPr>
        <w:t>served in the role as Co-Chief Executive Officer of Opco from December 2020 up to the closing of the Business Combination. Mr. Comora was also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Fortistar from February 2011 until January 1, 2022 (when effective as of such time he resigned all his positions with Fortistar and its affiliated entities other than Opco), where, among other things, he served as President and Chief Executive Officer of TruStar Energy which now comprises the dispensing and monetization segment of Opco. Since the Business Combination, Mr. Comora has served as the Co-Chief Executive Officer of OPAL Fuels Inc. Prior to joining Fortistar, Mr. Comora was a partner at EnTrust Capital, an asset management firm based in New York City, where he was an integral part of the investment team managing long only equities, a long/short strategy launched in February 1999 and a fund of funds launched in 2003. While at EnTrust, assets under management grew from $1 billion to $6 billion. Prior to EnTrust Comora was an Analyst and Associate at JP Morgan Investment Bank from 1994-1998. Mr. Comora received his Bachelor of Arts in Economics and Government from Cornell University. Mr. Adam Comora is the son of Mr. Mark Comora.</w:t>
      </w:r>
    </w:p>
    <w:p>
      <w:pPr>
        <w:spacing w:after="0" w:line="175"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b w:val="1"/>
          <w:bCs w:val="1"/>
          <w:i w:val="1"/>
          <w:iCs w:val="1"/>
          <w:color w:val="auto"/>
        </w:rPr>
        <w:t xml:space="preserve">Jonathan Maurer </w:t>
      </w:r>
      <w:r>
        <w:rPr>
          <w:rFonts w:ascii="Arial" w:cs="Arial" w:eastAsia="Arial" w:hAnsi="Arial"/>
          <w:sz w:val="15"/>
          <w:szCs w:val="15"/>
          <w:color w:val="auto"/>
        </w:rPr>
        <w:t>served in the role as Co-Chief Executive Officer of Opco from December 2020 up to the closing of the Business Combination where Mr. Maurer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transitioned in the same capacity to the management OPAL Fuels Inc. Mr. Maurer previously served as a Managing Director of Fortistar until January 1, 2022 (when effective as of such time he resigned all his positions with Fortistar and its affiliated entities other than Opco), where he was Co-Head of Fortistar’s Investment Team and led all management and investment activities associated with Fortistar’s renewable natural gas, landfill gas to power, and biomass energy investments. Additionally, prior to January 1, 2022, Mr. Maurer served as a Managing Director of Fortistar Sustainable Solutions Corp. (Nasdaq: FSSI). Mr. Maurer also served as a member of Fortistar’s management and investment committees. Prior to his appointment at OPAL, Mr. Maurer served at Fortistar for over 30 years and previously was a commercial banker with JP Morgan Chase &amp; Co. Mr. Maurer has an MBA from Columbia Business School and a Bachelor of Arts from St. Lawrence University.</w:t>
      </w:r>
    </w:p>
    <w:p>
      <w:pPr>
        <w:spacing w:after="0" w:line="159"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b w:val="1"/>
          <w:bCs w:val="1"/>
          <w:i w:val="1"/>
          <w:iCs w:val="1"/>
          <w:color w:val="auto"/>
        </w:rPr>
        <w:t xml:space="preserve">Ann Anthony </w:t>
      </w:r>
      <w:r>
        <w:rPr>
          <w:rFonts w:ascii="Arial" w:cs="Arial" w:eastAsia="Arial" w:hAnsi="Arial"/>
          <w:sz w:val="13"/>
          <w:szCs w:val="13"/>
          <w:color w:val="auto"/>
        </w:rPr>
        <w:t>served as the Chief Financial Officer of Opco from April 2021 up to the closing of the Business Combination where Ms. Anthony transitioned in the same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capacity to the management of OPAL Fuels Inc. Prior to joining OPAL, from November 2019 to April 2021, Ms. Anthony was the Chief Financial Officer and Secretary of Key Capture Energy, LLC, a start-up private equity funded battery storage company where she was responsible for managing all financial and HR processes for the start-up company. Before joining Key Capture Energy, LLC, Ms. Anthony served from 2008 to 2019 in various capacities with South Jersey Industries, Inc, a public energy services holding company, most recently leading finance and accounting as the Principal Financial Officer of SJI Utilities and Vice President and Treasurer of South Jersey Industries, Inc, the public registrant. Ms. Anthony received her Master of Business Administration and her Bachelor of Science in Finance from St. Joseph’s University.</w:t>
      </w:r>
    </w:p>
    <w:p>
      <w:pPr>
        <w:spacing w:after="0" w:line="131"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b w:val="1"/>
          <w:bCs w:val="1"/>
          <w:i w:val="1"/>
          <w:iCs w:val="1"/>
          <w:color w:val="auto"/>
        </w:rPr>
        <w:t xml:space="preserve">David Unger </w:t>
      </w:r>
      <w:r>
        <w:rPr>
          <w:rFonts w:ascii="Arial" w:cs="Arial" w:eastAsia="Arial" w:hAnsi="Arial"/>
          <w:sz w:val="15"/>
          <w:szCs w:val="15"/>
          <w:color w:val="auto"/>
        </w:rPr>
        <w:t>served in the role as Executive Vice President of Opco from December 2020 up to the closing of the Business Combination where Mr. Unger transitioned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 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159"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b w:val="1"/>
          <w:bCs w:val="1"/>
          <w:i w:val="1"/>
          <w:iCs w:val="1"/>
          <w:color w:val="auto"/>
        </w:rPr>
        <w:t xml:space="preserve">Anthony Falbo </w:t>
      </w:r>
      <w:r>
        <w:rPr>
          <w:rFonts w:ascii="Arial" w:cs="Arial" w:eastAsia="Arial" w:hAnsi="Arial"/>
          <w:sz w:val="13"/>
          <w:szCs w:val="13"/>
          <w:color w:val="auto"/>
        </w:rPr>
        <w:t>served in the role as Chief Operating Officer of Opco from December 2020 up to the closing of the Business Combination where Mr. Falbo transitioned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same capacity to the management of OPAL Fuels Inc. From 2006 until December 2020, Mr. Falbo served in a similar capacity as Senior Vice President at Fortistar. Mr. Falbo has over 36 years of experience working in the energy sector, both in the management of operating energy facilities as well as construction management. During his time at Fortistar, Mr. Falbo participated in the acquisition of over 30 landfill gas to energy power projects and developed a best-in-class operating team. Prior to joining Fortistar, from 1991 to 2006, Mr. Falbo served as an electrical power generation Supervisor for NAES Corporation. From 1985 – 1991, Mr. Falbo worked in the U.S. Navy Nuclear Power Program onboard submarines. Mr. Falbo received his Bachelor of Science from State University of New York Empire State College, where he continues his Master level coursework.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01" w:name="page102"/>
    <w:bookmarkEnd w:id="101"/>
    <w:p>
      <w:pPr>
        <w:jc w:val="both"/>
        <w:ind w:firstLine="283"/>
        <w:spacing w:after="0" w:line="269" w:lineRule="auto"/>
        <w:rPr>
          <w:sz w:val="20"/>
          <w:szCs w:val="20"/>
          <w:color w:val="auto"/>
        </w:rPr>
      </w:pPr>
      <w:r>
        <w:rPr>
          <w:rFonts w:ascii="Arial" w:cs="Arial" w:eastAsia="Arial" w:hAnsi="Arial"/>
          <w:sz w:val="15"/>
          <w:szCs w:val="15"/>
          <w:b w:val="1"/>
          <w:bCs w:val="1"/>
          <w:i w:val="1"/>
          <w:iCs w:val="1"/>
          <w:color w:val="auto"/>
        </w:rPr>
        <w:t xml:space="preserve">Scott Edelbach </w:t>
      </w:r>
      <w:r>
        <w:rPr>
          <w:rFonts w:ascii="Arial" w:cs="Arial" w:eastAsia="Arial" w:hAnsi="Arial"/>
          <w:sz w:val="15"/>
          <w:szCs w:val="15"/>
          <w:color w:val="auto"/>
        </w:rPr>
        <w:t>has served in the role as the Executive Vice President of Opco from December 2020 up to the closing of the Business Combination where Mr. Edelbach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transitioned in the same capacity to the management of OPAL Fuels Inc. Mr. Edelbach was a founder of TruStar Energy which was formed in 2009. Prior to joining TruStar Energy, Mr. Edelbach worked at Oshkosh Truck Corporation for 18 years where his last position was Vice President of the Refuse Division. At Oshkosh Truck Corporation, Edelbach led the company to become the first major OEM in the United States to build and integrate natural gas fuel systems into large class 8 trucks and was part of the development teams creating heavy duty electric hybrid chassis and utility bodies such as garbage trucks and concrete mixers that were to be used for commercial application in the United States and European markets. Mr. Edelbach received his Bachelor’s in Business Management from Southwestern University.</w:t>
      </w:r>
    </w:p>
    <w:p>
      <w:pPr>
        <w:spacing w:after="0" w:line="159"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b w:val="1"/>
          <w:bCs w:val="1"/>
          <w:i w:val="1"/>
          <w:iCs w:val="1"/>
          <w:color w:val="auto"/>
        </w:rPr>
        <w:t xml:space="preserve">Hugh Donnell </w:t>
      </w:r>
      <w:r>
        <w:rPr>
          <w:rFonts w:ascii="Arial" w:cs="Arial" w:eastAsia="Arial" w:hAnsi="Arial"/>
          <w:sz w:val="16"/>
          <w:szCs w:val="16"/>
          <w:color w:val="auto"/>
        </w:rPr>
        <w:t>served as Senior Vice President, Business Development and Sustainability at Opco and has been with the company from April 2022 up to the closing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Combination where Mr. Donnell transitioned in the same capacity to the management of OPAL Fuels Inc. Prior to joining OPAL, Mr. Donnell worked at Cummins Inc. for 28 years in a variety of roles including new product development, commercial strategy, product sales, and in the role of National Account Executive. In his most recent role at Cummins, reporting to the President of CWI Joint Venture, he was responsible for the business growth and market development of renewable natural gas engines, which included working closely with state and federal government air quality agencies. Mr. Donnell serves several advisory roles and is a board member of Natural Gas Vehicles America. He received his Bachelor of Arts from University of Southern Maine.</w:t>
      </w:r>
    </w:p>
    <w:p>
      <w:pPr>
        <w:spacing w:after="0" w:line="174"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b w:val="1"/>
          <w:bCs w:val="1"/>
          <w:i w:val="1"/>
          <w:iCs w:val="1"/>
          <w:color w:val="auto"/>
        </w:rPr>
        <w:t xml:space="preserve">John Coghlin </w:t>
      </w:r>
      <w:r>
        <w:rPr>
          <w:rFonts w:ascii="Arial" w:cs="Arial" w:eastAsia="Arial" w:hAnsi="Arial"/>
          <w:sz w:val="16"/>
          <w:szCs w:val="16"/>
          <w:color w:val="auto"/>
        </w:rPr>
        <w:t>has served as the General Counsel of Opco from June 2021 up to the closing of the Business Combination where Mr. Coghlin transitioned in the same capacity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management of OPAL Fuels Inc. Prior to joining OPAL, Mr. Coghlin served as Senior Vice President and General Counsel of Colt Defense, a manufacturing firm based in West Hartford, Connecticut. From 2007 to 2014, Mr. Coghlin served as the Chief Operating Officer and General Counsel at Healthcor Group, a global registered investment advisor. Prior to Healthcor Mr. Coghlin served as Senior Vice President and General Counsel of Citizens Financial Group, a division of Royal Bank of Scotland. Mr. Coghlin began his career as an associate with the law firm of Rogers &amp; Wells. Mr. Coghlin received his Juris Doctorate from Boston College School of Law and his Bachelor of Arts from Tufts University.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of the Board</w:t>
      </w:r>
    </w:p>
    <w:p>
      <w:pPr>
        <w:spacing w:after="0" w:line="19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Nasdaq rules generally require that independent directors must comprise a majority of a listed company’s board of directors. As a controlled company, OPAL is largely exempt from such requirements. Based upon information requested from and provided by each director concerning his or her background, employment and affiliations, including family relationships, we have determined that Mr. Gatti, Mr. Fogarty and Mr. Vemuri, representing three members of our board, are “independent” as that term is defined under the applicable rules and regulations of the SEC and the listing requirements and rules of Nasdaq.</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Controlled Company Exemption</w:t>
      </w:r>
    </w:p>
    <w:p>
      <w:pPr>
        <w:spacing w:after="0" w:line="19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Committees of the Board</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Our board maintains a standing audit committee (“</w:t>
      </w: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but does not currently maintain a standing compensation committee or nominating/governance committee based upon the exceptions from the Nasdaq Listing Rules for “controlled companies.”</w:t>
      </w:r>
    </w:p>
    <w:p>
      <w:pPr>
        <w:spacing w:after="0" w:line="157"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“audit committee financial expert” as such term is defined in Item 407(d)(5) of Regulation S-K and possesses financial sophistication, as defined under the rules of Nasdaq.</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purpose and responsibilities of the Audit Committee are set forth in the Audit Committee Charter adopted by our board on July 21, 2022.</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197"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Our Board adopted a Code of Business Conduct and Ethics on July 21, 2022 (the “</w:t>
      </w:r>
      <w:r>
        <w:rPr>
          <w:rFonts w:ascii="Arial" w:cs="Arial" w:eastAsia="Arial" w:hAnsi="Arial"/>
          <w:sz w:val="13"/>
          <w:szCs w:val="13"/>
          <w:b w:val="1"/>
          <w:bCs w:val="1"/>
          <w:i w:val="1"/>
          <w:iCs w:val="1"/>
          <w:color w:val="auto"/>
        </w:rPr>
        <w:t>Code of Conduct</w:t>
      </w:r>
      <w:r>
        <w:rPr>
          <w:rFonts w:ascii="Arial" w:cs="Arial" w:eastAsia="Arial" w:hAnsi="Arial"/>
          <w:sz w:val="13"/>
          <w:szCs w:val="13"/>
          <w:color w:val="auto"/>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03" w:name="page104"/>
    <w:bookmarkEnd w:id="103"/>
    <w:p>
      <w:pPr>
        <w:jc w:val="center"/>
        <w:ind w:right="-5"/>
        <w:spacing w:after="0"/>
        <w:rPr>
          <w:sz w:val="20"/>
          <w:szCs w:val="20"/>
          <w:color w:val="auto"/>
        </w:rPr>
      </w:pPr>
      <w:r>
        <w:rPr>
          <w:rFonts w:ascii="Arial" w:cs="Arial" w:eastAsia="Arial" w:hAnsi="Arial"/>
          <w:sz w:val="16"/>
          <w:szCs w:val="16"/>
          <w:b w:val="1"/>
          <w:bCs w:val="1"/>
          <w:color w:val="auto"/>
        </w:rPr>
        <w:t>EXECUTIVE COMPENSATION</w:t>
      </w:r>
    </w:p>
    <w:p>
      <w:pPr>
        <w:spacing w:after="0" w:line="197"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i w:val="1"/>
          <w:iCs w:val="1"/>
          <w:color w:val="auto"/>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spacing w:after="0" w:line="169" w:lineRule="exact"/>
        <w:rPr>
          <w:sz w:val="20"/>
          <w:szCs w:val="20"/>
          <w:color w:val="auto"/>
        </w:rPr>
      </w:pPr>
    </w:p>
    <w:p>
      <w:pPr>
        <w:jc w:val="both"/>
        <w:ind w:left="6" w:firstLine="283"/>
        <w:spacing w:after="0" w:line="281" w:lineRule="auto"/>
        <w:rPr>
          <w:sz w:val="20"/>
          <w:szCs w:val="20"/>
          <w:color w:val="auto"/>
        </w:rPr>
      </w:pPr>
      <w:r>
        <w:rPr>
          <w:rFonts w:ascii="Arial" w:cs="Arial" w:eastAsia="Arial" w:hAnsi="Arial"/>
          <w:sz w:val="15"/>
          <w:szCs w:val="15"/>
          <w:color w:val="auto"/>
        </w:rPr>
        <w:t>The following section describes the significant elements of our executive compensation program for 2021 with particular emphasis on the process for determining compensation payable to our Co-Chief Executive Officers and other two most highly compensated executive officers (collectively, the “</w:t>
      </w:r>
      <w:r>
        <w:rPr>
          <w:rFonts w:ascii="Arial" w:cs="Arial" w:eastAsia="Arial" w:hAnsi="Arial"/>
          <w:sz w:val="15"/>
          <w:szCs w:val="15"/>
          <w:b w:val="1"/>
          <w:bCs w:val="1"/>
          <w:i w:val="1"/>
          <w:iCs w:val="1"/>
          <w:color w:val="auto"/>
        </w:rPr>
        <w:t>Named Executive Officers</w:t>
      </w:r>
      <w:r>
        <w:rPr>
          <w:rFonts w:ascii="Arial" w:cs="Arial" w:eastAsia="Arial" w:hAnsi="Arial"/>
          <w:sz w:val="15"/>
          <w:szCs w:val="15"/>
          <w:color w:val="auto"/>
        </w:rPr>
        <w:t>” or “</w:t>
      </w:r>
      <w:r>
        <w:rPr>
          <w:rFonts w:ascii="Arial" w:cs="Arial" w:eastAsia="Arial" w:hAnsi="Arial"/>
          <w:sz w:val="15"/>
          <w:szCs w:val="15"/>
          <w:b w:val="1"/>
          <w:bCs w:val="1"/>
          <w:i w:val="1"/>
          <w:iCs w:val="1"/>
          <w:color w:val="auto"/>
        </w:rPr>
        <w:t>NEOs</w:t>
      </w:r>
      <w:r>
        <w:rPr>
          <w:rFonts w:ascii="Arial" w:cs="Arial" w:eastAsia="Arial" w:hAnsi="Arial"/>
          <w:sz w:val="15"/>
          <w:szCs w:val="15"/>
          <w:color w:val="auto"/>
        </w:rPr>
        <w:t>”) during 2021. Our executive officers are listed below (of which Mr. Comora, Mr. Mauer, Mr. Unger and Mr. Edelbach are Named Executive Officers):</w:t>
      </w:r>
    </w:p>
    <w:p>
      <w:pPr>
        <w:spacing w:after="0" w:line="148" w:lineRule="exact"/>
        <w:rPr>
          <w:sz w:val="20"/>
          <w:szCs w:val="20"/>
          <w:color w:val="auto"/>
        </w:rPr>
      </w:pPr>
    </w:p>
    <w:p>
      <w:pPr>
        <w:ind w:left="566" w:hanging="283"/>
        <w:spacing w:after="0"/>
        <w:tabs>
          <w:tab w:leader="none" w:pos="5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Adam Comora, Co-Chief Executive Officer</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Jonathan Maurer, Co-Chief Executive Officer</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Ann Anthony, Chief Financial Officer</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Anthony Falbo, Chief Operating Officer</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David Unger, Executive Vice President</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Scott Edelbach, Executive Vice President</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Hugh Donnell, Senior Vice President</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John Coghlin, General Counsel</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Overview</w:t>
      </w:r>
    </w:p>
    <w:p>
      <w:pPr>
        <w:spacing w:after="0" w:line="197" w:lineRule="exact"/>
        <w:rPr>
          <w:sz w:val="20"/>
          <w:szCs w:val="20"/>
          <w:color w:val="auto"/>
        </w:rPr>
      </w:pPr>
    </w:p>
    <w:p>
      <w:pPr>
        <w:ind w:left="6" w:right="20" w:firstLine="283"/>
        <w:spacing w:after="0" w:line="300" w:lineRule="auto"/>
        <w:rPr>
          <w:sz w:val="20"/>
          <w:szCs w:val="20"/>
          <w:color w:val="auto"/>
        </w:rPr>
      </w:pPr>
      <w:r>
        <w:rPr>
          <w:rFonts w:ascii="Arial" w:cs="Arial" w:eastAsia="Arial" w:hAnsi="Arial"/>
          <w:sz w:val="15"/>
          <w:szCs w:val="15"/>
          <w:color w:val="auto"/>
        </w:rPr>
        <w:t>Historically, the Chairman of our board and the boards of directors of our predecessor companies has been responsible for setting the compensation of our Co-Chief Executive Officers and Chief Financial Officer, and for working with our Co-Chief Executive Officers to set the compensation for the other executive officers.</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Summary Compensation Table</w:t>
      </w:r>
    </w:p>
    <w:p>
      <w:pPr>
        <w:spacing w:after="0" w:line="197" w:lineRule="exact"/>
        <w:rPr>
          <w:sz w:val="20"/>
          <w:szCs w:val="20"/>
          <w:color w:val="auto"/>
        </w:rPr>
      </w:pPr>
    </w:p>
    <w:p>
      <w:pPr>
        <w:ind w:left="6" w:firstLine="283"/>
        <w:spacing w:after="0" w:line="266" w:lineRule="auto"/>
        <w:rPr>
          <w:sz w:val="20"/>
          <w:szCs w:val="20"/>
          <w:color w:val="auto"/>
        </w:rPr>
      </w:pPr>
      <w:r>
        <w:rPr>
          <w:rFonts w:ascii="Arial" w:cs="Arial" w:eastAsia="Arial" w:hAnsi="Arial"/>
          <w:sz w:val="16"/>
          <w:szCs w:val="16"/>
          <w:color w:val="auto"/>
        </w:rPr>
        <w:t>The following table sets forth information concerning the compensation paid by us to our principal executive officers during the fiscal year ended December 31, 2021 (the “</w:t>
      </w:r>
      <w:r>
        <w:rPr>
          <w:rFonts w:ascii="Arial" w:cs="Arial" w:eastAsia="Arial" w:hAnsi="Arial"/>
          <w:sz w:val="16"/>
          <w:szCs w:val="16"/>
          <w:b w:val="1"/>
          <w:bCs w:val="1"/>
          <w:i w:val="1"/>
          <w:iCs w:val="1"/>
          <w:color w:val="auto"/>
        </w:rPr>
        <w:t>2021 Fiscal Year</w:t>
      </w:r>
      <w:r>
        <w:rPr>
          <w:rFonts w:ascii="Arial" w:cs="Arial" w:eastAsia="Arial" w:hAnsi="Arial"/>
          <w:sz w:val="16"/>
          <w:szCs w:val="16"/>
          <w:color w:val="auto"/>
        </w:rPr>
        <w:t>”) and the other Named Executive Officers during the 2021 Fiscal Year.</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gridSpan w:val="6"/>
          </w:tcPr>
          <w:p>
            <w:pPr>
              <w:jc w:val="right"/>
              <w:ind w:right="200"/>
              <w:spacing w:after="0"/>
              <w:rPr>
                <w:sz w:val="20"/>
                <w:szCs w:val="20"/>
                <w:color w:val="auto"/>
              </w:rPr>
            </w:pPr>
            <w:r>
              <w:rPr>
                <w:rFonts w:ascii="Arial" w:cs="Arial" w:eastAsia="Arial" w:hAnsi="Arial"/>
                <w:sz w:val="16"/>
                <w:szCs w:val="16"/>
                <w:b w:val="1"/>
                <w:bCs w:val="1"/>
                <w:color w:val="auto"/>
              </w:rPr>
              <w:t>2021 SUMMARY COMPENSATION TABLE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6"/>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Option</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All Other</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1920" w:type="dxa"/>
            <w:vAlign w:val="bottom"/>
          </w:tcPr>
          <w:p>
            <w:pPr>
              <w:spacing w:after="0"/>
              <w:rPr>
                <w:sz w:val="20"/>
                <w:szCs w:val="20"/>
                <w:color w:val="auto"/>
              </w:rPr>
            </w:pPr>
            <w:r>
              <w:rPr>
                <w:rFonts w:ascii="Arial" w:cs="Arial" w:eastAsia="Arial" w:hAnsi="Arial"/>
                <w:sz w:val="16"/>
                <w:szCs w:val="16"/>
                <w:b w:val="1"/>
                <w:bCs w:val="1"/>
                <w:color w:val="auto"/>
              </w:rPr>
              <w:t>Name and Principal</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rPr>
              <w:t>Salary</w:t>
            </w:r>
          </w:p>
        </w:tc>
        <w:tc>
          <w:tcPr>
            <w:tcW w:w="1380" w:type="dxa"/>
            <w:vAlign w:val="bottom"/>
            <w:gridSpan w:val="2"/>
          </w:tcPr>
          <w:p>
            <w:pPr>
              <w:ind w:left="380"/>
              <w:spacing w:after="0"/>
              <w:rPr>
                <w:sz w:val="20"/>
                <w:szCs w:val="20"/>
                <w:color w:val="auto"/>
              </w:rPr>
            </w:pPr>
            <w:r>
              <w:rPr>
                <w:rFonts w:ascii="Arial" w:cs="Arial" w:eastAsia="Arial" w:hAnsi="Arial"/>
                <w:sz w:val="16"/>
                <w:szCs w:val="16"/>
                <w:b w:val="1"/>
                <w:bCs w:val="1"/>
                <w:color w:val="auto"/>
              </w:rPr>
              <w:t>Bonus</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Awards</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Awards</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Compensation</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Total</w:t>
            </w:r>
          </w:p>
        </w:tc>
      </w:tr>
      <w:tr>
        <w:trPr>
          <w:trHeight w:val="239"/>
        </w:trPr>
        <w:tc>
          <w:tcPr>
            <w:tcW w:w="1920" w:type="dxa"/>
            <w:vAlign w:val="bottom"/>
          </w:tcPr>
          <w:p>
            <w:pPr>
              <w:spacing w:after="0"/>
              <w:rPr>
                <w:sz w:val="20"/>
                <w:szCs w:val="20"/>
                <w:color w:val="auto"/>
              </w:rPr>
            </w:pPr>
            <w:r>
              <w:rPr>
                <w:rFonts w:ascii="Arial" w:cs="Arial" w:eastAsia="Arial" w:hAnsi="Arial"/>
                <w:sz w:val="16"/>
                <w:szCs w:val="16"/>
                <w:b w:val="1"/>
                <w:bCs w:val="1"/>
                <w:color w:val="auto"/>
              </w:rPr>
              <w:t>Position</w:t>
            </w:r>
          </w:p>
        </w:tc>
        <w:tc>
          <w:tcPr>
            <w:tcW w:w="120" w:type="dxa"/>
            <w:vAlign w:val="bottom"/>
          </w:tcPr>
          <w:p>
            <w:pPr>
              <w:spacing w:after="0"/>
              <w:rPr>
                <w:sz w:val="20"/>
                <w:szCs w:val="20"/>
                <w:color w:val="auto"/>
              </w:rPr>
            </w:pPr>
          </w:p>
        </w:tc>
        <w:tc>
          <w:tcPr>
            <w:tcW w:w="1260" w:type="dxa"/>
            <w:vAlign w:val="bottom"/>
            <w:gridSpan w:val="2"/>
          </w:tcPr>
          <w:p>
            <w:pPr>
              <w:ind w:left="340"/>
              <w:spacing w:after="0"/>
              <w:rPr>
                <w:sz w:val="20"/>
                <w:szCs w:val="20"/>
                <w:color w:val="auto"/>
              </w:rPr>
            </w:pPr>
            <w:r>
              <w:rPr>
                <w:rFonts w:ascii="Arial" w:cs="Arial" w:eastAsia="Arial" w:hAnsi="Arial"/>
                <w:sz w:val="16"/>
                <w:szCs w:val="16"/>
                <w:b w:val="1"/>
                <w:bCs w:val="1"/>
                <w:color w:val="auto"/>
              </w:rPr>
              <w:t>Year</w:t>
            </w:r>
          </w:p>
        </w:tc>
        <w:tc>
          <w:tcPr>
            <w:tcW w:w="1140" w:type="dxa"/>
            <w:vAlign w:val="bottom"/>
          </w:tcPr>
          <w:p>
            <w:pPr>
              <w:jc w:val="right"/>
              <w:ind w:right="40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160" w:type="dxa"/>
            <w:vAlign w:val="bottom"/>
          </w:tcPr>
          <w:p>
            <w:pPr>
              <w:jc w:val="right"/>
              <w:ind w:right="345"/>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2"/>
                <w:szCs w:val="12"/>
                <w:b w:val="1"/>
                <w:bCs w:val="1"/>
                <w:color w:val="auto"/>
              </w:rPr>
              <w:t>(1)</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20"/>
                <w:szCs w:val="20"/>
                <w:color w:val="auto"/>
              </w:rPr>
            </w:pPr>
          </w:p>
        </w:tc>
        <w:tc>
          <w:tcPr>
            <w:tcW w:w="1120" w:type="dxa"/>
            <w:vAlign w:val="bottom"/>
          </w:tcPr>
          <w:p>
            <w:pPr>
              <w:jc w:val="center"/>
              <w:spacing w:after="0" w:line="236" w:lineRule="exact"/>
              <w:rPr>
                <w:sz w:val="20"/>
                <w:szCs w:val="20"/>
                <w:color w:val="auto"/>
              </w:rPr>
            </w:pPr>
            <w:r>
              <w:rPr>
                <w:rFonts w:ascii="Arial" w:cs="Arial" w:eastAsia="Arial" w:hAnsi="Arial"/>
                <w:sz w:val="27"/>
                <w:szCs w:val="27"/>
                <w:b w:val="1"/>
                <w:bCs w:val="1"/>
                <w:color w:val="auto"/>
                <w:w w:val="92"/>
                <w:vertAlign w:val="subscript"/>
              </w:rPr>
              <w:t>($)</w:t>
            </w:r>
            <w:r>
              <w:rPr>
                <w:rFonts w:ascii="Arial" w:cs="Arial" w:eastAsia="Arial" w:hAnsi="Arial"/>
                <w:sz w:val="12"/>
                <w:szCs w:val="12"/>
                <w:b w:val="1"/>
                <w:bCs w:val="1"/>
                <w:color w:val="auto"/>
                <w:w w:val="92"/>
              </w:rPr>
              <w:t>(2)</w:t>
            </w:r>
          </w:p>
        </w:tc>
        <w:tc>
          <w:tcPr>
            <w:tcW w:w="200" w:type="dxa"/>
            <w:vAlign w:val="bottom"/>
          </w:tcPr>
          <w:p>
            <w:pPr>
              <w:spacing w:after="0"/>
              <w:rPr>
                <w:sz w:val="20"/>
                <w:szCs w:val="20"/>
                <w:color w:val="auto"/>
              </w:rPr>
            </w:pPr>
          </w:p>
        </w:tc>
        <w:tc>
          <w:tcPr>
            <w:tcW w:w="1120" w:type="dxa"/>
            <w:vAlign w:val="bottom"/>
          </w:tcPr>
          <w:p>
            <w:pPr>
              <w:jc w:val="right"/>
              <w:ind w:right="38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r>
      <w:tr>
        <w:trPr>
          <w:trHeight w:val="188"/>
        </w:trPr>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Adam Comora,</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2021</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396,366</w:t>
            </w: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1,165,866</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192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w w:val="92"/>
              </w:rPr>
              <w:t>Co-Chief Executive Officer</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6"/>
        </w:trPr>
        <w:tc>
          <w:tcPr>
            <w:tcW w:w="1920" w:type="dxa"/>
            <w:vAlign w:val="bottom"/>
          </w:tcPr>
          <w:p>
            <w:pPr>
              <w:spacing w:after="0" w:line="176" w:lineRule="exact"/>
              <w:rPr>
                <w:sz w:val="20"/>
                <w:szCs w:val="20"/>
                <w:color w:val="auto"/>
              </w:rPr>
            </w:pPr>
            <w:r>
              <w:rPr>
                <w:rFonts w:ascii="Arial" w:cs="Arial" w:eastAsia="Arial" w:hAnsi="Arial"/>
                <w:sz w:val="16"/>
                <w:szCs w:val="16"/>
                <w:b w:val="1"/>
                <w:bCs w:val="1"/>
                <w:color w:val="auto"/>
              </w:rPr>
              <w:t>Jonathan Maurer,</w:t>
            </w:r>
          </w:p>
        </w:tc>
        <w:tc>
          <w:tcPr>
            <w:tcW w:w="1140" w:type="dxa"/>
            <w:vAlign w:val="bottom"/>
            <w:gridSpan w:val="2"/>
          </w:tcPr>
          <w:p>
            <w:pPr>
              <w:ind w:left="460"/>
              <w:spacing w:after="0" w:line="176" w:lineRule="exact"/>
              <w:rPr>
                <w:sz w:val="20"/>
                <w:szCs w:val="20"/>
                <w:color w:val="auto"/>
              </w:rPr>
            </w:pPr>
            <w:r>
              <w:rPr>
                <w:rFonts w:ascii="Arial" w:cs="Arial" w:eastAsia="Arial" w:hAnsi="Arial"/>
                <w:sz w:val="16"/>
                <w:szCs w:val="16"/>
                <w:color w:val="auto"/>
              </w:rPr>
              <w:t>2021</w:t>
            </w:r>
          </w:p>
        </w:tc>
        <w:tc>
          <w:tcPr>
            <w:tcW w:w="240" w:type="dxa"/>
            <w:vAlign w:val="bottom"/>
          </w:tcPr>
          <w:p>
            <w:pPr>
              <w:spacing w:after="0"/>
              <w:rPr>
                <w:sz w:val="15"/>
                <w:szCs w:val="15"/>
                <w:color w:val="auto"/>
              </w:rPr>
            </w:pPr>
          </w:p>
        </w:tc>
        <w:tc>
          <w:tcPr>
            <w:tcW w:w="136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380,519</w:t>
            </w:r>
          </w:p>
        </w:tc>
        <w:tc>
          <w:tcPr>
            <w:tcW w:w="138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750,000</w:t>
            </w:r>
          </w:p>
        </w:tc>
        <w:tc>
          <w:tcPr>
            <w:tcW w:w="1320" w:type="dxa"/>
            <w:vAlign w:val="bottom"/>
            <w:gridSpan w:val="2"/>
          </w:tcPr>
          <w:p>
            <w:pPr>
              <w:jc w:val="right"/>
              <w:ind w:right="200"/>
              <w:spacing w:after="0" w:line="176" w:lineRule="exact"/>
              <w:rPr>
                <w:sz w:val="20"/>
                <w:szCs w:val="20"/>
                <w:color w:val="auto"/>
              </w:rPr>
            </w:pPr>
            <w:r>
              <w:rPr>
                <w:rFonts w:ascii="Arial" w:cs="Arial" w:eastAsia="Arial" w:hAnsi="Arial"/>
                <w:sz w:val="16"/>
                <w:szCs w:val="16"/>
                <w:color w:val="auto"/>
              </w:rPr>
              <w:t>—</w:t>
            </w:r>
          </w:p>
        </w:tc>
        <w:tc>
          <w:tcPr>
            <w:tcW w:w="1340" w:type="dxa"/>
            <w:vAlign w:val="bottom"/>
            <w:gridSpan w:val="2"/>
          </w:tcPr>
          <w:p>
            <w:pPr>
              <w:ind w:left="960"/>
              <w:spacing w:after="0" w:line="176" w:lineRule="exact"/>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line="176" w:lineRule="exact"/>
              <w:rPr>
                <w:sz w:val="20"/>
                <w:szCs w:val="20"/>
                <w:color w:val="auto"/>
              </w:rPr>
            </w:pPr>
            <w:r>
              <w:rPr>
                <w:rFonts w:ascii="Arial" w:cs="Arial" w:eastAsia="Arial" w:hAnsi="Arial"/>
                <w:sz w:val="16"/>
                <w:szCs w:val="16"/>
                <w:color w:val="auto"/>
              </w:rPr>
              <w:t>26,000</w:t>
            </w:r>
          </w:p>
        </w:tc>
        <w:tc>
          <w:tcPr>
            <w:tcW w:w="124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1,156,519</w:t>
            </w:r>
          </w:p>
        </w:tc>
      </w:tr>
      <w:tr>
        <w:trPr>
          <w:trHeight w:val="200"/>
        </w:trPr>
        <w:tc>
          <w:tcPr>
            <w:tcW w:w="1920" w:type="dxa"/>
            <w:vAlign w:val="bottom"/>
          </w:tcPr>
          <w:p>
            <w:pPr>
              <w:ind w:left="160"/>
              <w:spacing w:after="0"/>
              <w:rPr>
                <w:sz w:val="20"/>
                <w:szCs w:val="20"/>
                <w:color w:val="auto"/>
              </w:rPr>
            </w:pPr>
            <w:r>
              <w:rPr>
                <w:rFonts w:ascii="Arial" w:cs="Arial" w:eastAsia="Arial" w:hAnsi="Arial"/>
                <w:sz w:val="16"/>
                <w:szCs w:val="16"/>
                <w:i w:val="1"/>
                <w:iCs w:val="1"/>
                <w:color w:val="auto"/>
                <w:w w:val="92"/>
              </w:rPr>
              <w:t>Co-Chief Executive Officer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0"/>
        </w:trPr>
        <w:tc>
          <w:tcPr>
            <w:tcW w:w="1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Scott Edelbach,</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293,623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202,366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11,593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507,582</w:t>
            </w:r>
          </w:p>
        </w:tc>
      </w:tr>
      <w:tr>
        <w:trPr>
          <w:trHeight w:val="188"/>
        </w:trPr>
        <w:tc>
          <w:tcPr>
            <w:tcW w:w="192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w w:val="98"/>
              </w:rPr>
              <w:t>Executive Vice President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6"/>
        </w:trPr>
        <w:tc>
          <w:tcPr>
            <w:tcW w:w="1920" w:type="dxa"/>
            <w:vAlign w:val="bottom"/>
          </w:tcPr>
          <w:p>
            <w:pPr>
              <w:spacing w:after="0" w:line="176" w:lineRule="exact"/>
              <w:rPr>
                <w:sz w:val="20"/>
                <w:szCs w:val="20"/>
                <w:color w:val="auto"/>
              </w:rPr>
            </w:pPr>
            <w:r>
              <w:rPr>
                <w:rFonts w:ascii="Arial" w:cs="Arial" w:eastAsia="Arial" w:hAnsi="Arial"/>
                <w:sz w:val="16"/>
                <w:szCs w:val="16"/>
                <w:b w:val="1"/>
                <w:bCs w:val="1"/>
                <w:color w:val="auto"/>
              </w:rPr>
              <w:t>David Unger,</w:t>
            </w:r>
          </w:p>
        </w:tc>
        <w:tc>
          <w:tcPr>
            <w:tcW w:w="1140" w:type="dxa"/>
            <w:vAlign w:val="bottom"/>
            <w:gridSpan w:val="2"/>
          </w:tcPr>
          <w:p>
            <w:pPr>
              <w:ind w:left="460"/>
              <w:spacing w:after="0" w:line="176" w:lineRule="exact"/>
              <w:rPr>
                <w:sz w:val="20"/>
                <w:szCs w:val="20"/>
                <w:color w:val="auto"/>
              </w:rPr>
            </w:pPr>
            <w:r>
              <w:rPr>
                <w:rFonts w:ascii="Arial" w:cs="Arial" w:eastAsia="Arial" w:hAnsi="Arial"/>
                <w:sz w:val="16"/>
                <w:szCs w:val="16"/>
                <w:color w:val="auto"/>
              </w:rPr>
              <w:t>2021</w:t>
            </w:r>
          </w:p>
        </w:tc>
        <w:tc>
          <w:tcPr>
            <w:tcW w:w="240" w:type="dxa"/>
            <w:vAlign w:val="bottom"/>
          </w:tcPr>
          <w:p>
            <w:pPr>
              <w:spacing w:after="0"/>
              <w:rPr>
                <w:sz w:val="15"/>
                <w:szCs w:val="15"/>
                <w:color w:val="auto"/>
              </w:rPr>
            </w:pPr>
          </w:p>
        </w:tc>
        <w:tc>
          <w:tcPr>
            <w:tcW w:w="136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325,923</w:t>
            </w:r>
          </w:p>
        </w:tc>
        <w:tc>
          <w:tcPr>
            <w:tcW w:w="138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340,000</w:t>
            </w:r>
          </w:p>
        </w:tc>
        <w:tc>
          <w:tcPr>
            <w:tcW w:w="1320" w:type="dxa"/>
            <w:vAlign w:val="bottom"/>
            <w:gridSpan w:val="2"/>
          </w:tcPr>
          <w:p>
            <w:pPr>
              <w:jc w:val="right"/>
              <w:ind w:right="200"/>
              <w:spacing w:after="0" w:line="176" w:lineRule="exact"/>
              <w:rPr>
                <w:sz w:val="20"/>
                <w:szCs w:val="20"/>
                <w:color w:val="auto"/>
              </w:rPr>
            </w:pPr>
            <w:r>
              <w:rPr>
                <w:rFonts w:ascii="Arial" w:cs="Arial" w:eastAsia="Arial" w:hAnsi="Arial"/>
                <w:sz w:val="16"/>
                <w:szCs w:val="16"/>
                <w:color w:val="auto"/>
              </w:rPr>
              <w:t>—</w:t>
            </w:r>
          </w:p>
        </w:tc>
        <w:tc>
          <w:tcPr>
            <w:tcW w:w="1340" w:type="dxa"/>
            <w:vAlign w:val="bottom"/>
            <w:gridSpan w:val="2"/>
          </w:tcPr>
          <w:p>
            <w:pPr>
              <w:ind w:left="960"/>
              <w:spacing w:after="0" w:line="176" w:lineRule="exact"/>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line="176" w:lineRule="exact"/>
              <w:rPr>
                <w:sz w:val="20"/>
                <w:szCs w:val="20"/>
                <w:color w:val="auto"/>
              </w:rPr>
            </w:pPr>
            <w:r>
              <w:rPr>
                <w:rFonts w:ascii="Arial" w:cs="Arial" w:eastAsia="Arial" w:hAnsi="Arial"/>
                <w:sz w:val="16"/>
                <w:szCs w:val="16"/>
                <w:color w:val="auto"/>
              </w:rPr>
              <w:t>19,835</w:t>
            </w:r>
          </w:p>
        </w:tc>
        <w:tc>
          <w:tcPr>
            <w:tcW w:w="124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685,758</w:t>
            </w:r>
          </w:p>
        </w:tc>
      </w:tr>
      <w:tr>
        <w:trPr>
          <w:trHeight w:val="200"/>
        </w:trPr>
        <w:tc>
          <w:tcPr>
            <w:tcW w:w="1920" w:type="dxa"/>
            <w:vAlign w:val="bottom"/>
          </w:tcPr>
          <w:p>
            <w:pPr>
              <w:ind w:left="160"/>
              <w:spacing w:after="0"/>
              <w:rPr>
                <w:sz w:val="20"/>
                <w:szCs w:val="20"/>
                <w:color w:val="auto"/>
              </w:rPr>
            </w:pPr>
            <w:r>
              <w:rPr>
                <w:rFonts w:ascii="Arial" w:cs="Arial" w:eastAsia="Arial" w:hAnsi="Arial"/>
                <w:sz w:val="16"/>
                <w:szCs w:val="16"/>
                <w:i w:val="1"/>
                <w:iCs w:val="1"/>
                <w:color w:val="auto"/>
                <w:w w:val="98"/>
              </w:rPr>
              <w:t>Executive Vice President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178752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2" w:lineRule="exact"/>
        <w:rPr>
          <w:sz w:val="20"/>
          <w:szCs w:val="20"/>
          <w:color w:val="auto"/>
        </w:rPr>
      </w:pPr>
    </w:p>
    <w:p>
      <w:pPr>
        <w:ind w:left="286" w:hanging="286"/>
        <w:spacing w:after="0"/>
        <w:tabs>
          <w:tab w:leader="none" w:pos="286"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cash discretionary bonuses paid to NEOs for 2021. Please see additional information below in the section entitled “Annual Incentives.”</w:t>
      </w:r>
    </w:p>
    <w:p>
      <w:pPr>
        <w:spacing w:after="0" w:line="192" w:lineRule="exact"/>
        <w:rPr>
          <w:rFonts w:ascii="Arial" w:cs="Arial" w:eastAsia="Arial" w:hAnsi="Arial"/>
          <w:sz w:val="16"/>
          <w:szCs w:val="16"/>
          <w:color w:val="auto"/>
        </w:rPr>
      </w:pPr>
    </w:p>
    <w:p>
      <w:pPr>
        <w:ind w:left="286" w:hanging="286"/>
        <w:spacing w:after="0" w:line="266" w:lineRule="auto"/>
        <w:tabs>
          <w:tab w:leader="none" w:pos="286"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amounts shown in this column represent matching contributions under the terms of our 401(k) plan paid by us on behalf of each NEO. The amounts of matching 401(k) contributions were as follows: $19,500 for Mr. Comora; $26,000 for Mr. Maurer; $11,593 for Mr. Edelbach; and $19,835 for Mr. Unger.</w:t>
      </w:r>
    </w:p>
    <w:p>
      <w:pPr>
        <w:spacing w:after="0" w:line="34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2"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Narrative Disclosure to the Summary Compensation Table</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For the 2021 fiscal year, our compensation program consisted primarily of the following elements: base salary, short-term annual incentive awards, long-term equity incentives and benefit and perquisite programs.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Base Salary</w:t>
      </w:r>
    </w:p>
    <w:p>
      <w:pPr>
        <w:spacing w:after="0" w:line="19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Annual Incentives</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Long-Term Incentives</w:t>
      </w:r>
    </w:p>
    <w:p>
      <w:pPr>
        <w:spacing w:after="0" w:line="19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Pursuant to the Long-Term Incentive Plan Award Agreement between Mr. Edelbach and TruStar Energy LLC, a Delaware limited liability company and subsidiary of Opco, Mr. Edelbach is eligible to receive a base cash award in 2023 for the performance period lasting from January 1, 2020 through December 31, 2022 with a target value of $1,250,000 and a maximum value of $2,250,000.</w:t>
      </w:r>
    </w:p>
    <w:p>
      <w:pPr>
        <w:spacing w:after="0" w:line="165" w:lineRule="exact"/>
        <w:rPr>
          <w:sz w:val="20"/>
          <w:szCs w:val="20"/>
          <w:color w:val="auto"/>
        </w:rPr>
      </w:pPr>
    </w:p>
    <w:p>
      <w:pPr>
        <w:jc w:val="both"/>
        <w:ind w:firstLine="283"/>
        <w:spacing w:after="0" w:line="315" w:lineRule="auto"/>
        <w:rPr>
          <w:sz w:val="20"/>
          <w:szCs w:val="20"/>
          <w:color w:val="auto"/>
        </w:rPr>
      </w:pPr>
      <w:r>
        <w:rPr>
          <w:rFonts w:ascii="Arial" w:cs="Arial" w:eastAsia="Arial" w:hAnsi="Arial"/>
          <w:sz w:val="13"/>
          <w:szCs w:val="13"/>
          <w:color w:val="auto"/>
        </w:rPr>
        <w:t>Equity awards are a variable element of compensation that allowed us to reward our NEOs for their sustained contributions to the company. Equity awards reward performance and continued employment by an NEO, with associated benefits to us of attracting and retaining employees. Historically, Fortistar LLC granted units intended to be treated as “profits interests” for U.S. federal income tax purposes to certain of Opco executives through one of its feeder entities with such profits interests awards tracking the performance of the applicable predecessor companies of Opco (such awards, the “</w:t>
      </w:r>
      <w:r>
        <w:rPr>
          <w:rFonts w:ascii="Arial" w:cs="Arial" w:eastAsia="Arial" w:hAnsi="Arial"/>
          <w:sz w:val="13"/>
          <w:szCs w:val="13"/>
          <w:b w:val="1"/>
          <w:bCs w:val="1"/>
          <w:i w:val="1"/>
          <w:iCs w:val="1"/>
          <w:color w:val="auto"/>
        </w:rPr>
        <w:t>Parent Equity Awards</w:t>
      </w:r>
      <w:r>
        <w:rPr>
          <w:rFonts w:ascii="Arial" w:cs="Arial" w:eastAsia="Arial" w:hAnsi="Arial"/>
          <w:sz w:val="13"/>
          <w:szCs w:val="13"/>
          <w:color w:val="auto"/>
        </w:rPr>
        <w:t xml:space="preserve">”). Participants were entitled to participate in </w:t>
      </w:r>
      <w:r>
        <w:rPr>
          <w:rFonts w:ascii="Arial" w:cs="Arial" w:eastAsia="Arial" w:hAnsi="Arial"/>
          <w:sz w:val="13"/>
          <w:szCs w:val="13"/>
          <w:i w:val="1"/>
          <w:iCs w:val="1"/>
          <w:color w:val="auto"/>
        </w:rPr>
        <w:t>pro-rata</w:t>
      </w:r>
      <w:r>
        <w:rPr>
          <w:rFonts w:ascii="Arial" w:cs="Arial" w:eastAsia="Arial" w:hAnsi="Arial"/>
          <w:sz w:val="13"/>
          <w:szCs w:val="13"/>
          <w:color w:val="auto"/>
        </w:rPr>
        <w:t xml:space="preserve"> distributions from such predecessors of Opco during their employment. Effective as of December 31, 2020, the Parent Equity Awards were restructured to track the performance of Opco.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2021 Fiscal Year.</w:t>
      </w:r>
    </w:p>
    <w:p>
      <w:pPr>
        <w:spacing w:after="0" w:line="32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Employee Benefits.</w:t>
      </w:r>
    </w:p>
    <w:p>
      <w:pPr>
        <w:spacing w:after="0" w:line="19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19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Mr. Unger had previously entered into an Employment Agreement with Fortistar dated May 3, 2018, which was terminated in early 2022. Following such termination, no NEOs are entitled to compensation upon a change in control or termination, provided, however, that upon a change in control of Opco, each NEO shall be entitled to payment with respect to such NEO’s Parent Equity Awards in the amounts set forth in the table entitled “Outstanding Equity Awards at 2021 Fiscal Year End” (assuming such change in control occurred on December 31, 2021, and other conditions described in footnote 3 to such table are met).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05" w:name="page106"/>
    <w:bookmarkEnd w:id="105"/>
    <w:tbl>
      <w:tblPr>
        <w:tblLayout w:type="fixed"/>
        <w:tblInd w:w="6" w:type="dxa"/>
        <w:tblCellMar>
          <w:top w:w="0" w:type="dxa"/>
          <w:left w:w="0" w:type="dxa"/>
          <w:bottom w:w="0" w:type="dxa"/>
          <w:right w:w="0" w:type="dxa"/>
        </w:tblCellMar>
      </w:tblPr>
      <w:tr>
        <w:trPr>
          <w:trHeight w:val="204"/>
        </w:trPr>
        <w:tc>
          <w:tcPr>
            <w:tcW w:w="5680" w:type="dxa"/>
            <w:vAlign w:val="bottom"/>
          </w:tcPr>
          <w:p>
            <w:pPr>
              <w:spacing w:after="0"/>
              <w:rPr>
                <w:sz w:val="20"/>
                <w:szCs w:val="20"/>
                <w:color w:val="auto"/>
              </w:rPr>
            </w:pPr>
            <w:r>
              <w:rPr>
                <w:rFonts w:ascii="Arial" w:cs="Arial" w:eastAsia="Arial" w:hAnsi="Arial"/>
                <w:sz w:val="16"/>
                <w:szCs w:val="16"/>
                <w:b w:val="1"/>
                <w:bCs w:val="1"/>
                <w:color w:val="auto"/>
              </w:rPr>
              <w:t>Outstanding Equity Awards at 2021 Fiscal Year End</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9440" w:type="dxa"/>
            <w:vAlign w:val="bottom"/>
            <w:gridSpan w:val="7"/>
          </w:tcPr>
          <w:p>
            <w:pPr>
              <w:jc w:val="right"/>
              <w:ind w:right="580"/>
              <w:spacing w:after="0"/>
              <w:rPr>
                <w:sz w:val="20"/>
                <w:szCs w:val="20"/>
                <w:color w:val="auto"/>
              </w:rPr>
            </w:pPr>
            <w:r>
              <w:rPr>
                <w:rFonts w:ascii="Arial" w:cs="Arial" w:eastAsia="Arial" w:hAnsi="Arial"/>
                <w:sz w:val="16"/>
                <w:szCs w:val="16"/>
                <w:color w:val="auto"/>
                <w:w w:val="92"/>
              </w:rPr>
              <w:t>The following table sets forth information concerning outstanding profits interest equity awards as of December 31, 2021 for each NEO.</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Number of Shares or</w:t>
            </w:r>
          </w:p>
        </w:tc>
        <w:tc>
          <w:tcPr>
            <w:tcW w:w="80" w:type="dxa"/>
            <w:vAlign w:val="bottom"/>
          </w:tcPr>
          <w:p>
            <w:pPr>
              <w:spacing w:after="0"/>
              <w:rPr>
                <w:sz w:val="24"/>
                <w:szCs w:val="2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Market Value of Shares</w:t>
            </w: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Units of Stock That</w:t>
            </w:r>
          </w:p>
        </w:tc>
        <w:tc>
          <w:tcPr>
            <w:tcW w:w="8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Or Units Of Stock That</w:t>
            </w:r>
          </w:p>
        </w:tc>
        <w:tc>
          <w:tcPr>
            <w:tcW w:w="0" w:type="dxa"/>
            <w:vAlign w:val="bottom"/>
          </w:tcPr>
          <w:p>
            <w:pPr>
              <w:spacing w:after="0"/>
              <w:rPr>
                <w:sz w:val="1"/>
                <w:szCs w:val="1"/>
                <w:color w:val="auto"/>
              </w:rPr>
            </w:pPr>
          </w:p>
        </w:tc>
      </w:tr>
      <w:tr>
        <w:trPr>
          <w:trHeight w:val="192"/>
        </w:trPr>
        <w:tc>
          <w:tcPr>
            <w:tcW w:w="5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Parent Equity Awards</w:t>
            </w:r>
          </w:p>
        </w:tc>
        <w:tc>
          <w:tcPr>
            <w:tcW w:w="10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Have Not</w:t>
            </w:r>
          </w:p>
        </w:tc>
        <w:tc>
          <w:tcPr>
            <w:tcW w:w="80" w:type="dxa"/>
            <w:vAlign w:val="bottom"/>
          </w:tcPr>
          <w:p>
            <w:pPr>
              <w:spacing w:after="0"/>
              <w:rPr>
                <w:sz w:val="16"/>
                <w:szCs w:val="16"/>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Have</w:t>
            </w:r>
          </w:p>
        </w:tc>
        <w:tc>
          <w:tcPr>
            <w:tcW w:w="0" w:type="dxa"/>
            <w:vAlign w:val="bottom"/>
          </w:tcPr>
          <w:p>
            <w:pPr>
              <w:spacing w:after="0"/>
              <w:rPr>
                <w:sz w:val="1"/>
                <w:szCs w:val="1"/>
                <w:color w:val="auto"/>
              </w:rPr>
            </w:pPr>
          </w:p>
        </w:tc>
      </w:tr>
      <w:tr>
        <w:trPr>
          <w:trHeight w:val="240"/>
        </w:trPr>
        <w:tc>
          <w:tcPr>
            <w:tcW w:w="56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jc w:val="center"/>
              <w:spacing w:after="0" w:line="236" w:lineRule="exact"/>
              <w:rPr>
                <w:sz w:val="20"/>
                <w:szCs w:val="20"/>
                <w:color w:val="auto"/>
              </w:rPr>
            </w:pPr>
            <w:r>
              <w:rPr>
                <w:rFonts w:ascii="Arial" w:cs="Arial" w:eastAsia="Arial" w:hAnsi="Arial"/>
                <w:sz w:val="16"/>
                <w:szCs w:val="16"/>
                <w:b w:val="1"/>
                <w:bCs w:val="1"/>
                <w:color w:val="auto"/>
                <w:w w:val="89"/>
              </w:rPr>
              <w:t>Grant Date</w:t>
            </w:r>
            <w:r>
              <w:rPr>
                <w:rFonts w:ascii="Arial" w:cs="Arial" w:eastAsia="Arial" w:hAnsi="Arial"/>
                <w:sz w:val="26"/>
                <w:szCs w:val="26"/>
                <w:b w:val="1"/>
                <w:bCs w:val="1"/>
                <w:color w:val="auto"/>
                <w:w w:val="89"/>
                <w:vertAlign w:val="superscript"/>
              </w:rPr>
              <w:t>(1)</w:t>
            </w:r>
          </w:p>
        </w:tc>
        <w:tc>
          <w:tcPr>
            <w:tcW w:w="100" w:type="dxa"/>
            <w:vAlign w:val="bottom"/>
          </w:tcPr>
          <w:p>
            <w:pPr>
              <w:spacing w:after="0"/>
              <w:rPr>
                <w:sz w:val="20"/>
                <w:szCs w:val="20"/>
                <w:color w:val="auto"/>
              </w:rPr>
            </w:pPr>
          </w:p>
        </w:tc>
        <w:tc>
          <w:tcPr>
            <w:tcW w:w="1900" w:type="dxa"/>
            <w:vAlign w:val="bottom"/>
            <w:gridSpan w:val="2"/>
          </w:tcPr>
          <w:p>
            <w:pPr>
              <w:jc w:val="center"/>
              <w:ind w:right="200"/>
              <w:spacing w:after="0" w:line="236" w:lineRule="exact"/>
              <w:rPr>
                <w:sz w:val="20"/>
                <w:szCs w:val="20"/>
                <w:color w:val="auto"/>
              </w:rPr>
            </w:pPr>
            <w:r>
              <w:rPr>
                <w:rFonts w:ascii="Arial" w:cs="Arial" w:eastAsia="Arial" w:hAnsi="Arial"/>
                <w:sz w:val="16"/>
                <w:szCs w:val="16"/>
                <w:b w:val="1"/>
                <w:bCs w:val="1"/>
                <w:color w:val="auto"/>
                <w:w w:val="87"/>
              </w:rPr>
              <w:t>Vested (%)</w:t>
            </w:r>
            <w:r>
              <w:rPr>
                <w:rFonts w:ascii="Arial" w:cs="Arial" w:eastAsia="Arial" w:hAnsi="Arial"/>
                <w:sz w:val="26"/>
                <w:szCs w:val="26"/>
                <w:b w:val="1"/>
                <w:bCs w:val="1"/>
                <w:color w:val="auto"/>
                <w:w w:val="87"/>
                <w:vertAlign w:val="superscript"/>
              </w:rPr>
              <w:t>(2)</w:t>
            </w:r>
          </w:p>
        </w:tc>
        <w:tc>
          <w:tcPr>
            <w:tcW w:w="80" w:type="dxa"/>
            <w:vAlign w:val="bottom"/>
          </w:tcPr>
          <w:p>
            <w:pPr>
              <w:spacing w:after="0"/>
              <w:rPr>
                <w:sz w:val="20"/>
                <w:szCs w:val="20"/>
                <w:color w:val="auto"/>
              </w:rPr>
            </w:pPr>
          </w:p>
        </w:tc>
        <w:tc>
          <w:tcPr>
            <w:tcW w:w="1740" w:type="dxa"/>
            <w:vAlign w:val="bottom"/>
            <w:gridSpan w:val="2"/>
          </w:tcPr>
          <w:p>
            <w:pPr>
              <w:jc w:val="center"/>
              <w:ind w:right="120"/>
              <w:spacing w:after="0" w:line="236" w:lineRule="exact"/>
              <w:rPr>
                <w:sz w:val="20"/>
                <w:szCs w:val="20"/>
                <w:color w:val="auto"/>
              </w:rPr>
            </w:pPr>
            <w:r>
              <w:rPr>
                <w:rFonts w:ascii="Arial" w:cs="Arial" w:eastAsia="Arial" w:hAnsi="Arial"/>
                <w:sz w:val="16"/>
                <w:szCs w:val="16"/>
                <w:b w:val="1"/>
                <w:bCs w:val="1"/>
                <w:color w:val="auto"/>
                <w:w w:val="85"/>
              </w:rPr>
              <w:t>Not Vested ($)</w:t>
            </w:r>
            <w:r>
              <w:rPr>
                <w:rFonts w:ascii="Arial" w:cs="Arial" w:eastAsia="Arial" w:hAnsi="Arial"/>
                <w:sz w:val="26"/>
                <w:szCs w:val="26"/>
                <w:b w:val="1"/>
                <w:bCs w:val="1"/>
                <w:color w:val="auto"/>
                <w:w w:val="85"/>
                <w:vertAlign w:val="superscript"/>
              </w:rPr>
              <w:t>(3)</w:t>
            </w:r>
          </w:p>
        </w:tc>
        <w:tc>
          <w:tcPr>
            <w:tcW w:w="0" w:type="dxa"/>
            <w:vAlign w:val="bottom"/>
          </w:tcPr>
          <w:p>
            <w:pPr>
              <w:spacing w:after="0"/>
              <w:rPr>
                <w:sz w:val="1"/>
                <w:szCs w:val="1"/>
                <w:color w:val="auto"/>
              </w:rPr>
            </w:pPr>
          </w:p>
        </w:tc>
      </w:tr>
      <w:tr>
        <w:trPr>
          <w:trHeight w:val="176"/>
        </w:trPr>
        <w:tc>
          <w:tcPr>
            <w:tcW w:w="56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Adam Comora,</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Co-Chief Executive Officer</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February 25, 2019</w:t>
            </w:r>
          </w:p>
        </w:tc>
        <w:tc>
          <w:tcPr>
            <w:tcW w:w="20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0.78%</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11,172,566</w:t>
            </w:r>
          </w:p>
        </w:tc>
        <w:tc>
          <w:tcPr>
            <w:tcW w:w="0" w:type="dxa"/>
            <w:vAlign w:val="bottom"/>
          </w:tcPr>
          <w:p>
            <w:pPr>
              <w:spacing w:after="0"/>
              <w:rPr>
                <w:sz w:val="1"/>
                <w:szCs w:val="1"/>
                <w:color w:val="auto"/>
              </w:rPr>
            </w:pPr>
          </w:p>
        </w:tc>
      </w:tr>
      <w:tr>
        <w:trPr>
          <w:trHeight w:val="188"/>
        </w:trPr>
        <w:tc>
          <w:tcPr>
            <w:tcW w:w="5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2000" w:type="dxa"/>
            <w:vAlign w:val="bottom"/>
            <w:gridSpan w:val="3"/>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7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May 15, 2019</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3,720,271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July 24, 2020</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3,784,434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August 4, 2020</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3,784,434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80" w:type="dxa"/>
            <w:vAlign w:val="bottom"/>
          </w:tcPr>
          <w:p>
            <w:pPr>
              <w:spacing w:after="0" w:line="176" w:lineRule="exact"/>
              <w:rPr>
                <w:sz w:val="20"/>
                <w:szCs w:val="20"/>
                <w:color w:val="auto"/>
              </w:rPr>
            </w:pPr>
            <w:r>
              <w:rPr>
                <w:rFonts w:ascii="Arial" w:cs="Arial" w:eastAsia="Arial" w:hAnsi="Arial"/>
                <w:sz w:val="16"/>
                <w:szCs w:val="16"/>
                <w:b w:val="1"/>
                <w:bCs w:val="1"/>
                <w:color w:val="auto"/>
              </w:rPr>
              <w:t>Jonathan Maurer,</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680" w:type="dxa"/>
            <w:vAlign w:val="bottom"/>
          </w:tcPr>
          <w:p>
            <w:pPr>
              <w:ind w:left="160"/>
              <w:spacing w:after="0"/>
              <w:rPr>
                <w:sz w:val="20"/>
                <w:szCs w:val="20"/>
                <w:color w:val="auto"/>
              </w:rPr>
            </w:pPr>
            <w:r>
              <w:rPr>
                <w:rFonts w:ascii="Arial" w:cs="Arial" w:eastAsia="Arial" w:hAnsi="Arial"/>
                <w:sz w:val="16"/>
                <w:szCs w:val="16"/>
                <w:i w:val="1"/>
                <w:iCs w:val="1"/>
                <w:color w:val="auto"/>
              </w:rPr>
              <w:t>Co-Chief Executive Officer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88"/>
              </w:rPr>
              <w:t>February 25, 2019</w:t>
            </w:r>
          </w:p>
        </w:tc>
        <w:tc>
          <w:tcPr>
            <w:tcW w:w="200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0.52%</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7,448,595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May 15, 2019</w:t>
            </w: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auto"/>
              </w:rPr>
              <w:t>0.17%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2,480,253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July 24, 2020</w:t>
            </w: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2,523,439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August 4, 2020</w:t>
            </w: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2,523,439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68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Scott Edelbach,</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Executive Vice President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680" w:type="dxa"/>
            <w:vAlign w:val="bottom"/>
          </w:tcPr>
          <w:p>
            <w:pPr>
              <w:spacing w:after="0" w:line="176" w:lineRule="exact"/>
              <w:rPr>
                <w:sz w:val="20"/>
                <w:szCs w:val="20"/>
                <w:color w:val="auto"/>
              </w:rPr>
            </w:pPr>
            <w:r>
              <w:rPr>
                <w:rFonts w:ascii="Arial" w:cs="Arial" w:eastAsia="Arial" w:hAnsi="Arial"/>
                <w:sz w:val="16"/>
                <w:szCs w:val="16"/>
                <w:b w:val="1"/>
                <w:bCs w:val="1"/>
                <w:color w:val="auto"/>
              </w:rPr>
              <w:t>David Unger,</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680" w:type="dxa"/>
            <w:vAlign w:val="bottom"/>
          </w:tcPr>
          <w:p>
            <w:pPr>
              <w:ind w:left="160"/>
              <w:spacing w:after="0"/>
              <w:rPr>
                <w:sz w:val="20"/>
                <w:szCs w:val="20"/>
                <w:color w:val="auto"/>
              </w:rPr>
            </w:pPr>
            <w:r>
              <w:rPr>
                <w:rFonts w:ascii="Arial" w:cs="Arial" w:eastAsia="Arial" w:hAnsi="Arial"/>
                <w:sz w:val="16"/>
                <w:szCs w:val="16"/>
                <w:i w:val="1"/>
                <w:iCs w:val="1"/>
                <w:color w:val="auto"/>
              </w:rPr>
              <w:t>Executive Vice President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88"/>
              </w:rPr>
              <w:t>February 25, 2019</w:t>
            </w:r>
          </w:p>
        </w:tc>
        <w:tc>
          <w:tcPr>
            <w:tcW w:w="200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0.13%</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1,861,986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May 15, 2019</w:t>
            </w:r>
          </w:p>
        </w:tc>
        <w:tc>
          <w:tcPr>
            <w:tcW w:w="2080" w:type="dxa"/>
            <w:vAlign w:val="bottom"/>
            <w:gridSpan w:val="4"/>
          </w:tcPr>
          <w:p>
            <w:pPr>
              <w:jc w:val="right"/>
              <w:spacing w:after="0"/>
              <w:rPr>
                <w:sz w:val="20"/>
                <w:szCs w:val="20"/>
                <w:color w:val="auto"/>
              </w:rPr>
            </w:pPr>
            <w:r>
              <w:rPr>
                <w:rFonts w:ascii="Arial" w:cs="Arial" w:eastAsia="Arial" w:hAnsi="Arial"/>
                <w:sz w:val="16"/>
                <w:szCs w:val="16"/>
                <w:color w:val="auto"/>
              </w:rPr>
              <w:t>0.04% $</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620,009</w:t>
            </w: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July 24, 2020</w:t>
            </w: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auto"/>
              </w:rPr>
              <w:t>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1,963,832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August 4, 2020</w:t>
            </w: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1,583,334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86" w:hanging="286"/>
        <w:spacing w:after="0"/>
        <w:tabs>
          <w:tab w:leader="none" w:pos="286"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Parent Equity Awards vest ratably on each of the first five anniversaries of the Grant Date.</w:t>
      </w:r>
    </w:p>
    <w:p>
      <w:pPr>
        <w:spacing w:after="0" w:line="192" w:lineRule="exact"/>
        <w:rPr>
          <w:rFonts w:ascii="Arial" w:cs="Arial" w:eastAsia="Arial" w:hAnsi="Arial"/>
          <w:sz w:val="16"/>
          <w:szCs w:val="16"/>
          <w:color w:val="auto"/>
        </w:rPr>
      </w:pPr>
    </w:p>
    <w:p>
      <w:pPr>
        <w:ind w:left="286" w:hanging="286"/>
        <w:spacing w:after="0" w:line="383" w:lineRule="auto"/>
        <w:tabs>
          <w:tab w:leader="none" w:pos="286" w:val="left"/>
        </w:tabs>
        <w:numPr>
          <w:ilvl w:val="0"/>
          <w:numId w:val="66"/>
        </w:numPr>
        <w:rPr>
          <w:rFonts w:ascii="Arial" w:cs="Arial" w:eastAsia="Arial" w:hAnsi="Arial"/>
          <w:sz w:val="13"/>
          <w:szCs w:val="13"/>
          <w:color w:val="auto"/>
        </w:rPr>
      </w:pPr>
      <w:r>
        <w:rPr>
          <w:rFonts w:ascii="Arial" w:cs="Arial" w:eastAsia="Arial" w:hAnsi="Arial"/>
          <w:sz w:val="13"/>
          <w:szCs w:val="13"/>
          <w:color w:val="auto"/>
        </w:rPr>
        <w:t>Parent Equity Awards entitle recipients to indirectly receive a percentage of the profits (“</w:t>
      </w:r>
      <w:r>
        <w:rPr>
          <w:rFonts w:ascii="Arial" w:cs="Arial" w:eastAsia="Arial" w:hAnsi="Arial"/>
          <w:sz w:val="13"/>
          <w:szCs w:val="13"/>
          <w:b w:val="1"/>
          <w:bCs w:val="1"/>
          <w:i w:val="1"/>
          <w:iCs w:val="1"/>
          <w:color w:val="auto"/>
        </w:rPr>
        <w:t>Profits Portion</w:t>
      </w:r>
      <w:r>
        <w:rPr>
          <w:rFonts w:ascii="Arial" w:cs="Arial" w:eastAsia="Arial" w:hAnsi="Arial"/>
          <w:sz w:val="13"/>
          <w:szCs w:val="13"/>
          <w:color w:val="auto"/>
        </w:rPr>
        <w:t>”) received by Fortistar from investment in Opco after the repayment of the capital contributed to Opco by Fortistar. This column represents, as of December 31, 2021, a percentage of Opco which is approximately equal to such Profits Portion.</w:t>
      </w:r>
    </w:p>
    <w:p>
      <w:pPr>
        <w:spacing w:after="0" w:line="88" w:lineRule="exact"/>
        <w:rPr>
          <w:rFonts w:ascii="Arial" w:cs="Arial" w:eastAsia="Arial" w:hAnsi="Arial"/>
          <w:sz w:val="13"/>
          <w:szCs w:val="13"/>
          <w:color w:val="auto"/>
        </w:rPr>
      </w:pPr>
    </w:p>
    <w:p>
      <w:pPr>
        <w:jc w:val="both"/>
        <w:ind w:left="286" w:right="20" w:hanging="286"/>
        <w:spacing w:after="0" w:line="256" w:lineRule="auto"/>
        <w:tabs>
          <w:tab w:leader="none" w:pos="286"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Market Value of Parent Equity Awards represents the value of the Profits Portion assuming that (i) all of the equity or assets or Opco was sold for fair market value on December 31, 2021, (ii) the proceeds of such sale were distributed to the equity holders of Opco (which, in turn distributed such amounts to their owners), and (iii) Fortistar received full repayment of its capital contributed to Opco.</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Compensation of Directors</w:t>
      </w:r>
    </w:p>
    <w:p>
      <w:pPr>
        <w:spacing w:after="0" w:line="197"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Prior to the closing of the Business Combination, none of the members of our board received any compensation for services as a director. As directors on our board post-Business Combination, we intend that all non-employee directors will be paid as members of our board, and, if applicable, as members of any committee of our board, certain annual retainers to be determined by our board.</w:t>
      </w:r>
    </w:p>
    <w:p>
      <w:pPr>
        <w:spacing w:after="0" w:line="165"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We expect that non-employee members of our board will be paid in a combination of cash and equity awards. It is anticipated that each such director will be able to elect to receive up to 100% of their cash retainer in the form of equity awards. The cash and equity retainers would be paid on a quarterly basis.</w:t>
      </w:r>
    </w:p>
    <w:p>
      <w:pPr>
        <w:spacing w:after="0" w:line="157"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Each member of our board is entitled to reimbursement for reasonable travel and other expenses incurred in connection with attending board meetings and meetings for any committee on which he or she serves.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97" w:lineRule="exact"/>
        <w:rPr>
          <w:sz w:val="20"/>
          <w:szCs w:val="20"/>
          <w:color w:val="auto"/>
        </w:rPr>
      </w:pPr>
    </w:p>
    <w:p>
      <w:pPr>
        <w:jc w:val="both"/>
        <w:ind w:left="6" w:right="20" w:firstLine="283"/>
        <w:spacing w:after="0" w:line="300" w:lineRule="auto"/>
        <w:rPr>
          <w:sz w:val="20"/>
          <w:szCs w:val="20"/>
          <w:color w:val="auto"/>
        </w:rPr>
      </w:pPr>
      <w:r>
        <w:rPr>
          <w:rFonts w:ascii="Arial" w:cs="Arial" w:eastAsia="Arial" w:hAnsi="Arial"/>
          <w:sz w:val="15"/>
          <w:szCs w:val="15"/>
          <w:color w:val="auto"/>
        </w:rPr>
        <w:t>We do not have a compensation committee. During the year ended December 31, 2021, Jon Mauer and Adam Comora, the co-CEOs of Opco, and following the consummation of the Business Combination, the co-CEOs of OPAL, participated in deliberations of our board concerning executive officer compensation.</w:t>
      </w:r>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2" w:right="31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auto"/>
        </w:rPr>
        <w:t>DESCRIPTION OF SECURITIES</w:t>
      </w:r>
    </w:p>
    <w:p>
      <w:pPr>
        <w:spacing w:after="0" w:line="197" w:lineRule="exact"/>
        <w:rPr>
          <w:sz w:val="20"/>
          <w:szCs w:val="20"/>
          <w:color w:val="auto"/>
        </w:rPr>
      </w:pPr>
    </w:p>
    <w:p>
      <w:pPr>
        <w:ind w:firstLine="283"/>
        <w:spacing w:after="0" w:line="383" w:lineRule="auto"/>
        <w:rPr>
          <w:sz w:val="20"/>
          <w:szCs w:val="20"/>
          <w:color w:val="auto"/>
        </w:rPr>
      </w:pPr>
      <w:r>
        <w:rPr>
          <w:rFonts w:ascii="Arial" w:cs="Arial" w:eastAsia="Arial" w:hAnsi="Arial"/>
          <w:sz w:val="13"/>
          <w:szCs w:val="13"/>
          <w:i w:val="1"/>
          <w:iCs w:val="1"/>
          <w:color w:val="auto"/>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Capitalization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total number of shares of all classes of stock that OPAL has the authority to issue is 1,120,000,000 shares, consisting of:</w:t>
      </w:r>
    </w:p>
    <w:p>
      <w:pPr>
        <w:spacing w:after="0" w:line="193" w:lineRule="exact"/>
        <w:rPr>
          <w:sz w:val="20"/>
          <w:szCs w:val="20"/>
          <w:color w:val="auto"/>
        </w:rPr>
      </w:pPr>
    </w:p>
    <w:p>
      <w:pPr>
        <w:ind w:left="560" w:hanging="283"/>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820,000,000 shares of Common Stock, par value of $0.0001 per share, divided into:</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340,000,000 shares of Class A common stock;</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160,000,000 shares of Class B common stock;</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160,000,000 shares of Class C common stock;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160,000,000 shares of Class D common stock;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300,000,000 shares of OPAL Preferred Stock, par value $0.0001 per share.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Class A common stock</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July 31, 2022, OPAL had 25,171,390 shares of Class A common stock issued and outstanding.</w:t>
      </w:r>
    </w:p>
    <w:p>
      <w:pPr>
        <w:spacing w:after="0" w:line="193"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b w:val="1"/>
          <w:bCs w:val="1"/>
          <w:i w:val="1"/>
          <w:iCs w:val="1"/>
          <w:color w:val="auto"/>
        </w:rPr>
        <w:t xml:space="preserve">Voting Rights. </w:t>
      </w:r>
      <w:r>
        <w:rPr>
          <w:rFonts w:ascii="Arial" w:cs="Arial" w:eastAsia="Arial" w:hAnsi="Arial"/>
          <w:sz w:val="13"/>
          <w:szCs w:val="13"/>
          <w:color w:val="auto"/>
        </w:rPr>
        <w:t>Each holder of Class A common stock is entitled to one vote for each share of Class A common stock held of record by such holder on all matters on which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22"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Arial" w:cs="Arial" w:eastAsia="Arial" w:hAnsi="Arial"/>
          <w:sz w:val="15"/>
          <w:szCs w:val="15"/>
          <w:b w:val="1"/>
          <w:bCs w:val="1"/>
          <w:i w:val="1"/>
          <w:iCs w:val="1"/>
          <w:color w:val="auto"/>
        </w:rPr>
        <w:t>DGCL</w:t>
      </w:r>
      <w:r>
        <w:rPr>
          <w:rFonts w:ascii="Arial" w:cs="Arial" w:eastAsia="Arial" w:hAnsi="Arial"/>
          <w:sz w:val="15"/>
          <w:szCs w:val="15"/>
          <w:color w:val="auto"/>
        </w:rPr>
        <w:t>”).</w:t>
      </w:r>
    </w:p>
    <w:p>
      <w:pPr>
        <w:spacing w:after="0" w:line="157" w:lineRule="exact"/>
        <w:rPr>
          <w:sz w:val="20"/>
          <w:szCs w:val="20"/>
          <w:color w:val="auto"/>
        </w:rPr>
      </w:pPr>
    </w:p>
    <w:p>
      <w:pPr>
        <w:jc w:val="both"/>
        <w:ind w:right="20" w:firstLine="283"/>
        <w:spacing w:after="0" w:line="274" w:lineRule="auto"/>
        <w:rPr>
          <w:sz w:val="20"/>
          <w:szCs w:val="20"/>
          <w:color w:val="auto"/>
        </w:rPr>
      </w:pPr>
      <w:r>
        <w:rPr>
          <w:rFonts w:ascii="Arial" w:cs="Arial" w:eastAsia="Arial" w:hAnsi="Arial"/>
          <w:sz w:val="15"/>
          <w:szCs w:val="15"/>
          <w:b w:val="1"/>
          <w:bCs w:val="1"/>
          <w:i w:val="1"/>
          <w:iCs w:val="1"/>
          <w:color w:val="auto"/>
        </w:rPr>
        <w:t xml:space="preserve">Dividends; Stock Splits or Combinations. </w:t>
      </w:r>
      <w:r>
        <w:rPr>
          <w:rFonts w:ascii="Arial" w:cs="Arial" w:eastAsia="Arial" w:hAnsi="Arial"/>
          <w:sz w:val="15"/>
          <w:szCs w:val="15"/>
          <w:color w:val="auto"/>
        </w:rPr>
        <w:t>Subject to applicable law and the rights, if any, of the holders of any outstanding series of OPAL Preferred Stock or any class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spacing w:after="0" w:line="155"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In no event will any stock dividend, stock split, reverse stock split, combination of stock, reclassification or recapitalization be declared or made on any series of Common Stock (each, a “</w:t>
      </w:r>
      <w:r>
        <w:rPr>
          <w:rFonts w:ascii="Arial" w:cs="Arial" w:eastAsia="Arial" w:hAnsi="Arial"/>
          <w:sz w:val="16"/>
          <w:szCs w:val="16"/>
          <w:b w:val="1"/>
          <w:bCs w:val="1"/>
          <w:i w:val="1"/>
          <w:iCs w:val="1"/>
          <w:color w:val="auto"/>
        </w:rPr>
        <w:t>Stock Adjustment</w:t>
      </w:r>
      <w:r>
        <w:rPr>
          <w:rFonts w:ascii="Arial" w:cs="Arial" w:eastAsia="Arial" w:hAnsi="Arial"/>
          <w:sz w:val="16"/>
          <w:szCs w:val="16"/>
          <w:color w:val="auto"/>
        </w:rPr>
        <w:t>”) unless:</w:t>
      </w:r>
    </w:p>
    <w:p>
      <w:pPr>
        <w:spacing w:after="0" w:line="157" w:lineRule="exact"/>
        <w:rPr>
          <w:sz w:val="20"/>
          <w:szCs w:val="20"/>
          <w:color w:val="auto"/>
        </w:rPr>
      </w:pPr>
    </w:p>
    <w:p>
      <w:pPr>
        <w:ind w:left="560" w:hanging="283"/>
        <w:spacing w:after="0"/>
        <w:tabs>
          <w:tab w:leader="none" w:pos="5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 corresponding Stock Adjustment for all other series of Common Stock not so adjusted at the time outstanding is made in the same proportion and the same manner; and</w:t>
      </w:r>
    </w:p>
    <w:p>
      <w:pPr>
        <w:spacing w:after="0" w:line="227" w:lineRule="exact"/>
        <w:rPr>
          <w:rFonts w:ascii="Arial" w:cs="Arial" w:eastAsia="Arial" w:hAnsi="Arial"/>
          <w:sz w:val="13"/>
          <w:szCs w:val="13"/>
          <w:color w:val="auto"/>
        </w:rPr>
      </w:pPr>
    </w:p>
    <w:p>
      <w:pPr>
        <w:ind w:left="560" w:hanging="283"/>
        <w:spacing w:after="0"/>
        <w:tabs>
          <w:tab w:leader="none" w:pos="5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Stock Adjustment has been reflected in the same economically equivalent manner on all Class A Units (as defined in the Second A&amp;R LLC Agreement).</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Stock dividends with respect to each class of Common Stock may only be paid with shares of stock of the same series of Common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07" w:name="page108"/>
    <w:bookmarkEnd w:id="107"/>
    <w:p>
      <w:pPr>
        <w:jc w:val="both"/>
        <w:ind w:firstLine="283"/>
        <w:spacing w:after="0" w:line="271" w:lineRule="auto"/>
        <w:rPr>
          <w:sz w:val="20"/>
          <w:szCs w:val="20"/>
          <w:color w:val="auto"/>
        </w:rPr>
      </w:pPr>
      <w:r>
        <w:rPr>
          <w:rFonts w:ascii="Arial" w:cs="Arial" w:eastAsia="Arial" w:hAnsi="Arial"/>
          <w:sz w:val="15"/>
          <w:szCs w:val="15"/>
          <w:b w:val="1"/>
          <w:bCs w:val="1"/>
          <w:i w:val="1"/>
          <w:iCs w:val="1"/>
          <w:color w:val="auto"/>
        </w:rPr>
        <w:t xml:space="preserve">Liquidation. </w:t>
      </w:r>
      <w:r>
        <w:rPr>
          <w:rFonts w:ascii="Arial" w:cs="Arial" w:eastAsia="Arial" w:hAnsi="Arial"/>
          <w:sz w:val="15"/>
          <w:szCs w:val="15"/>
          <w:color w:val="auto"/>
        </w:rPr>
        <w:t>In the event of any voluntary or involuntary liquidation, dissolution or winding-up of the affairs of OPAL, after payment or provision for payment of the debts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Arial" w:cs="Arial" w:eastAsia="Arial" w:hAnsi="Arial"/>
          <w:sz w:val="15"/>
          <w:szCs w:val="15"/>
          <w:i w:val="1"/>
          <w:iCs w:val="1"/>
          <w:color w:val="auto"/>
        </w:rPr>
        <w:t>pari passu</w:t>
      </w:r>
      <w:r>
        <w:rPr>
          <w:rFonts w:ascii="Arial" w:cs="Arial" w:eastAsia="Arial" w:hAnsi="Arial"/>
          <w:sz w:val="15"/>
          <w:szCs w:val="15"/>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Class B common stock</w:t>
      </w:r>
    </w:p>
    <w:p>
      <w:pPr>
        <w:spacing w:after="0" w:line="193" w:lineRule="exact"/>
        <w:rPr>
          <w:sz w:val="20"/>
          <w:szCs w:val="20"/>
          <w:color w:val="auto"/>
        </w:rPr>
      </w:pPr>
    </w:p>
    <w:p>
      <w:pPr>
        <w:jc w:val="both"/>
        <w:ind w:firstLine="283"/>
        <w:spacing w:after="0" w:line="300" w:lineRule="auto"/>
        <w:rPr>
          <w:sz w:val="20"/>
          <w:szCs w:val="20"/>
          <w:color w:val="auto"/>
        </w:rPr>
      </w:pPr>
      <w:r>
        <w:rPr>
          <w:rFonts w:ascii="Arial" w:cs="Arial" w:eastAsia="Arial" w:hAnsi="Arial"/>
          <w:sz w:val="15"/>
          <w:szCs w:val="15"/>
          <w:color w:val="auto"/>
        </w:rPr>
        <w:t>As of July 31, 2022, OPAL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spacing w:after="0" w:line="134" w:lineRule="exact"/>
        <w:rPr>
          <w:sz w:val="20"/>
          <w:szCs w:val="20"/>
          <w:color w:val="auto"/>
        </w:rPr>
      </w:pPr>
    </w:p>
    <w:p>
      <w:pPr>
        <w:jc w:val="both"/>
        <w:ind w:right="20" w:firstLine="283"/>
        <w:spacing w:after="0" w:line="329" w:lineRule="auto"/>
        <w:rPr>
          <w:sz w:val="20"/>
          <w:szCs w:val="20"/>
          <w:color w:val="auto"/>
        </w:rPr>
      </w:pPr>
      <w:r>
        <w:rPr>
          <w:rFonts w:ascii="Arial" w:cs="Arial" w:eastAsia="Arial" w:hAnsi="Arial"/>
          <w:sz w:val="13"/>
          <w:szCs w:val="13"/>
          <w:b w:val="1"/>
          <w:bCs w:val="1"/>
          <w:i w:val="1"/>
          <w:iCs w:val="1"/>
          <w:color w:val="auto"/>
        </w:rPr>
        <w:t xml:space="preserve">Voting Rights. </w:t>
      </w:r>
      <w:r>
        <w:rPr>
          <w:rFonts w:ascii="Arial" w:cs="Arial" w:eastAsia="Arial" w:hAnsi="Arial"/>
          <w:sz w:val="13"/>
          <w:szCs w:val="13"/>
          <w:color w:val="auto"/>
        </w:rPr>
        <w:t>Each holder of Class B common stock will be entitled to one vote for each share of Class B common stock held of record by such holder on all matters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22"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 xml:space="preserve">Dividends; Stock Splits or Combinations. </w:t>
      </w:r>
      <w:r>
        <w:rPr>
          <w:rFonts w:ascii="Arial" w:cs="Arial" w:eastAsia="Arial" w:hAnsi="Arial"/>
          <w:sz w:val="16"/>
          <w:szCs w:val="16"/>
          <w:color w:val="auto"/>
        </w:rPr>
        <w:t>Dividends of cash or property may not be declared or paid on shares of Class B common stock.</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Further, in no event will any Stock Adjustment be declared or made on any series of Common Stock unless:</w:t>
      </w:r>
    </w:p>
    <w:p>
      <w:pPr>
        <w:spacing w:after="0" w:line="193" w:lineRule="exact"/>
        <w:rPr>
          <w:sz w:val="20"/>
          <w:szCs w:val="20"/>
          <w:color w:val="auto"/>
        </w:rPr>
      </w:pPr>
    </w:p>
    <w:p>
      <w:pPr>
        <w:ind w:left="560" w:hanging="283"/>
        <w:spacing w:after="0"/>
        <w:tabs>
          <w:tab w:leader="none" w:pos="5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 corresponding Stock Adjustment for all other series of Common Stock not so adjusted at the time outstanding is made in the same proportion and the same manner; and</w:t>
      </w:r>
    </w:p>
    <w:p>
      <w:pPr>
        <w:spacing w:after="0" w:line="227" w:lineRule="exact"/>
        <w:rPr>
          <w:rFonts w:ascii="Arial" w:cs="Arial" w:eastAsia="Arial" w:hAnsi="Arial"/>
          <w:sz w:val="13"/>
          <w:szCs w:val="13"/>
          <w:color w:val="auto"/>
        </w:rPr>
      </w:pPr>
    </w:p>
    <w:p>
      <w:pPr>
        <w:ind w:left="560" w:hanging="283"/>
        <w:spacing w:after="0"/>
        <w:tabs>
          <w:tab w:leader="none" w:pos="5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Stock Adjustment has been reflected in the same economically equivalent manner on all Class A Units.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Stock dividends with respect to each class of Common Stock may only be paid with shares of stock of the same series of Common Stock.</w:t>
      </w:r>
    </w:p>
    <w:p>
      <w:pPr>
        <w:spacing w:after="0" w:line="193"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b w:val="1"/>
          <w:bCs w:val="1"/>
          <w:i w:val="1"/>
          <w:iCs w:val="1"/>
          <w:color w:val="auto"/>
        </w:rPr>
        <w:t xml:space="preserve">Liquidation. </w:t>
      </w:r>
      <w:r>
        <w:rPr>
          <w:rFonts w:ascii="Arial" w:cs="Arial" w:eastAsia="Arial" w:hAnsi="Arial"/>
          <w:sz w:val="13"/>
          <w:szCs w:val="13"/>
          <w:color w:val="auto"/>
        </w:rPr>
        <w:t>In the event of any voluntary or involuntary liquidation, dissolution or winding-up of the affairs of OPAL, after payment or provision for payment of the debts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spacing w:after="0" w:line="131" w:lineRule="exact"/>
        <w:rPr>
          <w:sz w:val="20"/>
          <w:szCs w:val="20"/>
          <w:color w:val="auto"/>
        </w:rPr>
      </w:pPr>
    </w:p>
    <w:p>
      <w:pPr>
        <w:jc w:val="both"/>
        <w:ind w:right="20" w:firstLine="283"/>
        <w:spacing w:after="0" w:line="281" w:lineRule="auto"/>
        <w:rPr>
          <w:sz w:val="20"/>
          <w:szCs w:val="20"/>
          <w:color w:val="auto"/>
        </w:rPr>
      </w:pPr>
      <w:r>
        <w:rPr>
          <w:rFonts w:ascii="Arial" w:cs="Arial" w:eastAsia="Arial" w:hAnsi="Arial"/>
          <w:sz w:val="15"/>
          <w:szCs w:val="15"/>
          <w:b w:val="1"/>
          <w:bCs w:val="1"/>
          <w:i w:val="1"/>
          <w:iCs w:val="1"/>
          <w:color w:val="auto"/>
        </w:rPr>
        <w:t xml:space="preserve">Subscription Rights. </w:t>
      </w:r>
      <w:r>
        <w:rPr>
          <w:rFonts w:ascii="Arial" w:cs="Arial" w:eastAsia="Arial" w:hAnsi="Arial"/>
          <w:sz w:val="15"/>
          <w:szCs w:val="15"/>
          <w:color w:val="auto"/>
        </w:rPr>
        <w:t>To the extent Class B Units are issued pursuant to the Second A&amp;R LLC Agreement to any stockholder of OPAL other than a Qualified Stockholder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Class C common stock</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As of July 31, 2022, OPAL did not have any shares of Class C common stock issued and outstanding. Shares of Class C common stock may be converted to shares of Class A common stock, as discussed further below.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08" w:name="page109"/>
    <w:bookmarkEnd w:id="108"/>
    <w:p>
      <w:pPr>
        <w:jc w:val="both"/>
        <w:ind w:firstLine="283"/>
        <w:spacing w:after="0" w:line="329" w:lineRule="auto"/>
        <w:rPr>
          <w:sz w:val="20"/>
          <w:szCs w:val="20"/>
          <w:color w:val="auto"/>
        </w:rPr>
      </w:pPr>
      <w:r>
        <w:rPr>
          <w:rFonts w:ascii="Arial" w:cs="Arial" w:eastAsia="Arial" w:hAnsi="Arial"/>
          <w:sz w:val="13"/>
          <w:szCs w:val="13"/>
          <w:b w:val="1"/>
          <w:bCs w:val="1"/>
          <w:i w:val="1"/>
          <w:iCs w:val="1"/>
          <w:color w:val="auto"/>
        </w:rPr>
        <w:t xml:space="preserve">Voting Rights. </w:t>
      </w:r>
      <w:r>
        <w:rPr>
          <w:rFonts w:ascii="Arial" w:cs="Arial" w:eastAsia="Arial" w:hAnsi="Arial"/>
          <w:sz w:val="13"/>
          <w:szCs w:val="13"/>
          <w:color w:val="auto"/>
        </w:rPr>
        <w:t>Each holder of Class C common stock will be entitled to five votes for each share of Class C common stock held of record by such holder on all matters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22"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9"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b w:val="1"/>
          <w:bCs w:val="1"/>
          <w:i w:val="1"/>
          <w:iCs w:val="1"/>
          <w:color w:val="auto"/>
        </w:rPr>
        <w:t xml:space="preserve">Dividends; Stock Splits or Combinations. </w:t>
      </w:r>
      <w:r>
        <w:rPr>
          <w:rFonts w:ascii="Arial" w:cs="Arial" w:eastAsia="Arial" w:hAnsi="Arial"/>
          <w:sz w:val="15"/>
          <w:szCs w:val="15"/>
          <w:color w:val="auto"/>
        </w:rPr>
        <w:t>Subject to applicable law and the rights, if any, of the holders of outstanding series of OPAL Preferred Stock or any class or series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no event will any Stock Adjustment be declared or made on any series of Common Stock unless:</w:t>
      </w:r>
    </w:p>
    <w:p>
      <w:pPr>
        <w:spacing w:after="0" w:line="193" w:lineRule="exact"/>
        <w:rPr>
          <w:sz w:val="20"/>
          <w:szCs w:val="20"/>
          <w:color w:val="auto"/>
        </w:rPr>
      </w:pPr>
    </w:p>
    <w:p>
      <w:pPr>
        <w:ind w:left="560" w:hanging="283"/>
        <w:spacing w:after="0"/>
        <w:tabs>
          <w:tab w:leader="none" w:pos="5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 corresponding Stock Adjustment for all other series of Common Stock not so adjusted at the time outstanding is made in the same proportion and the same manner; and</w:t>
      </w:r>
    </w:p>
    <w:p>
      <w:pPr>
        <w:spacing w:after="0" w:line="227" w:lineRule="exact"/>
        <w:rPr>
          <w:rFonts w:ascii="Arial" w:cs="Arial" w:eastAsia="Arial" w:hAnsi="Arial"/>
          <w:sz w:val="13"/>
          <w:szCs w:val="13"/>
          <w:color w:val="auto"/>
        </w:rPr>
      </w:pPr>
    </w:p>
    <w:p>
      <w:pPr>
        <w:ind w:left="560" w:hanging="283"/>
        <w:spacing w:after="0"/>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Stock Adjustment has been reflected in the same economically equivalent manner on all Class A Units.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Stock dividends with respect to each class of Common Stock may only be paid with shares of stock of the same series of Common Stock.</w:t>
      </w:r>
    </w:p>
    <w:p>
      <w:pPr>
        <w:spacing w:after="0" w:line="193"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b w:val="1"/>
          <w:bCs w:val="1"/>
          <w:i w:val="1"/>
          <w:iCs w:val="1"/>
          <w:color w:val="auto"/>
        </w:rPr>
        <w:t xml:space="preserve">Liquidation. </w:t>
      </w:r>
      <w:r>
        <w:rPr>
          <w:rFonts w:ascii="Arial" w:cs="Arial" w:eastAsia="Arial" w:hAnsi="Arial"/>
          <w:sz w:val="15"/>
          <w:szCs w:val="15"/>
          <w:color w:val="auto"/>
        </w:rPr>
        <w:t>In the event of any voluntary or involuntary liquidation, dissolution or winding-up of the affairs of OPAL, after payment or provision for payment of the debts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Arial" w:cs="Arial" w:eastAsia="Arial" w:hAnsi="Arial"/>
          <w:sz w:val="15"/>
          <w:szCs w:val="15"/>
          <w:i w:val="1"/>
          <w:iCs w:val="1"/>
          <w:color w:val="auto"/>
        </w:rPr>
        <w:t>pari passu</w:t>
      </w:r>
      <w:r>
        <w:rPr>
          <w:rFonts w:ascii="Arial" w:cs="Arial" w:eastAsia="Arial" w:hAnsi="Arial"/>
          <w:sz w:val="15"/>
          <w:szCs w:val="15"/>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Conversion.</w:t>
      </w:r>
    </w:p>
    <w:p>
      <w:pPr>
        <w:spacing w:after="0" w:line="193" w:lineRule="exact"/>
        <w:rPr>
          <w:sz w:val="20"/>
          <w:szCs w:val="20"/>
          <w:color w:val="auto"/>
        </w:rPr>
      </w:pPr>
    </w:p>
    <w:p>
      <w:pPr>
        <w:jc w:val="both"/>
        <w:ind w:left="560" w:hanging="283"/>
        <w:spacing w:after="0" w:line="342" w:lineRule="auto"/>
        <w:tabs>
          <w:tab w:leader="none" w:pos="560"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Voluntary Conversion</w:t>
      </w:r>
      <w:r>
        <w:rPr>
          <w:rFonts w:ascii="Arial" w:cs="Arial" w:eastAsia="Arial" w:hAnsi="Arial"/>
          <w:sz w:val="13"/>
          <w:szCs w:val="13"/>
          <w:color w:val="auto"/>
        </w:rPr>
        <w:t>. Each share of Class C common stock shall be convertible into one share of Class A common stock at the option of the holder thereof, at any time</w:t>
      </w:r>
      <w:r>
        <w:rPr>
          <w:rFonts w:ascii="Arial" w:cs="Arial" w:eastAsia="Arial" w:hAnsi="Arial"/>
          <w:sz w:val="13"/>
          <w:szCs w:val="13"/>
          <w:i w:val="1"/>
          <w:iCs w:val="1"/>
          <w:color w:val="auto"/>
        </w:rPr>
        <w:t xml:space="preserve"> </w:t>
      </w:r>
      <w:r>
        <w:rPr>
          <w:rFonts w:ascii="Arial" w:cs="Arial" w:eastAsia="Arial" w:hAnsi="Arial"/>
          <w:sz w:val="13"/>
          <w:szCs w:val="13"/>
          <w:color w:val="auto"/>
        </w:rPr>
        <w:t>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14" w:lineRule="exact"/>
        <w:rPr>
          <w:rFonts w:ascii="Arial" w:cs="Arial" w:eastAsia="Arial" w:hAnsi="Arial"/>
          <w:sz w:val="13"/>
          <w:szCs w:val="13"/>
          <w:color w:val="auto"/>
        </w:rPr>
      </w:pPr>
    </w:p>
    <w:p>
      <w:pPr>
        <w:ind w:left="560" w:right="20" w:hanging="283"/>
        <w:spacing w:after="0" w:line="266" w:lineRule="auto"/>
        <w:tabs>
          <w:tab w:leader="none" w:pos="56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Automatic Conversion</w:t>
      </w:r>
      <w:r>
        <w:rPr>
          <w:rFonts w:ascii="Arial" w:cs="Arial" w:eastAsia="Arial" w:hAnsi="Arial"/>
          <w:sz w:val="16"/>
          <w:szCs w:val="16"/>
          <w:color w:val="auto"/>
        </w:rPr>
        <w:t>. Each share of Class C common stock shall automatically, without any further action, convert into one share of Class A common stock upon a</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(as defined in the Charter), other than a Transfer to a Qualified Stockholder (as defined in the Charter).</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Class D common stock</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As of July 31, 2022, OPAL had 144,399,037 shares of Class D common stock issued and outstanding.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spacing w:after="0" w:line="169"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b w:val="1"/>
          <w:bCs w:val="1"/>
          <w:i w:val="1"/>
          <w:iCs w:val="1"/>
          <w:color w:val="auto"/>
        </w:rPr>
        <w:t xml:space="preserve">Voting Rights. </w:t>
      </w:r>
      <w:r>
        <w:rPr>
          <w:rFonts w:ascii="Arial" w:cs="Arial" w:eastAsia="Arial" w:hAnsi="Arial"/>
          <w:sz w:val="13"/>
          <w:szCs w:val="13"/>
          <w:color w:val="auto"/>
        </w:rPr>
        <w:t>Each holder of Class D common stock will be entitled to five votes for each share of Class D common stock held of record by such holder on all matters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09" w:name="page110"/>
    <w:bookmarkEnd w:id="109"/>
    <w:p>
      <w:pPr>
        <w:jc w:val="both"/>
        <w:ind w:right="20" w:firstLine="283"/>
        <w:spacing w:after="0" w:line="251" w:lineRule="auto"/>
        <w:rPr>
          <w:sz w:val="20"/>
          <w:szCs w:val="20"/>
          <w:color w:val="auto"/>
        </w:rPr>
      </w:pPr>
      <w:r>
        <w:rPr>
          <w:rFonts w:ascii="Arial" w:cs="Arial" w:eastAsia="Arial" w:hAnsi="Arial"/>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9" w:lineRule="exact"/>
        <w:rPr>
          <w:sz w:val="20"/>
          <w:szCs w:val="20"/>
          <w:color w:val="auto"/>
        </w:rPr>
      </w:pPr>
    </w:p>
    <w:p>
      <w:pPr>
        <w:ind w:left="280"/>
        <w:spacing w:after="0"/>
        <w:tabs>
          <w:tab w:leader="none" w:pos="3180" w:val="left"/>
        </w:tabs>
        <w:rPr>
          <w:sz w:val="20"/>
          <w:szCs w:val="20"/>
          <w:color w:val="auto"/>
        </w:rPr>
      </w:pPr>
      <w:r>
        <w:rPr>
          <w:rFonts w:ascii="Arial" w:cs="Arial" w:eastAsia="Arial" w:hAnsi="Arial"/>
          <w:sz w:val="16"/>
          <w:szCs w:val="16"/>
          <w:b w:val="1"/>
          <w:bCs w:val="1"/>
          <w:i w:val="1"/>
          <w:iCs w:val="1"/>
          <w:color w:val="auto"/>
        </w:rPr>
        <w:t>Dividends; Stock Splits and Combinations.</w:t>
      </w:r>
      <w:r>
        <w:rPr>
          <w:sz w:val="20"/>
          <w:szCs w:val="20"/>
          <w:color w:val="auto"/>
        </w:rPr>
        <w:tab/>
      </w:r>
      <w:r>
        <w:rPr>
          <w:rFonts w:ascii="Arial" w:cs="Arial" w:eastAsia="Arial" w:hAnsi="Arial"/>
          <w:sz w:val="13"/>
          <w:szCs w:val="13"/>
          <w:color w:val="auto"/>
        </w:rPr>
        <w:t>Dividends of cash or property may not be declared or paid on shares of Class D common stock.</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Further, in no event will any Stock Adjustment be declared or made on any series of Common Stock unless:</w:t>
      </w:r>
    </w:p>
    <w:p>
      <w:pPr>
        <w:spacing w:after="0" w:line="193" w:lineRule="exact"/>
        <w:rPr>
          <w:sz w:val="20"/>
          <w:szCs w:val="20"/>
          <w:color w:val="auto"/>
        </w:rPr>
      </w:pPr>
    </w:p>
    <w:p>
      <w:pPr>
        <w:ind w:left="560" w:hanging="283"/>
        <w:spacing w:after="0"/>
        <w:tabs>
          <w:tab w:leader="none" w:pos="5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 corresponding Stock Adjustment for all other series of Common Stock not so adjusted at the time outstanding is made in the same proportion and the same manner; and</w:t>
      </w:r>
    </w:p>
    <w:p>
      <w:pPr>
        <w:spacing w:after="0" w:line="227" w:lineRule="exact"/>
        <w:rPr>
          <w:rFonts w:ascii="Arial" w:cs="Arial" w:eastAsia="Arial" w:hAnsi="Arial"/>
          <w:sz w:val="13"/>
          <w:szCs w:val="13"/>
          <w:color w:val="auto"/>
        </w:rPr>
      </w:pPr>
    </w:p>
    <w:p>
      <w:pPr>
        <w:ind w:left="560" w:hanging="283"/>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Stock Adjustment has been reflected in the same economically equivalent manner on all Class A Units.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Stock dividends with respect to each class of Common Stock may only be paid with shares of stock of the same series of Common Stock.</w:t>
      </w:r>
    </w:p>
    <w:p>
      <w:pPr>
        <w:spacing w:after="0" w:line="193"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b w:val="1"/>
          <w:bCs w:val="1"/>
          <w:i w:val="1"/>
          <w:iCs w:val="1"/>
          <w:color w:val="auto"/>
        </w:rPr>
        <w:t xml:space="preserve">Liquidation. </w:t>
      </w:r>
      <w:r>
        <w:rPr>
          <w:rFonts w:ascii="Arial" w:cs="Arial" w:eastAsia="Arial" w:hAnsi="Arial"/>
          <w:sz w:val="15"/>
          <w:szCs w:val="15"/>
          <w:color w:val="auto"/>
        </w:rPr>
        <w:t>In the event of any voluntary or involuntary liquidation, dissolution or winding-up of the affairs of OPAL, after payment or provision for payment of the debts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spacing w:after="0" w:line="159"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b w:val="1"/>
          <w:bCs w:val="1"/>
          <w:i w:val="1"/>
          <w:iCs w:val="1"/>
          <w:color w:val="auto"/>
        </w:rPr>
        <w:t xml:space="preserve">Subscription Rights. </w:t>
      </w:r>
      <w:r>
        <w:rPr>
          <w:rFonts w:ascii="Arial" w:cs="Arial" w:eastAsia="Arial" w:hAnsi="Arial"/>
          <w:sz w:val="16"/>
          <w:szCs w:val="16"/>
          <w:color w:val="auto"/>
        </w:rPr>
        <w:t>To the extent that Class B Units are issued pursuant to the Second A&amp;R LLC Agreement to any Qualified Stockholder, such Qualified Stockholder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have the right to subscribe for an equivalent number of shares of Class D common stock (subject to adjustment as set forth in the Charter) in exchange for a payment in cash equal to the aggregate par value of such shares of Class D common stock.</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Conversion.</w:t>
      </w:r>
    </w:p>
    <w:p>
      <w:pPr>
        <w:spacing w:after="0" w:line="193" w:lineRule="exact"/>
        <w:rPr>
          <w:sz w:val="20"/>
          <w:szCs w:val="20"/>
          <w:color w:val="auto"/>
        </w:rPr>
      </w:pPr>
    </w:p>
    <w:p>
      <w:pPr>
        <w:jc w:val="both"/>
        <w:ind w:left="560" w:right="20" w:hanging="283"/>
        <w:spacing w:after="0" w:line="342" w:lineRule="auto"/>
        <w:tabs>
          <w:tab w:leader="none" w:pos="56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Voluntary Conversion</w:t>
      </w:r>
      <w:r>
        <w:rPr>
          <w:rFonts w:ascii="Arial" w:cs="Arial" w:eastAsia="Arial" w:hAnsi="Arial"/>
          <w:sz w:val="13"/>
          <w:szCs w:val="13"/>
          <w:color w:val="auto"/>
        </w:rPr>
        <w:t>. Each share of Class D common stock shall be convertible into one share of Class B common stock at the option of the holder thereof at any time</w:t>
      </w:r>
      <w:r>
        <w:rPr>
          <w:rFonts w:ascii="Arial" w:cs="Arial" w:eastAsia="Arial" w:hAnsi="Arial"/>
          <w:sz w:val="13"/>
          <w:szCs w:val="13"/>
          <w:i w:val="1"/>
          <w:iCs w:val="1"/>
          <w:color w:val="auto"/>
        </w:rPr>
        <w:t xml:space="preserve"> </w:t>
      </w:r>
      <w:r>
        <w:rPr>
          <w:rFonts w:ascii="Arial" w:cs="Arial" w:eastAsia="Arial" w:hAnsi="Arial"/>
          <w:sz w:val="13"/>
          <w:szCs w:val="13"/>
          <w:color w:val="auto"/>
        </w:rPr>
        <w:t>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p>
      <w:pPr>
        <w:spacing w:after="0" w:line="114" w:lineRule="exact"/>
        <w:rPr>
          <w:rFonts w:ascii="Arial" w:cs="Arial" w:eastAsia="Arial" w:hAnsi="Arial"/>
          <w:sz w:val="13"/>
          <w:szCs w:val="13"/>
          <w:color w:val="auto"/>
        </w:rPr>
      </w:pPr>
    </w:p>
    <w:p>
      <w:pPr>
        <w:ind w:left="560" w:right="20" w:hanging="283"/>
        <w:spacing w:after="0" w:line="266" w:lineRule="auto"/>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Automatic Conversion</w:t>
      </w:r>
      <w:r>
        <w:rPr>
          <w:rFonts w:ascii="Arial" w:cs="Arial" w:eastAsia="Arial" w:hAnsi="Arial"/>
          <w:sz w:val="16"/>
          <w:szCs w:val="16"/>
          <w:color w:val="auto"/>
        </w:rPr>
        <w:t>. Each share of Class D common stock shall automatically, without any further action, convert into one share of Class B common stock upon a</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other than a Transfer to a Qualified Stockholder.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Cancellation of Class B common stock and Class D common stock</w:t>
      </w:r>
    </w:p>
    <w:p>
      <w:pPr>
        <w:spacing w:after="0" w:line="19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10" w:name="page111"/>
    <w:bookmarkEnd w:id="110"/>
    <w:p>
      <w:pPr>
        <w:ind w:left="6"/>
        <w:spacing w:after="0"/>
        <w:rPr>
          <w:sz w:val="20"/>
          <w:szCs w:val="20"/>
          <w:color w:val="auto"/>
        </w:rPr>
      </w:pPr>
      <w:r>
        <w:rPr>
          <w:rFonts w:ascii="Arial" w:cs="Arial" w:eastAsia="Arial" w:hAnsi="Arial"/>
          <w:sz w:val="16"/>
          <w:szCs w:val="16"/>
          <w:b w:val="1"/>
          <w:bCs w:val="1"/>
          <w:color w:val="auto"/>
        </w:rPr>
        <w:t>OPAL Preferred Stock</w:t>
      </w:r>
    </w:p>
    <w:p>
      <w:pPr>
        <w:spacing w:after="0" w:line="197" w:lineRule="exact"/>
        <w:rPr>
          <w:sz w:val="20"/>
          <w:szCs w:val="20"/>
          <w:color w:val="auto"/>
        </w:rPr>
      </w:pPr>
    </w:p>
    <w:p>
      <w:pPr>
        <w:jc w:val="both"/>
        <w:ind w:left="6" w:firstLine="283"/>
        <w:spacing w:after="0" w:line="249" w:lineRule="auto"/>
        <w:rPr>
          <w:sz w:val="20"/>
          <w:szCs w:val="20"/>
          <w:color w:val="auto"/>
        </w:rPr>
      </w:pPr>
      <w:r>
        <w:rPr>
          <w:rFonts w:ascii="Arial" w:cs="Arial" w:eastAsia="Arial" w:hAnsi="Arial"/>
          <w:sz w:val="16"/>
          <w:szCs w:val="16"/>
          <w:color w:val="auto"/>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spacing w:after="0" w:line="174" w:lineRule="exact"/>
        <w:rPr>
          <w:sz w:val="20"/>
          <w:szCs w:val="20"/>
          <w:color w:val="auto"/>
        </w:rPr>
      </w:pPr>
    </w:p>
    <w:p>
      <w:pPr>
        <w:jc w:val="both"/>
        <w:ind w:left="6" w:firstLine="283"/>
        <w:spacing w:after="0" w:line="251" w:lineRule="auto"/>
        <w:rPr>
          <w:sz w:val="20"/>
          <w:szCs w:val="20"/>
          <w:color w:val="auto"/>
        </w:rPr>
      </w:pPr>
      <w:r>
        <w:rPr>
          <w:rFonts w:ascii="Arial" w:cs="Arial" w:eastAsia="Arial" w:hAnsi="Arial"/>
          <w:sz w:val="16"/>
          <w:szCs w:val="16"/>
          <w:color w:val="auto"/>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rights of the Common Stock, the OPAL Preferred Stock or any future class or series of OPAL Preferred Stock or Common Stock.</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Authorized But Unissued OPAL Capital Stock</w:t>
      </w:r>
    </w:p>
    <w:p>
      <w:pPr>
        <w:spacing w:after="0" w:line="197" w:lineRule="exact"/>
        <w:rPr>
          <w:sz w:val="20"/>
          <w:szCs w:val="20"/>
          <w:color w:val="auto"/>
        </w:rPr>
      </w:pPr>
    </w:p>
    <w:p>
      <w:pPr>
        <w:jc w:val="both"/>
        <w:ind w:left="6" w:firstLine="283"/>
        <w:spacing w:after="0" w:line="269" w:lineRule="auto"/>
        <w:rPr>
          <w:sz w:val="20"/>
          <w:szCs w:val="20"/>
          <w:color w:val="auto"/>
        </w:rPr>
      </w:pPr>
      <w:r>
        <w:rPr>
          <w:rFonts w:ascii="Arial" w:cs="Arial" w:eastAsia="Arial" w:hAnsi="Arial"/>
          <w:sz w:val="15"/>
          <w:szCs w:val="15"/>
          <w:color w:val="auto"/>
        </w:rPr>
        <w:t>As it relates to Class A common stock, OPAL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spacing w:after="0" w:line="159"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As it relates to Class B common stock, OPAL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spacing w:after="0" w:line="165"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As it relates to Class C common stock, OPAL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Anti-Takeover Effects of Provisions of Delaware Law and the Organizational Documents</w:t>
      </w:r>
    </w:p>
    <w:p>
      <w:pPr>
        <w:spacing w:after="0" w:line="197" w:lineRule="exact"/>
        <w:rPr>
          <w:sz w:val="20"/>
          <w:szCs w:val="20"/>
          <w:color w:val="auto"/>
        </w:rPr>
      </w:pPr>
    </w:p>
    <w:p>
      <w:pPr>
        <w:jc w:val="both"/>
        <w:ind w:left="6" w:firstLine="283"/>
        <w:spacing w:after="0" w:line="269" w:lineRule="auto"/>
        <w:rPr>
          <w:sz w:val="20"/>
          <w:szCs w:val="20"/>
          <w:color w:val="auto"/>
        </w:rPr>
      </w:pPr>
      <w:r>
        <w:rPr>
          <w:rFonts w:ascii="Arial" w:cs="Arial" w:eastAsia="Arial" w:hAnsi="Arial"/>
          <w:sz w:val="15"/>
          <w:szCs w:val="15"/>
          <w:color w:val="auto"/>
        </w:rPr>
        <w:t>Certain provisions of the Organizational Documents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59"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These provisions include:</w:t>
      </w:r>
    </w:p>
    <w:p>
      <w:pPr>
        <w:spacing w:after="0" w:line="193" w:lineRule="exact"/>
        <w:rPr>
          <w:sz w:val="20"/>
          <w:szCs w:val="20"/>
          <w:color w:val="auto"/>
        </w:rPr>
      </w:pPr>
    </w:p>
    <w:p>
      <w:pPr>
        <w:jc w:val="both"/>
        <w:ind w:left="6" w:firstLine="283"/>
        <w:spacing w:after="0" w:line="308" w:lineRule="auto"/>
        <w:rPr>
          <w:sz w:val="20"/>
          <w:szCs w:val="20"/>
          <w:color w:val="auto"/>
        </w:rPr>
      </w:pPr>
      <w:r>
        <w:rPr>
          <w:rFonts w:ascii="Arial" w:cs="Arial" w:eastAsia="Arial" w:hAnsi="Arial"/>
          <w:sz w:val="13"/>
          <w:szCs w:val="13"/>
          <w:b w:val="1"/>
          <w:bCs w:val="1"/>
          <w:i w:val="1"/>
          <w:iCs w:val="1"/>
          <w:color w:val="auto"/>
        </w:rPr>
        <w:t xml:space="preserve">Action by Written Consent; Special Meeting of Stockholder. </w:t>
      </w:r>
      <w:r>
        <w:rPr>
          <w:rFonts w:ascii="Arial" w:cs="Arial" w:eastAsia="Arial" w:hAnsi="Arial"/>
          <w:sz w:val="13"/>
          <w:szCs w:val="13"/>
          <w:color w:val="auto"/>
        </w:rPr>
        <w:t>Subject to, with respect to the OPAL Preferred Stock, the terms of any series of OPAL Preferred Stock, (i)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OPAL may be effected by consent in lieu of a meeting and</w:t>
      </w:r>
    </w:p>
    <w:p>
      <w:pPr>
        <w:spacing w:after="0" w:line="1" w:lineRule="exact"/>
        <w:rPr>
          <w:sz w:val="20"/>
          <w:szCs w:val="20"/>
          <w:color w:val="auto"/>
        </w:rPr>
      </w:pPr>
    </w:p>
    <w:p>
      <w:pPr>
        <w:jc w:val="both"/>
        <w:ind w:left="6" w:right="20" w:hanging="6"/>
        <w:spacing w:after="0" w:line="248" w:lineRule="auto"/>
        <w:tabs>
          <w:tab w:leader="none" w:pos="251"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of OPAL and may not be effected by any consent in lieu of a meeting.</w:t>
      </w:r>
    </w:p>
    <w:p>
      <w:pPr>
        <w:spacing w:after="0" w:line="36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2" w:right="319" w:bottom="1440" w:gutter="0" w:footer="0" w:header="0"/>
        </w:sectPr>
      </w:pPr>
    </w:p>
    <w:bookmarkStart w:id="111" w:name="page112"/>
    <w:bookmarkEnd w:id="111"/>
    <w:p>
      <w:pPr>
        <w:jc w:val="both"/>
        <w:ind w:firstLine="283"/>
        <w:spacing w:after="0" w:line="252" w:lineRule="auto"/>
        <w:rPr>
          <w:sz w:val="20"/>
          <w:szCs w:val="20"/>
          <w:color w:val="auto"/>
        </w:rPr>
      </w:pPr>
      <w:r>
        <w:rPr>
          <w:rFonts w:ascii="Arial" w:cs="Arial" w:eastAsia="Arial" w:hAnsi="Arial"/>
          <w:sz w:val="16"/>
          <w:szCs w:val="16"/>
          <w:color w:val="auto"/>
        </w:rPr>
        <w:t>Subject to any special rights of the holders of any series of OPAL Preferred Stock and the requirements of applicable law, special meetings of stockholders of OPAL may be called only by the chairperson of our board, the vice chairperson of our board, the chief executive officer of OPAL or at the direction of our board pursuant to a written resolution adopted by a majority of the total number of directors of OPAL that OPAL would have if there were no vacancies, and the ability of the stockholders or any other Persons to call a special meeting of the stockholders is specifically denied.</w:t>
      </w:r>
    </w:p>
    <w:p>
      <w:pPr>
        <w:spacing w:after="0" w:line="169"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b w:val="1"/>
          <w:bCs w:val="1"/>
          <w:i w:val="1"/>
          <w:iCs w:val="1"/>
          <w:color w:val="auto"/>
        </w:rPr>
        <w:t xml:space="preserve">Election and Removal of Directors. </w:t>
      </w:r>
      <w:r>
        <w:rPr>
          <w:rFonts w:ascii="Arial" w:cs="Arial" w:eastAsia="Arial" w:hAnsi="Arial"/>
          <w:sz w:val="13"/>
          <w:szCs w:val="13"/>
          <w:color w:val="auto"/>
        </w:rPr>
        <w:t>Subject to any limitations imposed by applicable law and except for additional directors of OPAL elected by the holders of any series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Other Limitations on Stockholder Actions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also impose some procedural requirements on stockholders who wish to:</w:t>
      </w:r>
    </w:p>
    <w:p>
      <w:pPr>
        <w:spacing w:after="0" w:line="193" w:lineRule="exact"/>
        <w:rPr>
          <w:sz w:val="20"/>
          <w:szCs w:val="20"/>
          <w:color w:val="auto"/>
        </w:rPr>
      </w:pPr>
    </w:p>
    <w:p>
      <w:pPr>
        <w:ind w:left="560" w:hanging="283"/>
        <w:spacing w:after="0"/>
        <w:tabs>
          <w:tab w:leader="none" w:pos="5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make nominations in the election of directors; or</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propose any other business to be brought before an annual meeting of stockholders.</w:t>
      </w:r>
    </w:p>
    <w:p>
      <w:pPr>
        <w:spacing w:after="0" w:line="193" w:lineRule="exact"/>
        <w:rPr>
          <w:sz w:val="20"/>
          <w:szCs w:val="20"/>
          <w:color w:val="auto"/>
        </w:rPr>
      </w:pPr>
    </w:p>
    <w:p>
      <w:pPr>
        <w:ind w:right="20" w:firstLine="283"/>
        <w:spacing w:after="0" w:line="300" w:lineRule="auto"/>
        <w:rPr>
          <w:sz w:val="20"/>
          <w:szCs w:val="20"/>
          <w:color w:val="auto"/>
        </w:rPr>
      </w:pPr>
      <w:r>
        <w:rPr>
          <w:rFonts w:ascii="Arial" w:cs="Arial" w:eastAsia="Arial" w:hAnsi="Arial"/>
          <w:sz w:val="15"/>
          <w:szCs w:val="15"/>
          <w:color w:val="auto"/>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spacing w:after="0" w:line="134" w:lineRule="exact"/>
        <w:rPr>
          <w:sz w:val="20"/>
          <w:szCs w:val="20"/>
          <w:color w:val="auto"/>
        </w:rPr>
      </w:pPr>
    </w:p>
    <w:p>
      <w:pPr>
        <w:ind w:left="560" w:hanging="283"/>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name and record address of each stockholder proposing business, as they appear in OPAL’s books;</w:t>
      </w:r>
    </w:p>
    <w:p>
      <w:pPr>
        <w:spacing w:after="0" w:line="192"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class or series and number of shares of stock of OPAL, directly or indirectly, held of record and beneficially by the Proponent or Stockholder Associated Person, as such terms are defined in the Bylaws;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names of all persons with whom the stockholder is acting in concert and a description of all arrangements and understandings with those persons;</w:t>
      </w:r>
    </w:p>
    <w:p>
      <w:pPr>
        <w:spacing w:after="0" w:line="192" w:lineRule="exact"/>
        <w:rPr>
          <w:rFonts w:ascii="Arial" w:cs="Arial" w:eastAsia="Arial" w:hAnsi="Arial"/>
          <w:sz w:val="16"/>
          <w:szCs w:val="16"/>
          <w:color w:val="auto"/>
        </w:rPr>
      </w:pPr>
    </w:p>
    <w:p>
      <w:pPr>
        <w:jc w:val="both"/>
        <w:ind w:left="560" w:right="20" w:hanging="283"/>
        <w:spacing w:after="0" w:line="256" w:lineRule="auto"/>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p>
      <w:pPr>
        <w:spacing w:after="0" w:line="165" w:lineRule="exact"/>
        <w:rPr>
          <w:rFonts w:ascii="Arial" w:cs="Arial" w:eastAsia="Arial" w:hAnsi="Arial"/>
          <w:sz w:val="16"/>
          <w:szCs w:val="16"/>
          <w:color w:val="auto"/>
        </w:rPr>
      </w:pPr>
    </w:p>
    <w:p>
      <w:pPr>
        <w:ind w:left="560" w:hanging="283"/>
        <w:spacing w:after="0"/>
        <w:tabs>
          <w:tab w:leader="none" w:pos="5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 description of the business or nomination to be brought before the meeting, the text of the proposal and the reasons for conducting such business at the meeting; and</w:t>
      </w:r>
    </w:p>
    <w:p>
      <w:pPr>
        <w:spacing w:after="0" w:line="227" w:lineRule="exact"/>
        <w:rPr>
          <w:rFonts w:ascii="Arial" w:cs="Arial" w:eastAsia="Arial" w:hAnsi="Arial"/>
          <w:sz w:val="13"/>
          <w:szCs w:val="13"/>
          <w:color w:val="auto"/>
        </w:rPr>
      </w:pPr>
    </w:p>
    <w:p>
      <w:pPr>
        <w:ind w:left="560" w:hanging="283"/>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material interest of the Proponent or Stockholder Associated Person in such business.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Bylaws also set out the timeliness requirements for delivery of such notice.</w:t>
      </w:r>
    </w:p>
    <w:p>
      <w:pPr>
        <w:spacing w:after="0" w:line="193"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on Liability and Indemnification of Officers and Directors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Organizational Documents provide indemnification for OPAL’s directors and officers to the fullest extent permitted by the DGCL.</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193" w:lineRule="exact"/>
        <w:rPr>
          <w:sz w:val="20"/>
          <w:szCs w:val="20"/>
          <w:color w:val="auto"/>
        </w:rPr>
      </w:pPr>
    </w:p>
    <w:p>
      <w:pPr>
        <w:jc w:val="both"/>
        <w:ind w:firstLine="283"/>
        <w:spacing w:after="0" w:line="312" w:lineRule="auto"/>
        <w:rPr>
          <w:sz w:val="20"/>
          <w:szCs w:val="20"/>
          <w:color w:val="auto"/>
        </w:rPr>
      </w:pPr>
      <w:r>
        <w:rPr>
          <w:rFonts w:ascii="Arial" w:cs="Arial" w:eastAsia="Arial" w:hAnsi="Arial"/>
          <w:sz w:val="13"/>
          <w:szCs w:val="13"/>
          <w:color w:val="auto"/>
        </w:rPr>
        <w:t>On July 21, 2022, OPAL entered into certain Indemnification Agreements (“</w:t>
      </w:r>
      <w:r>
        <w:rPr>
          <w:rFonts w:ascii="Arial" w:cs="Arial" w:eastAsia="Arial" w:hAnsi="Arial"/>
          <w:sz w:val="13"/>
          <w:szCs w:val="13"/>
          <w:b w:val="1"/>
          <w:bCs w:val="1"/>
          <w:i w:val="1"/>
          <w:iCs w:val="1"/>
          <w:color w:val="auto"/>
        </w:rPr>
        <w:t>Indemnification Agreements</w:t>
      </w:r>
      <w:r>
        <w:rPr>
          <w:rFonts w:ascii="Arial" w:cs="Arial" w:eastAsia="Arial" w:hAnsi="Arial"/>
          <w:sz w:val="13"/>
          <w:szCs w:val="13"/>
          <w:color w:val="auto"/>
        </w:rPr>
        <w:t>”) with each of its directors and executive officers pursuant to which, subject to certain exceptions, OPAL shall indemnify its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Arial" w:cs="Arial" w:eastAsia="Arial" w:hAnsi="Arial"/>
          <w:sz w:val="13"/>
          <w:szCs w:val="13"/>
          <w:b w:val="1"/>
          <w:bCs w:val="1"/>
          <w:i w:val="1"/>
          <w:iCs w:val="1"/>
          <w:color w:val="auto"/>
        </w:rPr>
        <w:t>Expenses</w:t>
      </w:r>
      <w:r>
        <w:rPr>
          <w:rFonts w:ascii="Arial" w:cs="Arial" w:eastAsia="Arial" w:hAnsi="Arial"/>
          <w:sz w:val="13"/>
          <w:szCs w:val="13"/>
          <w:color w:val="auto"/>
        </w:rPr>
        <w:t>”). Pursuant to the Indemnification Agreements, in the event an officer or director who was or is a party to or witness in or is threatened to be made a party to or witness in any Proceeding with respect such officer’s or director’s service for OPAL or any subsidiary or affiliate as an Indemnifiable Person (as defined in the Indemnification Agreements), or by reason of anything done or not done, or any act or omission, by such officer or director in any such capacity, OPAL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OPAL’s Bylaws and the DGCL. Furthermore, pursuant to the Indemnification Agreements, OPAL shall, subject to certain exception, at the request of an officer or director, advance all Expenses incurred by such officer or director prior to the final disposition of a Proceeding.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Exclusive Forum</w:t>
      </w:r>
    </w:p>
    <w:p>
      <w:pPr>
        <w:spacing w:after="0" w:line="197" w:lineRule="exact"/>
        <w:rPr>
          <w:sz w:val="20"/>
          <w:szCs w:val="20"/>
          <w:color w:val="auto"/>
        </w:rPr>
      </w:pPr>
    </w:p>
    <w:p>
      <w:pPr>
        <w:jc w:val="both"/>
        <w:ind w:firstLine="283"/>
        <w:spacing w:after="0" w:line="310" w:lineRule="auto"/>
        <w:rPr>
          <w:sz w:val="20"/>
          <w:szCs w:val="20"/>
          <w:color w:val="auto"/>
        </w:rPr>
      </w:pPr>
      <w:r>
        <w:rPr>
          <w:rFonts w:ascii="Arial" w:cs="Arial" w:eastAsia="Arial" w:hAnsi="Arial"/>
          <w:sz w:val="13"/>
          <w:szCs w:val="13"/>
          <w:color w:val="auto"/>
        </w:rPr>
        <w:t>The Charter provides that, unless OPAL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OPAL;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the Charter or the By-laws of OPAL (including any right, obligation or remedy thereunder); (v) any action, suit or proceeding as to which the DGCL confers jurisdiction to the Court of Chancery of the State of Delaware; or (vi) any action asserting a claim against OPAL or any director, officer or other employee of OPAL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spacing w:after="0" w:line="326"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If any action, the subject matter of which is within the scope of the exclusive forum provisions of the Charter,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in the name of any stockholder of OPAL, such stockholder shall be deemed to have consented to (i) the personal jurisdiction of the state and federal courts located within the State of Delaware in connection with any action brought in any such court to enforce the exclusive forum provisions of the Charter (an “</w:t>
      </w:r>
      <w:r>
        <w:rPr>
          <w:rFonts w:ascii="Arial" w:cs="Arial" w:eastAsia="Arial" w:hAnsi="Arial"/>
          <w:sz w:val="16"/>
          <w:szCs w:val="16"/>
          <w:b w:val="1"/>
          <w:bCs w:val="1"/>
          <w:i w:val="1"/>
          <w:iCs w:val="1"/>
          <w:color w:val="auto"/>
        </w:rPr>
        <w:t>Enforcement Action</w:t>
      </w:r>
      <w:r>
        <w:rPr>
          <w:rFonts w:ascii="Arial" w:cs="Arial" w:eastAsia="Arial" w:hAnsi="Arial"/>
          <w:sz w:val="16"/>
          <w:szCs w:val="16"/>
          <w:color w:val="auto"/>
        </w:rPr>
        <w:t>”) and (ii) having service of process made upon such stockholder in any such Enforcement Action by service upon such stockholder’s counsel in the Foreign Action as agent for such stockholder.</w:t>
      </w:r>
    </w:p>
    <w:p>
      <w:pPr>
        <w:spacing w:after="0" w:line="16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Any person or entity purchasing, holding, owning or otherwise acquiring any interest in any security of OPAL shall be deemed to have notice of and to have consented to the exclusive forum provisions of the Charter.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Registration Rights</w:t>
      </w:r>
    </w:p>
    <w:p>
      <w:pPr>
        <w:spacing w:after="0" w:line="197"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The Investor Rights Agreement provides the OPAL Holders (as defined herein) with certain registration rights whereby, at any time, subject to certain lockup restrictions and the other terms and conditions of the Investor Rights Agreement, they will have the right to require us to register under the Securities Act certain Registrable Securities (as defined in the Investor Rights Agreement). The Investor Rights Agreement also provides for piggyback registration rights for certain other parties thereto, subject to certain conditions and exceptions. See “</w:t>
      </w:r>
      <w:r>
        <w:rPr>
          <w:rFonts w:ascii="Arial" w:cs="Arial" w:eastAsia="Arial" w:hAnsi="Arial"/>
          <w:sz w:val="15"/>
          <w:szCs w:val="15"/>
          <w:i w:val="1"/>
          <w:iCs w:val="1"/>
          <w:color w:val="auto"/>
        </w:rPr>
        <w:t>Certain Relationships and Related Party Transactions—PIPE Investors—Investor Rights Agreement.</w:t>
      </w:r>
      <w:r>
        <w:rPr>
          <w:rFonts w:ascii="Arial" w:cs="Arial" w:eastAsia="Arial" w:hAnsi="Arial"/>
          <w:sz w:val="15"/>
          <w:szCs w:val="15"/>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OPAL Public Warrants</w:t>
      </w:r>
    </w:p>
    <w:p>
      <w:pPr>
        <w:spacing w:after="0" w:line="193"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Each OPAL whole warrant entitles the registered holder to purchase one share of Class A common stock at a price of $11.50 per share, subject to adjustment as discussed below, at any time commencing 30 days after the Closing, except as discussed in the immediately succeeding paragraph. Pursuant to the warrant agreement, a warrant holder may exercise its warrants only for a whole number of Class A common stock. This means only a whole warrant may be exercised at a given time by a warrant holder. The warrants will expire five years after the Closing, at 5:00 p.m., New York City time, or earlier upon redemption or liquidation.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13" w:name="page114"/>
    <w:bookmarkEnd w:id="113"/>
    <w:p>
      <w:pPr>
        <w:jc w:val="both"/>
        <w:ind w:firstLine="283"/>
        <w:spacing w:after="0" w:line="314" w:lineRule="auto"/>
        <w:rPr>
          <w:sz w:val="20"/>
          <w:szCs w:val="20"/>
          <w:color w:val="auto"/>
        </w:rPr>
      </w:pPr>
      <w:r>
        <w:rPr>
          <w:rFonts w:ascii="Arial" w:cs="Arial" w:eastAsia="Arial" w:hAnsi="Arial"/>
          <w:sz w:val="13"/>
          <w:szCs w:val="13"/>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us satisfying our obligations described below with respect to registration, or a valid exemption from registration is available.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31" w:lineRule="exact"/>
        <w:rPr>
          <w:sz w:val="20"/>
          <w:szCs w:val="20"/>
          <w:color w:val="auto"/>
        </w:rPr>
      </w:pPr>
    </w:p>
    <w:p>
      <w:pPr>
        <w:jc w:val="both"/>
        <w:ind w:firstLine="424"/>
        <w:spacing w:after="0" w:line="308" w:lineRule="auto"/>
        <w:rPr>
          <w:sz w:val="20"/>
          <w:szCs w:val="20"/>
          <w:color w:val="auto"/>
        </w:rPr>
      </w:pPr>
      <w:r>
        <w:rPr>
          <w:rFonts w:ascii="Arial" w:cs="Arial" w:eastAsia="Arial" w:hAnsi="Arial"/>
          <w:sz w:val="13"/>
          <w:szCs w:val="13"/>
          <w:color w:val="auto"/>
        </w:rPr>
        <w:t>We have agreed that as soon as practicable, but in no event later than twenty business days after the Closing of the Business Combination, we will use our commercially reasonable efforts to file with the SEC a registration statement for the registration, under the Securities Act, of the shares of Class A common stock issuable upon exercise of the warrants, and we will use our commercially reasonable efforts to cause the same to become effective within 60 business days after the Closing of the Business Combination, and to maintain the effectiveness of such registration statement and a current prospectus relating to those shares of Class A common stock until the warrants expire or are redeemed, as specified in the warrant agreement; provided that if our shares of Class A common stock are, at the time of any exercise of a warrant, not listed on a national securities exchange such that they satisfy the definition of a “covered security” under Section 18(b)(1) of the Securities Act, we may, at our option, require holders of OPAL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shares of Class A common stock issuable upon exercise of the warrants is not effective by the 60th day after the Closing of the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 (x) the product of the number of shares of Class A common stock underlying the warrants, multiplied by the excess of the “fair market value”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326"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b w:val="1"/>
          <w:bCs w:val="1"/>
          <w:i w:val="1"/>
          <w:iCs w:val="1"/>
          <w:color w:val="auto"/>
        </w:rPr>
        <w:t xml:space="preserve">Redemption of warrants when the price per share of Class A common stock equals or exceeds $18.00. </w:t>
      </w:r>
      <w:r>
        <w:rPr>
          <w:rFonts w:ascii="Arial" w:cs="Arial" w:eastAsia="Arial" w:hAnsi="Arial"/>
          <w:sz w:val="16"/>
          <w:szCs w:val="16"/>
          <w:color w:val="auto"/>
        </w:rPr>
        <w:t>Once the warrants become exercisable, we may redeem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warrants:</w:t>
      </w:r>
    </w:p>
    <w:p>
      <w:pPr>
        <w:spacing w:after="0" w:line="157" w:lineRule="exact"/>
        <w:rPr>
          <w:sz w:val="20"/>
          <w:szCs w:val="20"/>
          <w:color w:val="auto"/>
        </w:rPr>
      </w:pPr>
    </w:p>
    <w:p>
      <w:pPr>
        <w:ind w:left="560" w:hanging="283"/>
        <w:spacing w:after="0"/>
        <w:tabs>
          <w:tab w:leader="none" w:pos="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a minimum of 30 days’ prior written notice of redemption to each warrant holder; and</w:t>
      </w:r>
    </w:p>
    <w:p>
      <w:pPr>
        <w:spacing w:after="0" w:line="192" w:lineRule="exact"/>
        <w:rPr>
          <w:rFonts w:ascii="Arial" w:cs="Arial" w:eastAsia="Arial" w:hAnsi="Arial"/>
          <w:sz w:val="16"/>
          <w:szCs w:val="16"/>
          <w:color w:val="auto"/>
        </w:rPr>
      </w:pPr>
    </w:p>
    <w:p>
      <w:pPr>
        <w:jc w:val="both"/>
        <w:ind w:left="560" w:right="20" w:hanging="283"/>
        <w:spacing w:after="0" w:line="281" w:lineRule="auto"/>
        <w:tabs>
          <w:tab w:leader="none" w:pos="5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if, and only if, the closing price of the Class A common stock equals or exceeds $18.00 per share (as adjusted for adjustments to the number of shares issuable upon exercise or the exercise price of a warrant as described under the heading “— </w:t>
      </w:r>
      <w:r>
        <w:rPr>
          <w:rFonts w:ascii="Arial" w:cs="Arial" w:eastAsia="Arial" w:hAnsi="Arial"/>
          <w:sz w:val="15"/>
          <w:szCs w:val="15"/>
          <w:i w:val="1"/>
          <w:iCs w:val="1"/>
          <w:color w:val="auto"/>
        </w:rPr>
        <w:t>Warrants — OPAL Public Warrants — Anti-Dilution Adjustments</w:t>
      </w:r>
      <w:r>
        <w:rPr>
          <w:rFonts w:ascii="Arial" w:cs="Arial" w:eastAsia="Arial" w:hAnsi="Arial"/>
          <w:sz w:val="15"/>
          <w:szCs w:val="15"/>
          <w:color w:val="auto"/>
        </w:rPr>
        <w:t>”) for any 20 trading days within a 30-trading day period ending three trading days before we send the notice of redemption to the warrant holders.</w:t>
      </w:r>
    </w:p>
    <w:p>
      <w:pPr>
        <w:spacing w:after="0" w:line="148"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14" w:name="page115"/>
    <w:bookmarkEnd w:id="114"/>
    <w:p>
      <w:pPr>
        <w:jc w:val="both"/>
        <w:ind w:left="6" w:right="20" w:firstLine="283"/>
        <w:spacing w:after="0" w:line="266" w:lineRule="auto"/>
        <w:rPr>
          <w:sz w:val="20"/>
          <w:szCs w:val="20"/>
          <w:color w:val="auto"/>
        </w:rPr>
      </w:pPr>
      <w:r>
        <w:rPr>
          <w:rFonts w:ascii="Arial" w:cs="Arial" w:eastAsia="Arial" w:hAnsi="Arial"/>
          <w:sz w:val="16"/>
          <w:szCs w:val="16"/>
          <w:color w:val="auto"/>
        </w:rPr>
        <w:t>We have established the last of the redemption criteria discussed above to prevent a redemption call unless there is at the time of the call a significant premium to the warrant exercise price.</w:t>
      </w:r>
    </w:p>
    <w:p>
      <w:pPr>
        <w:spacing w:after="0" w:line="157"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 xml:space="preserve">If we issue a notice of redemption of the warrants, each warrant holder will be entitled to exercise his, her or its warrant prior to the scheduled redemption date. However, the price of the shares of Class A common stock may fall below the $18.00 redemption trigger price (as adjusted for adjustments to the number of shares issuable upon exercise or the exercise price of a warrant as described under the heading “— </w:t>
      </w:r>
      <w:r>
        <w:rPr>
          <w:rFonts w:ascii="Arial" w:cs="Arial" w:eastAsia="Arial" w:hAnsi="Arial"/>
          <w:sz w:val="16"/>
          <w:szCs w:val="16"/>
          <w:i w:val="1"/>
          <w:iCs w:val="1"/>
          <w:color w:val="auto"/>
        </w:rPr>
        <w:t>Warrants — OPAL Public Warrants — Anti-dilution Adjustments</w:t>
      </w:r>
      <w:r>
        <w:rPr>
          <w:rFonts w:ascii="Arial" w:cs="Arial" w:eastAsia="Arial" w:hAnsi="Arial"/>
          <w:sz w:val="16"/>
          <w:szCs w:val="16"/>
          <w:color w:val="auto"/>
        </w:rPr>
        <w:t>”) as well as the $11.50 (for whole shares) warrant exercise price after the redemption notice is issued.</w:t>
      </w:r>
    </w:p>
    <w:p>
      <w:pPr>
        <w:spacing w:after="0" w:line="169"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b w:val="1"/>
          <w:bCs w:val="1"/>
          <w:i w:val="1"/>
          <w:iCs w:val="1"/>
          <w:color w:val="auto"/>
        </w:rPr>
        <w:t xml:space="preserve">Redemption of warrants when the price per Class A common stock equals or exceeds $10.00. </w:t>
      </w:r>
      <w:r>
        <w:rPr>
          <w:rFonts w:ascii="Arial" w:cs="Arial" w:eastAsia="Arial" w:hAnsi="Arial"/>
          <w:sz w:val="16"/>
          <w:szCs w:val="16"/>
          <w:color w:val="auto"/>
        </w:rPr>
        <w:t>Once the warrants become exercisable, we may redeem the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w:t>
      </w:r>
    </w:p>
    <w:p>
      <w:pPr>
        <w:spacing w:after="0" w:line="157" w:lineRule="exact"/>
        <w:rPr>
          <w:sz w:val="20"/>
          <w:szCs w:val="20"/>
          <w:color w:val="auto"/>
        </w:rPr>
      </w:pPr>
    </w:p>
    <w:p>
      <w:pPr>
        <w:ind w:left="566" w:hanging="283"/>
        <w:spacing w:after="0"/>
        <w:tabs>
          <w:tab w:leader="none" w:pos="566"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92" w:lineRule="exact"/>
        <w:rPr>
          <w:rFonts w:ascii="Arial" w:cs="Arial" w:eastAsia="Arial" w:hAnsi="Arial"/>
          <w:sz w:val="16"/>
          <w:szCs w:val="16"/>
          <w:color w:val="auto"/>
        </w:rPr>
      </w:pPr>
    </w:p>
    <w:p>
      <w:pPr>
        <w:jc w:val="both"/>
        <w:ind w:left="566" w:right="20" w:hanging="283"/>
        <w:spacing w:after="0" w:line="256" w:lineRule="auto"/>
        <w:tabs>
          <w:tab w:leader="none" w:pos="566"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Class A common stock (as defined below) except as otherwise described below;</w:t>
      </w:r>
    </w:p>
    <w:p>
      <w:pPr>
        <w:spacing w:after="0" w:line="165" w:lineRule="exact"/>
        <w:rPr>
          <w:rFonts w:ascii="Arial" w:cs="Arial" w:eastAsia="Arial" w:hAnsi="Arial"/>
          <w:sz w:val="16"/>
          <w:szCs w:val="16"/>
          <w:color w:val="auto"/>
        </w:rPr>
      </w:pPr>
    </w:p>
    <w:p>
      <w:pPr>
        <w:jc w:val="both"/>
        <w:ind w:left="566" w:hanging="283"/>
        <w:spacing w:after="0" w:line="342" w:lineRule="auto"/>
        <w:tabs>
          <w:tab w:leader="none" w:pos="566"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if, and only if, the closing price of the shares of Class A common stock equals or exceeds $10.00 per public share (as adjusted for adjustments to the number of shares issuable upon exercise or the exercise price of a warrant as described under the heading </w:t>
      </w:r>
      <w:r>
        <w:rPr>
          <w:rFonts w:ascii="Arial" w:cs="Arial" w:eastAsia="Arial" w:hAnsi="Arial"/>
          <w:sz w:val="13"/>
          <w:szCs w:val="13"/>
          <w:i w:val="1"/>
          <w:iCs w:val="1"/>
          <w:color w:val="auto"/>
        </w:rPr>
        <w:t>“— Warrants — OPAL Public Warrants — Anti-Dilution Adjustments</w:t>
      </w:r>
      <w:r>
        <w:rPr>
          <w:rFonts w:ascii="Arial" w:cs="Arial" w:eastAsia="Arial" w:hAnsi="Arial"/>
          <w:sz w:val="13"/>
          <w:szCs w:val="13"/>
          <w:color w:val="auto"/>
        </w:rPr>
        <w:t>”) for any 20 trading days within the 30-trading day period ending three trading days before we send the notice of redemption to the warrant holders; and</w:t>
      </w:r>
    </w:p>
    <w:p>
      <w:pPr>
        <w:spacing w:after="0" w:line="114" w:lineRule="exact"/>
        <w:rPr>
          <w:rFonts w:ascii="Arial" w:cs="Arial" w:eastAsia="Arial" w:hAnsi="Arial"/>
          <w:sz w:val="13"/>
          <w:szCs w:val="13"/>
          <w:color w:val="auto"/>
        </w:rPr>
      </w:pPr>
    </w:p>
    <w:p>
      <w:pPr>
        <w:jc w:val="both"/>
        <w:ind w:left="566" w:hanging="283"/>
        <w:spacing w:after="0" w:line="274" w:lineRule="auto"/>
        <w:tabs>
          <w:tab w:leader="none" w:pos="566"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if the closing price of the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t>
      </w:r>
      <w:r>
        <w:rPr>
          <w:rFonts w:ascii="Arial" w:cs="Arial" w:eastAsia="Arial" w:hAnsi="Arial"/>
          <w:sz w:val="15"/>
          <w:szCs w:val="15"/>
          <w:i w:val="1"/>
          <w:iCs w:val="1"/>
          <w:color w:val="auto"/>
        </w:rPr>
        <w:t>Warrants — OPAL Public Warrants — Anti-dilution Adjustments</w:t>
      </w:r>
      <w:r>
        <w:rPr>
          <w:rFonts w:ascii="Arial" w:cs="Arial" w:eastAsia="Arial" w:hAnsi="Arial"/>
          <w:sz w:val="15"/>
          <w:szCs w:val="15"/>
          <w:color w:val="auto"/>
        </w:rPr>
        <w:t>”), the OPAL Private Placement Warrants must also be concurrently called for redemption on the same terms as the outstanding OPAL Public Warrants, as described above.</w:t>
      </w:r>
    </w:p>
    <w:p>
      <w:pPr>
        <w:spacing w:after="0" w:line="155" w:lineRule="exact"/>
        <w:rPr>
          <w:sz w:val="20"/>
          <w:szCs w:val="20"/>
          <w:color w:val="auto"/>
        </w:rPr>
      </w:pPr>
    </w:p>
    <w:p>
      <w:pPr>
        <w:jc w:val="both"/>
        <w:ind w:left="6" w:firstLine="283"/>
        <w:spacing w:after="0" w:line="268" w:lineRule="auto"/>
        <w:rPr>
          <w:sz w:val="20"/>
          <w:szCs w:val="20"/>
          <w:color w:val="auto"/>
        </w:rPr>
      </w:pPr>
      <w:r>
        <w:rPr>
          <w:rFonts w:ascii="Arial" w:cs="Arial" w:eastAsia="Arial" w:hAnsi="Arial"/>
          <w:sz w:val="15"/>
          <w:szCs w:val="15"/>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the Class A common stock on the corresponding redemption date (assuming holders elect to exercise their warrants and such warrants are not redeemed for $0.10 per warrant), determined for these purposes based on volume weighted average price of the shares of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59" w:lineRule="exact"/>
        <w:rPr>
          <w:sz w:val="20"/>
          <w:szCs w:val="20"/>
          <w:color w:val="auto"/>
        </w:rPr>
      </w:pPr>
    </w:p>
    <w:p>
      <w:pPr>
        <w:jc w:val="both"/>
        <w:ind w:left="6" w:right="20" w:firstLine="283"/>
        <w:spacing w:after="0" w:line="305" w:lineRule="auto"/>
        <w:rPr>
          <w:sz w:val="20"/>
          <w:szCs w:val="20"/>
          <w:color w:val="auto"/>
        </w:rPr>
      </w:pPr>
      <w:r>
        <w:rPr>
          <w:rFonts w:ascii="Arial" w:cs="Arial" w:eastAsia="Arial" w:hAnsi="Arial"/>
          <w:sz w:val="13"/>
          <w:szCs w:val="13"/>
          <w:color w:val="auto"/>
        </w:rPr>
        <w:t xml:space="preserve">The share prices set forth in the column headings of the table below will be adjusted as of any date on which the number of shares of Class A common stock issuable upon exercise of a warrant or the exercise price of a warrant is adjusted as set forth under the heading “— </w:t>
      </w:r>
      <w:r>
        <w:rPr>
          <w:rFonts w:ascii="Arial" w:cs="Arial" w:eastAsia="Arial" w:hAnsi="Arial"/>
          <w:sz w:val="13"/>
          <w:szCs w:val="13"/>
          <w:i w:val="1"/>
          <w:iCs w:val="1"/>
          <w:color w:val="auto"/>
        </w:rPr>
        <w:t>Warrants — OPAL Public Warrants</w:t>
      </w:r>
      <w:r>
        <w:rPr>
          <w:rFonts w:ascii="Arial" w:cs="Arial" w:eastAsia="Arial" w:hAnsi="Arial"/>
          <w:sz w:val="13"/>
          <w:szCs w:val="13"/>
          <w:color w:val="auto"/>
        </w:rPr>
        <w:t xml:space="preserve"> — </w:t>
      </w:r>
      <w:r>
        <w:rPr>
          <w:rFonts w:ascii="Arial" w:cs="Arial" w:eastAsia="Arial" w:hAnsi="Arial"/>
          <w:sz w:val="13"/>
          <w:szCs w:val="13"/>
          <w:i w:val="1"/>
          <w:iCs w:val="1"/>
          <w:color w:val="auto"/>
        </w:rPr>
        <w:t>Anti-dilution Adjustments</w:t>
      </w:r>
      <w:r>
        <w:rPr>
          <w:rFonts w:ascii="Arial" w:cs="Arial" w:eastAsia="Arial" w:hAnsi="Arial"/>
          <w:sz w:val="13"/>
          <w:szCs w:val="13"/>
          <w:color w:val="auto"/>
        </w:rPr>
        <w:t>” below. If the number of shares of Class A common stock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of Class A common stock deliverable upon exercise of a warrant as so adjusted. The number of shares in the table below shall be adjusted in the same manner and at the same time as the number of shares issuable upon exercise of a warrant. If the exercise price of a warrant is adjusted,</w:t>
      </w:r>
    </w:p>
    <w:p>
      <w:pPr>
        <w:spacing w:after="0" w:line="2" w:lineRule="exact"/>
        <w:rPr>
          <w:sz w:val="20"/>
          <w:szCs w:val="20"/>
          <w:color w:val="auto"/>
        </w:rPr>
      </w:pPr>
    </w:p>
    <w:p>
      <w:pPr>
        <w:jc w:val="both"/>
        <w:ind w:left="6" w:hanging="6"/>
        <w:spacing w:after="0" w:line="264" w:lineRule="auto"/>
        <w:tabs>
          <w:tab w:leader="none" w:pos="223" w:val="left"/>
        </w:tabs>
        <w:numPr>
          <w:ilvl w:val="0"/>
          <w:numId w:val="79"/>
        </w:numPr>
        <w:rPr>
          <w:rFonts w:ascii="Arial" w:cs="Arial" w:eastAsia="Arial" w:hAnsi="Arial"/>
          <w:sz w:val="15"/>
          <w:szCs w:val="15"/>
          <w:color w:val="auto"/>
        </w:rPr>
      </w:pPr>
      <w:r>
        <w:rPr>
          <w:rFonts w:ascii="Arial" w:cs="Arial" w:eastAsia="Arial" w:hAnsi="Arial"/>
          <w:sz w:val="15"/>
          <w:szCs w:val="15"/>
          <w:color w:val="auto"/>
        </w:rPr>
        <w:t xml:space="preserve">in the case of an adjustment pursuant to the fifth paragraph under the heading “— </w:t>
      </w:r>
      <w:r>
        <w:rPr>
          <w:rFonts w:ascii="Arial" w:cs="Arial" w:eastAsia="Arial" w:hAnsi="Arial"/>
          <w:sz w:val="15"/>
          <w:szCs w:val="15"/>
          <w:i w:val="1"/>
          <w:iCs w:val="1"/>
          <w:color w:val="auto"/>
        </w:rPr>
        <w:t>Warrants — OPAL Public Warrants</w:t>
      </w:r>
      <w:r>
        <w:rPr>
          <w:rFonts w:ascii="Arial" w:cs="Arial" w:eastAsia="Arial" w:hAnsi="Arial"/>
          <w:sz w:val="15"/>
          <w:szCs w:val="15"/>
          <w:color w:val="auto"/>
        </w:rPr>
        <w:t xml:space="preserve"> — </w:t>
      </w:r>
      <w:r>
        <w:rPr>
          <w:rFonts w:ascii="Arial" w:cs="Arial" w:eastAsia="Arial" w:hAnsi="Arial"/>
          <w:sz w:val="15"/>
          <w:szCs w:val="15"/>
          <w:i w:val="1"/>
          <w:iCs w:val="1"/>
          <w:color w:val="auto"/>
        </w:rPr>
        <w:t>Anti-dilution Adjustments</w:t>
      </w:r>
      <w:r>
        <w:rPr>
          <w:rFonts w:ascii="Arial" w:cs="Arial" w:eastAsia="Arial" w:hAnsi="Arial"/>
          <w:sz w:val="15"/>
          <w:szCs w:val="15"/>
          <w:color w:val="auto"/>
        </w:rPr>
        <w:t xml:space="preserve">” below, the adjusted share prices in the column headings will equal the unadjusted share price multiplied by a fraction, the numerator of which is the higher of the Market Value and the Newly Issued Price as set forth under the heading “— </w:t>
      </w:r>
      <w:r>
        <w:rPr>
          <w:rFonts w:ascii="Arial" w:cs="Arial" w:eastAsia="Arial" w:hAnsi="Arial"/>
          <w:sz w:val="15"/>
          <w:szCs w:val="15"/>
          <w:i w:val="1"/>
          <w:iCs w:val="1"/>
          <w:color w:val="auto"/>
        </w:rPr>
        <w:t>Warrants — OPAL Public Warrants</w:t>
      </w:r>
      <w:r>
        <w:rPr>
          <w:rFonts w:ascii="Arial" w:cs="Arial" w:eastAsia="Arial" w:hAnsi="Arial"/>
          <w:sz w:val="15"/>
          <w:szCs w:val="15"/>
          <w:color w:val="auto"/>
        </w:rPr>
        <w:t xml:space="preserve"> — </w:t>
      </w:r>
      <w:r>
        <w:rPr>
          <w:rFonts w:ascii="Arial" w:cs="Arial" w:eastAsia="Arial" w:hAnsi="Arial"/>
          <w:sz w:val="15"/>
          <w:szCs w:val="15"/>
          <w:i w:val="1"/>
          <w:iCs w:val="1"/>
          <w:color w:val="auto"/>
        </w:rPr>
        <w:t>Anti-dilution Adjustments</w:t>
      </w:r>
      <w:r>
        <w:rPr>
          <w:rFonts w:ascii="Arial" w:cs="Arial" w:eastAsia="Arial" w:hAnsi="Arial"/>
          <w:sz w:val="15"/>
          <w:szCs w:val="15"/>
          <w:color w:val="auto"/>
        </w:rPr>
        <w:t xml:space="preserve">” and the denominator of which is $10.00 and (b) in the case of an adjustment pursuant to the second paragraph under the heading “— </w:t>
      </w:r>
      <w:r>
        <w:rPr>
          <w:rFonts w:ascii="Arial" w:cs="Arial" w:eastAsia="Arial" w:hAnsi="Arial"/>
          <w:sz w:val="15"/>
          <w:szCs w:val="15"/>
          <w:i w:val="1"/>
          <w:iCs w:val="1"/>
          <w:color w:val="auto"/>
        </w:rPr>
        <w:t>Warrants — OPAL Public Warrants</w:t>
      </w:r>
      <w:r>
        <w:rPr>
          <w:rFonts w:ascii="Arial" w:cs="Arial" w:eastAsia="Arial" w:hAnsi="Arial"/>
          <w:sz w:val="15"/>
          <w:szCs w:val="15"/>
          <w:color w:val="auto"/>
        </w:rPr>
        <w:t xml:space="preserve"> — </w:t>
      </w:r>
      <w:r>
        <w:rPr>
          <w:rFonts w:ascii="Arial" w:cs="Arial" w:eastAsia="Arial" w:hAnsi="Arial"/>
          <w:sz w:val="15"/>
          <w:szCs w:val="15"/>
          <w:i w:val="1"/>
          <w:iCs w:val="1"/>
          <w:color w:val="auto"/>
        </w:rPr>
        <w:t>Anti-dilution Adjustments</w:t>
      </w:r>
      <w:r>
        <w:rPr>
          <w:rFonts w:ascii="Arial" w:cs="Arial" w:eastAsia="Arial" w:hAnsi="Arial"/>
          <w:sz w:val="15"/>
          <w:szCs w:val="15"/>
          <w:color w:val="auto"/>
        </w:rPr>
        <w:t>” below, the adjusted share prices in the column headings will equal the unadjusted share price less the decrease in the exercise price of a warrant pursuant to such exercise price adjustment. As used herein, the term, “Market Value” means the volume weighted average trading price of the shares of Class A Common Stock during the 20 trading day period starting on the trading day prior to the Closing Date and the term, “Newly Issued Price” means an issue price or effective issue price of less than $9.20 per ordinary share (with such issue price or effective issue price to be determined in good faith by our Board and, in the case of any such issuance to our sponsor or its affiliates, without taking into account any founder shares held by our sponsor or such affiliates, as applicable, prior to such issuance.</w:t>
      </w:r>
    </w:p>
    <w:p>
      <w:pPr>
        <w:spacing w:after="0" w:line="35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20"/>
        </w:trPr>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Redemption Date</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10"/>
          </w:tcPr>
          <w:p>
            <w:pPr>
              <w:ind w:left="20"/>
              <w:spacing w:after="0"/>
              <w:rPr>
                <w:sz w:val="20"/>
                <w:szCs w:val="20"/>
                <w:color w:val="auto"/>
              </w:rPr>
            </w:pPr>
            <w:r>
              <w:rPr>
                <w:rFonts w:ascii="Arial" w:cs="Arial" w:eastAsia="Arial" w:hAnsi="Arial"/>
                <w:sz w:val="16"/>
                <w:szCs w:val="16"/>
                <w:b w:val="1"/>
                <w:bCs w:val="1"/>
                <w:color w:val="auto"/>
                <w:w w:val="95"/>
              </w:rPr>
              <w:t>Fair Market Value of shares of Class A common stock</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4"/>
        </w:trPr>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(period to expiration of warrants)</w:t>
            </w: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 $10.00</w:t>
            </w:r>
          </w:p>
        </w:tc>
        <w:tc>
          <w:tcPr>
            <w:tcW w:w="680" w:type="dxa"/>
            <w:vAlign w:val="bottom"/>
          </w:tcPr>
          <w:p>
            <w:pPr>
              <w:jc w:val="right"/>
              <w:ind w:right="82"/>
              <w:spacing w:after="0"/>
              <w:rPr>
                <w:sz w:val="20"/>
                <w:szCs w:val="20"/>
                <w:color w:val="auto"/>
              </w:rPr>
            </w:pPr>
            <w:r>
              <w:rPr>
                <w:rFonts w:ascii="Arial" w:cs="Arial" w:eastAsia="Arial" w:hAnsi="Arial"/>
                <w:sz w:val="16"/>
                <w:szCs w:val="16"/>
                <w:b w:val="1"/>
                <w:bCs w:val="1"/>
                <w:color w:val="auto"/>
              </w:rPr>
              <w:t>11.00</w:t>
            </w:r>
          </w:p>
        </w:tc>
        <w:tc>
          <w:tcPr>
            <w:tcW w:w="120" w:type="dxa"/>
            <w:vAlign w:val="bottom"/>
          </w:tcPr>
          <w:p>
            <w:pPr>
              <w:spacing w:after="0"/>
              <w:rPr>
                <w:sz w:val="17"/>
                <w:szCs w:val="17"/>
                <w:color w:val="auto"/>
              </w:rPr>
            </w:pPr>
          </w:p>
        </w:tc>
        <w:tc>
          <w:tcPr>
            <w:tcW w:w="680" w:type="dxa"/>
            <w:vAlign w:val="bottom"/>
          </w:tcPr>
          <w:p>
            <w:pPr>
              <w:jc w:val="right"/>
              <w:ind w:right="82"/>
              <w:spacing w:after="0"/>
              <w:rPr>
                <w:sz w:val="20"/>
                <w:szCs w:val="20"/>
                <w:color w:val="auto"/>
              </w:rPr>
            </w:pPr>
            <w:r>
              <w:rPr>
                <w:rFonts w:ascii="Arial" w:cs="Arial" w:eastAsia="Arial" w:hAnsi="Arial"/>
                <w:sz w:val="16"/>
                <w:szCs w:val="16"/>
                <w:b w:val="1"/>
                <w:bCs w:val="1"/>
                <w:color w:val="auto"/>
              </w:rPr>
              <w:t>12.00</w:t>
            </w:r>
          </w:p>
        </w:tc>
        <w:tc>
          <w:tcPr>
            <w:tcW w:w="120" w:type="dxa"/>
            <w:vAlign w:val="bottom"/>
          </w:tcPr>
          <w:p>
            <w:pPr>
              <w:spacing w:after="0"/>
              <w:rPr>
                <w:sz w:val="17"/>
                <w:szCs w:val="17"/>
                <w:color w:val="auto"/>
              </w:rPr>
            </w:pPr>
          </w:p>
        </w:tc>
        <w:tc>
          <w:tcPr>
            <w:tcW w:w="680" w:type="dxa"/>
            <w:vAlign w:val="bottom"/>
          </w:tcPr>
          <w:p>
            <w:pPr>
              <w:jc w:val="right"/>
              <w:ind w:right="82"/>
              <w:spacing w:after="0"/>
              <w:rPr>
                <w:sz w:val="20"/>
                <w:szCs w:val="20"/>
                <w:color w:val="auto"/>
              </w:rPr>
            </w:pPr>
            <w:r>
              <w:rPr>
                <w:rFonts w:ascii="Arial" w:cs="Arial" w:eastAsia="Arial" w:hAnsi="Arial"/>
                <w:sz w:val="16"/>
                <w:szCs w:val="16"/>
                <w:b w:val="1"/>
                <w:bCs w:val="1"/>
                <w:color w:val="auto"/>
              </w:rPr>
              <w:t>13.00</w:t>
            </w:r>
          </w:p>
        </w:tc>
        <w:tc>
          <w:tcPr>
            <w:tcW w:w="100" w:type="dxa"/>
            <w:vAlign w:val="bottom"/>
          </w:tcPr>
          <w:p>
            <w:pPr>
              <w:spacing w:after="0"/>
              <w:rPr>
                <w:sz w:val="17"/>
                <w:szCs w:val="17"/>
                <w:color w:val="auto"/>
              </w:rPr>
            </w:pPr>
          </w:p>
        </w:tc>
        <w:tc>
          <w:tcPr>
            <w:tcW w:w="680" w:type="dxa"/>
            <w:vAlign w:val="bottom"/>
          </w:tcPr>
          <w:p>
            <w:pPr>
              <w:jc w:val="right"/>
              <w:ind w:right="82"/>
              <w:spacing w:after="0"/>
              <w:rPr>
                <w:sz w:val="20"/>
                <w:szCs w:val="20"/>
                <w:color w:val="auto"/>
              </w:rPr>
            </w:pPr>
            <w:r>
              <w:rPr>
                <w:rFonts w:ascii="Arial" w:cs="Arial" w:eastAsia="Arial" w:hAnsi="Arial"/>
                <w:sz w:val="16"/>
                <w:szCs w:val="16"/>
                <w:b w:val="1"/>
                <w:bCs w:val="1"/>
                <w:color w:val="auto"/>
              </w:rPr>
              <w:t>14.00</w:t>
            </w:r>
          </w:p>
        </w:tc>
        <w:tc>
          <w:tcPr>
            <w:tcW w:w="100" w:type="dxa"/>
            <w:vAlign w:val="bottom"/>
          </w:tcPr>
          <w:p>
            <w:pPr>
              <w:spacing w:after="0"/>
              <w:rPr>
                <w:sz w:val="17"/>
                <w:szCs w:val="17"/>
                <w:color w:val="auto"/>
              </w:rPr>
            </w:pPr>
          </w:p>
        </w:tc>
        <w:tc>
          <w:tcPr>
            <w:tcW w:w="680" w:type="dxa"/>
            <w:vAlign w:val="bottom"/>
          </w:tcPr>
          <w:p>
            <w:pPr>
              <w:jc w:val="right"/>
              <w:ind w:right="82"/>
              <w:spacing w:after="0"/>
              <w:rPr>
                <w:sz w:val="20"/>
                <w:szCs w:val="20"/>
                <w:color w:val="auto"/>
              </w:rPr>
            </w:pPr>
            <w:r>
              <w:rPr>
                <w:rFonts w:ascii="Arial" w:cs="Arial" w:eastAsia="Arial" w:hAnsi="Arial"/>
                <w:sz w:val="16"/>
                <w:szCs w:val="16"/>
                <w:b w:val="1"/>
                <w:bCs w:val="1"/>
                <w:color w:val="auto"/>
              </w:rPr>
              <w:t>15.00</w:t>
            </w:r>
          </w:p>
        </w:tc>
        <w:tc>
          <w:tcPr>
            <w:tcW w:w="100" w:type="dxa"/>
            <w:vAlign w:val="bottom"/>
          </w:tcPr>
          <w:p>
            <w:pPr>
              <w:spacing w:after="0"/>
              <w:rPr>
                <w:sz w:val="17"/>
                <w:szCs w:val="17"/>
                <w:color w:val="auto"/>
              </w:rPr>
            </w:pPr>
          </w:p>
        </w:tc>
        <w:tc>
          <w:tcPr>
            <w:tcW w:w="680" w:type="dxa"/>
            <w:vAlign w:val="bottom"/>
          </w:tcPr>
          <w:p>
            <w:pPr>
              <w:jc w:val="right"/>
              <w:ind w:right="82"/>
              <w:spacing w:after="0"/>
              <w:rPr>
                <w:sz w:val="20"/>
                <w:szCs w:val="20"/>
                <w:color w:val="auto"/>
              </w:rPr>
            </w:pPr>
            <w:r>
              <w:rPr>
                <w:rFonts w:ascii="Arial" w:cs="Arial" w:eastAsia="Arial" w:hAnsi="Arial"/>
                <w:sz w:val="16"/>
                <w:szCs w:val="16"/>
                <w:b w:val="1"/>
                <w:bCs w:val="1"/>
                <w:color w:val="auto"/>
              </w:rPr>
              <w:t>16.00</w:t>
            </w:r>
          </w:p>
        </w:tc>
        <w:tc>
          <w:tcPr>
            <w:tcW w:w="100" w:type="dxa"/>
            <w:vAlign w:val="bottom"/>
          </w:tcPr>
          <w:p>
            <w:pPr>
              <w:spacing w:after="0"/>
              <w:rPr>
                <w:sz w:val="17"/>
                <w:szCs w:val="17"/>
                <w:color w:val="auto"/>
              </w:rPr>
            </w:pPr>
          </w:p>
        </w:tc>
        <w:tc>
          <w:tcPr>
            <w:tcW w:w="680" w:type="dxa"/>
            <w:vAlign w:val="bottom"/>
          </w:tcPr>
          <w:p>
            <w:pPr>
              <w:jc w:val="right"/>
              <w:ind w:right="82"/>
              <w:spacing w:after="0"/>
              <w:rPr>
                <w:sz w:val="20"/>
                <w:szCs w:val="20"/>
                <w:color w:val="auto"/>
              </w:rPr>
            </w:pPr>
            <w:r>
              <w:rPr>
                <w:rFonts w:ascii="Arial" w:cs="Arial" w:eastAsia="Arial" w:hAnsi="Arial"/>
                <w:sz w:val="16"/>
                <w:szCs w:val="16"/>
                <w:b w:val="1"/>
                <w:bCs w:val="1"/>
                <w:color w:val="auto"/>
              </w:rPr>
              <w:t>17.00</w:t>
            </w:r>
          </w:p>
        </w:tc>
        <w:tc>
          <w:tcPr>
            <w:tcW w:w="100" w:type="dxa"/>
            <w:vAlign w:val="bottom"/>
          </w:tcPr>
          <w:p>
            <w:pPr>
              <w:spacing w:after="0"/>
              <w:rPr>
                <w:sz w:val="17"/>
                <w:szCs w:val="17"/>
                <w:color w:val="auto"/>
              </w:rPr>
            </w:pPr>
          </w:p>
        </w:tc>
        <w:tc>
          <w:tcPr>
            <w:tcW w:w="780" w:type="dxa"/>
            <w:vAlign w:val="bottom"/>
          </w:tcPr>
          <w:p>
            <w:pPr>
              <w:jc w:val="right"/>
              <w:ind w:right="82"/>
              <w:spacing w:after="0"/>
              <w:rPr>
                <w:sz w:val="20"/>
                <w:szCs w:val="20"/>
                <w:color w:val="auto"/>
              </w:rPr>
            </w:pPr>
            <w:r>
              <w:rPr>
                <w:rFonts w:ascii="Arial" w:cs="Arial" w:eastAsia="Arial" w:hAnsi="Arial"/>
                <w:sz w:val="16"/>
                <w:szCs w:val="16"/>
                <w:b w:val="1"/>
                <w:bCs w:val="1"/>
                <w:color w:val="auto"/>
              </w:rPr>
              <w:t>≥ 18.00</w:t>
            </w:r>
          </w:p>
        </w:tc>
        <w:tc>
          <w:tcPr>
            <w:tcW w:w="20" w:type="dxa"/>
            <w:vAlign w:val="bottom"/>
          </w:tcPr>
          <w:p>
            <w:pPr>
              <w:spacing w:after="0"/>
              <w:rPr>
                <w:sz w:val="17"/>
                <w:szCs w:val="17"/>
                <w:color w:val="auto"/>
              </w:rPr>
            </w:pPr>
          </w:p>
        </w:tc>
      </w:tr>
      <w:tr>
        <w:trPr>
          <w:trHeight w:val="188"/>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60 months</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0.261</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0.281</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0.297</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0.311</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0.324</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0.337</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0.348</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0.358</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57 months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0.257</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0.277</w:t>
            </w:r>
          </w:p>
        </w:tc>
        <w:tc>
          <w:tcPr>
            <w:tcW w:w="680" w:type="dxa"/>
            <w:vAlign w:val="bottom"/>
          </w:tcPr>
          <w:p>
            <w:pPr>
              <w:jc w:val="right"/>
              <w:spacing w:after="0"/>
              <w:rPr>
                <w:sz w:val="20"/>
                <w:szCs w:val="20"/>
                <w:color w:val="auto"/>
              </w:rPr>
            </w:pPr>
            <w:r>
              <w:rPr>
                <w:rFonts w:ascii="Arial" w:cs="Arial" w:eastAsia="Arial" w:hAnsi="Arial"/>
                <w:sz w:val="16"/>
                <w:szCs w:val="16"/>
                <w:color w:val="auto"/>
              </w:rPr>
              <w:t>0.294</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0.310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0.324</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0.337</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0.348</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0.358</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54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0.252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0.272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0.291</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51 months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0.246</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0.268</w:t>
            </w:r>
          </w:p>
        </w:tc>
        <w:tc>
          <w:tcPr>
            <w:tcW w:w="680" w:type="dxa"/>
            <w:vAlign w:val="bottom"/>
          </w:tcPr>
          <w:p>
            <w:pPr>
              <w:jc w:val="right"/>
              <w:spacing w:after="0"/>
              <w:rPr>
                <w:sz w:val="20"/>
                <w:szCs w:val="20"/>
                <w:color w:val="auto"/>
              </w:rPr>
            </w:pPr>
            <w:r>
              <w:rPr>
                <w:rFonts w:ascii="Arial" w:cs="Arial" w:eastAsia="Arial" w:hAnsi="Arial"/>
                <w:sz w:val="16"/>
                <w:szCs w:val="16"/>
                <w:color w:val="auto"/>
              </w:rPr>
              <w:t>0.287</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0.304</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0.320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0.333</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0.346</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0.357</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48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0.241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0.263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0.283</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45 months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0.235</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0.258</w:t>
            </w:r>
          </w:p>
        </w:tc>
        <w:tc>
          <w:tcPr>
            <w:tcW w:w="680" w:type="dxa"/>
            <w:vAlign w:val="bottom"/>
          </w:tcPr>
          <w:p>
            <w:pPr>
              <w:jc w:val="right"/>
              <w:spacing w:after="0"/>
              <w:rPr>
                <w:sz w:val="20"/>
                <w:szCs w:val="20"/>
                <w:color w:val="auto"/>
              </w:rPr>
            </w:pPr>
            <w:r>
              <w:rPr>
                <w:rFonts w:ascii="Arial" w:cs="Arial" w:eastAsia="Arial" w:hAnsi="Arial"/>
                <w:sz w:val="16"/>
                <w:szCs w:val="16"/>
                <w:color w:val="auto"/>
              </w:rPr>
              <w:t>0.279</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0.298</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0.315</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0.330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0.343</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0.356</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42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0.228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0.252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0.274</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0.294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39 months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0.221</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0.246</w:t>
            </w:r>
          </w:p>
        </w:tc>
        <w:tc>
          <w:tcPr>
            <w:tcW w:w="680" w:type="dxa"/>
            <w:vAlign w:val="bottom"/>
          </w:tcPr>
          <w:p>
            <w:pPr>
              <w:jc w:val="right"/>
              <w:spacing w:after="0"/>
              <w:rPr>
                <w:sz w:val="20"/>
                <w:szCs w:val="20"/>
                <w:color w:val="auto"/>
              </w:rPr>
            </w:pPr>
            <w:r>
              <w:rPr>
                <w:rFonts w:ascii="Arial" w:cs="Arial" w:eastAsia="Arial" w:hAnsi="Arial"/>
                <w:sz w:val="16"/>
                <w:szCs w:val="16"/>
                <w:color w:val="auto"/>
              </w:rPr>
              <w:t>0.269</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0.290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0.309</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0.325</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0.340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0.354</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36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0.213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0.239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0.263</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0.285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33 months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0.205</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0.232</w:t>
            </w:r>
          </w:p>
        </w:tc>
        <w:tc>
          <w:tcPr>
            <w:tcW w:w="680" w:type="dxa"/>
            <w:vAlign w:val="bottom"/>
          </w:tcPr>
          <w:p>
            <w:pPr>
              <w:jc w:val="right"/>
              <w:spacing w:after="0"/>
              <w:rPr>
                <w:sz w:val="20"/>
                <w:szCs w:val="20"/>
                <w:color w:val="auto"/>
              </w:rPr>
            </w:pPr>
            <w:r>
              <w:rPr>
                <w:rFonts w:ascii="Arial" w:cs="Arial" w:eastAsia="Arial" w:hAnsi="Arial"/>
                <w:sz w:val="16"/>
                <w:szCs w:val="16"/>
                <w:color w:val="auto"/>
              </w:rPr>
              <w:t>0.257</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0.280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0.301</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0.320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0.337</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0.352</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30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0.196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0.224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0.250</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0.274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0.297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0.316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27 months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0.185</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0.214</w:t>
            </w:r>
          </w:p>
        </w:tc>
        <w:tc>
          <w:tcPr>
            <w:tcW w:w="680" w:type="dxa"/>
            <w:vAlign w:val="bottom"/>
          </w:tcPr>
          <w:p>
            <w:pPr>
              <w:jc w:val="right"/>
              <w:spacing w:after="0"/>
              <w:rPr>
                <w:sz w:val="20"/>
                <w:szCs w:val="20"/>
                <w:color w:val="auto"/>
              </w:rPr>
            </w:pPr>
            <w:r>
              <w:rPr>
                <w:rFonts w:ascii="Arial" w:cs="Arial" w:eastAsia="Arial" w:hAnsi="Arial"/>
                <w:sz w:val="16"/>
                <w:szCs w:val="16"/>
                <w:color w:val="auto"/>
              </w:rPr>
              <w:t>0.242</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0.268</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0.291</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0.313</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0.332</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0.350</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24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0.173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0.204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0.233</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0.260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0.285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21 months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0.161</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0.193</w:t>
            </w:r>
          </w:p>
        </w:tc>
        <w:tc>
          <w:tcPr>
            <w:tcW w:w="680" w:type="dxa"/>
            <w:vAlign w:val="bottom"/>
          </w:tcPr>
          <w:p>
            <w:pPr>
              <w:jc w:val="right"/>
              <w:spacing w:after="0"/>
              <w:rPr>
                <w:sz w:val="20"/>
                <w:szCs w:val="20"/>
                <w:color w:val="auto"/>
              </w:rPr>
            </w:pPr>
            <w:r>
              <w:rPr>
                <w:rFonts w:ascii="Arial" w:cs="Arial" w:eastAsia="Arial" w:hAnsi="Arial"/>
                <w:sz w:val="16"/>
                <w:szCs w:val="16"/>
                <w:color w:val="auto"/>
              </w:rPr>
              <w:t>0.223</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0.252</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0.279</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0.304</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0.326</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0.347</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18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0.146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0.179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0.211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0.242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0.271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0.298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15 months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0.130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0.164</w:t>
            </w:r>
          </w:p>
        </w:tc>
        <w:tc>
          <w:tcPr>
            <w:tcW w:w="680" w:type="dxa"/>
            <w:vAlign w:val="bottom"/>
          </w:tcPr>
          <w:p>
            <w:pPr>
              <w:jc w:val="right"/>
              <w:spacing w:after="0"/>
              <w:rPr>
                <w:sz w:val="20"/>
                <w:szCs w:val="20"/>
                <w:color w:val="auto"/>
              </w:rPr>
            </w:pPr>
            <w:r>
              <w:rPr>
                <w:rFonts w:ascii="Arial" w:cs="Arial" w:eastAsia="Arial" w:hAnsi="Arial"/>
                <w:sz w:val="16"/>
                <w:szCs w:val="16"/>
                <w:color w:val="auto"/>
              </w:rPr>
              <w:t>0.197</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0.230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0.262</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0.291</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0.317</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0.342</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12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0.111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0.146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0.181</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0.216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0.250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0.282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9 months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0.090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0.125</w:t>
            </w:r>
          </w:p>
        </w:tc>
        <w:tc>
          <w:tcPr>
            <w:tcW w:w="680" w:type="dxa"/>
            <w:vAlign w:val="bottom"/>
          </w:tcPr>
          <w:p>
            <w:pPr>
              <w:jc w:val="right"/>
              <w:spacing w:after="0"/>
              <w:rPr>
                <w:sz w:val="20"/>
                <w:szCs w:val="20"/>
                <w:color w:val="auto"/>
              </w:rPr>
            </w:pPr>
            <w:r>
              <w:rPr>
                <w:rFonts w:ascii="Arial" w:cs="Arial" w:eastAsia="Arial" w:hAnsi="Arial"/>
                <w:sz w:val="16"/>
                <w:szCs w:val="16"/>
                <w:color w:val="auto"/>
              </w:rPr>
              <w:t>0.162</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0.199</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0.237</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0.272</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0.305</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0.336</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6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0.065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0.099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0.137</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0.178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0.219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0.259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0.296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3 months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0.034</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0.065</w:t>
            </w:r>
          </w:p>
        </w:tc>
        <w:tc>
          <w:tcPr>
            <w:tcW w:w="680" w:type="dxa"/>
            <w:vAlign w:val="bottom"/>
          </w:tcPr>
          <w:p>
            <w:pPr>
              <w:jc w:val="right"/>
              <w:spacing w:after="0"/>
              <w:rPr>
                <w:sz w:val="20"/>
                <w:szCs w:val="20"/>
                <w:color w:val="auto"/>
              </w:rPr>
            </w:pPr>
            <w:r>
              <w:rPr>
                <w:rFonts w:ascii="Arial" w:cs="Arial" w:eastAsia="Arial" w:hAnsi="Arial"/>
                <w:sz w:val="16"/>
                <w:szCs w:val="16"/>
                <w:color w:val="auto"/>
              </w:rPr>
              <w:t>0.104</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0.150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0.197</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0.243</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0.286</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0.326</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0.042</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0.115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0.179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0.233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0.281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20" w:type="dxa"/>
            <w:vAlign w:val="bottom"/>
          </w:tcPr>
          <w:p>
            <w:pPr>
              <w:spacing w:after="0"/>
              <w:rPr>
                <w:sz w:val="16"/>
                <w:szCs w:val="16"/>
                <w:color w:val="auto"/>
              </w:rPr>
            </w:pPr>
          </w:p>
        </w:tc>
      </w:tr>
    </w:tbl>
    <w:p>
      <w:pPr>
        <w:spacing w:after="0" w:line="176" w:lineRule="exact"/>
        <w:rPr>
          <w:sz w:val="20"/>
          <w:szCs w:val="20"/>
          <w:color w:val="auto"/>
        </w:rPr>
      </w:pPr>
    </w:p>
    <w:p>
      <w:pPr>
        <w:jc w:val="both"/>
        <w:ind w:firstLine="283"/>
        <w:spacing w:after="0" w:line="310" w:lineRule="auto"/>
        <w:rPr>
          <w:sz w:val="20"/>
          <w:szCs w:val="20"/>
          <w:color w:val="auto"/>
        </w:rPr>
      </w:pPr>
      <w:r>
        <w:rPr>
          <w:rFonts w:ascii="Arial" w:cs="Arial" w:eastAsia="Arial" w:hAnsi="Arial"/>
          <w:sz w:val="13"/>
          <w:szCs w:val="13"/>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 weighted average price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 of Class A common stock.</w:t>
      </w:r>
    </w:p>
    <w:p>
      <w:pPr>
        <w:spacing w:after="0" w:line="326" w:lineRule="exact"/>
        <w:rPr>
          <w:sz w:val="20"/>
          <w:szCs w:val="20"/>
          <w:color w:val="auto"/>
        </w:rPr>
      </w:pPr>
    </w:p>
    <w:p>
      <w:pPr>
        <w:jc w:val="both"/>
        <w:ind w:firstLine="283"/>
        <w:spacing w:after="0" w:line="311" w:lineRule="auto"/>
        <w:rPr>
          <w:sz w:val="20"/>
          <w:szCs w:val="20"/>
          <w:color w:val="auto"/>
        </w:rPr>
      </w:pPr>
      <w:r>
        <w:rPr>
          <w:rFonts w:ascii="Arial" w:cs="Arial" w:eastAsia="Arial" w:hAnsi="Arial"/>
          <w:sz w:val="13"/>
          <w:szCs w:val="13"/>
          <w:color w:val="auto"/>
        </w:rPr>
        <w:t xml:space="preserve">This redemption feature differs from the typical warrant redemption features used in some other blank check offerings, which only provide for a redemption of warrants for cash (other than the OPAL Private Placement Warrants) when the trading price for the shares of Class A common stock exceeds $18.00 per share for a specified period of time. This redemption feature is structured to allow for all of the outstanding warrants to be redeemed when the shares of Class A common stock are trading at or above $10.00 per public share, which may be at a time when the trading price of the shares of Class A common stock is below the exercise price of the warrants. We have established this redemption feature to provide us with the flexibility to redeem the warrants without the warrants having to reach the $18.00 per share threshold set forth above under “— </w:t>
      </w:r>
      <w:r>
        <w:rPr>
          <w:rFonts w:ascii="Arial" w:cs="Arial" w:eastAsia="Arial" w:hAnsi="Arial"/>
          <w:sz w:val="13"/>
          <w:szCs w:val="13"/>
          <w:i w:val="1"/>
          <w:iCs w:val="1"/>
          <w:color w:val="auto"/>
        </w:rPr>
        <w:t>Redemption of warrants when the price per share of Class A common stock equals or exceeds $18.00</w:t>
      </w:r>
      <w:r>
        <w:rPr>
          <w:rFonts w:ascii="Arial" w:cs="Arial" w:eastAsia="Arial" w:hAnsi="Arial"/>
          <w:sz w:val="13"/>
          <w:szCs w:val="13"/>
          <w:color w:val="auto"/>
        </w:rPr>
        <w:t>.” Holders choosing to exercise their warrants in connection with a redemption pursuant to this feature will, in effect, receive a number of shares for their warrants based on an option pricing model with a fixed volatility input.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16" w:name="page117"/>
    <w:bookmarkEnd w:id="116"/>
    <w:p>
      <w:pPr>
        <w:jc w:val="both"/>
        <w:ind w:left="6" w:firstLine="283"/>
        <w:spacing w:after="0" w:line="322" w:lineRule="auto"/>
        <w:rPr>
          <w:sz w:val="20"/>
          <w:szCs w:val="20"/>
          <w:color w:val="auto"/>
        </w:rPr>
      </w:pPr>
      <w:r>
        <w:rPr>
          <w:rFonts w:ascii="Arial" w:cs="Arial" w:eastAsia="Arial" w:hAnsi="Arial"/>
          <w:sz w:val="13"/>
          <w:szCs w:val="13"/>
          <w:color w:val="auto"/>
        </w:rPr>
        <w:t>As stated above, we can redeem the warrants when the shares of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Class A common stock are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such shares of Class A common stock were trading at a price higher than the exercise price of $11.50.</w:t>
      </w:r>
    </w:p>
    <w:p>
      <w:pPr>
        <w:spacing w:after="0" w:line="128" w:lineRule="exact"/>
        <w:rPr>
          <w:sz w:val="20"/>
          <w:szCs w:val="20"/>
          <w:color w:val="auto"/>
        </w:rPr>
      </w:pPr>
    </w:p>
    <w:p>
      <w:pPr>
        <w:jc w:val="both"/>
        <w:ind w:left="6" w:right="20" w:firstLine="283"/>
        <w:spacing w:after="0" w:line="251" w:lineRule="auto"/>
        <w:rPr>
          <w:sz w:val="20"/>
          <w:szCs w:val="20"/>
          <w:color w:val="auto"/>
        </w:rPr>
      </w:pPr>
      <w:r>
        <w:rPr>
          <w:rFonts w:ascii="Arial" w:cs="Arial" w:eastAsia="Arial" w:hAnsi="Arial"/>
          <w:sz w:val="16"/>
          <w:szCs w:val="16"/>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 If, at the time of redemption, the warrants are exercisable for a security other than the shares of Class A common stock pursuant to the warrant agreement, the warrants may be exercised for such security. At such time as the warrants become exercisable for a security other than the shares of Class A common stock, OPAL (or surviving company) will use its commercially reasonable efforts to register, under the Securities Act, the security issuable upon the exercise of the warrants.</w:t>
      </w:r>
    </w:p>
    <w:p>
      <w:pPr>
        <w:spacing w:after="0" w:line="169" w:lineRule="exact"/>
        <w:rPr>
          <w:sz w:val="20"/>
          <w:szCs w:val="20"/>
          <w:color w:val="auto"/>
        </w:rPr>
      </w:pPr>
    </w:p>
    <w:p>
      <w:pPr>
        <w:ind w:left="286"/>
        <w:spacing w:after="0"/>
        <w:rPr>
          <w:sz w:val="20"/>
          <w:szCs w:val="20"/>
          <w:color w:val="auto"/>
        </w:rPr>
      </w:pPr>
      <w:r>
        <w:rPr>
          <w:rFonts w:ascii="Arial" w:cs="Arial" w:eastAsia="Arial" w:hAnsi="Arial"/>
          <w:sz w:val="16"/>
          <w:szCs w:val="16"/>
          <w:b w:val="1"/>
          <w:bCs w:val="1"/>
          <w:i w:val="1"/>
          <w:iCs w:val="1"/>
          <w:color w:val="auto"/>
        </w:rPr>
        <w:t>Redemption procedures.</w:t>
      </w:r>
    </w:p>
    <w:p>
      <w:pPr>
        <w:spacing w:after="0" w:line="193" w:lineRule="exact"/>
        <w:rPr>
          <w:sz w:val="20"/>
          <w:szCs w:val="20"/>
          <w:color w:val="auto"/>
        </w:rPr>
      </w:pPr>
    </w:p>
    <w:p>
      <w:pPr>
        <w:jc w:val="both"/>
        <w:ind w:left="6" w:firstLine="283"/>
        <w:spacing w:after="0" w:line="342" w:lineRule="auto"/>
        <w:rPr>
          <w:sz w:val="20"/>
          <w:szCs w:val="20"/>
          <w:color w:val="auto"/>
        </w:rPr>
      </w:pPr>
      <w:r>
        <w:rPr>
          <w:rFonts w:ascii="Arial" w:cs="Arial" w:eastAsia="Arial" w:hAnsi="Arial"/>
          <w:sz w:val="13"/>
          <w:szCs w:val="13"/>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Class A common stock issued and outstanding immediately after giving effect to such exercise.</w:t>
      </w:r>
    </w:p>
    <w:p>
      <w:pPr>
        <w:spacing w:after="0" w:line="111" w:lineRule="exact"/>
        <w:rPr>
          <w:sz w:val="20"/>
          <w:szCs w:val="20"/>
          <w:color w:val="auto"/>
        </w:rPr>
      </w:pPr>
    </w:p>
    <w:p>
      <w:pPr>
        <w:ind w:left="286"/>
        <w:spacing w:after="0"/>
        <w:rPr>
          <w:sz w:val="20"/>
          <w:szCs w:val="20"/>
          <w:color w:val="auto"/>
        </w:rPr>
      </w:pPr>
      <w:r>
        <w:rPr>
          <w:rFonts w:ascii="Arial" w:cs="Arial" w:eastAsia="Arial" w:hAnsi="Arial"/>
          <w:sz w:val="16"/>
          <w:szCs w:val="16"/>
          <w:b w:val="1"/>
          <w:bCs w:val="1"/>
          <w:i w:val="1"/>
          <w:iCs w:val="1"/>
          <w:color w:val="auto"/>
        </w:rPr>
        <w:t>Anti-dilution adjustments</w:t>
      </w:r>
      <w:r>
        <w:rPr>
          <w:rFonts w:ascii="Arial" w:cs="Arial" w:eastAsia="Arial" w:hAnsi="Arial"/>
          <w:sz w:val="16"/>
          <w:szCs w:val="16"/>
          <w:b w:val="1"/>
          <w:bCs w:val="1"/>
          <w:color w:val="auto"/>
        </w:rPr>
        <w:t>.</w:t>
      </w:r>
    </w:p>
    <w:p>
      <w:pPr>
        <w:spacing w:after="0" w:line="197" w:lineRule="exact"/>
        <w:rPr>
          <w:sz w:val="20"/>
          <w:szCs w:val="20"/>
          <w:color w:val="auto"/>
        </w:rPr>
      </w:pPr>
    </w:p>
    <w:p>
      <w:pPr>
        <w:jc w:val="both"/>
        <w:ind w:left="6" w:firstLine="283"/>
        <w:spacing w:after="0" w:line="306" w:lineRule="auto"/>
        <w:rPr>
          <w:sz w:val="20"/>
          <w:szCs w:val="20"/>
          <w:color w:val="auto"/>
        </w:rPr>
      </w:pPr>
      <w:r>
        <w:rPr>
          <w:rFonts w:ascii="Arial" w:cs="Arial" w:eastAsia="Arial" w:hAnsi="Arial"/>
          <w:sz w:val="13"/>
          <w:szCs w:val="13"/>
          <w:color w:val="auto"/>
        </w:rPr>
        <w:t>If the number of outstanding shares of Class A common stock is increased by a capitalization or share dividend paid in shares of Class A common stock to all or substantially all holders of Class A common stock, or by a split-up of shares of Class A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share dividend of a number of shares of Class A common stock equal to the product of</w:t>
      </w:r>
    </w:p>
    <w:p>
      <w:pPr>
        <w:spacing w:after="0" w:line="1" w:lineRule="exact"/>
        <w:rPr>
          <w:sz w:val="20"/>
          <w:szCs w:val="20"/>
          <w:color w:val="auto"/>
        </w:rPr>
      </w:pPr>
    </w:p>
    <w:p>
      <w:pPr>
        <w:jc w:val="both"/>
        <w:ind w:left="6" w:hanging="6"/>
        <w:spacing w:after="0" w:line="246" w:lineRule="auto"/>
        <w:tabs>
          <w:tab w:leader="none" w:pos="193"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number of shares of Class A common stock actually sold in such rights offering (or issuable under any other equity securities sold in such rights offering that are convertible into or exercisable for shares of Class A common stock) and (ii) one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76" w:lineRule="exact"/>
        <w:rPr>
          <w:sz w:val="20"/>
          <w:szCs w:val="20"/>
          <w:color w:val="auto"/>
        </w:rPr>
      </w:pPr>
    </w:p>
    <w:p>
      <w:pPr>
        <w:ind w:left="6" w:right="20" w:firstLine="283"/>
        <w:spacing w:after="0" w:line="311" w:lineRule="auto"/>
        <w:rPr>
          <w:sz w:val="20"/>
          <w:szCs w:val="20"/>
          <w:color w:val="auto"/>
        </w:rPr>
      </w:pPr>
      <w:r>
        <w:rPr>
          <w:rFonts w:ascii="Arial" w:cs="Arial" w:eastAsia="Arial" w:hAnsi="Arial"/>
          <w:sz w:val="13"/>
          <w:szCs w:val="13"/>
          <w:color w:val="auto"/>
        </w:rPr>
        <w:t>In addition, if we, at any time while the warrants are outstanding and unexpired, pay a dividend or make a distribution in cash, securities or other assets to all or substantially all the holders of shares of Class A common stock on account of such shares (or other securities into which the warrants are convertible), other than (a) as described above, or</w:t>
      </w:r>
    </w:p>
    <w:p>
      <w:pPr>
        <w:spacing w:after="0" w:line="1" w:lineRule="exact"/>
        <w:rPr>
          <w:sz w:val="20"/>
          <w:szCs w:val="20"/>
          <w:color w:val="auto"/>
        </w:rPr>
      </w:pPr>
    </w:p>
    <w:p>
      <w:pPr>
        <w:jc w:val="both"/>
        <w:ind w:left="6" w:right="20" w:hanging="6"/>
        <w:spacing w:after="0" w:line="266" w:lineRule="auto"/>
        <w:tabs>
          <w:tab w:leader="none" w:pos="23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any cash dividends or cash distributions which, when combined on a per share basis with all other cash dividends and cash distributions paid on the shares of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34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117" w:name="page118"/>
    <w:bookmarkEnd w:id="117"/>
    <w:p>
      <w:pPr>
        <w:jc w:val="both"/>
        <w:ind w:firstLine="283"/>
        <w:spacing w:after="0" w:line="281" w:lineRule="auto"/>
        <w:rPr>
          <w:sz w:val="20"/>
          <w:szCs w:val="20"/>
          <w:color w:val="auto"/>
        </w:rPr>
      </w:pPr>
      <w:r>
        <w:rPr>
          <w:rFonts w:ascii="Arial" w:cs="Arial" w:eastAsia="Arial" w:hAnsi="Arial"/>
          <w:sz w:val="15"/>
          <w:szCs w:val="15"/>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48"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69" w:lineRule="exact"/>
        <w:rPr>
          <w:sz w:val="20"/>
          <w:szCs w:val="20"/>
          <w:color w:val="auto"/>
        </w:rPr>
      </w:pPr>
    </w:p>
    <w:p>
      <w:pPr>
        <w:jc w:val="both"/>
        <w:ind w:firstLine="283"/>
        <w:spacing w:after="0" w:line="264" w:lineRule="auto"/>
        <w:rPr>
          <w:sz w:val="20"/>
          <w:szCs w:val="20"/>
          <w:color w:val="auto"/>
        </w:rPr>
      </w:pPr>
      <w:r>
        <w:rPr>
          <w:rFonts w:ascii="Arial" w:cs="Arial" w:eastAsia="Arial" w:hAnsi="Arial"/>
          <w:sz w:val="15"/>
          <w:szCs w:val="15"/>
          <w:color w:val="auto"/>
        </w:rPr>
        <w:t>In case of any reclassification or reorganization of the outstanding shares of Class A common stock (other than those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68" w:lineRule="exact"/>
        <w:rPr>
          <w:sz w:val="20"/>
          <w:szCs w:val="20"/>
          <w:color w:val="auto"/>
        </w:rPr>
      </w:pPr>
    </w:p>
    <w:p>
      <w:pPr>
        <w:jc w:val="both"/>
        <w:ind w:right="20" w:firstLine="283"/>
        <w:spacing w:after="0" w:line="267" w:lineRule="auto"/>
        <w:rPr>
          <w:sz w:val="20"/>
          <w:szCs w:val="20"/>
          <w:color w:val="auto"/>
        </w:rPr>
      </w:pPr>
      <w:r>
        <w:rPr>
          <w:rFonts w:ascii="Arial" w:cs="Arial" w:eastAsia="Arial" w:hAnsi="Arial"/>
          <w:sz w:val="15"/>
          <w:szCs w:val="15"/>
          <w:color w:val="auto"/>
        </w:rPr>
        <w:t>The warrants have been issued in registered form under a warrant agreement between us and Continental Stock Transfer &amp; Trust Company, as warrant agent.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or defective provision (ii) amending the provisions relating to cash dividends on ArcLight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 You should review a copy of the warrant agreement, which is filed as an exhibit to this registration statement, for a complete description of the terms and conditions applicable to the warrants.</w:t>
      </w:r>
    </w:p>
    <w:p>
      <w:pPr>
        <w:spacing w:after="0" w:line="161"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warrant holders do not have the rights or privileges of holders of shares of Class A common stock and any voting rights until they exercise their warrants and receive shares of Class A common stock. After the issuance of Class A common stock upon exercise of the warrants, each holder will be entitled to one vote for each share held of record on all matters to be voted on by stockholders.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18" w:name="page119"/>
    <w:bookmarkEnd w:id="118"/>
    <w:p>
      <w:pPr>
        <w:jc w:val="both"/>
        <w:ind w:right="20" w:firstLine="283"/>
        <w:spacing w:after="0" w:line="266" w:lineRule="auto"/>
        <w:rPr>
          <w:sz w:val="20"/>
          <w:szCs w:val="20"/>
          <w:color w:val="auto"/>
        </w:rPr>
      </w:pPr>
      <w:r>
        <w:rPr>
          <w:rFonts w:ascii="Arial" w:cs="Arial" w:eastAsia="Arial" w:hAnsi="Arial"/>
          <w:sz w:val="16"/>
          <w:szCs w:val="16"/>
          <w:color w:val="auto"/>
        </w:rPr>
        <w:t>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57"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OPAL Private Placement Warrants</w:t>
      </w:r>
    </w:p>
    <w:p>
      <w:pPr>
        <w:spacing w:after="0" w:line="193"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Except as described below, the OPAL Private Placement Warrants have terms and provisions that are identical to those of the OPAL Public Warrants. The OPAL Private Placement Warrants (including the shares of Class A common stock issuable upon exercise of the OPAL Private Placement Warrants) will not be transferable, assignable or salable for 30 days after the Closing, except pursuant to limited exceptions to our officers and directors and other persons or entities affiliated with the initial purchasers of the OPAL Private Placement Warrants, and they will not be redeemable by us, except as described above when the price per share of Class A common stock equals or exceeds $10.00, so long as they are held by the Sponsor or its permitted transferees (except as otherwise set forth herein). The Sponsor, or its permitted transferees, has the option to exercise the OPAL Private Placement Warrants on a cashless basis. If the OPAL Private Placement Warrants are held by holders other than the Sponsor or its permitted transferees, the OPAL Private Placement Warrants will be redeemable by us in all redemption scenarios and exercisable by the holders on the same basis as the OPAL Public Warrants. Any amendment to the terms of the OPAL Private Placement Warrants or any provision of the warrant agreement with respect to the OPAL Private Placement Warrants will require a vote of holders of at least 50% of the number of the then outstanding OPAL Private Placement Warrants.</w:t>
      </w:r>
    </w:p>
    <w:p>
      <w:pPr>
        <w:spacing w:after="0" w:line="164"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 xml:space="preserve">Except as described above under “— </w:t>
      </w:r>
      <w:r>
        <w:rPr>
          <w:rFonts w:ascii="Arial" w:cs="Arial" w:eastAsia="Arial" w:hAnsi="Arial"/>
          <w:sz w:val="15"/>
          <w:szCs w:val="15"/>
          <w:i w:val="1"/>
          <w:iCs w:val="1"/>
          <w:color w:val="auto"/>
        </w:rPr>
        <w:t>OPAL Public Warrants</w:t>
      </w:r>
      <w:r>
        <w:rPr>
          <w:rFonts w:ascii="Arial" w:cs="Arial" w:eastAsia="Arial" w:hAnsi="Arial"/>
          <w:sz w:val="15"/>
          <w:szCs w:val="15"/>
          <w:color w:val="auto"/>
        </w:rPr>
        <w:t xml:space="preserve"> — </w:t>
      </w:r>
      <w:r>
        <w:rPr>
          <w:rFonts w:ascii="Arial" w:cs="Arial" w:eastAsia="Arial" w:hAnsi="Arial"/>
          <w:sz w:val="15"/>
          <w:szCs w:val="15"/>
          <w:i w:val="1"/>
          <w:iCs w:val="1"/>
          <w:color w:val="auto"/>
        </w:rPr>
        <w:t>Redemption of warrants when the price per share of Class A common stock equals or exceeds $10.00</w:t>
      </w:r>
      <w:r>
        <w:rPr>
          <w:rFonts w:ascii="Arial" w:cs="Arial" w:eastAsia="Arial" w:hAnsi="Arial"/>
          <w:sz w:val="15"/>
          <w:szCs w:val="15"/>
          <w:color w:val="auto"/>
        </w:rPr>
        <w:t>,” if holders of the OPAL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“Sponsor fair market value” (defined below) over the exercise price of the warrants by (y) the Sponsor fair market value. For these purposes, the “Sponsor fair market value” shall mean the average reported closing price of the shares of Class A common stock for the 10 trading days ending on the third trading day prior to the date on which the notice of warrant exercise is sent to the warrant agent.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Warrant Agent</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transfer agent for OPAL’s Common Stock and warrant agent for the OPAL Public Warrants and OPAL Private Placement Warrants is the Continental Transfer &amp; Trust Company.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of Common Stock</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shares of Class A common stock and Public Warrants are listed on Nasdaq under the symbols “OPAL” and “OPALW,”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19" w:name="page120"/>
    <w:bookmarkEnd w:id="119"/>
    <w:p>
      <w:pPr>
        <w:jc w:val="center"/>
        <w:ind w:right="-5"/>
        <w:spacing w:after="0"/>
        <w:rPr>
          <w:sz w:val="20"/>
          <w:szCs w:val="20"/>
          <w:color w:val="auto"/>
        </w:rPr>
      </w:pPr>
      <w:r>
        <w:rPr>
          <w:rFonts w:ascii="Arial" w:cs="Arial" w:eastAsia="Arial" w:hAnsi="Arial"/>
          <w:sz w:val="16"/>
          <w:szCs w:val="16"/>
          <w:b w:val="1"/>
          <w:bCs w:val="1"/>
          <w:color w:val="auto"/>
        </w:rPr>
        <w:t>BENEFICIAL OWNERSHIP</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5"/>
          <w:szCs w:val="15"/>
          <w:color w:val="auto"/>
        </w:rPr>
        <w:t>The following table sets forth information known to the Company regarding the beneficial ownership of our Class A common stock and Class D common stock by:</w:t>
      </w:r>
    </w:p>
    <w:p>
      <w:pPr>
        <w:spacing w:after="0" w:line="204" w:lineRule="exact"/>
        <w:rPr>
          <w:sz w:val="20"/>
          <w:szCs w:val="20"/>
          <w:color w:val="auto"/>
        </w:rPr>
      </w:pPr>
    </w:p>
    <w:p>
      <w:pPr>
        <w:ind w:left="566" w:hanging="283"/>
        <w:spacing w:after="0"/>
        <w:tabs>
          <w:tab w:leader="none" w:pos="566"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person who is the beneficial owner of more than 5% of the outstanding shares of our Class A common stock or our Class D common stock;</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of the Company’s named executive officers and directors; and</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all of the Company’s executive officers and directors as a group.</w:t>
      </w:r>
    </w:p>
    <w:p>
      <w:pPr>
        <w:spacing w:after="0" w:line="193" w:lineRule="exact"/>
        <w:rPr>
          <w:sz w:val="20"/>
          <w:szCs w:val="20"/>
          <w:color w:val="auto"/>
        </w:rPr>
      </w:pPr>
    </w:p>
    <w:p>
      <w:pPr>
        <w:jc w:val="both"/>
        <w:ind w:left="6" w:firstLine="283"/>
        <w:spacing w:after="0" w:line="318" w:lineRule="auto"/>
        <w:rPr>
          <w:sz w:val="20"/>
          <w:szCs w:val="20"/>
          <w:color w:val="auto"/>
        </w:rPr>
      </w:pPr>
      <w:r>
        <w:rPr>
          <w:rFonts w:ascii="Arial" w:cs="Arial" w:eastAsia="Arial" w:hAnsi="Arial"/>
          <w:sz w:val="13"/>
          <w:szCs w:val="13"/>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 Shares subject to warrants that are currently exercisable or exercisable within 60 days of the date of this prospectus are considered outstanding and beneficially owned by the person holding such warrants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spacing w:after="0" w:line="131"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57"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The beneficial ownership of Class A common stock is based on 25,671,390 shares of our Class A common stock issued and outstanding and 144,399,037 shares of our Class D common stock issued and outstanding as of August 8, 2022.</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80" w:type="dxa"/>
            <w:vAlign w:val="bottom"/>
            <w:gridSpan w:val="2"/>
          </w:tcPr>
          <w:p>
            <w:pPr>
              <w:jc w:val="center"/>
              <w:ind w:left="382"/>
              <w:spacing w:after="0"/>
              <w:rPr>
                <w:sz w:val="20"/>
                <w:szCs w:val="20"/>
                <w:color w:val="auto"/>
              </w:rPr>
            </w:pPr>
            <w:r>
              <w:rPr>
                <w:rFonts w:ascii="Arial" w:cs="Arial" w:eastAsia="Arial" w:hAnsi="Arial"/>
                <w:sz w:val="16"/>
                <w:szCs w:val="16"/>
                <w:b w:val="1"/>
                <w:bCs w:val="1"/>
                <w:color w:val="auto"/>
                <w:w w:val="89"/>
              </w:rPr>
              <w:t>Number of</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 of Class A</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 of Class D</w:t>
            </w:r>
          </w:p>
        </w:tc>
        <w:tc>
          <w:tcPr>
            <w:tcW w:w="13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Voting</w:t>
            </w:r>
          </w:p>
        </w:tc>
        <w:tc>
          <w:tcPr>
            <w:tcW w:w="0" w:type="dxa"/>
            <w:vAlign w:val="bottom"/>
          </w:tcPr>
          <w:p>
            <w:pPr>
              <w:spacing w:after="0"/>
              <w:rPr>
                <w:sz w:val="1"/>
                <w:szCs w:val="1"/>
                <w:color w:val="auto"/>
              </w:rPr>
            </w:pPr>
          </w:p>
        </w:tc>
      </w:tr>
      <w:tr>
        <w:trPr>
          <w:trHeight w:val="209"/>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Owners(1)</w:t>
            </w:r>
          </w:p>
        </w:tc>
        <w:tc>
          <w:tcPr>
            <w:tcW w:w="1780" w:type="dxa"/>
            <w:vAlign w:val="bottom"/>
            <w:gridSpan w:val="2"/>
          </w:tcPr>
          <w:p>
            <w:pPr>
              <w:jc w:val="center"/>
              <w:ind w:left="382"/>
              <w:spacing w:after="0"/>
              <w:rPr>
                <w:sz w:val="20"/>
                <w:szCs w:val="20"/>
                <w:color w:val="auto"/>
              </w:rPr>
            </w:pPr>
            <w:r>
              <w:rPr>
                <w:rFonts w:ascii="Arial" w:cs="Arial" w:eastAsia="Arial" w:hAnsi="Arial"/>
                <w:sz w:val="16"/>
                <w:szCs w:val="16"/>
                <w:b w:val="1"/>
                <w:bCs w:val="1"/>
                <w:color w:val="auto"/>
                <w:w w:val="85"/>
              </w:rPr>
              <w:t>Class A Shares</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Outstanding</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Class D Shares</w:t>
            </w:r>
          </w:p>
        </w:tc>
        <w:tc>
          <w:tcPr>
            <w:tcW w:w="13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Power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Directors and officers:</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Adam Comora</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Jonathan Maurer</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Ann Anthony</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David Unger</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Anthony Falbo</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Scott Edelbach</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Hugh Donnell</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John Coghlin</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Marco F. Gatti</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Kevin M. Fogarty</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Betsy L. Battle</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Scott Dols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Mark Comora(2)</w:t>
            </w:r>
          </w:p>
        </w:tc>
        <w:tc>
          <w:tcPr>
            <w:tcW w:w="1680" w:type="dxa"/>
            <w:vAlign w:val="bottom"/>
          </w:tcPr>
          <w:p>
            <w:pPr>
              <w:jc w:val="right"/>
              <w:spacing w:after="0"/>
              <w:rPr>
                <w:sz w:val="20"/>
                <w:szCs w:val="20"/>
                <w:color w:val="auto"/>
              </w:rPr>
            </w:pPr>
            <w:r>
              <w:rPr>
                <w:rFonts w:ascii="Arial" w:cs="Arial" w:eastAsia="Arial" w:hAnsi="Arial"/>
                <w:sz w:val="16"/>
                <w:szCs w:val="16"/>
                <w:color w:val="auto"/>
              </w:rPr>
              <w:t>880,600</w:t>
            </w: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144,399,037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Nadeem Nisar</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Ashok Vemuri</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i w:val="1"/>
                <w:iCs w:val="1"/>
                <w:color w:val="auto"/>
              </w:rPr>
              <w:t>All directors and officers after as a group (15 persons)</w:t>
            </w:r>
          </w:p>
        </w:tc>
        <w:tc>
          <w:tcPr>
            <w:tcW w:w="1680" w:type="dxa"/>
            <w:vAlign w:val="bottom"/>
          </w:tcPr>
          <w:p>
            <w:pPr>
              <w:jc w:val="right"/>
              <w:spacing w:after="0"/>
              <w:rPr>
                <w:sz w:val="20"/>
                <w:szCs w:val="20"/>
                <w:color w:val="auto"/>
              </w:rPr>
            </w:pPr>
            <w:r>
              <w:rPr>
                <w:rFonts w:ascii="Arial" w:cs="Arial" w:eastAsia="Arial" w:hAnsi="Arial"/>
                <w:sz w:val="16"/>
                <w:szCs w:val="16"/>
                <w:color w:val="auto"/>
              </w:rPr>
              <w:t>880,600</w:t>
            </w: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144,399,037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i w:val="1"/>
                <w:iCs w:val="1"/>
                <w:color w:val="auto"/>
              </w:rPr>
              <w:t>Five Percent Holders: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Mark Comora(2)</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880,600</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144,399,037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ArcLight CTC Holdings II, L.P.(3)</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16,877,101</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48.4%</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ARCC Beacon LLC(4)</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Mendocino Capital, LLC(5)</w:t>
            </w:r>
          </w:p>
        </w:tc>
        <w:tc>
          <w:tcPr>
            <w:tcW w:w="1680" w:type="dxa"/>
            <w:vAlign w:val="bottom"/>
          </w:tcPr>
          <w:p>
            <w:pPr>
              <w:jc w:val="right"/>
              <w:spacing w:after="0"/>
              <w:rPr>
                <w:sz w:val="20"/>
                <w:szCs w:val="20"/>
                <w:color w:val="auto"/>
              </w:rPr>
            </w:pPr>
            <w:r>
              <w:rPr>
                <w:rFonts w:ascii="Arial" w:cs="Arial" w:eastAsia="Arial" w:hAnsi="Arial"/>
                <w:sz w:val="16"/>
                <w:szCs w:val="16"/>
                <w:color w:val="auto"/>
              </w:rPr>
              <w:t>2,500,000</w:t>
            </w: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Meteora Capital(6)</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Entities affiliated with Electron(7)</w:t>
            </w:r>
          </w:p>
        </w:tc>
        <w:tc>
          <w:tcPr>
            <w:tcW w:w="1680" w:type="dxa"/>
            <w:vAlign w:val="bottom"/>
          </w:tcPr>
          <w:p>
            <w:pPr>
              <w:jc w:val="right"/>
              <w:spacing w:after="0"/>
              <w:rPr>
                <w:sz w:val="20"/>
                <w:szCs w:val="20"/>
                <w:color w:val="auto"/>
              </w:rPr>
            </w:pPr>
            <w:r>
              <w:rPr>
                <w:rFonts w:ascii="Arial" w:cs="Arial" w:eastAsia="Arial" w:hAnsi="Arial"/>
                <w:sz w:val="16"/>
                <w:szCs w:val="16"/>
                <w:color w:val="auto"/>
              </w:rPr>
              <w:t>1,800,000</w:t>
            </w: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7.0%</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Nyera II Limited(8)</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Entities affiliated with Encompass Capital Advisors(9)</w:t>
            </w:r>
          </w:p>
        </w:tc>
        <w:tc>
          <w:tcPr>
            <w:tcW w:w="1680" w:type="dxa"/>
            <w:vAlign w:val="bottom"/>
          </w:tcPr>
          <w:p>
            <w:pPr>
              <w:jc w:val="right"/>
              <w:spacing w:after="0"/>
              <w:rPr>
                <w:sz w:val="20"/>
                <w:szCs w:val="20"/>
                <w:color w:val="auto"/>
              </w:rPr>
            </w:pPr>
            <w:r>
              <w:rPr>
                <w:rFonts w:ascii="Arial" w:cs="Arial" w:eastAsia="Arial" w:hAnsi="Arial"/>
                <w:sz w:val="16"/>
                <w:szCs w:val="16"/>
                <w:color w:val="auto"/>
              </w:rPr>
              <w:t>2,675,337</w:t>
            </w:r>
          </w:p>
        </w:tc>
        <w:tc>
          <w:tcPr>
            <w:tcW w:w="10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9.9%</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5526" w:right="1060" w:hanging="5526"/>
        <w:spacing w:after="0" w:line="574" w:lineRule="auto"/>
        <w:tabs>
          <w:tab w:leader="none" w:pos="290" w:val="left"/>
        </w:tabs>
        <w:numPr>
          <w:ilvl w:val="0"/>
          <w:numId w:val="83"/>
        </w:numPr>
        <w:rPr>
          <w:rFonts w:ascii="Arial" w:cs="Arial" w:eastAsia="Arial" w:hAnsi="Arial"/>
          <w:sz w:val="31"/>
          <w:szCs w:val="31"/>
          <w:color w:val="auto"/>
          <w:vertAlign w:val="superscript"/>
        </w:rPr>
      </w:pPr>
      <w:r>
        <w:rPr>
          <w:rFonts w:ascii="Arial" w:cs="Arial" w:eastAsia="Arial" w:hAnsi="Arial"/>
          <w:sz w:val="16"/>
          <w:szCs w:val="16"/>
          <w:color w:val="auto"/>
        </w:rPr>
        <w:t>Unless otherwise noted, the business address of each of the directors and officers is One North Lexington Avenue,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White Plains, New York 10601.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-313690</wp:posOffset>
            </wp:positionV>
            <wp:extent cx="715010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2" w:right="319" w:bottom="1440" w:gutter="0" w:footer="0" w:header="0"/>
        </w:sectPr>
      </w:pPr>
    </w:p>
    <w:bookmarkStart w:id="120" w:name="page121"/>
    <w:bookmarkEnd w:id="120"/>
    <w:p>
      <w:pPr>
        <w:jc w:val="both"/>
        <w:ind w:left="286" w:right="20" w:hanging="286"/>
        <w:spacing w:after="0" w:line="304" w:lineRule="auto"/>
        <w:tabs>
          <w:tab w:leader="none" w:pos="286"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Consists of (i) 142,377,450 shares of Class D common stock owned of record by OPAL HoldCo, (ii) 2,021,587 shares of Class D common stock owned of record by Hillman and (iii) 880,600 shares of Class A common stock owned by Fortistar LLC (“</w:t>
      </w:r>
      <w:r>
        <w:rPr>
          <w:rFonts w:ascii="Arial" w:cs="Arial" w:eastAsia="Arial" w:hAnsi="Arial"/>
          <w:sz w:val="13"/>
          <w:szCs w:val="13"/>
          <w:b w:val="1"/>
          <w:bCs w:val="1"/>
          <w:i w:val="1"/>
          <w:iCs w:val="1"/>
          <w:color w:val="auto"/>
        </w:rPr>
        <w:t>Fortistar</w:t>
      </w:r>
      <w:r>
        <w:rPr>
          <w:rFonts w:ascii="Arial" w:cs="Arial" w:eastAsia="Arial" w:hAnsi="Arial"/>
          <w:sz w:val="13"/>
          <w:szCs w:val="13"/>
          <w:color w:val="auto"/>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Arial" w:cs="Arial" w:eastAsia="Arial" w:hAnsi="Arial"/>
          <w:sz w:val="13"/>
          <w:szCs w:val="13"/>
          <w:i w:val="1"/>
          <w:iCs w:val="1"/>
          <w:color w:val="auto"/>
        </w:rPr>
        <w:t>Certain Relationships and Related Party Transactions—Hillman</w:t>
      </w:r>
      <w:r>
        <w:rPr>
          <w:rFonts w:ascii="Arial" w:cs="Arial" w:eastAsia="Arial" w:hAnsi="Arial"/>
          <w:sz w:val="13"/>
          <w:szCs w:val="13"/>
          <w:color w:val="auto"/>
        </w:rPr>
        <w:t xml:space="preserve"> </w:t>
      </w:r>
      <w:r>
        <w:rPr>
          <w:rFonts w:ascii="Arial" w:cs="Arial" w:eastAsia="Arial" w:hAnsi="Arial"/>
          <w:sz w:val="13"/>
          <w:szCs w:val="13"/>
          <w:i w:val="1"/>
          <w:iCs w:val="1"/>
          <w:color w:val="auto"/>
        </w:rPr>
        <w:t>Restructuring</w:t>
      </w:r>
      <w:r>
        <w:rPr>
          <w:rFonts w:ascii="Arial" w:cs="Arial" w:eastAsia="Arial" w:hAnsi="Arial"/>
          <w:sz w:val="13"/>
          <w:szCs w:val="13"/>
          <w:color w:val="auto"/>
        </w:rPr>
        <w:t>”. Shares of Class D common stock may be converted into shares of Class A common stock as further discussed in “Description of Securities</w:t>
      </w:r>
      <w:r>
        <w:rPr>
          <w:rFonts w:ascii="Arial" w:cs="Arial" w:eastAsia="Arial" w:hAnsi="Arial"/>
          <w:sz w:val="13"/>
          <w:szCs w:val="13"/>
          <w:i w:val="1"/>
          <w:iCs w:val="1"/>
          <w:color w:val="auto"/>
        </w:rPr>
        <w:t>—</w:t>
      </w:r>
      <w:r>
        <w:rPr>
          <w:rFonts w:ascii="Arial" w:cs="Arial" w:eastAsia="Arial" w:hAnsi="Arial"/>
          <w:sz w:val="13"/>
          <w:szCs w:val="13"/>
          <w:color w:val="auto"/>
        </w:rPr>
        <w:t>Common Stock</w:t>
      </w:r>
    </w:p>
    <w:p>
      <w:pPr>
        <w:spacing w:after="0" w:line="4" w:lineRule="exact"/>
        <w:rPr>
          <w:rFonts w:ascii="Arial" w:cs="Arial" w:eastAsia="Arial" w:hAnsi="Arial"/>
          <w:sz w:val="13"/>
          <w:szCs w:val="13"/>
          <w:color w:val="auto"/>
        </w:rPr>
      </w:pPr>
    </w:p>
    <w:p>
      <w:pPr>
        <w:ind w:left="286" w:right="20"/>
        <w:spacing w:after="0" w:line="251" w:lineRule="auto"/>
        <w:rPr>
          <w:rFonts w:ascii="Arial" w:cs="Arial" w:eastAsia="Arial" w:hAnsi="Arial"/>
          <w:sz w:val="13"/>
          <w:szCs w:val="13"/>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Class D common stock.” The business address of each of Mr. Comora, OPAL Holdco, Hillman and Fortistar is One North Lexington Avenue, 14th Floor, White Plains,</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10601.</w:t>
      </w:r>
    </w:p>
    <w:p>
      <w:pPr>
        <w:spacing w:after="0" w:line="169" w:lineRule="exact"/>
        <w:rPr>
          <w:rFonts w:ascii="Arial" w:cs="Arial" w:eastAsia="Arial" w:hAnsi="Arial"/>
          <w:sz w:val="13"/>
          <w:szCs w:val="13"/>
          <w:color w:val="auto"/>
        </w:rPr>
      </w:pPr>
    </w:p>
    <w:p>
      <w:pPr>
        <w:jc w:val="both"/>
        <w:ind w:left="286" w:hanging="286"/>
        <w:spacing w:after="0" w:line="268" w:lineRule="auto"/>
        <w:tabs>
          <w:tab w:leader="none" w:pos="286"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Consists of (i) 7,639,076 shares of Class A common stock held directly by ArcLight CTC Holdings II, L.P. (“</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(including, 763,907 of such shares subject to forfeiture as described in the section titled The Business Combination — Related Agreements — Sponsor Letter Agreement” of the Proxy Statement/Prospectus beginning on page 118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159" w:lineRule="exact"/>
        <w:rPr>
          <w:rFonts w:ascii="Arial" w:cs="Arial" w:eastAsia="Arial" w:hAnsi="Arial"/>
          <w:sz w:val="15"/>
          <w:szCs w:val="15"/>
          <w:color w:val="auto"/>
        </w:rPr>
      </w:pPr>
    </w:p>
    <w:p>
      <w:pPr>
        <w:ind w:left="286" w:hanging="286"/>
        <w:spacing w:after="0"/>
        <w:tabs>
          <w:tab w:leader="none" w:pos="286"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Consists of 3,059,533 shares of Class A common stock. The business address of ARCC Beacon LLC is 245 Park Avenue, 43rd Floor New York, New York 10167.</w:t>
      </w:r>
    </w:p>
    <w:p>
      <w:pPr>
        <w:spacing w:after="0" w:line="204" w:lineRule="exact"/>
        <w:rPr>
          <w:rFonts w:ascii="Arial" w:cs="Arial" w:eastAsia="Arial" w:hAnsi="Arial"/>
          <w:sz w:val="15"/>
          <w:szCs w:val="15"/>
          <w:color w:val="auto"/>
        </w:rPr>
      </w:pPr>
    </w:p>
    <w:p>
      <w:pPr>
        <w:ind w:left="286" w:right="20" w:hanging="286"/>
        <w:spacing w:after="0" w:line="266" w:lineRule="auto"/>
        <w:tabs>
          <w:tab w:leader="none" w:pos="286"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2,500,000 shares of Class A common stock. Mendocino Capital, LLC (“</w:t>
      </w:r>
      <w:r>
        <w:rPr>
          <w:rFonts w:ascii="Arial" w:cs="Arial" w:eastAsia="Arial" w:hAnsi="Arial"/>
          <w:sz w:val="16"/>
          <w:szCs w:val="16"/>
          <w:b w:val="1"/>
          <w:bCs w:val="1"/>
          <w:i w:val="1"/>
          <w:iCs w:val="1"/>
          <w:color w:val="auto"/>
        </w:rPr>
        <w:t>Mendocino</w:t>
      </w:r>
      <w:r>
        <w:rPr>
          <w:rFonts w:ascii="Arial" w:cs="Arial" w:eastAsia="Arial" w:hAnsi="Arial"/>
          <w:sz w:val="16"/>
          <w:szCs w:val="16"/>
          <w:color w:val="auto"/>
        </w:rPr>
        <w:t>”) is a subsidiary of NextEra Energy, Inc.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a publicly traded company. The business address of Mendocino and NextEra is 700 Universe Boulevard, Juno Beach, Florida 33408.</w:t>
      </w:r>
    </w:p>
    <w:p>
      <w:pPr>
        <w:spacing w:after="0" w:line="157" w:lineRule="exact"/>
        <w:rPr>
          <w:rFonts w:ascii="Arial" w:cs="Arial" w:eastAsia="Arial" w:hAnsi="Arial"/>
          <w:sz w:val="16"/>
          <w:szCs w:val="16"/>
          <w:color w:val="auto"/>
        </w:rPr>
      </w:pPr>
    </w:p>
    <w:p>
      <w:pPr>
        <w:jc w:val="both"/>
        <w:ind w:left="286" w:right="20" w:hanging="286"/>
        <w:spacing w:after="0" w:line="318" w:lineRule="auto"/>
        <w:tabs>
          <w:tab w:leader="none" w:pos="286"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Consists of (i) 414,600 shares of Class A common stock held by Meteora Special Opportunity Fund I, LP (“</w:t>
      </w:r>
      <w:r>
        <w:rPr>
          <w:rFonts w:ascii="Arial" w:cs="Arial" w:eastAsia="Arial" w:hAnsi="Arial"/>
          <w:sz w:val="13"/>
          <w:szCs w:val="13"/>
          <w:b w:val="1"/>
          <w:bCs w:val="1"/>
          <w:i w:val="1"/>
          <w:iCs w:val="1"/>
          <w:color w:val="auto"/>
        </w:rPr>
        <w:t>MSOF</w:t>
      </w:r>
      <w:r>
        <w:rPr>
          <w:rFonts w:ascii="Arial" w:cs="Arial" w:eastAsia="Arial" w:hAnsi="Arial"/>
          <w:sz w:val="13"/>
          <w:szCs w:val="13"/>
          <w:color w:val="auto"/>
        </w:rPr>
        <w:t>”), (ii) 477,600 shares of Class A common stock held by Meteora Select Trading Opportunities Master, LP (“</w:t>
      </w:r>
      <w:r>
        <w:rPr>
          <w:rFonts w:ascii="Arial" w:cs="Arial" w:eastAsia="Arial" w:hAnsi="Arial"/>
          <w:sz w:val="13"/>
          <w:szCs w:val="13"/>
          <w:b w:val="1"/>
          <w:bCs w:val="1"/>
          <w:i w:val="1"/>
          <w:iCs w:val="1"/>
          <w:color w:val="auto"/>
        </w:rPr>
        <w:t>MSTO</w:t>
      </w:r>
      <w:r>
        <w:rPr>
          <w:rFonts w:ascii="Arial" w:cs="Arial" w:eastAsia="Arial" w:hAnsi="Arial"/>
          <w:sz w:val="13"/>
          <w:szCs w:val="13"/>
          <w:color w:val="auto"/>
        </w:rPr>
        <w:t>”) and (iii) 1,107,800 shares of Class A common stock held by Meteora Capital Partners (“</w:t>
      </w:r>
      <w:r>
        <w:rPr>
          <w:rFonts w:ascii="Arial" w:cs="Arial" w:eastAsia="Arial" w:hAnsi="Arial"/>
          <w:sz w:val="13"/>
          <w:szCs w:val="13"/>
          <w:b w:val="1"/>
          <w:bCs w:val="1"/>
          <w:i w:val="1"/>
          <w:iCs w:val="1"/>
          <w:color w:val="auto"/>
        </w:rPr>
        <w:t>MCP</w:t>
      </w:r>
      <w:r>
        <w:rPr>
          <w:rFonts w:ascii="Arial" w:cs="Arial" w:eastAsia="Arial" w:hAnsi="Arial"/>
          <w:sz w:val="13"/>
          <w:szCs w:val="13"/>
          <w:color w:val="auto"/>
        </w:rPr>
        <w:t>”). Meteora Capital, LLC (“</w:t>
      </w:r>
      <w:r>
        <w:rPr>
          <w:rFonts w:ascii="Arial" w:cs="Arial" w:eastAsia="Arial" w:hAnsi="Arial"/>
          <w:sz w:val="13"/>
          <w:szCs w:val="13"/>
          <w:b w:val="1"/>
          <w:bCs w:val="1"/>
          <w:i w:val="1"/>
          <w:iCs w:val="1"/>
          <w:color w:val="auto"/>
        </w:rPr>
        <w:t>Meteora Capital</w:t>
      </w:r>
      <w:r>
        <w:rPr>
          <w:rFonts w:ascii="Arial" w:cs="Arial" w:eastAsia="Arial" w:hAnsi="Arial"/>
          <w:sz w:val="13"/>
          <w:szCs w:val="13"/>
          <w:color w:val="auto"/>
        </w:rPr>
        <w:t>”) serves as investment manager to MSOF, MSTO and MCP. Voting and investment power over the shares held by MSOF, MSTO and MCP resides with its investment manager, Meteora Capital, LLC (“</w:t>
      </w:r>
      <w:r>
        <w:rPr>
          <w:rFonts w:ascii="Arial" w:cs="Arial" w:eastAsia="Arial" w:hAnsi="Arial"/>
          <w:sz w:val="13"/>
          <w:szCs w:val="13"/>
          <w:b w:val="1"/>
          <w:bCs w:val="1"/>
          <w:i w:val="1"/>
          <w:iCs w:val="1"/>
          <w:color w:val="auto"/>
        </w:rPr>
        <w:t>Meteora Capital</w:t>
      </w:r>
      <w:r>
        <w:rPr>
          <w:rFonts w:ascii="Arial" w:cs="Arial" w:eastAsia="Arial" w:hAnsi="Arial"/>
          <w:sz w:val="13"/>
          <w:szCs w:val="13"/>
          <w:color w:val="auto"/>
        </w:rPr>
        <w:t>”). Mr. Vik Mittal serves as the managing member of Meteora Capital and may be deemed to be the beneficial owner of the shares of Class A common stock held by such entities. Mr. Mittal, however, disclaims any beneficial ownership of the shares held by such entities. The business address of each of MSOF, MSTO, MCP, Meteora Capital and Mr. Mittal is 840 Park Drive East, Boca Raton, Florida 33444.</w:t>
      </w:r>
    </w:p>
    <w:p>
      <w:pPr>
        <w:spacing w:after="0" w:line="130" w:lineRule="exact"/>
        <w:rPr>
          <w:rFonts w:ascii="Arial" w:cs="Arial" w:eastAsia="Arial" w:hAnsi="Arial"/>
          <w:sz w:val="13"/>
          <w:szCs w:val="13"/>
          <w:color w:val="auto"/>
        </w:rPr>
      </w:pPr>
    </w:p>
    <w:p>
      <w:pPr>
        <w:jc w:val="both"/>
        <w:ind w:left="286" w:hanging="286"/>
        <w:spacing w:after="0" w:line="267" w:lineRule="auto"/>
        <w:tabs>
          <w:tab w:leader="none" w:pos="286"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Consists of (i) 1,060,088 shares of Class A common stock held by Electron Global Master Fund LP (“</w:t>
      </w:r>
      <w:r>
        <w:rPr>
          <w:rFonts w:ascii="Arial" w:cs="Arial" w:eastAsia="Arial" w:hAnsi="Arial"/>
          <w:sz w:val="15"/>
          <w:szCs w:val="15"/>
          <w:b w:val="1"/>
          <w:bCs w:val="1"/>
          <w:i w:val="1"/>
          <w:iCs w:val="1"/>
          <w:color w:val="auto"/>
        </w:rPr>
        <w:t>EGMF</w:t>
      </w:r>
      <w:r>
        <w:rPr>
          <w:rFonts w:ascii="Arial" w:cs="Arial" w:eastAsia="Arial" w:hAnsi="Arial"/>
          <w:sz w:val="15"/>
          <w:szCs w:val="15"/>
          <w:color w:val="auto"/>
        </w:rPr>
        <w:t>”), (ii) 695,913 shares of Class A common stock held by Electron Infrastructure Master Fund LP (“</w:t>
      </w:r>
      <w:r>
        <w:rPr>
          <w:rFonts w:ascii="Arial" w:cs="Arial" w:eastAsia="Arial" w:hAnsi="Arial"/>
          <w:sz w:val="15"/>
          <w:szCs w:val="15"/>
          <w:b w:val="1"/>
          <w:bCs w:val="1"/>
          <w:i w:val="1"/>
          <w:iCs w:val="1"/>
          <w:color w:val="auto"/>
        </w:rPr>
        <w:t>EIMF</w:t>
      </w:r>
      <w:r>
        <w:rPr>
          <w:rFonts w:ascii="Arial" w:cs="Arial" w:eastAsia="Arial" w:hAnsi="Arial"/>
          <w:sz w:val="15"/>
          <w:szCs w:val="15"/>
          <w:color w:val="auto"/>
        </w:rPr>
        <w:t>”), (iii) 30,628 shares of Class A common stock held by Boothbay Absolute Return Strategies, LP (“</w:t>
      </w:r>
      <w:r>
        <w:rPr>
          <w:rFonts w:ascii="Arial" w:cs="Arial" w:eastAsia="Arial" w:hAnsi="Arial"/>
          <w:sz w:val="15"/>
          <w:szCs w:val="15"/>
          <w:b w:val="1"/>
          <w:bCs w:val="1"/>
          <w:i w:val="1"/>
          <w:iCs w:val="1"/>
          <w:color w:val="auto"/>
        </w:rPr>
        <w:t>BARS</w:t>
      </w:r>
      <w:r>
        <w:rPr>
          <w:rFonts w:ascii="Arial" w:cs="Arial" w:eastAsia="Arial" w:hAnsi="Arial"/>
          <w:sz w:val="15"/>
          <w:szCs w:val="15"/>
          <w:color w:val="auto"/>
        </w:rPr>
        <w:t>”) and (iv) 13,371 shares of Class A common stock held by AGR Trading SPC-Series Segregated Portfolio (“</w:t>
      </w:r>
      <w:r>
        <w:rPr>
          <w:rFonts w:ascii="Arial" w:cs="Arial" w:eastAsia="Arial" w:hAnsi="Arial"/>
          <w:sz w:val="15"/>
          <w:szCs w:val="15"/>
          <w:b w:val="1"/>
          <w:bCs w:val="1"/>
          <w:i w:val="1"/>
          <w:iCs w:val="1"/>
          <w:color w:val="auto"/>
        </w:rPr>
        <w:t>AGR</w:t>
      </w:r>
      <w:r>
        <w:rPr>
          <w:rFonts w:ascii="Arial" w:cs="Arial" w:eastAsia="Arial" w:hAnsi="Arial"/>
          <w:sz w:val="15"/>
          <w:szCs w:val="15"/>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p>
      <w:pPr>
        <w:spacing w:after="0" w:line="160" w:lineRule="exact"/>
        <w:rPr>
          <w:rFonts w:ascii="Arial" w:cs="Arial" w:eastAsia="Arial" w:hAnsi="Arial"/>
          <w:sz w:val="15"/>
          <w:szCs w:val="15"/>
          <w:color w:val="auto"/>
        </w:rPr>
      </w:pPr>
    </w:p>
    <w:p>
      <w:pPr>
        <w:jc w:val="both"/>
        <w:ind w:left="286" w:hanging="286"/>
        <w:spacing w:after="0" w:line="274" w:lineRule="auto"/>
        <w:tabs>
          <w:tab w:leader="none" w:pos="286"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Consists of 1,500,000 shares of Class A common stock. Benjamin Wasem, Pantelitsa Georgiade and Vasiliki Papalli (the “</w:t>
      </w:r>
      <w:r>
        <w:rPr>
          <w:rFonts w:ascii="Arial" w:cs="Arial" w:eastAsia="Arial" w:hAnsi="Arial"/>
          <w:sz w:val="15"/>
          <w:szCs w:val="15"/>
          <w:b w:val="1"/>
          <w:bCs w:val="1"/>
          <w:i w:val="1"/>
          <w:iCs w:val="1"/>
          <w:color w:val="auto"/>
        </w:rPr>
        <w:t>Nyera Principals</w:t>
      </w:r>
      <w:r>
        <w:rPr>
          <w:rFonts w:ascii="Arial" w:cs="Arial" w:eastAsia="Arial" w:hAnsi="Arial"/>
          <w:sz w:val="15"/>
          <w:szCs w:val="15"/>
          <w:color w:val="auto"/>
        </w:rPr>
        <w:t>”) each has voting and investment discretion with respect to the securities held Nyera II Limited (“</w:t>
      </w:r>
      <w:r>
        <w:rPr>
          <w:rFonts w:ascii="Arial" w:cs="Arial" w:eastAsia="Arial" w:hAnsi="Arial"/>
          <w:sz w:val="15"/>
          <w:szCs w:val="15"/>
          <w:b w:val="1"/>
          <w:bCs w:val="1"/>
          <w:i w:val="1"/>
          <w:iCs w:val="1"/>
          <w:color w:val="auto"/>
        </w:rPr>
        <w:t>Nyera</w:t>
      </w:r>
      <w:r>
        <w:rPr>
          <w:rFonts w:ascii="Arial" w:cs="Arial" w:eastAsia="Arial" w:hAnsi="Arial"/>
          <w:sz w:val="15"/>
          <w:szCs w:val="15"/>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54" w:lineRule="exact"/>
        <w:rPr>
          <w:rFonts w:ascii="Arial" w:cs="Arial" w:eastAsia="Arial" w:hAnsi="Arial"/>
          <w:sz w:val="15"/>
          <w:szCs w:val="15"/>
          <w:color w:val="auto"/>
        </w:rPr>
      </w:pPr>
    </w:p>
    <w:p>
      <w:pPr>
        <w:jc w:val="both"/>
        <w:ind w:left="286" w:hanging="286"/>
        <w:spacing w:after="0" w:line="269" w:lineRule="auto"/>
        <w:tabs>
          <w:tab w:leader="none" w:pos="286"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Consists of (i) 1,323,114 shares of Class A common stock and (ii) 1,352,223 shares of Class A common stock underlying certain warrants that are exercisable within 60 days of the date of this prospectus, which are held by certain fund entities and managed accounts for which Encompass Capital Advisors, LLC (“</w:t>
      </w:r>
      <w:r>
        <w:rPr>
          <w:rFonts w:ascii="Arial" w:cs="Arial" w:eastAsia="Arial" w:hAnsi="Arial"/>
          <w:sz w:val="15"/>
          <w:szCs w:val="15"/>
          <w:b w:val="1"/>
          <w:bCs w:val="1"/>
          <w:i w:val="1"/>
          <w:iCs w:val="1"/>
          <w:color w:val="auto"/>
        </w:rPr>
        <w:t>Encompass</w:t>
      </w:r>
      <w:r>
        <w:rPr>
          <w:rFonts w:ascii="Arial" w:cs="Arial" w:eastAsia="Arial" w:hAnsi="Arial"/>
          <w:sz w:val="15"/>
          <w:szCs w:val="15"/>
          <w:color w:val="auto"/>
        </w:rPr>
        <w:t>”) exercises investment discretion. Todd Kantor, as the managing member of Encompass, may also be deemed to beneficially own such securities. Does not include an additional 633,013 shares of Class A common stock underlying certain warrants that are not exercisable within 60 days of the date of this prospectus. The exercise of the warrants are subject to ownership limitations so that the selling stockholder may not beneficially own in excess of 9.9% of the issued and outstanding Class A common stock of the Company. The business address of Encompass and Mr. Kantor is 200 Park Avenue, 11th Floor, New York, New York 10166.</w:t>
      </w:r>
    </w:p>
    <w:p>
      <w:pPr>
        <w:spacing w:after="0" w:line="34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121" w:name="page122"/>
    <w:bookmarkEnd w:id="121"/>
    <w:p>
      <w:pPr>
        <w:jc w:val="center"/>
        <w:ind w:right="-5"/>
        <w:spacing w:after="0"/>
        <w:rPr>
          <w:sz w:val="20"/>
          <w:szCs w:val="20"/>
          <w:color w:val="auto"/>
        </w:rPr>
      </w:pPr>
      <w:r>
        <w:rPr>
          <w:rFonts w:ascii="Arial" w:cs="Arial" w:eastAsia="Arial" w:hAnsi="Arial"/>
          <w:sz w:val="16"/>
          <w:szCs w:val="16"/>
          <w:b w:val="1"/>
          <w:bCs w:val="1"/>
          <w:color w:val="auto"/>
        </w:rPr>
        <w:t>SELLING HOLDERS</w:t>
      </w:r>
    </w:p>
    <w:p>
      <w:pPr>
        <w:spacing w:after="0" w:line="197" w:lineRule="exact"/>
        <w:rPr>
          <w:sz w:val="20"/>
          <w:szCs w:val="20"/>
          <w:color w:val="auto"/>
        </w:rPr>
      </w:pPr>
    </w:p>
    <w:p>
      <w:pPr>
        <w:jc w:val="both"/>
        <w:ind w:left="6" w:firstLine="283"/>
        <w:spacing w:after="0" w:line="274" w:lineRule="auto"/>
        <w:rPr>
          <w:sz w:val="20"/>
          <w:szCs w:val="20"/>
          <w:color w:val="auto"/>
        </w:rPr>
      </w:pPr>
      <w:r>
        <w:rPr>
          <w:rFonts w:ascii="Arial" w:cs="Arial" w:eastAsia="Arial" w:hAnsi="Arial"/>
          <w:sz w:val="15"/>
          <w:szCs w:val="15"/>
          <w:color w:val="auto"/>
        </w:rPr>
        <w:t>This prospectus relates to the resale by the Selling Holders from time to time of up to 175,541,507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spacing w:after="0" w:line="155" w:lineRule="exact"/>
        <w:rPr>
          <w:sz w:val="20"/>
          <w:szCs w:val="20"/>
          <w:color w:val="auto"/>
        </w:rPr>
      </w:pPr>
    </w:p>
    <w:p>
      <w:pPr>
        <w:ind w:left="286"/>
        <w:spacing w:after="0"/>
        <w:rPr>
          <w:sz w:val="20"/>
          <w:szCs w:val="20"/>
          <w:color w:val="auto"/>
        </w:rPr>
      </w:pPr>
      <w:r>
        <w:rPr>
          <w:rFonts w:ascii="Arial" w:cs="Arial" w:eastAsia="Arial" w:hAnsi="Arial"/>
          <w:sz w:val="13"/>
          <w:szCs w:val="13"/>
          <w:color w:val="auto"/>
        </w:rPr>
        <w:t>The following table sets forth, as of the date of this prospectus, the names of the Selling Holders, the aggregate number of shares of Class A common stock held by each</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3"/>
          <w:szCs w:val="13"/>
          <w:color w:val="auto"/>
        </w:rPr>
        <w:t>Selling Holders immediately prior to the sale of the shares of Class A common stock in this offering, the number of shares of our Class A common stock that may be sold by each</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Selling Holder under this prospectus and the number of shares of Class A common stock that each Selling Holder will beneficially own after this offering.</w:t>
      </w:r>
    </w:p>
    <w:p>
      <w:pPr>
        <w:spacing w:after="0" w:line="181" w:lineRule="exact"/>
        <w:rPr>
          <w:sz w:val="20"/>
          <w:szCs w:val="20"/>
          <w:color w:val="auto"/>
        </w:rPr>
      </w:pPr>
    </w:p>
    <w:p>
      <w:pPr>
        <w:jc w:val="both"/>
        <w:ind w:left="6" w:firstLine="283"/>
        <w:spacing w:after="0" w:line="300" w:lineRule="auto"/>
        <w:rPr>
          <w:sz w:val="20"/>
          <w:szCs w:val="20"/>
          <w:color w:val="auto"/>
        </w:rPr>
      </w:pPr>
      <w:r>
        <w:rPr>
          <w:rFonts w:ascii="Arial" w:cs="Arial" w:eastAsia="Arial" w:hAnsi="Arial"/>
          <w:sz w:val="15"/>
          <w:szCs w:val="15"/>
          <w:color w:val="auto"/>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p>
    <w:p>
      <w:pPr>
        <w:spacing w:after="0" w:line="130"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Name of Selling Holder</w:t>
            </w:r>
          </w:p>
        </w:tc>
        <w:tc>
          <w:tcPr>
            <w:tcW w:w="2940" w:type="dxa"/>
            <w:vAlign w:val="bottom"/>
            <w:gridSpan w:val="2"/>
          </w:tcPr>
          <w:p>
            <w:pPr>
              <w:ind w:left="300"/>
              <w:spacing w:after="0"/>
              <w:rPr>
                <w:sz w:val="20"/>
                <w:szCs w:val="20"/>
                <w:color w:val="auto"/>
              </w:rPr>
            </w:pPr>
            <w:r>
              <w:rPr>
                <w:rFonts w:ascii="Arial" w:cs="Arial" w:eastAsia="Arial" w:hAnsi="Arial"/>
                <w:sz w:val="16"/>
                <w:szCs w:val="16"/>
                <w:b w:val="1"/>
                <w:bCs w:val="1"/>
                <w:color w:val="auto"/>
              </w:rPr>
              <w:t>Number Held Prior to Offering</w:t>
            </w:r>
          </w:p>
        </w:tc>
        <w:tc>
          <w:tcPr>
            <w:tcW w:w="28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2"/>
              </w:rPr>
              <w:t>Number Registered for Sale Hereby</w:t>
            </w:r>
          </w:p>
        </w:tc>
        <w:tc>
          <w:tcPr>
            <w:tcW w:w="2360" w:type="dxa"/>
            <w:vAlign w:val="bottom"/>
          </w:tcPr>
          <w:p>
            <w:pPr>
              <w:jc w:val="right"/>
              <w:ind w:right="142"/>
              <w:spacing w:after="0"/>
              <w:rPr>
                <w:sz w:val="20"/>
                <w:szCs w:val="20"/>
                <w:color w:val="auto"/>
              </w:rPr>
            </w:pPr>
            <w:r>
              <w:rPr>
                <w:rFonts w:ascii="Arial" w:cs="Arial" w:eastAsia="Arial" w:hAnsi="Arial"/>
                <w:sz w:val="16"/>
                <w:szCs w:val="16"/>
                <w:b w:val="1"/>
                <w:bCs w:val="1"/>
                <w:color w:val="auto"/>
              </w:rPr>
              <w:t>Number Held After Offering</w:t>
            </w:r>
          </w:p>
        </w:tc>
      </w:tr>
      <w:tr>
        <w:trPr>
          <w:trHeight w:val="188"/>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ARCC Beacon LLC (1)</w:t>
            </w:r>
          </w:p>
        </w:tc>
        <w:tc>
          <w:tcPr>
            <w:tcW w:w="24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22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22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tcPr>
          <w:p>
            <w:pPr>
              <w:spacing w:after="0"/>
              <w:rPr>
                <w:sz w:val="20"/>
                <w:szCs w:val="20"/>
                <w:color w:val="auto"/>
              </w:rPr>
            </w:pPr>
            <w:r>
              <w:rPr>
                <w:rFonts w:ascii="Arial" w:cs="Arial" w:eastAsia="Arial" w:hAnsi="Arial"/>
                <w:sz w:val="16"/>
                <w:szCs w:val="16"/>
                <w:color w:val="auto"/>
              </w:rPr>
              <w:t>ArcLight CTC Holdings II, L.P. (2)</w:t>
            </w:r>
          </w:p>
        </w:tc>
        <w:tc>
          <w:tcPr>
            <w:tcW w:w="2940" w:type="dxa"/>
            <w:vAlign w:val="bottom"/>
            <w:gridSpan w:val="2"/>
          </w:tcPr>
          <w:p>
            <w:pPr>
              <w:jc w:val="right"/>
              <w:ind w:right="220"/>
              <w:spacing w:after="0"/>
              <w:rPr>
                <w:sz w:val="20"/>
                <w:szCs w:val="20"/>
                <w:color w:val="auto"/>
              </w:rPr>
            </w:pPr>
            <w:r>
              <w:rPr>
                <w:rFonts w:ascii="Arial" w:cs="Arial" w:eastAsia="Arial" w:hAnsi="Arial"/>
                <w:sz w:val="16"/>
                <w:szCs w:val="16"/>
                <w:color w:val="auto"/>
              </w:rPr>
              <w:t>16,877,101</w:t>
            </w:r>
          </w:p>
        </w:tc>
        <w:tc>
          <w:tcPr>
            <w:tcW w:w="2800" w:type="dxa"/>
            <w:vAlign w:val="bottom"/>
            <w:gridSpan w:val="2"/>
          </w:tcPr>
          <w:p>
            <w:pPr>
              <w:jc w:val="right"/>
              <w:ind w:right="220"/>
              <w:spacing w:after="0"/>
              <w:rPr>
                <w:sz w:val="20"/>
                <w:szCs w:val="20"/>
                <w:color w:val="auto"/>
              </w:rPr>
            </w:pPr>
            <w:r>
              <w:rPr>
                <w:rFonts w:ascii="Arial" w:cs="Arial" w:eastAsia="Arial" w:hAnsi="Arial"/>
                <w:sz w:val="16"/>
                <w:szCs w:val="16"/>
                <w:color w:val="auto"/>
              </w:rPr>
              <w:t>16,877,101</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Arno Harris (3)</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35,000</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tcPr>
          <w:p>
            <w:pPr>
              <w:spacing w:after="0"/>
              <w:rPr>
                <w:sz w:val="20"/>
                <w:szCs w:val="20"/>
                <w:color w:val="auto"/>
              </w:rPr>
            </w:pPr>
            <w:r>
              <w:rPr>
                <w:rFonts w:ascii="Arial" w:cs="Arial" w:eastAsia="Arial" w:hAnsi="Arial"/>
                <w:sz w:val="16"/>
                <w:szCs w:val="16"/>
                <w:color w:val="auto"/>
              </w:rPr>
              <w:t>Brian Goncher (4)</w:t>
            </w:r>
          </w:p>
        </w:tc>
        <w:tc>
          <w:tcPr>
            <w:tcW w:w="2940" w:type="dxa"/>
            <w:vAlign w:val="bottom"/>
            <w:gridSpan w:val="2"/>
          </w:tcPr>
          <w:p>
            <w:pPr>
              <w:jc w:val="right"/>
              <w:ind w:right="220"/>
              <w:spacing w:after="0"/>
              <w:rPr>
                <w:sz w:val="20"/>
                <w:szCs w:val="20"/>
                <w:color w:val="auto"/>
              </w:rPr>
            </w:pPr>
            <w:r>
              <w:rPr>
                <w:rFonts w:ascii="Arial" w:cs="Arial" w:eastAsia="Arial" w:hAnsi="Arial"/>
                <w:sz w:val="16"/>
                <w:szCs w:val="16"/>
                <w:color w:val="auto"/>
              </w:rPr>
              <w:t>35,000</w:t>
            </w:r>
          </w:p>
        </w:tc>
        <w:tc>
          <w:tcPr>
            <w:tcW w:w="2800" w:type="dxa"/>
            <w:vAlign w:val="bottom"/>
            <w:gridSpan w:val="2"/>
          </w:tcPr>
          <w:p>
            <w:pPr>
              <w:jc w:val="right"/>
              <w:ind w:right="220"/>
              <w:spacing w:after="0"/>
              <w:rPr>
                <w:sz w:val="20"/>
                <w:szCs w:val="20"/>
                <w:color w:val="auto"/>
              </w:rPr>
            </w:pPr>
            <w:r>
              <w:rPr>
                <w:rFonts w:ascii="Arial" w:cs="Arial" w:eastAsia="Arial" w:hAnsi="Arial"/>
                <w:sz w:val="16"/>
                <w:szCs w:val="16"/>
                <w:color w:val="auto"/>
              </w:rPr>
              <w:t>35,000</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R. Revers (2)</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16,877,101</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16,877,101</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tcPr>
          <w:p>
            <w:pPr>
              <w:spacing w:after="0"/>
              <w:rPr>
                <w:sz w:val="20"/>
                <w:szCs w:val="20"/>
                <w:color w:val="auto"/>
              </w:rPr>
            </w:pPr>
            <w:r>
              <w:rPr>
                <w:rFonts w:ascii="Arial" w:cs="Arial" w:eastAsia="Arial" w:hAnsi="Arial"/>
                <w:sz w:val="16"/>
                <w:szCs w:val="16"/>
                <w:color w:val="auto"/>
              </w:rPr>
              <w:t>Ja-Chin Audrey Lee (5)</w:t>
            </w:r>
          </w:p>
        </w:tc>
        <w:tc>
          <w:tcPr>
            <w:tcW w:w="2940" w:type="dxa"/>
            <w:vAlign w:val="bottom"/>
            <w:gridSpan w:val="2"/>
          </w:tcPr>
          <w:p>
            <w:pPr>
              <w:jc w:val="right"/>
              <w:ind w:right="220"/>
              <w:spacing w:after="0"/>
              <w:rPr>
                <w:sz w:val="20"/>
                <w:szCs w:val="20"/>
                <w:color w:val="auto"/>
              </w:rPr>
            </w:pPr>
            <w:r>
              <w:rPr>
                <w:rFonts w:ascii="Arial" w:cs="Arial" w:eastAsia="Arial" w:hAnsi="Arial"/>
                <w:sz w:val="16"/>
                <w:szCs w:val="16"/>
                <w:color w:val="auto"/>
              </w:rPr>
              <w:t>35,000</w:t>
            </w:r>
          </w:p>
        </w:tc>
        <w:tc>
          <w:tcPr>
            <w:tcW w:w="2800" w:type="dxa"/>
            <w:vAlign w:val="bottom"/>
            <w:gridSpan w:val="2"/>
          </w:tcPr>
          <w:p>
            <w:pPr>
              <w:jc w:val="right"/>
              <w:ind w:right="220"/>
              <w:spacing w:after="0"/>
              <w:rPr>
                <w:sz w:val="20"/>
                <w:szCs w:val="20"/>
                <w:color w:val="auto"/>
              </w:rPr>
            </w:pPr>
            <w:r>
              <w:rPr>
                <w:rFonts w:ascii="Arial" w:cs="Arial" w:eastAsia="Arial" w:hAnsi="Arial"/>
                <w:sz w:val="16"/>
                <w:szCs w:val="16"/>
                <w:color w:val="auto"/>
              </w:rPr>
              <w:t>35,000</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Berkenfeld (6)</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35,000</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tcPr>
          <w:p>
            <w:pPr>
              <w:spacing w:after="0"/>
              <w:rPr>
                <w:sz w:val="20"/>
                <w:szCs w:val="20"/>
                <w:color w:val="auto"/>
              </w:rPr>
            </w:pPr>
            <w:r>
              <w:rPr>
                <w:rFonts w:ascii="Arial" w:cs="Arial" w:eastAsia="Arial" w:hAnsi="Arial"/>
                <w:sz w:val="16"/>
                <w:szCs w:val="16"/>
                <w:color w:val="auto"/>
              </w:rPr>
              <w:t>Entities affiliated with Mark Comora (7)</w:t>
            </w:r>
          </w:p>
        </w:tc>
        <w:tc>
          <w:tcPr>
            <w:tcW w:w="2940" w:type="dxa"/>
            <w:vAlign w:val="bottom"/>
            <w:gridSpan w:val="2"/>
          </w:tcPr>
          <w:p>
            <w:pPr>
              <w:jc w:val="right"/>
              <w:ind w:right="220"/>
              <w:spacing w:after="0"/>
              <w:rPr>
                <w:sz w:val="20"/>
                <w:szCs w:val="20"/>
                <w:color w:val="auto"/>
              </w:rPr>
            </w:pPr>
            <w:r>
              <w:rPr>
                <w:rFonts w:ascii="Arial" w:cs="Arial" w:eastAsia="Arial" w:hAnsi="Arial"/>
                <w:sz w:val="16"/>
                <w:szCs w:val="16"/>
                <w:color w:val="auto"/>
              </w:rPr>
              <w:t>145,279,637</w:t>
            </w:r>
          </w:p>
        </w:tc>
        <w:tc>
          <w:tcPr>
            <w:tcW w:w="2580" w:type="dxa"/>
            <w:vAlign w:val="bottom"/>
          </w:tcPr>
          <w:p>
            <w:pPr>
              <w:jc w:val="right"/>
              <w:spacing w:after="0"/>
              <w:rPr>
                <w:sz w:val="20"/>
                <w:szCs w:val="20"/>
                <w:color w:val="auto"/>
              </w:rPr>
            </w:pPr>
            <w:r>
              <w:rPr>
                <w:rFonts w:ascii="Arial" w:cs="Arial" w:eastAsia="Arial" w:hAnsi="Arial"/>
                <w:sz w:val="16"/>
                <w:szCs w:val="16"/>
                <w:color w:val="auto"/>
              </w:rPr>
              <w:t>145,279,637</w:t>
            </w:r>
          </w:p>
        </w:tc>
        <w:tc>
          <w:tcPr>
            <w:tcW w:w="22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Adage Capital Partners LP (8)</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500,000</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shd w:val="clear" w:color="auto" w:fill="CCEEFF"/>
          </w:tcPr>
          <w:p>
            <w:pPr>
              <w:spacing w:after="0"/>
              <w:rPr>
                <w:sz w:val="16"/>
                <w:szCs w:val="16"/>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tcPr>
          <w:p>
            <w:pPr>
              <w:spacing w:after="0"/>
              <w:rPr>
                <w:sz w:val="20"/>
                <w:szCs w:val="20"/>
                <w:color w:val="auto"/>
              </w:rPr>
            </w:pPr>
            <w:r>
              <w:rPr>
                <w:rFonts w:ascii="Arial" w:cs="Arial" w:eastAsia="Arial" w:hAnsi="Arial"/>
                <w:sz w:val="16"/>
                <w:szCs w:val="16"/>
                <w:color w:val="auto"/>
              </w:rPr>
              <w:t>Arosa Alternative Energy Fund LP (9)</w:t>
            </w:r>
          </w:p>
        </w:tc>
        <w:tc>
          <w:tcPr>
            <w:tcW w:w="2940" w:type="dxa"/>
            <w:vAlign w:val="bottom"/>
            <w:gridSpan w:val="2"/>
          </w:tcPr>
          <w:p>
            <w:pPr>
              <w:jc w:val="right"/>
              <w:ind w:right="220"/>
              <w:spacing w:after="0"/>
              <w:rPr>
                <w:sz w:val="20"/>
                <w:szCs w:val="20"/>
                <w:color w:val="auto"/>
              </w:rPr>
            </w:pPr>
            <w:r>
              <w:rPr>
                <w:rFonts w:ascii="Arial" w:cs="Arial" w:eastAsia="Arial" w:hAnsi="Arial"/>
                <w:sz w:val="16"/>
                <w:szCs w:val="16"/>
                <w:color w:val="auto"/>
              </w:rPr>
              <w:t>45,000</w:t>
            </w:r>
          </w:p>
        </w:tc>
        <w:tc>
          <w:tcPr>
            <w:tcW w:w="2800" w:type="dxa"/>
            <w:vAlign w:val="bottom"/>
            <w:gridSpan w:val="2"/>
          </w:tcPr>
          <w:p>
            <w:pPr>
              <w:jc w:val="right"/>
              <w:ind w:right="220"/>
              <w:spacing w:after="0"/>
              <w:rPr>
                <w:sz w:val="20"/>
                <w:szCs w:val="20"/>
                <w:color w:val="auto"/>
              </w:rPr>
            </w:pPr>
            <w:r>
              <w:rPr>
                <w:rFonts w:ascii="Arial" w:cs="Arial" w:eastAsia="Arial" w:hAnsi="Arial"/>
                <w:sz w:val="16"/>
                <w:szCs w:val="16"/>
                <w:color w:val="auto"/>
              </w:rPr>
              <w:t>45,000</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Arosa Opportunistic Fund LP (10)</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105,000</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105,000</w:t>
            </w:r>
          </w:p>
        </w:tc>
        <w:tc>
          <w:tcPr>
            <w:tcW w:w="220" w:type="dxa"/>
            <w:vAlign w:val="bottom"/>
            <w:shd w:val="clear" w:color="auto" w:fill="CCEEFF"/>
          </w:tcPr>
          <w:p>
            <w:pPr>
              <w:spacing w:after="0"/>
              <w:rPr>
                <w:sz w:val="16"/>
                <w:szCs w:val="16"/>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tcPr>
          <w:p>
            <w:pPr>
              <w:spacing w:after="0"/>
              <w:rPr>
                <w:sz w:val="20"/>
                <w:szCs w:val="20"/>
                <w:color w:val="auto"/>
              </w:rPr>
            </w:pPr>
            <w:r>
              <w:rPr>
                <w:rFonts w:ascii="Arial" w:cs="Arial" w:eastAsia="Arial" w:hAnsi="Arial"/>
                <w:sz w:val="16"/>
                <w:szCs w:val="16"/>
                <w:color w:val="auto"/>
              </w:rPr>
              <w:t>Dmitri Sinenko (11)</w:t>
            </w:r>
          </w:p>
        </w:tc>
        <w:tc>
          <w:tcPr>
            <w:tcW w:w="2940" w:type="dxa"/>
            <w:vAlign w:val="bottom"/>
            <w:gridSpan w:val="2"/>
          </w:tcPr>
          <w:p>
            <w:pPr>
              <w:jc w:val="right"/>
              <w:ind w:right="220"/>
              <w:spacing w:after="0"/>
              <w:rPr>
                <w:sz w:val="20"/>
                <w:szCs w:val="20"/>
                <w:color w:val="auto"/>
              </w:rPr>
            </w:pPr>
            <w:r>
              <w:rPr>
                <w:rFonts w:ascii="Arial" w:cs="Arial" w:eastAsia="Arial" w:hAnsi="Arial"/>
                <w:sz w:val="16"/>
                <w:szCs w:val="16"/>
                <w:color w:val="auto"/>
              </w:rPr>
              <w:t>500,000</w:t>
            </w:r>
          </w:p>
        </w:tc>
        <w:tc>
          <w:tcPr>
            <w:tcW w:w="2580" w:type="dxa"/>
            <w:vAlign w:val="bottom"/>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Nyera II Limited (12)</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1,500,000</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220" w:type="dxa"/>
            <w:vAlign w:val="bottom"/>
            <w:shd w:val="clear" w:color="auto" w:fill="CCEEFF"/>
          </w:tcPr>
          <w:p>
            <w:pPr>
              <w:spacing w:after="0"/>
              <w:rPr>
                <w:sz w:val="16"/>
                <w:szCs w:val="16"/>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tcPr>
          <w:p>
            <w:pPr>
              <w:spacing w:after="0"/>
              <w:rPr>
                <w:sz w:val="20"/>
                <w:szCs w:val="20"/>
                <w:color w:val="auto"/>
              </w:rPr>
            </w:pPr>
            <w:r>
              <w:rPr>
                <w:rFonts w:ascii="Arial" w:cs="Arial" w:eastAsia="Arial" w:hAnsi="Arial"/>
                <w:sz w:val="16"/>
                <w:szCs w:val="16"/>
                <w:color w:val="auto"/>
              </w:rPr>
              <w:t>J. Goldman Master Fund (13)</w:t>
            </w:r>
          </w:p>
        </w:tc>
        <w:tc>
          <w:tcPr>
            <w:tcW w:w="2940" w:type="dxa"/>
            <w:vAlign w:val="bottom"/>
            <w:gridSpan w:val="2"/>
          </w:tcPr>
          <w:p>
            <w:pPr>
              <w:jc w:val="right"/>
              <w:ind w:right="220"/>
              <w:spacing w:after="0"/>
              <w:rPr>
                <w:sz w:val="20"/>
                <w:szCs w:val="20"/>
                <w:color w:val="auto"/>
              </w:rPr>
            </w:pPr>
            <w:r>
              <w:rPr>
                <w:rFonts w:ascii="Arial" w:cs="Arial" w:eastAsia="Arial" w:hAnsi="Arial"/>
                <w:sz w:val="16"/>
                <w:szCs w:val="16"/>
                <w:color w:val="auto"/>
              </w:rPr>
              <w:t>500,000</w:t>
            </w:r>
          </w:p>
        </w:tc>
        <w:tc>
          <w:tcPr>
            <w:tcW w:w="2580" w:type="dxa"/>
            <w:vAlign w:val="bottom"/>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Mendocino Capital, LLC (14)</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2,500,000</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2,500,000</w:t>
            </w:r>
          </w:p>
        </w:tc>
        <w:tc>
          <w:tcPr>
            <w:tcW w:w="220" w:type="dxa"/>
            <w:vAlign w:val="bottom"/>
            <w:shd w:val="clear" w:color="auto" w:fill="CCEEFF"/>
          </w:tcPr>
          <w:p>
            <w:pPr>
              <w:spacing w:after="0"/>
              <w:rPr>
                <w:sz w:val="16"/>
                <w:szCs w:val="16"/>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tcPr>
          <w:p>
            <w:pPr>
              <w:spacing w:after="0"/>
              <w:rPr>
                <w:sz w:val="20"/>
                <w:szCs w:val="20"/>
                <w:color w:val="auto"/>
              </w:rPr>
            </w:pPr>
            <w:r>
              <w:rPr>
                <w:rFonts w:ascii="Arial" w:cs="Arial" w:eastAsia="Arial" w:hAnsi="Arial"/>
                <w:sz w:val="16"/>
                <w:szCs w:val="16"/>
                <w:color w:val="auto"/>
              </w:rPr>
              <w:t>Northbank Capital Management, LLC (15)</w:t>
            </w:r>
          </w:p>
        </w:tc>
        <w:tc>
          <w:tcPr>
            <w:tcW w:w="2940" w:type="dxa"/>
            <w:vAlign w:val="bottom"/>
            <w:gridSpan w:val="2"/>
          </w:tcPr>
          <w:p>
            <w:pPr>
              <w:jc w:val="right"/>
              <w:ind w:right="220"/>
              <w:spacing w:after="0"/>
              <w:rPr>
                <w:sz w:val="20"/>
                <w:szCs w:val="20"/>
                <w:color w:val="auto"/>
              </w:rPr>
            </w:pPr>
            <w:r>
              <w:rPr>
                <w:rFonts w:ascii="Arial" w:cs="Arial" w:eastAsia="Arial" w:hAnsi="Arial"/>
                <w:sz w:val="16"/>
                <w:szCs w:val="16"/>
                <w:color w:val="auto"/>
              </w:rPr>
              <w:t>500,000</w:t>
            </w:r>
          </w:p>
        </w:tc>
        <w:tc>
          <w:tcPr>
            <w:tcW w:w="2580" w:type="dxa"/>
            <w:vAlign w:val="bottom"/>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6"/>
        </w:trPr>
        <w:tc>
          <w:tcPr>
            <w:tcW w:w="316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Stearns, Conrad and Schmidt</w:t>
            </w:r>
          </w:p>
        </w:tc>
        <w:tc>
          <w:tcPr>
            <w:tcW w:w="2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201"/>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Consulting Engineers, Inc. (16)</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50,000</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tcPr>
          <w:p>
            <w:pPr>
              <w:spacing w:after="0"/>
              <w:rPr>
                <w:sz w:val="20"/>
                <w:szCs w:val="20"/>
                <w:color w:val="auto"/>
              </w:rPr>
            </w:pPr>
            <w:r>
              <w:rPr>
                <w:rFonts w:ascii="Arial" w:cs="Arial" w:eastAsia="Arial" w:hAnsi="Arial"/>
                <w:sz w:val="16"/>
                <w:szCs w:val="16"/>
                <w:color w:val="auto"/>
              </w:rPr>
              <w:t>Trent Vichie (17)</w:t>
            </w:r>
          </w:p>
        </w:tc>
        <w:tc>
          <w:tcPr>
            <w:tcW w:w="2940" w:type="dxa"/>
            <w:vAlign w:val="bottom"/>
            <w:gridSpan w:val="2"/>
          </w:tcPr>
          <w:p>
            <w:pPr>
              <w:jc w:val="right"/>
              <w:ind w:right="220"/>
              <w:spacing w:after="0"/>
              <w:rPr>
                <w:sz w:val="20"/>
                <w:szCs w:val="20"/>
                <w:color w:val="auto"/>
              </w:rPr>
            </w:pPr>
            <w:r>
              <w:rPr>
                <w:rFonts w:ascii="Arial" w:cs="Arial" w:eastAsia="Arial" w:hAnsi="Arial"/>
                <w:sz w:val="16"/>
                <w:szCs w:val="16"/>
                <w:color w:val="auto"/>
              </w:rPr>
              <w:t>200,000</w:t>
            </w:r>
          </w:p>
        </w:tc>
        <w:tc>
          <w:tcPr>
            <w:tcW w:w="2580" w:type="dxa"/>
            <w:vAlign w:val="bottom"/>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6"/>
        </w:trPr>
        <w:tc>
          <w:tcPr>
            <w:tcW w:w="316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Entities affiliated with Encompass Capital</w:t>
            </w:r>
          </w:p>
        </w:tc>
        <w:tc>
          <w:tcPr>
            <w:tcW w:w="2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201"/>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Advisors (18)</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3,306,085</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1,985,236</w:t>
            </w:r>
          </w:p>
        </w:tc>
        <w:tc>
          <w:tcPr>
            <w:tcW w:w="220" w:type="dxa"/>
            <w:vAlign w:val="bottom"/>
            <w:shd w:val="clear" w:color="auto" w:fill="CCEEFF"/>
          </w:tcPr>
          <w:p>
            <w:pPr>
              <w:spacing w:after="0"/>
              <w:rPr>
                <w:sz w:val="17"/>
                <w:szCs w:val="17"/>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1,320,849</w:t>
            </w:r>
          </w:p>
        </w:tc>
      </w:tr>
      <w:tr>
        <w:trPr>
          <w:trHeight w:val="188"/>
        </w:trPr>
        <w:tc>
          <w:tcPr>
            <w:tcW w:w="3160" w:type="dxa"/>
            <w:vAlign w:val="bottom"/>
            <w:gridSpan w:val="2"/>
          </w:tcPr>
          <w:p>
            <w:pPr>
              <w:spacing w:after="0"/>
              <w:rPr>
                <w:sz w:val="20"/>
                <w:szCs w:val="20"/>
                <w:color w:val="auto"/>
              </w:rPr>
            </w:pPr>
            <w:r>
              <w:rPr>
                <w:rFonts w:ascii="Arial" w:cs="Arial" w:eastAsia="Arial" w:hAnsi="Arial"/>
                <w:sz w:val="16"/>
                <w:szCs w:val="16"/>
                <w:color w:val="auto"/>
              </w:rPr>
              <w:t>Entities affiliated with Meteora Capital (19)</w:t>
            </w:r>
          </w:p>
        </w:tc>
        <w:tc>
          <w:tcPr>
            <w:tcW w:w="2940" w:type="dxa"/>
            <w:vAlign w:val="bottom"/>
            <w:gridSpan w:val="2"/>
          </w:tcPr>
          <w:p>
            <w:pPr>
              <w:jc w:val="right"/>
              <w:ind w:right="220"/>
              <w:spacing w:after="0"/>
              <w:rPr>
                <w:sz w:val="20"/>
                <w:szCs w:val="20"/>
                <w:color w:val="auto"/>
              </w:rPr>
            </w:pPr>
            <w:r>
              <w:rPr>
                <w:rFonts w:ascii="Arial" w:cs="Arial" w:eastAsia="Arial" w:hAnsi="Arial"/>
                <w:sz w:val="16"/>
                <w:szCs w:val="16"/>
                <w:color w:val="auto"/>
              </w:rPr>
              <w:t>2,000,000</w:t>
            </w:r>
          </w:p>
        </w:tc>
        <w:tc>
          <w:tcPr>
            <w:tcW w:w="2580" w:type="dxa"/>
            <w:vAlign w:val="bottom"/>
          </w:tcPr>
          <w:p>
            <w:pPr>
              <w:jc w:val="right"/>
              <w:spacing w:after="0"/>
              <w:rPr>
                <w:sz w:val="20"/>
                <w:szCs w:val="20"/>
                <w:color w:val="auto"/>
              </w:rPr>
            </w:pPr>
            <w:r>
              <w:rPr>
                <w:rFonts w:ascii="Arial" w:cs="Arial" w:eastAsia="Arial" w:hAnsi="Arial"/>
                <w:sz w:val="16"/>
                <w:szCs w:val="16"/>
                <w:color w:val="auto"/>
              </w:rPr>
              <w:t>2,000,000</w:t>
            </w:r>
          </w:p>
        </w:tc>
        <w:tc>
          <w:tcPr>
            <w:tcW w:w="22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Electron (20)</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1,800,000</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1,800,000</w:t>
            </w:r>
          </w:p>
        </w:tc>
        <w:tc>
          <w:tcPr>
            <w:tcW w:w="220" w:type="dxa"/>
            <w:vAlign w:val="bottom"/>
            <w:shd w:val="clear" w:color="auto" w:fill="CCEEFF"/>
          </w:tcPr>
          <w:p>
            <w:pPr>
              <w:spacing w:after="0"/>
              <w:rPr>
                <w:sz w:val="16"/>
                <w:szCs w:val="16"/>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76" w:lineRule="exact"/>
        <w:rPr>
          <w:sz w:val="20"/>
          <w:szCs w:val="20"/>
          <w:color w:val="auto"/>
        </w:rPr>
      </w:pPr>
    </w:p>
    <w:p>
      <w:pPr>
        <w:jc w:val="both"/>
        <w:ind w:left="546" w:hanging="546"/>
        <w:spacing w:after="0" w:line="265" w:lineRule="auto"/>
        <w:tabs>
          <w:tab w:leader="none" w:pos="546" w:val="left"/>
        </w:tabs>
        <w:numPr>
          <w:ilvl w:val="0"/>
          <w:numId w:val="85"/>
        </w:numPr>
        <w:rPr>
          <w:rFonts w:ascii="Arial" w:cs="Arial" w:eastAsia="Arial" w:hAnsi="Arial"/>
          <w:sz w:val="15"/>
          <w:szCs w:val="15"/>
          <w:color w:val="auto"/>
        </w:rPr>
      </w:pPr>
      <w:r>
        <w:rPr>
          <w:rFonts w:ascii="Arial" w:cs="Arial" w:eastAsia="Arial" w:hAnsi="Arial"/>
          <w:sz w:val="15"/>
          <w:szCs w:val="15"/>
          <w:color w:val="auto"/>
        </w:rPr>
        <w:t>Consists of 3,059,533 shares of Class A common stock. ARCC Beacon LLC’s (“</w:t>
      </w:r>
      <w:r>
        <w:rPr>
          <w:rFonts w:ascii="Arial" w:cs="Arial" w:eastAsia="Arial" w:hAnsi="Arial"/>
          <w:sz w:val="15"/>
          <w:szCs w:val="15"/>
          <w:b w:val="1"/>
          <w:bCs w:val="1"/>
          <w:i w:val="1"/>
          <w:iCs w:val="1"/>
          <w:color w:val="auto"/>
        </w:rPr>
        <w:t>ARCC Beacon</w:t>
      </w:r>
      <w:r>
        <w:rPr>
          <w:rFonts w:ascii="Arial" w:cs="Arial" w:eastAsia="Arial" w:hAnsi="Arial"/>
          <w:sz w:val="15"/>
          <w:szCs w:val="15"/>
          <w:color w:val="auto"/>
        </w:rPr>
        <w:t>”)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w:t>
      </w:r>
      <w:r>
        <w:rPr>
          <w:rFonts w:ascii="Arial" w:cs="Arial" w:eastAsia="Arial" w:hAnsi="Arial"/>
          <w:sz w:val="15"/>
          <w:szCs w:val="15"/>
          <w:b w:val="1"/>
          <w:bCs w:val="1"/>
          <w:i w:val="1"/>
          <w:iCs w:val="1"/>
          <w:color w:val="auto"/>
        </w:rPr>
        <w:t>Ares Class B Common Stock</w:t>
      </w:r>
      <w:r>
        <w:rPr>
          <w:rFonts w:ascii="Arial" w:cs="Arial" w:eastAsia="Arial" w:hAnsi="Arial"/>
          <w:sz w:val="15"/>
          <w:szCs w:val="15"/>
          <w:color w:val="auto"/>
        </w:rPr>
        <w:t>”) and Ares Voting LLC is the sole holder of the Class C common stock, $0.01 par value per share, of Ares Management Corporation (the “</w:t>
      </w:r>
      <w:r>
        <w:rPr>
          <w:rFonts w:ascii="Arial" w:cs="Arial" w:eastAsia="Arial" w:hAnsi="Arial"/>
          <w:sz w:val="15"/>
          <w:szCs w:val="15"/>
          <w:b w:val="1"/>
          <w:bCs w:val="1"/>
          <w:i w:val="1"/>
          <w:iCs w:val="1"/>
          <w:color w:val="auto"/>
        </w:rPr>
        <w:t>Ares Class C Common Stock</w:t>
      </w:r>
      <w:r>
        <w:rPr>
          <w:rFonts w:ascii="Arial" w:cs="Arial" w:eastAsia="Arial" w:hAnsi="Arial"/>
          <w:sz w:val="15"/>
          <w:szCs w:val="15"/>
          <w:color w:val="auto"/>
        </w:rPr>
        <w:t>”). Pursuant to Ares Management Corporation’s Certificate of Incorporation in effect as of the date of this filing, the holders of the Ares Class B 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w:t>
      </w:r>
      <w:r>
        <w:rPr>
          <w:rFonts w:ascii="Arial" w:cs="Arial" w:eastAsia="Arial" w:hAnsi="Arial"/>
          <w:sz w:val="15"/>
          <w:szCs w:val="15"/>
          <w:b w:val="1"/>
          <w:bCs w:val="1"/>
          <w:i w:val="1"/>
          <w:iCs w:val="1"/>
          <w:color w:val="auto"/>
        </w:rPr>
        <w:t>Ares Board Members</w:t>
      </w:r>
      <w:r>
        <w:rPr>
          <w:rFonts w:ascii="Arial" w:cs="Arial" w:eastAsia="Arial" w:hAnsi="Arial"/>
          <w:sz w:val="15"/>
          <w:szCs w:val="15"/>
          <w:color w:val="auto"/>
        </w:rPr>
        <w:t>”). Antony P. Ressler generally has veto authority over decisions by the Ares Board Members. Each of the Ares Entities (other than ARCC Beacon, with respect to the securities owned by it as set forth above), the Ares Board Members and the other directors, officers, partners, stockholders, members and managers of the Ares Entities, expressly disclaims beneficial ownership of the shares reported herein for purposes of Section 13(d) of the Exchange Act and the rules under Section 13(d) of the Exchange Act. The address of each Ares Entity is 2000 Avenue of the Stars, 12th Floor, Los Angeles, California 90067.</w:t>
      </w:r>
    </w:p>
    <w:p>
      <w:pPr>
        <w:spacing w:after="0" w:line="34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2" w:right="319" w:bottom="1440" w:gutter="0" w:footer="0" w:header="0"/>
        </w:sectPr>
      </w:pPr>
    </w:p>
    <w:bookmarkStart w:id="122" w:name="page123"/>
    <w:bookmarkEnd w:id="122"/>
    <w:p>
      <w:pPr>
        <w:jc w:val="both"/>
        <w:ind w:left="546" w:hanging="546"/>
        <w:spacing w:after="0" w:line="318" w:lineRule="auto"/>
        <w:tabs>
          <w:tab w:leader="none" w:pos="546" w:val="left"/>
        </w:tabs>
        <w:numPr>
          <w:ilvl w:val="0"/>
          <w:numId w:val="86"/>
        </w:numPr>
        <w:rPr>
          <w:rFonts w:ascii="Arial" w:cs="Arial" w:eastAsia="Arial" w:hAnsi="Arial"/>
          <w:sz w:val="13"/>
          <w:szCs w:val="13"/>
          <w:color w:val="auto"/>
        </w:rPr>
      </w:pPr>
      <w:r>
        <w:rPr>
          <w:rFonts w:ascii="Arial" w:cs="Arial" w:eastAsia="Arial" w:hAnsi="Arial"/>
          <w:sz w:val="13"/>
          <w:szCs w:val="13"/>
          <w:color w:val="auto"/>
        </w:rPr>
        <w:t>Consists of (i) 7,639,076 shares of Class A common stock held directly by ArcLight CTC Holdings II, L.P. (“</w:t>
      </w:r>
      <w:r>
        <w:rPr>
          <w:rFonts w:ascii="Arial" w:cs="Arial" w:eastAsia="Arial" w:hAnsi="Arial"/>
          <w:sz w:val="13"/>
          <w:szCs w:val="13"/>
          <w:b w:val="1"/>
          <w:bCs w:val="1"/>
          <w:i w:val="1"/>
          <w:iCs w:val="1"/>
          <w:color w:val="auto"/>
        </w:rPr>
        <w:t>Sponsor</w:t>
      </w:r>
      <w:r>
        <w:rPr>
          <w:rFonts w:ascii="Arial" w:cs="Arial" w:eastAsia="Arial" w:hAnsi="Arial"/>
          <w:sz w:val="13"/>
          <w:szCs w:val="13"/>
          <w:color w:val="auto"/>
        </w:rPr>
        <w:t>”) (including, 763,907 of such shares subject to forfeiture as described in the section titled The Business Combination — Related Agreements — Sponsor Letter Agreement” of the Proxy Statement/Prospectus beginning on page 118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319" w:lineRule="exact"/>
        <w:rPr>
          <w:rFonts w:ascii="Arial" w:cs="Arial" w:eastAsia="Arial" w:hAnsi="Arial"/>
          <w:sz w:val="13"/>
          <w:szCs w:val="13"/>
          <w:color w:val="auto"/>
        </w:rPr>
      </w:pPr>
    </w:p>
    <w:p>
      <w:pPr>
        <w:ind w:left="546" w:right="20" w:hanging="546"/>
        <w:spacing w:after="0" w:line="266" w:lineRule="auto"/>
        <w:tabs>
          <w:tab w:leader="none" w:pos="5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Does not include any shares that may be deemed to be indirectly owned by this individual because of his or her ownership interest in the Sponsor. The business address of Sponsor and Mr. Harris is 200 Clarendon Street, 55th Floor, Boston, Massachusetts, 02116.</w:t>
      </w:r>
    </w:p>
    <w:p>
      <w:pPr>
        <w:spacing w:after="0" w:line="157" w:lineRule="exact"/>
        <w:rPr>
          <w:rFonts w:ascii="Arial" w:cs="Arial" w:eastAsia="Arial" w:hAnsi="Arial"/>
          <w:sz w:val="16"/>
          <w:szCs w:val="16"/>
          <w:color w:val="auto"/>
        </w:rPr>
      </w:pPr>
    </w:p>
    <w:p>
      <w:pPr>
        <w:ind w:left="546" w:right="20" w:hanging="546"/>
        <w:spacing w:after="0" w:line="266" w:lineRule="auto"/>
        <w:tabs>
          <w:tab w:leader="none" w:pos="5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Does not include any shares that may be deemed to be indirectly owned by this individual because of his or her ownership interest in the Sponsor. The business address of Sponsor and Mr. Goncher is 200 Clarendon Street, 55th Floor, Boston, Massachusetts, 02116.</w:t>
      </w:r>
    </w:p>
    <w:p>
      <w:pPr>
        <w:spacing w:after="0" w:line="157" w:lineRule="exact"/>
        <w:rPr>
          <w:rFonts w:ascii="Arial" w:cs="Arial" w:eastAsia="Arial" w:hAnsi="Arial"/>
          <w:sz w:val="16"/>
          <w:szCs w:val="16"/>
          <w:color w:val="auto"/>
        </w:rPr>
      </w:pPr>
    </w:p>
    <w:p>
      <w:pPr>
        <w:ind w:left="546" w:right="20" w:hanging="546"/>
        <w:spacing w:after="0" w:line="266" w:lineRule="auto"/>
        <w:tabs>
          <w:tab w:leader="none" w:pos="5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Does not include any shares that may be deemed to be indirectly owned by this individual because of his or her ownership interest in the Sponsor. The business address of Sponsor and Ms. Lee is 200 Clarendon Street, 55th Floor, Boston, Massachusetts, 02116.</w:t>
      </w:r>
    </w:p>
    <w:p>
      <w:pPr>
        <w:spacing w:after="0" w:line="157" w:lineRule="exact"/>
        <w:rPr>
          <w:rFonts w:ascii="Arial" w:cs="Arial" w:eastAsia="Arial" w:hAnsi="Arial"/>
          <w:sz w:val="16"/>
          <w:szCs w:val="16"/>
          <w:color w:val="auto"/>
        </w:rPr>
      </w:pPr>
    </w:p>
    <w:p>
      <w:pPr>
        <w:ind w:left="546" w:right="20" w:hanging="546"/>
        <w:spacing w:after="0" w:line="266" w:lineRule="auto"/>
        <w:tabs>
          <w:tab w:leader="none" w:pos="5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Does not include any shares that may be deemed to be indirectly owned by this individual because of his or her ownership interest in the Sponsor. The business address of Sponsor and Mr. Berkenfeld is 200 Clarendon Street, 55th Floor, Boston, Massachusetts, 02116.</w:t>
      </w:r>
    </w:p>
    <w:p>
      <w:pPr>
        <w:spacing w:after="0" w:line="157" w:lineRule="exact"/>
        <w:rPr>
          <w:rFonts w:ascii="Arial" w:cs="Arial" w:eastAsia="Arial" w:hAnsi="Arial"/>
          <w:sz w:val="16"/>
          <w:szCs w:val="16"/>
          <w:color w:val="auto"/>
        </w:rPr>
      </w:pPr>
    </w:p>
    <w:p>
      <w:pPr>
        <w:jc w:val="both"/>
        <w:ind w:left="546" w:hanging="546"/>
        <w:spacing w:after="0" w:line="267" w:lineRule="auto"/>
        <w:tabs>
          <w:tab w:leader="none" w:pos="546"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Arial" w:cs="Arial" w:eastAsia="Arial" w:hAnsi="Arial"/>
          <w:sz w:val="15"/>
          <w:szCs w:val="15"/>
          <w:i w:val="1"/>
          <w:iCs w:val="1"/>
          <w:color w:val="auto"/>
        </w:rPr>
        <w:t>Certain Relationships and</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Party Transactions—Hillman Restructuring</w:t>
      </w:r>
      <w:r>
        <w:rPr>
          <w:rFonts w:ascii="Arial" w:cs="Arial" w:eastAsia="Arial" w:hAnsi="Arial"/>
          <w:sz w:val="15"/>
          <w:szCs w:val="15"/>
          <w:color w:val="auto"/>
        </w:rPr>
        <w:t>.” The business address of each of Mr. Comora, OPAL Holdco, Hillman and Fortistar is One North Lexington Avenue</w:t>
      </w:r>
      <w:r>
        <w:rPr>
          <w:rFonts w:ascii="Arial" w:cs="Arial" w:eastAsia="Arial" w:hAnsi="Arial"/>
          <w:sz w:val="15"/>
          <w:szCs w:val="15"/>
          <w:i w:val="1"/>
          <w:iCs w:val="1"/>
          <w:color w:val="auto"/>
        </w:rPr>
        <w:t xml:space="preserve"> </w:t>
      </w:r>
      <w:r>
        <w:rPr>
          <w:rFonts w:ascii="Arial" w:cs="Arial" w:eastAsia="Arial" w:hAnsi="Arial"/>
          <w:sz w:val="15"/>
          <w:szCs w:val="15"/>
          <w:color w:val="auto"/>
        </w:rPr>
        <w:t>14th Floor, White Plains, New York 10601.</w:t>
      </w:r>
    </w:p>
    <w:p>
      <w:pPr>
        <w:spacing w:after="0" w:line="160" w:lineRule="exact"/>
        <w:rPr>
          <w:rFonts w:ascii="Arial" w:cs="Arial" w:eastAsia="Arial" w:hAnsi="Arial"/>
          <w:sz w:val="15"/>
          <w:szCs w:val="15"/>
          <w:color w:val="auto"/>
        </w:rPr>
      </w:pPr>
    </w:p>
    <w:p>
      <w:pPr>
        <w:jc w:val="both"/>
        <w:ind w:left="546" w:right="20" w:hanging="546"/>
        <w:spacing w:after="0" w:line="281" w:lineRule="auto"/>
        <w:tabs>
          <w:tab w:leader="none" w:pos="546"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Consists of 500,000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Massachusetts 02110.</w:t>
      </w:r>
    </w:p>
    <w:p>
      <w:pPr>
        <w:spacing w:after="0" w:line="147" w:lineRule="exact"/>
        <w:rPr>
          <w:rFonts w:ascii="Arial" w:cs="Arial" w:eastAsia="Arial" w:hAnsi="Arial"/>
          <w:sz w:val="15"/>
          <w:szCs w:val="15"/>
          <w:color w:val="auto"/>
        </w:rPr>
      </w:pPr>
    </w:p>
    <w:p>
      <w:pPr>
        <w:jc w:val="both"/>
        <w:ind w:left="546" w:hanging="546"/>
        <w:spacing w:after="0" w:line="256" w:lineRule="auto"/>
        <w:tabs>
          <w:tab w:leader="none" w:pos="5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34th Street, Suite 2800, New York, NY 10001.</w:t>
      </w:r>
    </w:p>
    <w:p>
      <w:pPr>
        <w:spacing w:after="0" w:line="35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975" w:right="319" w:bottom="1440" w:gutter="0" w:footer="0" w:header="0"/>
        </w:sectPr>
      </w:pPr>
    </w:p>
    <w:bookmarkStart w:id="123" w:name="page124"/>
    <w:bookmarkEnd w:id="123"/>
    <w:p>
      <w:pPr>
        <w:jc w:val="both"/>
        <w:ind w:left="546" w:hanging="546"/>
        <w:spacing w:after="0" w:line="252" w:lineRule="auto"/>
        <w:tabs>
          <w:tab w:leader="none" w:pos="5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105,000 shares of Class A common stock. Arosa Capital Management Opportunistic GP II LLC is the general partner of Arosa Opportunistic Fund LP and Arosa Capital Management LP is its investment manager. The members of Arosa Capital Management Opportunistic GP II LLC and the limited partners of Arosa Capital Management LP are Till Bechtolsheimer and Abraham Joseph. The business address of each person and entity named in this footnote is c/o Arosa Capital Management LP, 550 West 34th Street, Suite 2800, New York, New York 10001.</w:t>
      </w:r>
    </w:p>
    <w:p>
      <w:pPr>
        <w:spacing w:after="0" w:line="169" w:lineRule="exact"/>
        <w:rPr>
          <w:rFonts w:ascii="Arial" w:cs="Arial" w:eastAsia="Arial" w:hAnsi="Arial"/>
          <w:sz w:val="16"/>
          <w:szCs w:val="16"/>
          <w:color w:val="auto"/>
        </w:rPr>
      </w:pPr>
    </w:p>
    <w:p>
      <w:pPr>
        <w:ind w:left="546" w:hanging="546"/>
        <w:spacing w:after="0"/>
        <w:tabs>
          <w:tab w:leader="none" w:pos="5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500,000 shares of Class A common stock. The address of the Selling Holder is 1614 Sul Ross Street, Houston, Texas 77006.</w:t>
      </w:r>
    </w:p>
    <w:p>
      <w:pPr>
        <w:spacing w:after="0" w:line="192" w:lineRule="exact"/>
        <w:rPr>
          <w:rFonts w:ascii="Arial" w:cs="Arial" w:eastAsia="Arial" w:hAnsi="Arial"/>
          <w:sz w:val="16"/>
          <w:szCs w:val="16"/>
          <w:color w:val="auto"/>
        </w:rPr>
      </w:pPr>
    </w:p>
    <w:p>
      <w:pPr>
        <w:jc w:val="both"/>
        <w:ind w:left="546" w:right="20" w:hanging="546"/>
        <w:spacing w:after="0" w:line="274" w:lineRule="auto"/>
        <w:tabs>
          <w:tab w:leader="none" w:pos="546"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1,500,000 shares of Class A common stock. Benjamin Wasem, Pantelitsa Georgiade and Vasiliki Papalli (the “</w:t>
      </w:r>
      <w:r>
        <w:rPr>
          <w:rFonts w:ascii="Arial" w:cs="Arial" w:eastAsia="Arial" w:hAnsi="Arial"/>
          <w:sz w:val="15"/>
          <w:szCs w:val="15"/>
          <w:b w:val="1"/>
          <w:bCs w:val="1"/>
          <w:i w:val="1"/>
          <w:iCs w:val="1"/>
          <w:color w:val="auto"/>
        </w:rPr>
        <w:t>Nyera Principals</w:t>
      </w:r>
      <w:r>
        <w:rPr>
          <w:rFonts w:ascii="Arial" w:cs="Arial" w:eastAsia="Arial" w:hAnsi="Arial"/>
          <w:sz w:val="15"/>
          <w:szCs w:val="15"/>
          <w:color w:val="auto"/>
        </w:rPr>
        <w:t>”) each has voting and investment discretion with respect to the securities held Nyera II Limited (“</w:t>
      </w:r>
      <w:r>
        <w:rPr>
          <w:rFonts w:ascii="Arial" w:cs="Arial" w:eastAsia="Arial" w:hAnsi="Arial"/>
          <w:sz w:val="15"/>
          <w:szCs w:val="15"/>
          <w:b w:val="1"/>
          <w:bCs w:val="1"/>
          <w:i w:val="1"/>
          <w:iCs w:val="1"/>
          <w:color w:val="auto"/>
        </w:rPr>
        <w:t>Nyera</w:t>
      </w:r>
      <w:r>
        <w:rPr>
          <w:rFonts w:ascii="Arial" w:cs="Arial" w:eastAsia="Arial" w:hAnsi="Arial"/>
          <w:sz w:val="15"/>
          <w:szCs w:val="15"/>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54" w:lineRule="exact"/>
        <w:rPr>
          <w:rFonts w:ascii="Arial" w:cs="Arial" w:eastAsia="Arial" w:hAnsi="Arial"/>
          <w:sz w:val="15"/>
          <w:szCs w:val="15"/>
          <w:color w:val="auto"/>
        </w:rPr>
      </w:pPr>
    </w:p>
    <w:p>
      <w:pPr>
        <w:jc w:val="both"/>
        <w:ind w:left="546" w:hanging="546"/>
        <w:spacing w:after="0" w:line="269" w:lineRule="auto"/>
        <w:tabs>
          <w:tab w:leader="none" w:pos="546"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500,000 shares of Class A common stock. J. Goldman Master Fund, L.P. (the “</w:t>
      </w:r>
      <w:r>
        <w:rPr>
          <w:rFonts w:ascii="Arial" w:cs="Arial" w:eastAsia="Arial" w:hAnsi="Arial"/>
          <w:sz w:val="15"/>
          <w:szCs w:val="15"/>
          <w:b w:val="1"/>
          <w:bCs w:val="1"/>
          <w:i w:val="1"/>
          <w:iCs w:val="1"/>
          <w:color w:val="auto"/>
        </w:rPr>
        <w:t>Master Fund</w:t>
      </w:r>
      <w:r>
        <w:rPr>
          <w:rFonts w:ascii="Arial" w:cs="Arial" w:eastAsia="Arial" w:hAnsi="Arial"/>
          <w:sz w:val="15"/>
          <w:szCs w:val="15"/>
          <w:color w:val="auto"/>
        </w:rPr>
        <w:t>”, which is managed by J. Goldman &amp; Co., L.P. of which J. Goldman Capital Management Inc. is the general partner beneficially owns 300,000 shares of common stock of the Company. Jay G. Goldman is the sole director of J. Goldman Capital Management, Inc. Together, J. Goldman &amp; Co., L.P., J. Goldman Capital Management, Inc. and Jay G. Goldman have shared voting and dispositive power over the securities of the Company reported herein that are held by the Master Fund. J. Goldman &amp; Co., 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p>
      <w:pPr>
        <w:spacing w:after="0" w:line="159" w:lineRule="exact"/>
        <w:rPr>
          <w:rFonts w:ascii="Arial" w:cs="Arial" w:eastAsia="Arial" w:hAnsi="Arial"/>
          <w:sz w:val="15"/>
          <w:szCs w:val="15"/>
          <w:color w:val="auto"/>
        </w:rPr>
      </w:pPr>
    </w:p>
    <w:p>
      <w:pPr>
        <w:ind w:left="546" w:right="20" w:hanging="546"/>
        <w:spacing w:after="0" w:line="266" w:lineRule="auto"/>
        <w:tabs>
          <w:tab w:leader="none" w:pos="5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2,500,000 shares of Class A common stock. Mendocino Capital, LLC (“</w:t>
      </w:r>
      <w:r>
        <w:rPr>
          <w:rFonts w:ascii="Arial" w:cs="Arial" w:eastAsia="Arial" w:hAnsi="Arial"/>
          <w:sz w:val="16"/>
          <w:szCs w:val="16"/>
          <w:b w:val="1"/>
          <w:bCs w:val="1"/>
          <w:i w:val="1"/>
          <w:iCs w:val="1"/>
          <w:color w:val="auto"/>
        </w:rPr>
        <w:t>Mendocino</w:t>
      </w:r>
      <w:r>
        <w:rPr>
          <w:rFonts w:ascii="Arial" w:cs="Arial" w:eastAsia="Arial" w:hAnsi="Arial"/>
          <w:sz w:val="16"/>
          <w:szCs w:val="16"/>
          <w:color w:val="auto"/>
        </w:rPr>
        <w:t>”) is a subsidiary of NextEra Energy, Inc.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a publicly traded company. The business address of Mendocino and NextEra is 700 Universe Boulevard, Juno Beach, Florida 33408.</w:t>
      </w:r>
    </w:p>
    <w:p>
      <w:pPr>
        <w:spacing w:after="0" w:line="157" w:lineRule="exact"/>
        <w:rPr>
          <w:rFonts w:ascii="Arial" w:cs="Arial" w:eastAsia="Arial" w:hAnsi="Arial"/>
          <w:sz w:val="16"/>
          <w:szCs w:val="16"/>
          <w:color w:val="auto"/>
        </w:rPr>
      </w:pPr>
    </w:p>
    <w:p>
      <w:pPr>
        <w:ind w:left="546" w:right="20" w:hanging="546"/>
        <w:spacing w:after="0" w:line="383" w:lineRule="auto"/>
        <w:tabs>
          <w:tab w:leader="none" w:pos="546" w:val="left"/>
        </w:tabs>
        <w:numPr>
          <w:ilvl w:val="0"/>
          <w:numId w:val="87"/>
        </w:numPr>
        <w:rPr>
          <w:rFonts w:ascii="Arial" w:cs="Arial" w:eastAsia="Arial" w:hAnsi="Arial"/>
          <w:sz w:val="13"/>
          <w:szCs w:val="13"/>
          <w:color w:val="auto"/>
        </w:rPr>
      </w:pPr>
      <w:r>
        <w:rPr>
          <w:rFonts w:ascii="Arial" w:cs="Arial" w:eastAsia="Arial" w:hAnsi="Arial"/>
          <w:sz w:val="13"/>
          <w:szCs w:val="13"/>
          <w:color w:val="auto"/>
        </w:rPr>
        <w:t>Consists of 500,000 shares of Class A common stock. Bradford Seagraves is the Chief Investment Officer of Northbank Capital Management, LLC (“</w:t>
      </w:r>
      <w:r>
        <w:rPr>
          <w:rFonts w:ascii="Arial" w:cs="Arial" w:eastAsia="Arial" w:hAnsi="Arial"/>
          <w:sz w:val="13"/>
          <w:szCs w:val="13"/>
          <w:b w:val="1"/>
          <w:bCs w:val="1"/>
          <w:i w:val="1"/>
          <w:iCs w:val="1"/>
          <w:color w:val="auto"/>
        </w:rPr>
        <w:t>Northbank</w:t>
      </w:r>
      <w:r>
        <w:rPr>
          <w:rFonts w:ascii="Arial" w:cs="Arial" w:eastAsia="Arial" w:hAnsi="Arial"/>
          <w:sz w:val="13"/>
          <w:szCs w:val="13"/>
          <w:color w:val="auto"/>
        </w:rPr>
        <w:t>”), and may be deemed the beneficial owner of such shares. The business address of Northbank is 133 Southern Comfort Road, Ketchum, Idaho 83340.</w:t>
      </w:r>
    </w:p>
    <w:p>
      <w:pPr>
        <w:spacing w:after="0" w:line="88" w:lineRule="exact"/>
        <w:rPr>
          <w:rFonts w:ascii="Arial" w:cs="Arial" w:eastAsia="Arial" w:hAnsi="Arial"/>
          <w:sz w:val="13"/>
          <w:szCs w:val="13"/>
          <w:color w:val="auto"/>
        </w:rPr>
      </w:pPr>
    </w:p>
    <w:p>
      <w:pPr>
        <w:jc w:val="both"/>
        <w:ind w:left="546" w:hanging="546"/>
        <w:spacing w:after="0" w:line="256" w:lineRule="auto"/>
        <w:tabs>
          <w:tab w:leader="none" w:pos="5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50,000 shares of Class A common stock. Curtis Jang is the Chief Financial Officer of Stearns, Conrad and Schmidt Consulting Engineers, Inc.(“</w:t>
      </w:r>
      <w:r>
        <w:rPr>
          <w:rFonts w:ascii="Arial" w:cs="Arial" w:eastAsia="Arial" w:hAnsi="Arial"/>
          <w:sz w:val="16"/>
          <w:szCs w:val="16"/>
          <w:b w:val="1"/>
          <w:bCs w:val="1"/>
          <w:i w:val="1"/>
          <w:iCs w:val="1"/>
          <w:color w:val="auto"/>
        </w:rPr>
        <w:t>SCS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Consulting</w:t>
      </w:r>
      <w:r>
        <w:rPr>
          <w:rFonts w:ascii="Arial" w:cs="Arial" w:eastAsia="Arial" w:hAnsi="Arial"/>
          <w:sz w:val="16"/>
          <w:szCs w:val="16"/>
          <w:color w:val="auto"/>
        </w:rPr>
        <w:t>”), and may be deemed the beneficial owner of such shares. The business address of SCS Consulting is 3900 Kilroy Airport Way, Suite 100, Long Beach,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90806.</w:t>
      </w:r>
    </w:p>
    <w:p>
      <w:pPr>
        <w:spacing w:after="0" w:line="165" w:lineRule="exact"/>
        <w:rPr>
          <w:rFonts w:ascii="Arial" w:cs="Arial" w:eastAsia="Arial" w:hAnsi="Arial"/>
          <w:sz w:val="16"/>
          <w:szCs w:val="16"/>
          <w:color w:val="auto"/>
        </w:rPr>
      </w:pPr>
    </w:p>
    <w:p>
      <w:pPr>
        <w:ind w:left="546" w:hanging="546"/>
        <w:spacing w:after="0"/>
        <w:tabs>
          <w:tab w:leader="none" w:pos="5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200,000 shares of Class A common stock. The address of the Selling Holder is 2403 Hatley Dr., Austin Texas 78746.</w:t>
      </w:r>
    </w:p>
    <w:p>
      <w:pPr>
        <w:spacing w:after="0" w:line="192" w:lineRule="exact"/>
        <w:rPr>
          <w:rFonts w:ascii="Arial" w:cs="Arial" w:eastAsia="Arial" w:hAnsi="Arial"/>
          <w:sz w:val="16"/>
          <w:szCs w:val="16"/>
          <w:color w:val="auto"/>
        </w:rPr>
      </w:pPr>
    </w:p>
    <w:p>
      <w:pPr>
        <w:jc w:val="both"/>
        <w:ind w:left="546" w:hanging="546"/>
        <w:spacing w:after="0" w:line="281" w:lineRule="auto"/>
        <w:tabs>
          <w:tab w:leader="none" w:pos="546"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(i) 1,352,223 shares underlying warrants that are exercisable within 60 days of the date of this prospectus, and (ii) 633,013 shares underlying warrants that are not currently exercisable within 60 days of the date of this prospectus because such warrants are subject to ownership limitations so that the selling stockholder may not beneficially own in excess of 9.9% of the issued and outstanding Class A common stock of the Company.</w:t>
      </w:r>
    </w:p>
    <w:p>
      <w:pPr>
        <w:spacing w:after="0" w:line="147" w:lineRule="exact"/>
        <w:rPr>
          <w:rFonts w:ascii="Arial" w:cs="Arial" w:eastAsia="Arial" w:hAnsi="Arial"/>
          <w:sz w:val="15"/>
          <w:szCs w:val="15"/>
          <w:color w:val="auto"/>
        </w:rPr>
      </w:pPr>
    </w:p>
    <w:p>
      <w:pPr>
        <w:jc w:val="both"/>
        <w:ind w:left="546" w:hanging="546"/>
        <w:spacing w:after="0" w:line="318" w:lineRule="auto"/>
        <w:tabs>
          <w:tab w:leader="none" w:pos="546" w:val="left"/>
        </w:tabs>
        <w:numPr>
          <w:ilvl w:val="0"/>
          <w:numId w:val="87"/>
        </w:numPr>
        <w:rPr>
          <w:rFonts w:ascii="Arial" w:cs="Arial" w:eastAsia="Arial" w:hAnsi="Arial"/>
          <w:sz w:val="13"/>
          <w:szCs w:val="13"/>
          <w:color w:val="auto"/>
        </w:rPr>
      </w:pPr>
      <w:r>
        <w:rPr>
          <w:rFonts w:ascii="Arial" w:cs="Arial" w:eastAsia="Arial" w:hAnsi="Arial"/>
          <w:sz w:val="13"/>
          <w:szCs w:val="13"/>
          <w:color w:val="auto"/>
        </w:rPr>
        <w:t>Consists of (i) 414,600 shares of Class A common stock held by Meteora Special Opportunity Fund I, LP (“</w:t>
      </w:r>
      <w:r>
        <w:rPr>
          <w:rFonts w:ascii="Arial" w:cs="Arial" w:eastAsia="Arial" w:hAnsi="Arial"/>
          <w:sz w:val="13"/>
          <w:szCs w:val="13"/>
          <w:b w:val="1"/>
          <w:bCs w:val="1"/>
          <w:i w:val="1"/>
          <w:iCs w:val="1"/>
          <w:color w:val="auto"/>
        </w:rPr>
        <w:t>MSOF</w:t>
      </w:r>
      <w:r>
        <w:rPr>
          <w:rFonts w:ascii="Arial" w:cs="Arial" w:eastAsia="Arial" w:hAnsi="Arial"/>
          <w:sz w:val="13"/>
          <w:szCs w:val="13"/>
          <w:color w:val="auto"/>
        </w:rPr>
        <w:t>”), (ii) 477,600 shares of Class A common stock held by Meteora Select Trading Opportunities Master, LP (“</w:t>
      </w:r>
      <w:r>
        <w:rPr>
          <w:rFonts w:ascii="Arial" w:cs="Arial" w:eastAsia="Arial" w:hAnsi="Arial"/>
          <w:sz w:val="13"/>
          <w:szCs w:val="13"/>
          <w:b w:val="1"/>
          <w:bCs w:val="1"/>
          <w:i w:val="1"/>
          <w:iCs w:val="1"/>
          <w:color w:val="auto"/>
        </w:rPr>
        <w:t>MSTO</w:t>
      </w:r>
      <w:r>
        <w:rPr>
          <w:rFonts w:ascii="Arial" w:cs="Arial" w:eastAsia="Arial" w:hAnsi="Arial"/>
          <w:sz w:val="13"/>
          <w:szCs w:val="13"/>
          <w:color w:val="auto"/>
        </w:rPr>
        <w:t>”) and (iii) 1,107,800 shares of Class A common stock held by Meteora Capital Partners (“</w:t>
      </w:r>
      <w:r>
        <w:rPr>
          <w:rFonts w:ascii="Arial" w:cs="Arial" w:eastAsia="Arial" w:hAnsi="Arial"/>
          <w:sz w:val="13"/>
          <w:szCs w:val="13"/>
          <w:b w:val="1"/>
          <w:bCs w:val="1"/>
          <w:i w:val="1"/>
          <w:iCs w:val="1"/>
          <w:color w:val="auto"/>
        </w:rPr>
        <w:t>MCP</w:t>
      </w:r>
      <w:r>
        <w:rPr>
          <w:rFonts w:ascii="Arial" w:cs="Arial" w:eastAsia="Arial" w:hAnsi="Arial"/>
          <w:sz w:val="13"/>
          <w:szCs w:val="13"/>
          <w:color w:val="auto"/>
        </w:rPr>
        <w:t>”). Meteora Capital, LLC (“</w:t>
      </w:r>
      <w:r>
        <w:rPr>
          <w:rFonts w:ascii="Arial" w:cs="Arial" w:eastAsia="Arial" w:hAnsi="Arial"/>
          <w:sz w:val="13"/>
          <w:szCs w:val="13"/>
          <w:b w:val="1"/>
          <w:bCs w:val="1"/>
          <w:i w:val="1"/>
          <w:iCs w:val="1"/>
          <w:color w:val="auto"/>
        </w:rPr>
        <w:t>Meteora Capital</w:t>
      </w:r>
      <w:r>
        <w:rPr>
          <w:rFonts w:ascii="Arial" w:cs="Arial" w:eastAsia="Arial" w:hAnsi="Arial"/>
          <w:sz w:val="13"/>
          <w:szCs w:val="13"/>
          <w:color w:val="auto"/>
        </w:rPr>
        <w:t>”) serves as investment manager to MSOF, MSTO and MCP. Voting and investment power over the shares held by MSOF, MSTO and MCP resides with its investment manager, Meteora Capital, LLC (“</w:t>
      </w:r>
      <w:r>
        <w:rPr>
          <w:rFonts w:ascii="Arial" w:cs="Arial" w:eastAsia="Arial" w:hAnsi="Arial"/>
          <w:sz w:val="13"/>
          <w:szCs w:val="13"/>
          <w:b w:val="1"/>
          <w:bCs w:val="1"/>
          <w:i w:val="1"/>
          <w:iCs w:val="1"/>
          <w:color w:val="auto"/>
        </w:rPr>
        <w:t>Meteora Capital</w:t>
      </w:r>
      <w:r>
        <w:rPr>
          <w:rFonts w:ascii="Arial" w:cs="Arial" w:eastAsia="Arial" w:hAnsi="Arial"/>
          <w:sz w:val="13"/>
          <w:szCs w:val="13"/>
          <w:color w:val="auto"/>
        </w:rPr>
        <w:t>”). Mr. Vik Mittal serves as the managing member of Meteora Capital and may be deemed to be the beneficial owner of the shares of Class A common stock held by such entities. Mr. Mittal, however, disclaims any beneficial ownership of the shares held by such entities. The business address of each of MSOF, MSTO, MCP, Meteora Capital and Mr. Mittal is 840 Park Drive East, Boca Raton, Florida 33444.</w:t>
      </w:r>
    </w:p>
    <w:p>
      <w:pPr>
        <w:spacing w:after="0" w:line="131" w:lineRule="exact"/>
        <w:rPr>
          <w:sz w:val="20"/>
          <w:szCs w:val="20"/>
          <w:color w:val="auto"/>
        </w:rPr>
      </w:pPr>
    </w:p>
    <w:p>
      <w:pPr>
        <w:jc w:val="both"/>
        <w:ind w:left="546" w:hanging="539"/>
        <w:spacing w:after="0" w:line="267" w:lineRule="auto"/>
        <w:tabs>
          <w:tab w:leader="none" w:pos="525" w:val="left"/>
        </w:tabs>
        <w:rPr>
          <w:sz w:val="20"/>
          <w:szCs w:val="20"/>
          <w:color w:val="auto"/>
        </w:rPr>
      </w:pPr>
      <w:r>
        <w:rPr>
          <w:rFonts w:ascii="Arial" w:cs="Arial" w:eastAsia="Arial" w:hAnsi="Arial"/>
          <w:sz w:val="15"/>
          <w:szCs w:val="15"/>
          <w:color w:val="auto"/>
        </w:rPr>
        <w:t>(20</w:t>
      </w:r>
      <w:r>
        <w:rPr>
          <w:sz w:val="20"/>
          <w:szCs w:val="20"/>
          <w:color w:val="auto"/>
        </w:rPr>
        <w:tab/>
      </w:r>
      <w:r>
        <w:rPr>
          <w:rFonts w:ascii="Arial" w:cs="Arial" w:eastAsia="Arial" w:hAnsi="Arial"/>
          <w:sz w:val="15"/>
          <w:szCs w:val="15"/>
          <w:color w:val="auto"/>
        </w:rPr>
        <w:t>Consists of (i) 1,060,088 shares of Class A common stock held by Electron Global Master Fund LP (“</w:t>
      </w:r>
      <w:r>
        <w:rPr>
          <w:rFonts w:ascii="Arial" w:cs="Arial" w:eastAsia="Arial" w:hAnsi="Arial"/>
          <w:sz w:val="15"/>
          <w:szCs w:val="15"/>
          <w:b w:val="1"/>
          <w:bCs w:val="1"/>
          <w:i w:val="1"/>
          <w:iCs w:val="1"/>
          <w:color w:val="auto"/>
        </w:rPr>
        <w:t>EGMF</w:t>
      </w:r>
      <w:r>
        <w:rPr>
          <w:rFonts w:ascii="Arial" w:cs="Arial" w:eastAsia="Arial" w:hAnsi="Arial"/>
          <w:sz w:val="15"/>
          <w:szCs w:val="15"/>
          <w:color w:val="auto"/>
        </w:rPr>
        <w:t>”), (ii) 695,913 shares of Class A common stock held by Electron Infrastructure Master Fund LP (“</w:t>
      </w:r>
      <w:r>
        <w:rPr>
          <w:rFonts w:ascii="Arial" w:cs="Arial" w:eastAsia="Arial" w:hAnsi="Arial"/>
          <w:sz w:val="15"/>
          <w:szCs w:val="15"/>
          <w:b w:val="1"/>
          <w:bCs w:val="1"/>
          <w:i w:val="1"/>
          <w:iCs w:val="1"/>
          <w:color w:val="auto"/>
        </w:rPr>
        <w:t>EIMF</w:t>
      </w:r>
      <w:r>
        <w:rPr>
          <w:rFonts w:ascii="Arial" w:cs="Arial" w:eastAsia="Arial" w:hAnsi="Arial"/>
          <w:sz w:val="15"/>
          <w:szCs w:val="15"/>
          <w:color w:val="auto"/>
        </w:rPr>
        <w:t>”), (iii) 30,628 shares of Class A common stock held by Boothbay Absolute Return Strategies, LP (“BARS”) and (iv) 13,371 shares of Class A common stock held by AGR Trading SPC-Series Segregated Portfolio (“</w:t>
      </w:r>
      <w:r>
        <w:rPr>
          <w:rFonts w:ascii="Arial" w:cs="Arial" w:eastAsia="Arial" w:hAnsi="Arial"/>
          <w:sz w:val="15"/>
          <w:szCs w:val="15"/>
          <w:b w:val="1"/>
          <w:bCs w:val="1"/>
          <w:i w:val="1"/>
          <w:iCs w:val="1"/>
          <w:color w:val="auto"/>
        </w:rPr>
        <w:t>AGR</w:t>
      </w:r>
      <w:r>
        <w:rPr>
          <w:rFonts w:ascii="Arial" w:cs="Arial" w:eastAsia="Arial" w:hAnsi="Arial"/>
          <w:sz w:val="15"/>
          <w:szCs w:val="15"/>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NY 10022. The business address of BARS is 140 East 45th St., 14th Floor, New York, NY 10017. The business address of AGR is 1350 Avenue of the Americas, Suite 2300, New York, New York 10019.</w:t>
      </w:r>
    </w:p>
    <w:p>
      <w:pPr>
        <w:spacing w:after="0" w:line="34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197"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Services Agreement</w:t>
      </w:r>
    </w:p>
    <w:p>
      <w:pPr>
        <w:spacing w:after="0" w:line="197" w:lineRule="exact"/>
        <w:rPr>
          <w:sz w:val="20"/>
          <w:szCs w:val="20"/>
          <w:color w:val="auto"/>
        </w:rPr>
      </w:pPr>
    </w:p>
    <w:p>
      <w:pPr>
        <w:jc w:val="both"/>
        <w:ind w:firstLine="283"/>
        <w:spacing w:after="0" w:line="309" w:lineRule="auto"/>
        <w:rPr>
          <w:sz w:val="20"/>
          <w:szCs w:val="20"/>
          <w:color w:val="auto"/>
        </w:rPr>
      </w:pPr>
      <w:r>
        <w:rPr>
          <w:rFonts w:ascii="Arial" w:cs="Arial" w:eastAsia="Arial" w:hAnsi="Arial"/>
          <w:sz w:val="13"/>
          <w:szCs w:val="13"/>
          <w:color w:val="auto"/>
        </w:rPr>
        <w:t>Opco has entered into a Master Services Agreement with CoStar Partners LLC (“</w:t>
      </w:r>
      <w:r>
        <w:rPr>
          <w:rFonts w:ascii="Arial" w:cs="Arial" w:eastAsia="Arial" w:hAnsi="Arial"/>
          <w:sz w:val="13"/>
          <w:szCs w:val="13"/>
          <w:b w:val="1"/>
          <w:bCs w:val="1"/>
          <w:i w:val="1"/>
          <w:iCs w:val="1"/>
          <w:color w:val="auto"/>
        </w:rPr>
        <w:t>CoStar</w:t>
      </w:r>
      <w:r>
        <w:rPr>
          <w:rFonts w:ascii="Arial" w:cs="Arial" w:eastAsia="Arial" w:hAnsi="Arial"/>
          <w:sz w:val="13"/>
          <w:szCs w:val="13"/>
          <w:color w:val="auto"/>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Administrative Services Agreement</w:t>
      </w:r>
    </w:p>
    <w:p>
      <w:pPr>
        <w:spacing w:after="0" w:line="197" w:lineRule="exact"/>
        <w:rPr>
          <w:sz w:val="20"/>
          <w:szCs w:val="20"/>
          <w:color w:val="auto"/>
        </w:rPr>
      </w:pPr>
    </w:p>
    <w:p>
      <w:pPr>
        <w:jc w:val="both"/>
        <w:ind w:firstLine="283"/>
        <w:spacing w:after="0" w:line="265" w:lineRule="auto"/>
        <w:rPr>
          <w:sz w:val="20"/>
          <w:szCs w:val="20"/>
          <w:color w:val="auto"/>
        </w:rPr>
      </w:pPr>
      <w:r>
        <w:rPr>
          <w:rFonts w:ascii="Arial" w:cs="Arial" w:eastAsia="Arial" w:hAnsi="Arial"/>
          <w:sz w:val="15"/>
          <w:szCs w:val="15"/>
          <w:color w:val="auto"/>
        </w:rPr>
        <w:t>Opco has entered into an Administrative Services Agreement with Fortistar Services 2 LLC (“</w:t>
      </w:r>
      <w:r>
        <w:rPr>
          <w:rFonts w:ascii="Arial" w:cs="Arial" w:eastAsia="Arial" w:hAnsi="Arial"/>
          <w:sz w:val="15"/>
          <w:szCs w:val="15"/>
          <w:b w:val="1"/>
          <w:bCs w:val="1"/>
          <w:i w:val="1"/>
          <w:iCs w:val="1"/>
          <w:color w:val="auto"/>
        </w:rPr>
        <w:t>FS2</w:t>
      </w:r>
      <w:r>
        <w:rPr>
          <w:rFonts w:ascii="Arial" w:cs="Arial" w:eastAsia="Arial" w:hAnsi="Arial"/>
          <w:sz w:val="15"/>
          <w:szCs w:val="15"/>
          <w:color w:val="auto"/>
        </w:rPr>
        <w:t>”). FS2 is controlled, indirectly, by Mr. Mark Comora through entities affiliated with Mr. Comora, including Fortistar and certain of its affiliated entities other than us. Prior to the closing of the Busines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and Hold Harmless Agreement</w:t>
      </w:r>
    </w:p>
    <w:p>
      <w:pPr>
        <w:spacing w:after="0" w:line="197" w:lineRule="exact"/>
        <w:rPr>
          <w:sz w:val="20"/>
          <w:szCs w:val="20"/>
          <w:color w:val="auto"/>
        </w:rPr>
      </w:pPr>
    </w:p>
    <w:p>
      <w:pPr>
        <w:jc w:val="both"/>
        <w:ind w:firstLine="283"/>
        <w:spacing w:after="0" w:line="264" w:lineRule="auto"/>
        <w:rPr>
          <w:sz w:val="20"/>
          <w:szCs w:val="20"/>
          <w:color w:val="auto"/>
        </w:rPr>
      </w:pPr>
      <w:r>
        <w:rPr>
          <w:rFonts w:ascii="Arial" w:cs="Arial" w:eastAsia="Arial" w:hAnsi="Arial"/>
          <w:sz w:val="15"/>
          <w:szCs w:val="15"/>
          <w:color w:val="auto"/>
        </w:rPr>
        <w:t>Opco has entered into an indemnification and hold harmless agreement with Fortistar, dated December 31, 2020. Prior to the closing of the Busines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July 31, 2022, as none of the conditions upon which Fortistar would be required to perform on behalf of Opco under the indemnification and hold harmless agreement existed as of the date hereof.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color w:val="auto"/>
        </w:rPr>
        <w:t>Flue Gas Offtake and Preferred Partner Agreement</w:t>
      </w:r>
    </w:p>
    <w:p>
      <w:pPr>
        <w:spacing w:after="0" w:line="197" w:lineRule="exact"/>
        <w:rPr>
          <w:sz w:val="20"/>
          <w:szCs w:val="20"/>
          <w:color w:val="auto"/>
        </w:rPr>
      </w:pPr>
    </w:p>
    <w:p>
      <w:pPr>
        <w:jc w:val="both"/>
        <w:ind w:firstLine="283"/>
        <w:spacing w:after="0" w:line="196" w:lineRule="exact"/>
        <w:rPr>
          <w:sz w:val="20"/>
          <w:szCs w:val="20"/>
          <w:color w:val="auto"/>
        </w:rPr>
      </w:pPr>
      <w:r>
        <w:rPr>
          <w:rFonts w:ascii="Arial" w:cs="Arial" w:eastAsia="Arial" w:hAnsi="Arial"/>
          <w:sz w:val="13"/>
          <w:szCs w:val="13"/>
          <w:color w:val="auto"/>
        </w:rPr>
        <w:t>Opco has entered into an agreement with CarbonFree Chemical Holdings, LLC (“</w:t>
      </w:r>
      <w:r>
        <w:rPr>
          <w:rFonts w:ascii="Arial" w:cs="Arial" w:eastAsia="Arial" w:hAnsi="Arial"/>
          <w:sz w:val="13"/>
          <w:szCs w:val="13"/>
          <w:b w:val="1"/>
          <w:bCs w:val="1"/>
          <w:i w:val="1"/>
          <w:iCs w:val="1"/>
          <w:color w:val="auto"/>
        </w:rPr>
        <w:t>CarbonFree</w:t>
      </w:r>
      <w:r>
        <w:rPr>
          <w:rFonts w:ascii="Arial" w:cs="Arial" w:eastAsia="Arial" w:hAnsi="Arial"/>
          <w:sz w:val="13"/>
          <w:szCs w:val="13"/>
          <w:color w:val="auto"/>
        </w:rPr>
        <w:t>”), a leading carbon capture business. Mr. Mark Comora, through Fortistar and certain of its affiliated entities other than OPAL, owns more than 10% of the voting equity of CarbonFree. Prior to the closing of the Busines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rFonts w:ascii="MS PGothic" w:cs="MS PGothic" w:eastAsia="MS PGothic" w:hAnsi="MS PGothic"/>
          <w:sz w:val="13"/>
          <w:szCs w:val="13"/>
          <w:color w:val="auto"/>
        </w:rPr>
        <w:t>₂</w:t>
      </w:r>
      <w:r>
        <w:rPr>
          <w:rFonts w:ascii="Arial" w:cs="Arial" w:eastAsia="Arial" w:hAnsi="Arial"/>
          <w:sz w:val="13"/>
          <w:szCs w:val="13"/>
          <w:color w:val="auto"/>
        </w:rPr>
        <w:t xml:space="preserve"> from the flue gases produced by the adjacent Opco RNG production facility, transforming it into solid carbonate materials.</w:t>
      </w:r>
    </w:p>
    <w:p>
      <w:pPr>
        <w:spacing w:after="0" w:line="305"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color w:val="auto"/>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Hillman Restructuring</w:t>
      </w:r>
    </w:p>
    <w:p>
      <w:pPr>
        <w:spacing w:after="0" w:line="197" w:lineRule="exact"/>
        <w:rPr>
          <w:sz w:val="20"/>
          <w:szCs w:val="20"/>
          <w:color w:val="auto"/>
        </w:rPr>
      </w:pPr>
    </w:p>
    <w:p>
      <w:pPr>
        <w:jc w:val="both"/>
        <w:ind w:right="20" w:firstLine="283"/>
        <w:spacing w:after="0" w:line="312" w:lineRule="auto"/>
        <w:rPr>
          <w:sz w:val="20"/>
          <w:szCs w:val="20"/>
          <w:color w:val="auto"/>
        </w:rPr>
      </w:pPr>
      <w:r>
        <w:rPr>
          <w:rFonts w:ascii="Arial" w:cs="Arial" w:eastAsia="Arial" w:hAnsi="Arial"/>
          <w:sz w:val="13"/>
          <w:szCs w:val="13"/>
          <w:color w:val="auto"/>
        </w:rPr>
        <w:t>On December 11, 2020, Hillman, Hillman Power Company LLC (“</w:t>
      </w:r>
      <w:r>
        <w:rPr>
          <w:rFonts w:ascii="Arial" w:cs="Arial" w:eastAsia="Arial" w:hAnsi="Arial"/>
          <w:sz w:val="13"/>
          <w:szCs w:val="13"/>
          <w:b w:val="1"/>
          <w:bCs w:val="1"/>
          <w:i w:val="1"/>
          <w:iCs w:val="1"/>
          <w:color w:val="auto"/>
        </w:rPr>
        <w:t>Hillman Power</w:t>
      </w:r>
      <w:r>
        <w:rPr>
          <w:rFonts w:ascii="Arial" w:cs="Arial" w:eastAsia="Arial" w:hAnsi="Arial"/>
          <w:sz w:val="13"/>
          <w:szCs w:val="13"/>
          <w:color w:val="auto"/>
        </w:rPr>
        <w:t>”), and Customers Bank, among others, entered into a Loan and Guaranty Agreement (the “</w:t>
      </w:r>
      <w:r>
        <w:rPr>
          <w:rFonts w:ascii="Arial" w:cs="Arial" w:eastAsia="Arial" w:hAnsi="Arial"/>
          <w:sz w:val="13"/>
          <w:szCs w:val="13"/>
          <w:b w:val="1"/>
          <w:bCs w:val="1"/>
          <w:i w:val="1"/>
          <w:iCs w:val="1"/>
          <w:color w:val="auto"/>
        </w:rPr>
        <w:t>Customers Loan Agreement</w:t>
      </w:r>
      <w:r>
        <w:rPr>
          <w:rFonts w:ascii="Arial" w:cs="Arial" w:eastAsia="Arial" w:hAnsi="Arial"/>
          <w:sz w:val="13"/>
          <w:szCs w:val="13"/>
          <w:color w:val="auto"/>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26" w:name="page127"/>
    <w:bookmarkEnd w:id="126"/>
    <w:p>
      <w:pPr>
        <w:jc w:val="both"/>
        <w:ind w:right="20" w:firstLine="283"/>
        <w:spacing w:after="0" w:line="256" w:lineRule="auto"/>
        <w:rPr>
          <w:sz w:val="20"/>
          <w:szCs w:val="20"/>
          <w:color w:val="auto"/>
        </w:rPr>
      </w:pPr>
      <w:r>
        <w:rPr>
          <w:rFonts w:ascii="Arial" w:cs="Arial" w:eastAsia="Arial" w:hAnsi="Arial"/>
          <w:sz w:val="16"/>
          <w:szCs w:val="16"/>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Arial" w:cs="Arial" w:eastAsia="Arial" w:hAnsi="Arial"/>
          <w:sz w:val="16"/>
          <w:szCs w:val="16"/>
          <w:b w:val="1"/>
          <w:bCs w:val="1"/>
          <w:i w:val="1"/>
          <w:iCs w:val="1"/>
          <w:color w:val="auto"/>
        </w:rPr>
        <w:t>Pledged Membership Interests</w:t>
      </w:r>
      <w:r>
        <w:rPr>
          <w:rFonts w:ascii="Arial" w:cs="Arial" w:eastAsia="Arial" w:hAnsi="Arial"/>
          <w:sz w:val="16"/>
          <w:szCs w:val="16"/>
          <w:color w:val="auto"/>
        </w:rPr>
        <w:t>”).</w:t>
      </w:r>
    </w:p>
    <w:p>
      <w:pPr>
        <w:spacing w:after="0" w:line="165"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On November 29, 2021, Opco and Hillman entered into an Exchange Agreement pursuant to which Hillman transferred the Pledged Membership Interests in exchange for the issuance of equity ownership interests in Opco (collectively, the “</w:t>
      </w:r>
      <w:r>
        <w:rPr>
          <w:rFonts w:ascii="Arial" w:cs="Arial" w:eastAsia="Arial" w:hAnsi="Arial"/>
          <w:sz w:val="15"/>
          <w:szCs w:val="15"/>
          <w:b w:val="1"/>
          <w:bCs w:val="1"/>
          <w:i w:val="1"/>
          <w:iCs w:val="1"/>
          <w:color w:val="auto"/>
        </w:rPr>
        <w:t>OPAL Fuels Membership Interests</w:t>
      </w:r>
      <w:r>
        <w:rPr>
          <w:rFonts w:ascii="Arial" w:cs="Arial" w:eastAsia="Arial" w:hAnsi="Arial"/>
          <w:sz w:val="15"/>
          <w:szCs w:val="15"/>
          <w:color w:val="auto"/>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Arial" w:cs="Arial" w:eastAsia="Arial" w:hAnsi="Arial"/>
          <w:sz w:val="15"/>
          <w:szCs w:val="15"/>
          <w:b w:val="1"/>
          <w:bCs w:val="1"/>
          <w:i w:val="1"/>
          <w:iCs w:val="1"/>
          <w:color w:val="auto"/>
        </w:rPr>
        <w:t>Exchange</w:t>
      </w:r>
      <w:r>
        <w:rPr>
          <w:rFonts w:ascii="Arial" w:cs="Arial" w:eastAsia="Arial" w:hAnsi="Arial"/>
          <w:sz w:val="15"/>
          <w:szCs w:val="15"/>
          <w:color w:val="auto"/>
        </w:rPr>
        <w:t>”).</w:t>
      </w:r>
    </w:p>
    <w:p>
      <w:pPr>
        <w:spacing w:after="0" w:line="155"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On November 29, 2021, Hillman Power, Hillman and Customers Bank entered into a Limited Consent and First Amendment to Loan and Guaranty Agreement (the “</w:t>
      </w:r>
      <w:r>
        <w:rPr>
          <w:rFonts w:ascii="Arial" w:cs="Arial" w:eastAsia="Arial" w:hAnsi="Arial"/>
          <w:sz w:val="15"/>
          <w:szCs w:val="15"/>
          <w:b w:val="1"/>
          <w:bCs w:val="1"/>
          <w:i w:val="1"/>
          <w:iCs w:val="1"/>
          <w:color w:val="auto"/>
        </w:rPr>
        <w:t>Limited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Consent</w:t>
      </w:r>
      <w:r>
        <w:rPr>
          <w:rFonts w:ascii="Arial" w:cs="Arial" w:eastAsia="Arial" w:hAnsi="Arial"/>
          <w:sz w:val="15"/>
          <w:szCs w:val="15"/>
          <w:color w:val="auto"/>
        </w:rPr>
        <w:t>”) pursuant to which Customers Bank consented to the Exchange, amended the Customers Loan Agreement and released its security interest in the Pledged Membership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(the “</w:t>
      </w:r>
      <w:r>
        <w:rPr>
          <w:rFonts w:ascii="Arial" w:cs="Arial" w:eastAsia="Arial" w:hAnsi="Arial"/>
          <w:sz w:val="15"/>
          <w:szCs w:val="15"/>
          <w:b w:val="1"/>
          <w:bCs w:val="1"/>
          <w:i w:val="1"/>
          <w:iCs w:val="1"/>
          <w:color w:val="auto"/>
        </w:rPr>
        <w:t>Lien</w:t>
      </w:r>
      <w:r>
        <w:rPr>
          <w:rFonts w:ascii="Arial" w:cs="Arial" w:eastAsia="Arial" w:hAnsi="Arial"/>
          <w:sz w:val="15"/>
          <w:szCs w:val="15"/>
          <w:color w:val="auto"/>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Opco Reorganization</w:t>
      </w:r>
    </w:p>
    <w:p>
      <w:pPr>
        <w:spacing w:after="0" w:line="197" w:lineRule="exact"/>
        <w:rPr>
          <w:sz w:val="20"/>
          <w:szCs w:val="20"/>
          <w:color w:val="auto"/>
        </w:rPr>
      </w:pPr>
    </w:p>
    <w:p>
      <w:pPr>
        <w:jc w:val="both"/>
        <w:ind w:firstLine="283"/>
        <w:spacing w:after="0" w:line="309" w:lineRule="auto"/>
        <w:rPr>
          <w:sz w:val="20"/>
          <w:szCs w:val="20"/>
          <w:color w:val="auto"/>
        </w:rPr>
      </w:pPr>
      <w:r>
        <w:rPr>
          <w:rFonts w:ascii="Arial" w:cs="Arial" w:eastAsia="Arial" w:hAnsi="Arial"/>
          <w:sz w:val="13"/>
          <w:szCs w:val="13"/>
          <w:color w:val="auto"/>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Arial" w:cs="Arial" w:eastAsia="Arial" w:hAnsi="Arial"/>
          <w:sz w:val="13"/>
          <w:szCs w:val="13"/>
          <w:b w:val="1"/>
          <w:bCs w:val="1"/>
          <w:i w:val="1"/>
          <w:iCs w:val="1"/>
          <w:color w:val="auto"/>
        </w:rPr>
        <w:t>Opco Reorganized Entities</w:t>
      </w:r>
      <w:r>
        <w:rPr>
          <w:rFonts w:ascii="Arial" w:cs="Arial" w:eastAsia="Arial" w:hAnsi="Arial"/>
          <w:sz w:val="13"/>
          <w:szCs w:val="13"/>
          <w:color w:val="auto"/>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Arial" w:cs="Arial" w:eastAsia="Arial" w:hAnsi="Arial"/>
          <w:sz w:val="13"/>
          <w:szCs w:val="13"/>
          <w:b w:val="1"/>
          <w:bCs w:val="1"/>
          <w:i w:val="1"/>
          <w:iCs w:val="1"/>
          <w:color w:val="auto"/>
        </w:rPr>
        <w:t>Opco Fuels</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Reorganization</w:t>
      </w:r>
      <w:r>
        <w:rPr>
          <w:rFonts w:ascii="Arial" w:cs="Arial" w:eastAsia="Arial" w:hAnsi="Arial"/>
          <w:sz w:val="13"/>
          <w:szCs w:val="13"/>
          <w:color w:val="auto"/>
        </w:rPr>
        <w:t>”). Prior to the Opco Fuels Reorganization, each of the Opco Reorganized Entities were controlled, indirectly, by Mr. Mark Comora through entities affiliated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Sponsor Letter Agreement</w:t>
      </w:r>
    </w:p>
    <w:p>
      <w:pPr>
        <w:spacing w:after="0" w:line="19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127" w:name="page128"/>
    <w:bookmarkEnd w:id="127"/>
    <w:p>
      <w:pPr>
        <w:ind w:left="6"/>
        <w:spacing w:after="0"/>
        <w:rPr>
          <w:sz w:val="20"/>
          <w:szCs w:val="20"/>
          <w:color w:val="auto"/>
        </w:rPr>
      </w:pPr>
      <w:r>
        <w:rPr>
          <w:rFonts w:ascii="Arial" w:cs="Arial" w:eastAsia="Arial" w:hAnsi="Arial"/>
          <w:sz w:val="16"/>
          <w:szCs w:val="16"/>
          <w:b w:val="1"/>
          <w:bCs w:val="1"/>
          <w:color w:val="auto"/>
        </w:rPr>
        <w:t>PIPE Investors</w:t>
      </w:r>
    </w:p>
    <w:p>
      <w:pPr>
        <w:spacing w:after="0" w:line="197"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5"/>
          <w:szCs w:val="15"/>
          <w:color w:val="auto"/>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spacing w:after="0" w:line="164" w:lineRule="exact"/>
        <w:rPr>
          <w:sz w:val="20"/>
          <w:szCs w:val="20"/>
          <w:color w:val="auto"/>
        </w:rPr>
      </w:pPr>
    </w:p>
    <w:p>
      <w:pPr>
        <w:ind w:left="286"/>
        <w:spacing w:after="0"/>
        <w:rPr>
          <w:sz w:val="20"/>
          <w:szCs w:val="20"/>
          <w:color w:val="auto"/>
        </w:rPr>
      </w:pPr>
      <w:r>
        <w:rPr>
          <w:rFonts w:ascii="Arial" w:cs="Arial" w:eastAsia="Arial" w:hAnsi="Arial"/>
          <w:sz w:val="16"/>
          <w:szCs w:val="16"/>
          <w:b w:val="1"/>
          <w:bCs w:val="1"/>
          <w:i w:val="1"/>
          <w:iCs w:val="1"/>
          <w:color w:val="auto"/>
        </w:rPr>
        <w:t>Investor Rights Agreement</w:t>
      </w:r>
    </w:p>
    <w:p>
      <w:pPr>
        <w:spacing w:after="0" w:line="193" w:lineRule="exact"/>
        <w:rPr>
          <w:sz w:val="20"/>
          <w:szCs w:val="20"/>
          <w:color w:val="auto"/>
        </w:rPr>
      </w:pPr>
    </w:p>
    <w:p>
      <w:pPr>
        <w:jc w:val="both"/>
        <w:ind w:left="6" w:firstLine="283"/>
        <w:spacing w:after="0" w:line="322" w:lineRule="auto"/>
        <w:rPr>
          <w:sz w:val="20"/>
          <w:szCs w:val="20"/>
          <w:color w:val="auto"/>
        </w:rPr>
      </w:pPr>
      <w:r>
        <w:rPr>
          <w:rFonts w:ascii="Arial" w:cs="Arial" w:eastAsia="Arial" w:hAnsi="Arial"/>
          <w:sz w:val="13"/>
          <w:szCs w:val="13"/>
          <w:color w:val="auto"/>
        </w:rPr>
        <w:t>At the Closing, Opco, Ares, Hillman and the Class B Shareholders (collectively the “</w:t>
      </w:r>
      <w:r>
        <w:rPr>
          <w:rFonts w:ascii="Arial" w:cs="Arial" w:eastAsia="Arial" w:hAnsi="Arial"/>
          <w:sz w:val="13"/>
          <w:szCs w:val="13"/>
          <w:b w:val="1"/>
          <w:bCs w:val="1"/>
          <w:i w:val="1"/>
          <w:iCs w:val="1"/>
          <w:color w:val="auto"/>
        </w:rPr>
        <w:t>OPAL Holders</w:t>
      </w:r>
      <w:r>
        <w:rPr>
          <w:rFonts w:ascii="Arial" w:cs="Arial" w:eastAsia="Arial" w:hAnsi="Arial"/>
          <w:sz w:val="13"/>
          <w:szCs w:val="13"/>
          <w:color w:val="auto"/>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 Combination, subject to certain exceptions.</w:t>
      </w:r>
    </w:p>
    <w:p>
      <w:pPr>
        <w:spacing w:after="0" w:line="128" w:lineRule="exact"/>
        <w:rPr>
          <w:sz w:val="20"/>
          <w:szCs w:val="20"/>
          <w:color w:val="auto"/>
        </w:rPr>
      </w:pPr>
    </w:p>
    <w:p>
      <w:pPr>
        <w:ind w:left="286"/>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193" w:lineRule="exact"/>
        <w:rPr>
          <w:sz w:val="20"/>
          <w:szCs w:val="20"/>
          <w:color w:val="auto"/>
        </w:rPr>
      </w:pPr>
    </w:p>
    <w:p>
      <w:pPr>
        <w:jc w:val="both"/>
        <w:ind w:left="6" w:firstLine="283"/>
        <w:spacing w:after="0" w:line="269" w:lineRule="auto"/>
        <w:rPr>
          <w:sz w:val="20"/>
          <w:szCs w:val="20"/>
          <w:color w:val="auto"/>
        </w:rPr>
      </w:pPr>
      <w:r>
        <w:rPr>
          <w:rFonts w:ascii="Arial" w:cs="Arial" w:eastAsia="Arial" w:hAnsi="Arial"/>
          <w:sz w:val="15"/>
          <w:szCs w:val="15"/>
          <w:color w:val="auto"/>
        </w:rPr>
        <w:t>On the Closing Date, we entered into the Tax Receivable Agreement with the TRA Participants,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159" w:lineRule="exact"/>
        <w:rPr>
          <w:sz w:val="20"/>
          <w:szCs w:val="20"/>
          <w:color w:val="auto"/>
        </w:rPr>
      </w:pPr>
    </w:p>
    <w:p>
      <w:pPr>
        <w:jc w:val="both"/>
        <w:ind w:left="6" w:firstLine="283"/>
        <w:spacing w:after="0" w:line="251"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69" w:lineRule="exact"/>
        <w:rPr>
          <w:sz w:val="20"/>
          <w:szCs w:val="20"/>
          <w:color w:val="auto"/>
        </w:rPr>
      </w:pPr>
    </w:p>
    <w:p>
      <w:pPr>
        <w:jc w:val="both"/>
        <w:ind w:left="6" w:firstLine="283"/>
        <w:spacing w:after="0" w:line="305" w:lineRule="auto"/>
        <w:rPr>
          <w:sz w:val="20"/>
          <w:szCs w:val="20"/>
          <w:color w:val="auto"/>
        </w:rPr>
      </w:pPr>
      <w:r>
        <w:rPr>
          <w:rFonts w:ascii="Arial" w:cs="Arial" w:eastAsia="Arial" w:hAnsi="Arial"/>
          <w:sz w:val="13"/>
          <w:szCs w:val="13"/>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w:t>
      </w:r>
    </w:p>
    <w:p>
      <w:pPr>
        <w:spacing w:after="0" w:line="2" w:lineRule="exact"/>
        <w:rPr>
          <w:sz w:val="20"/>
          <w:szCs w:val="20"/>
          <w:color w:val="auto"/>
        </w:rPr>
      </w:pPr>
    </w:p>
    <w:p>
      <w:pPr>
        <w:ind w:left="6" w:right="20" w:hanging="6"/>
        <w:spacing w:after="0" w:line="365" w:lineRule="auto"/>
        <w:tabs>
          <w:tab w:leader="none" w:pos="286"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28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2" w:right="319" w:bottom="1440" w:gutter="0" w:footer="0" w:header="0"/>
        </w:sectPr>
      </w:pPr>
    </w:p>
    <w:bookmarkStart w:id="128" w:name="page129"/>
    <w:bookmarkEnd w:id="128"/>
    <w:p>
      <w:pPr>
        <w:jc w:val="both"/>
        <w:ind w:firstLine="283"/>
        <w:spacing w:after="0" w:line="265" w:lineRule="auto"/>
        <w:rPr>
          <w:sz w:val="20"/>
          <w:szCs w:val="20"/>
          <w:color w:val="auto"/>
        </w:rPr>
      </w:pPr>
      <w:r>
        <w:rPr>
          <w:rFonts w:ascii="Arial" w:cs="Arial" w:eastAsia="Arial" w:hAnsi="Arial"/>
          <w:sz w:val="15"/>
          <w:szCs w:val="15"/>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$432.0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we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62"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It is more likely than not that the deferred tax assets will not be realized in accordance with ASC Topic 740, ‘Income Taxes’ (“</w:t>
      </w:r>
      <w:r>
        <w:rPr>
          <w:rFonts w:ascii="Arial" w:cs="Arial" w:eastAsia="Arial" w:hAnsi="Arial"/>
          <w:sz w:val="16"/>
          <w:szCs w:val="16"/>
          <w:b w:val="1"/>
          <w:bCs w:val="1"/>
          <w:i w:val="1"/>
          <w:iCs w:val="1"/>
          <w:color w:val="auto"/>
        </w:rPr>
        <w:t>ASC 740</w:t>
      </w:r>
      <w:r>
        <w:rPr>
          <w:rFonts w:ascii="Arial" w:cs="Arial" w:eastAsia="Arial" w:hAnsi="Arial"/>
          <w:sz w:val="16"/>
          <w:szCs w:val="16"/>
          <w:color w:val="auto"/>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65"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Indemnification</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On July 21, 2022, OPAL entered into certain Indemnification Agreements (“</w:t>
      </w:r>
      <w:r>
        <w:rPr>
          <w:rFonts w:ascii="Arial" w:cs="Arial" w:eastAsia="Arial" w:hAnsi="Arial"/>
          <w:sz w:val="16"/>
          <w:szCs w:val="16"/>
          <w:b w:val="1"/>
          <w:bCs w:val="1"/>
          <w:i w:val="1"/>
          <w:iCs w:val="1"/>
          <w:color w:val="auto"/>
        </w:rPr>
        <w:t>Indemnification Agreements</w:t>
      </w:r>
      <w:r>
        <w:rPr>
          <w:rFonts w:ascii="Arial" w:cs="Arial" w:eastAsia="Arial" w:hAnsi="Arial"/>
          <w:sz w:val="16"/>
          <w:szCs w:val="16"/>
          <w:color w:val="auto"/>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pacing w:after="0" w:line="16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Sponsor Letter Agreement</w:t>
      </w:r>
    </w:p>
    <w:p>
      <w:pPr>
        <w:spacing w:after="0" w:line="193"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6"/>
          <w:szCs w:val="16"/>
          <w:b w:val="1"/>
          <w:bCs w:val="1"/>
          <w:color w:val="auto"/>
        </w:rPr>
        <w:t>UNITED STATES FEDERAL INCOME TAX CONSIDERATIONS</w:t>
      </w:r>
    </w:p>
    <w:p>
      <w:pPr>
        <w:spacing w:after="0" w:line="197"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The following is a discussion of certain material U.S. federal income tax consequences of the acquisition, ownership and disposition of our Class A common stock and warrants, which we refer to collectively as our securities. This discussion is limited to certain U.S. federal income tax considerations to beneficial owners of our securities that will hold our securities as capital assets within the meaning of Section 1221 of the U.S. Internal Revenue Code of 1986, as amended (the “</w:t>
      </w:r>
      <w:r>
        <w:rPr>
          <w:rFonts w:ascii="Arial" w:cs="Arial" w:eastAsia="Arial" w:hAnsi="Arial"/>
          <w:sz w:val="13"/>
          <w:szCs w:val="13"/>
          <w:b w:val="1"/>
          <w:bCs w:val="1"/>
          <w:i w:val="1"/>
          <w:iCs w:val="1"/>
          <w:color w:val="auto"/>
        </w:rPr>
        <w:t>Code</w:t>
      </w:r>
      <w:r>
        <w:rPr>
          <w:rFonts w:ascii="Arial" w:cs="Arial" w:eastAsia="Arial" w:hAnsi="Arial"/>
          <w:sz w:val="13"/>
          <w:szCs w:val="13"/>
          <w:color w:val="auto"/>
        </w:rPr>
        <w:t>”). This discussion assumes that any distributions made by us on our securities and any consideration received by a holder in consideration for the sale or other disposition of our securities will be in U.S. dollars.</w:t>
      </w:r>
    </w:p>
    <w:p>
      <w:pPr>
        <w:spacing w:after="0" w:line="122"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spacing w:after="0" w:line="122" w:lineRule="exact"/>
        <w:rPr>
          <w:sz w:val="20"/>
          <w:szCs w:val="20"/>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banks, financial institutions or financial services entities;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broker-dealers;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governments or agencies or instrumentalities thereof;</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regulated investment companies;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real estate investment trusts;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U.S. expatriates or former citizens or long-term residents of the United States;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persons that actually or constructively own five percent or more (by vote or value) of our shares;</w:t>
      </w:r>
    </w:p>
    <w:p>
      <w:pPr>
        <w:spacing w:after="0" w:line="192"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persons that acquired our common stock or warrants pursuant to an exercise of employee share options, in connection with employee share incentive plans or otherwise as compensation;</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dealers or traders subject to a mark-to-market method of accounting with respect to our Class A common stock or warrants;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persons holding our common stock or warrants as part of a “straddle,” constructive sale, hedge, conversion or other integrated or similar transaction;</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U.S. holders (as defined below) whose functional currency is not the U.S. dollar;</w:t>
      </w:r>
    </w:p>
    <w:p>
      <w:pPr>
        <w:spacing w:after="0" w:line="192"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partnerships (or entities or arrangements classified as partnerships or other pass-through entities for U.S. federal income tax purposes) and any beneficial owners of such entities or arrangements;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tax-exempt entities;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controlled foreign corporations;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passive foreign investment companies and other corporations that accumulate earnings to avoid U.S. federal income tax..</w:t>
      </w:r>
    </w:p>
    <w:p>
      <w:pPr>
        <w:spacing w:after="0" w:line="19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If a partnership (including an entity or arrangement treated as a partnership or other pass-through entity for U.S. federal income tax purposes) holds our securities,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securities, you are urged to consult your own tax advisor regarding the tax consequences of the acquisition, ownership and disposition of our securities.</w:t>
      </w:r>
    </w:p>
    <w:p>
      <w:pPr>
        <w:spacing w:after="0" w:line="169"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30" w:name="page131"/>
    <w:bookmarkEnd w:id="130"/>
    <w:p>
      <w:pPr>
        <w:jc w:val="both"/>
        <w:ind w:firstLine="283"/>
        <w:spacing w:after="0" w:line="329" w:lineRule="auto"/>
        <w:rPr>
          <w:sz w:val="20"/>
          <w:szCs w:val="20"/>
          <w:color w:val="auto"/>
        </w:rPr>
      </w:pPr>
      <w:r>
        <w:rPr>
          <w:rFonts w:ascii="Arial" w:cs="Arial" w:eastAsia="Arial" w:hAnsi="Arial"/>
          <w:sz w:val="13"/>
          <w:szCs w:val="13"/>
          <w:color w:val="auto"/>
        </w:rPr>
        <w:t>We have not sought, and do not expect to seek, a ruling from the U.S. Internal Revenue Service (the “</w:t>
      </w:r>
      <w:r>
        <w:rPr>
          <w:rFonts w:ascii="Arial" w:cs="Arial" w:eastAsia="Arial" w:hAnsi="Arial"/>
          <w:sz w:val="13"/>
          <w:szCs w:val="13"/>
          <w:b w:val="1"/>
          <w:bCs w:val="1"/>
          <w:i w:val="1"/>
          <w:iCs w:val="1"/>
          <w:color w:val="auto"/>
        </w:rPr>
        <w:t>IRS</w:t>
      </w:r>
      <w:r>
        <w:rPr>
          <w:rFonts w:ascii="Arial" w:cs="Arial" w:eastAsia="Arial" w:hAnsi="Arial"/>
          <w:sz w:val="13"/>
          <w:szCs w:val="13"/>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spacing w:after="0" w:line="122"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THIS DISCUSSION IS ONLY A SUMMARY OF CERTAIN U.S. FEDERAL INCOME TAX CONSIDERATIONS ASSOCIATED WITH THE ACQUISITION, OWNERSHIP AND DISPOSITION OF OUR SECURITIES. EACH PROSPECTIVE INVESTOR IN OUR CLASS A COMMON STOCK OR WARRANTS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Holders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This section applies to you if you are a “U.S. holder.” A U.S. holder is a beneficial owner of our shares of Class A common stock or warrants that is, for U.S. federal income tax purposes:</w:t>
      </w:r>
    </w:p>
    <w:p>
      <w:pPr>
        <w:spacing w:after="0" w:line="157" w:lineRule="exact"/>
        <w:rPr>
          <w:sz w:val="20"/>
          <w:szCs w:val="20"/>
          <w:color w:val="auto"/>
        </w:rPr>
      </w:pPr>
    </w:p>
    <w:p>
      <w:pPr>
        <w:ind w:left="560" w:hanging="283"/>
        <w:spacing w:after="0"/>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organized in or under the laws of the United States, any state thereof or the District of Columbia;</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U.S. federal income tax purposes regardless of its source; or</w:t>
      </w:r>
    </w:p>
    <w:p>
      <w:pPr>
        <w:spacing w:after="0" w:line="192" w:lineRule="exact"/>
        <w:rPr>
          <w:rFonts w:ascii="Arial" w:cs="Arial" w:eastAsia="Arial" w:hAnsi="Arial"/>
          <w:sz w:val="16"/>
          <w:szCs w:val="16"/>
          <w:color w:val="auto"/>
        </w:rPr>
      </w:pPr>
    </w:p>
    <w:p>
      <w:pPr>
        <w:jc w:val="both"/>
        <w:ind w:left="560" w:hanging="283"/>
        <w:spacing w:after="0" w:line="256" w:lineRule="auto"/>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61" w:lineRule="exact"/>
        <w:rPr>
          <w:sz w:val="20"/>
          <w:szCs w:val="20"/>
          <w:color w:val="auto"/>
        </w:rPr>
      </w:pPr>
    </w:p>
    <w:p>
      <w:pPr>
        <w:jc w:val="both"/>
        <w:ind w:firstLine="283"/>
        <w:spacing w:after="0" w:line="319" w:lineRule="auto"/>
        <w:rPr>
          <w:sz w:val="20"/>
          <w:szCs w:val="20"/>
          <w:color w:val="auto"/>
        </w:rPr>
      </w:pPr>
      <w:r>
        <w:rPr>
          <w:rFonts w:ascii="Arial" w:cs="Arial" w:eastAsia="Arial" w:hAnsi="Arial"/>
          <w:sz w:val="13"/>
          <w:szCs w:val="13"/>
          <w:b w:val="1"/>
          <w:bCs w:val="1"/>
          <w:i w:val="1"/>
          <w:iCs w:val="1"/>
          <w:color w:val="auto"/>
        </w:rPr>
        <w:t>Taxation of Distributions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do not expect to pay any distributions on our Class A common stock in the foreseeable future. If we pay distributions in cash or other property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Arial" w:cs="Arial" w:eastAsia="Arial" w:hAnsi="Arial"/>
          <w:sz w:val="13"/>
          <w:szCs w:val="13"/>
          <w:i w:val="1"/>
          <w:iCs w:val="1"/>
          <w:color w:val="auto"/>
        </w:rPr>
        <w:t>U.S. Holders—Gain or Loss on Sale, Taxable Exchange or Other Taxable Disposition of Class A Common Stock</w:t>
      </w:r>
      <w:r>
        <w:rPr>
          <w:rFonts w:ascii="Arial" w:cs="Arial" w:eastAsia="Arial" w:hAnsi="Arial"/>
          <w:sz w:val="13"/>
          <w:szCs w:val="13"/>
          <w:color w:val="auto"/>
        </w:rPr>
        <w:t>,” below.</w:t>
      </w:r>
    </w:p>
    <w:p>
      <w:pPr>
        <w:spacing w:after="0" w:line="131" w:lineRule="exact"/>
        <w:rPr>
          <w:sz w:val="20"/>
          <w:szCs w:val="20"/>
          <w:color w:val="auto"/>
        </w:rPr>
      </w:pPr>
    </w:p>
    <w:p>
      <w:pPr>
        <w:jc w:val="both"/>
        <w:ind w:right="20" w:firstLine="283"/>
        <w:spacing w:after="0" w:line="269" w:lineRule="auto"/>
        <w:rPr>
          <w:sz w:val="20"/>
          <w:szCs w:val="20"/>
          <w:color w:val="auto"/>
        </w:rPr>
      </w:pPr>
      <w:r>
        <w:rPr>
          <w:rFonts w:ascii="Arial" w:cs="Arial" w:eastAsia="Arial" w:hAnsi="Arial"/>
          <w:sz w:val="15"/>
          <w:szCs w:val="15"/>
          <w:color w:val="auto"/>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spacing w:after="0" w:line="159"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b w:val="1"/>
          <w:bCs w:val="1"/>
          <w:i w:val="1"/>
          <w:iCs w:val="1"/>
          <w:color w:val="auto"/>
        </w:rPr>
        <w:t xml:space="preserve">Gain or Loss on Sale, Taxable Exchange or Other Taxable Disposition of Class A Common Stock. </w:t>
      </w:r>
      <w:r>
        <w:rPr>
          <w:rFonts w:ascii="Arial" w:cs="Arial" w:eastAsia="Arial" w:hAnsi="Arial"/>
          <w:sz w:val="15"/>
          <w:szCs w:val="15"/>
          <w:color w:val="auto"/>
        </w:rPr>
        <w:t>Upon a sale or other taxable disposition of our Class A common stock,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31" w:name="page132"/>
    <w:bookmarkEnd w:id="131"/>
    <w:p>
      <w:pPr>
        <w:jc w:val="both"/>
        <w:ind w:firstLine="283"/>
        <w:spacing w:after="0" w:line="268" w:lineRule="auto"/>
        <w:rPr>
          <w:sz w:val="20"/>
          <w:szCs w:val="20"/>
          <w:color w:val="auto"/>
        </w:rPr>
      </w:pPr>
      <w:r>
        <w:rPr>
          <w:rFonts w:ascii="Arial" w:cs="Arial" w:eastAsia="Arial" w:hAnsi="Arial"/>
          <w:sz w:val="15"/>
          <w:szCs w:val="15"/>
          <w:color w:val="auto"/>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 A U.S. holder’s adjusted tax basis in its Class A common stock generally will equal the U.S. holder’s acquisition cost for the Class A common stock less, in the case of a share of Class A common stock, any prior distributions treated as a return of capital (as described above). In the case of any shares of Class A common stock originally acquired as part of an investment unit with a warrant, the acquisition cost for the share of Class A common stock and warrant that were part of such investment unit would equal an allocable portion of the acquisition cost of the entire investment unit (with such allocable portion based on the relative fair market values of the components of the investment unit at the time of acquisition).</w:t>
      </w:r>
    </w:p>
    <w:p>
      <w:pPr>
        <w:spacing w:after="0" w:line="159"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b w:val="1"/>
          <w:bCs w:val="1"/>
          <w:i w:val="1"/>
          <w:iCs w:val="1"/>
          <w:color w:val="auto"/>
        </w:rPr>
        <w:t xml:space="preserve">Exercise of a Warrant. </w:t>
      </w:r>
      <w:r>
        <w:rPr>
          <w:rFonts w:ascii="Arial" w:cs="Arial" w:eastAsia="Arial" w:hAnsi="Arial"/>
          <w:sz w:val="15"/>
          <w:szCs w:val="15"/>
          <w:color w:val="auto"/>
        </w:rPr>
        <w:t>Except as discussed below with respect to the cashless exercise of a warrant, a U.S. holder generally will not recognize taxable gain or loss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of our Class A common stock upon exercise of a warrant for cash. The U.S. holder’s tax basis in the share of our Class A common stock received upon exercise of the warrant generally will be an amount equal to the sum of the U.S. holder’s adjusted tax basis in the warrant and the exercise price of such warrant. A U.S. holder’s adjusted tax basis in its warrants will generally equal the U.S. holder’s acquisition cost, increased by the amount of any constructive distributions included in income by such U.S. holder (as described below under “</w:t>
      </w:r>
      <w:r>
        <w:rPr>
          <w:rFonts w:ascii="Arial" w:cs="Arial" w:eastAsia="Arial" w:hAnsi="Arial"/>
          <w:sz w:val="15"/>
          <w:szCs w:val="15"/>
          <w:i w:val="1"/>
          <w:iCs w:val="1"/>
          <w:color w:val="auto"/>
        </w:rPr>
        <w:t>U.S. Holders—Possible Constructive Distributions</w:t>
      </w:r>
      <w:r>
        <w:rPr>
          <w:rFonts w:ascii="Arial" w:cs="Arial" w:eastAsia="Arial" w:hAnsi="Arial"/>
          <w:sz w:val="15"/>
          <w:szCs w:val="15"/>
          <w:color w:val="auto"/>
        </w:rPr>
        <w:t>).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U.S. holder held the warrants.</w:t>
      </w:r>
    </w:p>
    <w:p>
      <w:pPr>
        <w:spacing w:after="0" w:line="159"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case, a U.S. holder’s initial tax basis in the Class A common stock received would equal the holder’s basis in the warrants exercised therefor. If the cashless exercise were not treated as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59" w:lineRule="exact"/>
        <w:rPr>
          <w:sz w:val="20"/>
          <w:szCs w:val="20"/>
          <w:color w:val="auto"/>
        </w:rPr>
      </w:pPr>
    </w:p>
    <w:p>
      <w:pPr>
        <w:jc w:val="both"/>
        <w:ind w:firstLine="283"/>
        <w:spacing w:after="0" w:line="248" w:lineRule="auto"/>
        <w:rPr>
          <w:sz w:val="20"/>
          <w:szCs w:val="20"/>
          <w:color w:val="auto"/>
        </w:rPr>
      </w:pPr>
      <w:r>
        <w:rPr>
          <w:rFonts w:ascii="Arial" w:cs="Arial" w:eastAsia="Arial" w:hAnsi="Arial"/>
          <w:sz w:val="16"/>
          <w:szCs w:val="16"/>
          <w:color w:val="auto"/>
        </w:rPr>
        <w:t>It is also possible that a cashless exercise could be treated in part as a taxable exchange in which gain or loss would be recognized. In such event, a U.S. holder could be deemed to have surrendered warrants equal to the number of shares of Class A common stock having a value equal to the exercise price for the total number of warrants to be exercised. Although not free from doubt, in such a case the U.S. holder would generally recognize capital gain or loss in an amount equal to the difference between the fair market value of the Class A common stock received in respect of the warrants deemed surrendered and the U.S. holder’s tax basis in the warrants deemed surrendered. In this case, a U.S. holder’s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75"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Due to the absence of authority on the U.S. federal income tax treatment of a cashless exercise, including when a U.S. holder’s holding period would commence with respect to the Class A common stock received, there can be no assurance as to which, if any, of the alternative tax consequences and holding periods described above would be adopted by the IRS or a court of law. Accordingly, U.S. holders are urged to consult with their own tax advisors regarding the tax consequences of a cashless exercise of our warrants.</w:t>
      </w:r>
    </w:p>
    <w:p>
      <w:pPr>
        <w:spacing w:after="0" w:line="115"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b w:val="1"/>
          <w:bCs w:val="1"/>
          <w:i w:val="1"/>
          <w:iCs w:val="1"/>
          <w:color w:val="auto"/>
        </w:rPr>
        <w:t>Sale, Exchange, Redemption or Expiration of a Warrant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Upon a sale, exchange (other than by exercise), redemption (other than a redemption for Class A common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expiration of a warrant, a U.S. holder will generally recognize taxable gain or loss in an amount equal to the difference between (i) the amount realized upon such disposition or expiration and (ii) the U.S. holder’s adjusted tax basis in the warrant. Such gain or loss will generally be treated as long-term capital gain or loss if the warrant has been held by the U.S. holder for more than one year at the time of such disposition or expiration. If a warrant is allowed to lapse unexercised, a U.S. holder generally will recognize a capital loss equal to such holder’s tax basis in the warrant. As discussed above, where a warrant was originally acquired as part of an investment unit with shares of Class A common stock, the acquisition cost for the warrant and the share of Class A common stock that were part of such investment unit would equal an allocable portion of the acquisition cost of the entire investment unit (with such allocable portion based on the relative fair market values of the components of the investment unit at the time of acquisition). The deductibility of capital losses is subject to certain limitations.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32" w:name="page133"/>
    <w:bookmarkEnd w:id="132"/>
    <w:p>
      <w:pPr>
        <w:jc w:val="both"/>
        <w:ind w:firstLine="283"/>
        <w:spacing w:after="0" w:line="318" w:lineRule="auto"/>
        <w:rPr>
          <w:sz w:val="20"/>
          <w:szCs w:val="20"/>
          <w:color w:val="auto"/>
        </w:rPr>
      </w:pPr>
      <w:r>
        <w:rPr>
          <w:rFonts w:ascii="Arial" w:cs="Arial" w:eastAsia="Arial" w:hAnsi="Arial"/>
          <w:sz w:val="13"/>
          <w:szCs w:val="13"/>
          <w:color w:val="auto"/>
        </w:rPr>
        <w:t xml:space="preserve">A redemption of warrants for Class A common stock described in the section of this registration statement entitled </w:t>
      </w:r>
      <w:r>
        <w:rPr>
          <w:rFonts w:ascii="Arial" w:cs="Arial" w:eastAsia="Arial" w:hAnsi="Arial"/>
          <w:sz w:val="13"/>
          <w:szCs w:val="13"/>
          <w:i w:val="1"/>
          <w:iCs w:val="1"/>
          <w:color w:val="auto"/>
        </w:rPr>
        <w:t>“Description of Securities—Warrants”</w:t>
      </w:r>
      <w:r>
        <w:rPr>
          <w:rFonts w:ascii="Arial" w:cs="Arial" w:eastAsia="Arial" w:hAnsi="Arial"/>
          <w:sz w:val="13"/>
          <w:szCs w:val="13"/>
          <w:color w:val="auto"/>
        </w:rPr>
        <w:t xml:space="preserve"> is expected to treated as a tax-free recapitalization for U.S. federal income tax purposes. Accordingly, a U.S. holder should not recognize any gain or loss on the redemption of warrants for Class A common stock. A U.S. holder’s aggregate tax basis in the Class A common stock received in the redemption should equal the U.S. holder’s aggregate tax basis in the warrants redeemed and the holding period for the Class A common stock received in redemption of the warrants should include the U.S.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 Accordingly, a U.S. holder is urged to consult its tax advisor regarding the tax consequences of a redemption of warrants for shares of Class A common stock.</w:t>
      </w:r>
    </w:p>
    <w:p>
      <w:pPr>
        <w:spacing w:after="0" w:line="31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b w:val="1"/>
          <w:bCs w:val="1"/>
          <w:i w:val="1"/>
          <w:iCs w:val="1"/>
          <w:color w:val="auto"/>
        </w:rPr>
        <w:t xml:space="preserve">Possible Constructive Distributions. </w:t>
      </w:r>
      <w:r>
        <w:rPr>
          <w:rFonts w:ascii="Arial" w:cs="Arial" w:eastAsia="Arial" w:hAnsi="Arial"/>
          <w:sz w:val="15"/>
          <w:szCs w:val="15"/>
          <w:color w:val="auto"/>
        </w:rPr>
        <w:t>The terms of each warrant provide for an adjustment to the number of shares of Class A common stock for which the warrant may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exercised or to the exercise price of the warrant in certain events, as discussed in the section of this registration statement entitled </w:t>
      </w:r>
      <w:r>
        <w:rPr>
          <w:rFonts w:ascii="Arial" w:cs="Arial" w:eastAsia="Arial" w:hAnsi="Arial"/>
          <w:sz w:val="15"/>
          <w:szCs w:val="15"/>
          <w:i w:val="1"/>
          <w:iCs w:val="1"/>
          <w:color w:val="auto"/>
        </w:rPr>
        <w:t>“Description of Securities—Warrants.”</w:t>
      </w:r>
      <w:r>
        <w:rPr>
          <w:rFonts w:ascii="Arial" w:cs="Arial" w:eastAsia="Arial" w:hAnsi="Arial"/>
          <w:sz w:val="15"/>
          <w:szCs w:val="15"/>
          <w:color w:val="auto"/>
        </w:rPr>
        <w:t xml:space="preserve"> An adjustment which has the effect of preventing dilution generally is not taxable. The U.S. holders of the warrants would, however, be treated as receiving a constructive distribution from us in the case of certain adjustments. For example, a constructive distribution would generally result where the adjustment to the number of such shares or to such exercise price increases the warrantholders’ proportionate interest in our assets or earnings and profits (e.g., through an increase in the number of shares of Class A common stock that would be obtained upon exercise or through a decrease in the exercise price of the warrant) in connection with a taxable distribution of cash or other property to the holders of shares of our Class A common stock or an issuance of a taxable stock dividend to holders of our Class A common stock. Such constructive distribution would be subject to tax as described under “</w:t>
      </w:r>
      <w:r>
        <w:rPr>
          <w:rFonts w:ascii="Arial" w:cs="Arial" w:eastAsia="Arial" w:hAnsi="Arial"/>
          <w:sz w:val="15"/>
          <w:szCs w:val="15"/>
          <w:i w:val="1"/>
          <w:iCs w:val="1"/>
          <w:color w:val="auto"/>
        </w:rPr>
        <w:t>U.S. Holders—Taxation of Distributions</w:t>
      </w:r>
      <w:r>
        <w:rPr>
          <w:rFonts w:ascii="Arial" w:cs="Arial" w:eastAsia="Arial" w:hAnsi="Arial"/>
          <w:sz w:val="15"/>
          <w:szCs w:val="15"/>
          <w:color w:val="auto"/>
        </w:rPr>
        <w:t>” in the same manner as if the U.S. holders of the warrants received a cash distribution from us equal to the fair market value of such increased interest.</w:t>
      </w:r>
    </w:p>
    <w:p>
      <w:pPr>
        <w:spacing w:after="0" w:line="160"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information reporting requirements may apply to dividends paid to a U.S. holder and to the proceeds of the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6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Holders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This section applies to you if you are a “non-U.S. holder.” As used herein, the term “non-U.S. holder” means a beneficial owner of our Class A common stock or warrants who or that is for U.S. federal income tax purposes:</w:t>
      </w:r>
    </w:p>
    <w:p>
      <w:pPr>
        <w:spacing w:after="0" w:line="157" w:lineRule="exact"/>
        <w:rPr>
          <w:sz w:val="20"/>
          <w:szCs w:val="20"/>
          <w:color w:val="auto"/>
        </w:rPr>
      </w:pPr>
    </w:p>
    <w:p>
      <w:pPr>
        <w:ind w:left="560" w:hanging="283"/>
        <w:spacing w:after="0"/>
        <w:tabs>
          <w:tab w:leader="none" w:pos="5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non-resident alien individual (other than certain former citizens and residents of the United States subject to U.S. tax as expatriates);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foreign corporation; or</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 estate or trust that is not a U.S. holder;</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but generally does not include an individual who is present in the United States for 183 days or more in the taxable year of the disposition of our Class A common stock or warrants. If you are such an individual, you should consult your own tax advisor regarding the U.S. federal income tax consequences of the acquisition, ownership or sale or other disposition of our securities.</w:t>
      </w:r>
    </w:p>
    <w:p>
      <w:pPr>
        <w:spacing w:after="0" w:line="161" w:lineRule="exact"/>
        <w:rPr>
          <w:sz w:val="20"/>
          <w:szCs w:val="20"/>
          <w:color w:val="auto"/>
        </w:rPr>
      </w:pPr>
    </w:p>
    <w:p>
      <w:pPr>
        <w:jc w:val="both"/>
        <w:ind w:firstLine="283"/>
        <w:spacing w:after="0" w:line="315" w:lineRule="auto"/>
        <w:rPr>
          <w:sz w:val="20"/>
          <w:szCs w:val="20"/>
          <w:color w:val="auto"/>
        </w:rPr>
      </w:pPr>
      <w:r>
        <w:rPr>
          <w:rFonts w:ascii="Arial" w:cs="Arial" w:eastAsia="Arial" w:hAnsi="Arial"/>
          <w:sz w:val="13"/>
          <w:szCs w:val="13"/>
          <w:b w:val="1"/>
          <w:bCs w:val="1"/>
          <w:i w:val="1"/>
          <w:iCs w:val="1"/>
          <w:color w:val="auto"/>
        </w:rPr>
        <w:t>Taxation of Distributions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general, any distributions (other than certain distributions of our stock and rights to acquire our stock) we make to a non-U.S. holder of shares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Arial" w:cs="Arial" w:eastAsia="Arial" w:hAnsi="Arial"/>
          <w:sz w:val="13"/>
          <w:szCs w:val="13"/>
          <w:i w:val="1"/>
          <w:iCs w:val="1"/>
          <w:color w:val="auto"/>
        </w:rPr>
        <w:t>Non-U.S. Holders—Gain on Sale, Taxable Exchange or Other Taxable Disposition of Class A Common Stock and Warrants</w:t>
      </w:r>
      <w:r>
        <w:rPr>
          <w:rFonts w:ascii="Arial" w:cs="Arial" w:eastAsia="Arial" w:hAnsi="Arial"/>
          <w:sz w:val="13"/>
          <w:szCs w:val="13"/>
          <w:color w:val="auto"/>
        </w:rPr>
        <w:t>,” below.</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33" w:name="page134"/>
    <w:bookmarkEnd w:id="133"/>
    <w:p>
      <w:pPr>
        <w:jc w:val="both"/>
        <w:ind w:firstLine="283"/>
        <w:spacing w:after="0" w:line="251" w:lineRule="auto"/>
        <w:rPr>
          <w:sz w:val="20"/>
          <w:szCs w:val="20"/>
          <w:color w:val="auto"/>
        </w:rPr>
      </w:pPr>
      <w:r>
        <w:rPr>
          <w:rFonts w:ascii="Arial" w:cs="Arial" w:eastAsia="Arial" w:hAnsi="Arial"/>
          <w:sz w:val="16"/>
          <w:szCs w:val="16"/>
          <w:color w:val="auto"/>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spacing w:after="0" w:line="169" w:lineRule="exact"/>
        <w:rPr>
          <w:sz w:val="20"/>
          <w:szCs w:val="20"/>
          <w:color w:val="auto"/>
        </w:rPr>
      </w:pPr>
    </w:p>
    <w:p>
      <w:pPr>
        <w:jc w:val="both"/>
        <w:ind w:right="20" w:firstLine="283"/>
        <w:spacing w:after="0" w:line="329" w:lineRule="auto"/>
        <w:rPr>
          <w:sz w:val="20"/>
          <w:szCs w:val="20"/>
          <w:color w:val="auto"/>
        </w:rPr>
      </w:pPr>
      <w:r>
        <w:rPr>
          <w:rFonts w:ascii="Arial" w:cs="Arial" w:eastAsia="Arial" w:hAnsi="Arial"/>
          <w:sz w:val="13"/>
          <w:szCs w:val="13"/>
          <w:b w:val="1"/>
          <w:bCs w:val="1"/>
          <w:i w:val="1"/>
          <w:iCs w:val="1"/>
          <w:color w:val="auto"/>
        </w:rPr>
        <w:t xml:space="preserve">Exercise of a Warrant. </w:t>
      </w:r>
      <w:r>
        <w:rPr>
          <w:rFonts w:ascii="Arial" w:cs="Arial" w:eastAsia="Arial" w:hAnsi="Arial"/>
          <w:sz w:val="13"/>
          <w:szCs w:val="13"/>
          <w:color w:val="auto"/>
        </w:rPr>
        <w:t>The U.S. federal income tax treatment of a non-U.S. holder’s exercise of a warrant, or the lapse of a warrant held by a non-U.S. holder, generally will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correspond to the U.S. federal income tax treatment of the exercise or lapse of a warrant by a U.S. holder, as described under “</w:t>
      </w:r>
      <w:r>
        <w:rPr>
          <w:rFonts w:ascii="Arial" w:cs="Arial" w:eastAsia="Arial" w:hAnsi="Arial"/>
          <w:sz w:val="13"/>
          <w:szCs w:val="13"/>
          <w:i w:val="1"/>
          <w:iCs w:val="1"/>
          <w:color w:val="auto"/>
        </w:rPr>
        <w:t>U.S. Holders—Exercise of a Warrant</w:t>
      </w:r>
      <w:r>
        <w:rPr>
          <w:rFonts w:ascii="Arial" w:cs="Arial" w:eastAsia="Arial" w:hAnsi="Arial"/>
          <w:sz w:val="13"/>
          <w:szCs w:val="13"/>
          <w:color w:val="auto"/>
        </w:rPr>
        <w:t>” and “</w:t>
      </w:r>
      <w:r>
        <w:rPr>
          <w:rFonts w:ascii="Arial" w:cs="Arial" w:eastAsia="Arial" w:hAnsi="Arial"/>
          <w:sz w:val="13"/>
          <w:szCs w:val="13"/>
          <w:i w:val="1"/>
          <w:iCs w:val="1"/>
          <w:color w:val="auto"/>
        </w:rPr>
        <w:t>U.S.</w:t>
      </w:r>
      <w:r>
        <w:rPr>
          <w:rFonts w:ascii="Arial" w:cs="Arial" w:eastAsia="Arial" w:hAnsi="Arial"/>
          <w:sz w:val="13"/>
          <w:szCs w:val="13"/>
          <w:color w:val="auto"/>
        </w:rPr>
        <w:t xml:space="preserve"> </w:t>
      </w:r>
      <w:r>
        <w:rPr>
          <w:rFonts w:ascii="Arial" w:cs="Arial" w:eastAsia="Arial" w:hAnsi="Arial"/>
          <w:sz w:val="13"/>
          <w:szCs w:val="13"/>
          <w:i w:val="1"/>
          <w:iCs w:val="1"/>
          <w:color w:val="auto"/>
        </w:rPr>
        <w:t>Holders—Sale, Exchange, Redemption or Expiration of a Warrant</w:t>
      </w:r>
      <w:r>
        <w:rPr>
          <w:rFonts w:ascii="Arial" w:cs="Arial" w:eastAsia="Arial" w:hAnsi="Arial"/>
          <w:sz w:val="13"/>
          <w:szCs w:val="13"/>
          <w:color w:val="auto"/>
        </w:rPr>
        <w:t>,” above, although to the extent a cashless exercise results in a taxable exchange, the consequences would be</w:t>
      </w:r>
      <w:r>
        <w:rPr>
          <w:rFonts w:ascii="Arial" w:cs="Arial" w:eastAsia="Arial" w:hAnsi="Arial"/>
          <w:sz w:val="13"/>
          <w:szCs w:val="13"/>
          <w:i w:val="1"/>
          <w:iCs w:val="1"/>
          <w:color w:val="auto"/>
        </w:rPr>
        <w:t xml:space="preserve"> </w:t>
      </w:r>
      <w:r>
        <w:rPr>
          <w:rFonts w:ascii="Arial" w:cs="Arial" w:eastAsia="Arial" w:hAnsi="Arial"/>
          <w:sz w:val="13"/>
          <w:szCs w:val="13"/>
          <w:color w:val="auto"/>
        </w:rPr>
        <w:t>similar to those described below in “</w:t>
      </w:r>
      <w:r>
        <w:rPr>
          <w:rFonts w:ascii="Arial" w:cs="Arial" w:eastAsia="Arial" w:hAnsi="Arial"/>
          <w:sz w:val="13"/>
          <w:szCs w:val="13"/>
          <w:i w:val="1"/>
          <w:iCs w:val="1"/>
          <w:color w:val="auto"/>
        </w:rPr>
        <w:t>Non-U.S. Holders—Gain on Sale, Taxable Exchange or Other Taxable Disposition of Class A Common Stock and Warrants</w:t>
      </w:r>
      <w:r>
        <w:rPr>
          <w:rFonts w:ascii="Arial" w:cs="Arial" w:eastAsia="Arial" w:hAnsi="Arial"/>
          <w:sz w:val="13"/>
          <w:szCs w:val="13"/>
          <w:color w:val="auto"/>
        </w:rPr>
        <w:t>.”</w:t>
      </w:r>
    </w:p>
    <w:p>
      <w:pPr>
        <w:spacing w:after="0" w:line="122"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b w:val="1"/>
          <w:bCs w:val="1"/>
          <w:i w:val="1"/>
          <w:iCs w:val="1"/>
          <w:color w:val="auto"/>
        </w:rPr>
        <w:t>Redemption of Warrants for Common 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U.S. federal income tax treatment for a non-U.S. holder of a redemption of warrants for common stock described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section of this registration statement entitled </w:t>
      </w:r>
      <w:r>
        <w:rPr>
          <w:rFonts w:ascii="Arial" w:cs="Arial" w:eastAsia="Arial" w:hAnsi="Arial"/>
          <w:sz w:val="16"/>
          <w:szCs w:val="16"/>
          <w:i w:val="1"/>
          <w:iCs w:val="1"/>
          <w:color w:val="auto"/>
        </w:rPr>
        <w:t>“Description of Securities—Warrants”</w:t>
      </w:r>
      <w:r>
        <w:rPr>
          <w:rFonts w:ascii="Arial" w:cs="Arial" w:eastAsia="Arial" w:hAnsi="Arial"/>
          <w:sz w:val="16"/>
          <w:szCs w:val="16"/>
          <w:color w:val="auto"/>
        </w:rPr>
        <w:t xml:space="preserve"> will correspond to the U.S. federal income tax treatment for a U.S. holder of a redemption of warrants for common stock, as described above in “</w:t>
      </w:r>
      <w:r>
        <w:rPr>
          <w:rFonts w:ascii="Arial" w:cs="Arial" w:eastAsia="Arial" w:hAnsi="Arial"/>
          <w:sz w:val="16"/>
          <w:szCs w:val="16"/>
          <w:i w:val="1"/>
          <w:iCs w:val="1"/>
          <w:color w:val="auto"/>
        </w:rPr>
        <w:t>U.S. Holders—Sale, Exchange, Redemption, or Expiration of a Warrant</w:t>
      </w:r>
      <w:r>
        <w:rPr>
          <w:rFonts w:ascii="Arial" w:cs="Arial" w:eastAsia="Arial" w:hAnsi="Arial"/>
          <w:sz w:val="16"/>
          <w:szCs w:val="16"/>
          <w:color w:val="auto"/>
        </w:rPr>
        <w:t>.”</w:t>
      </w:r>
    </w:p>
    <w:p>
      <w:pPr>
        <w:spacing w:after="0" w:line="161" w:lineRule="exact"/>
        <w:rPr>
          <w:sz w:val="20"/>
          <w:szCs w:val="20"/>
          <w:color w:val="auto"/>
        </w:rPr>
      </w:pPr>
    </w:p>
    <w:p>
      <w:pPr>
        <w:jc w:val="both"/>
        <w:ind w:right="20" w:firstLine="283"/>
        <w:spacing w:after="0" w:line="258" w:lineRule="auto"/>
        <w:rPr>
          <w:sz w:val="20"/>
          <w:szCs w:val="20"/>
          <w:color w:val="auto"/>
        </w:rPr>
      </w:pPr>
      <w:r>
        <w:rPr>
          <w:rFonts w:ascii="Arial" w:cs="Arial" w:eastAsia="Arial" w:hAnsi="Arial"/>
          <w:sz w:val="16"/>
          <w:szCs w:val="16"/>
          <w:b w:val="1"/>
          <w:bCs w:val="1"/>
          <w:i w:val="1"/>
          <w:iCs w:val="1"/>
          <w:color w:val="auto"/>
        </w:rPr>
        <w:t>Gain on Sale, Taxable Exchange or Other Taxable Disposition of Class A Common Stock and 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holder generally will not be subject to U.S.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or withholding tax in respect of gain recognized on a sale, taxable exchange or other taxable disposition of our Class A common stock or an expiration or redemption of our warrants, unless:</w:t>
      </w:r>
    </w:p>
    <w:p>
      <w:pPr>
        <w:spacing w:after="0" w:line="164" w:lineRule="exact"/>
        <w:rPr>
          <w:sz w:val="20"/>
          <w:szCs w:val="20"/>
          <w:color w:val="auto"/>
        </w:rPr>
      </w:pPr>
    </w:p>
    <w:p>
      <w:pPr>
        <w:ind w:left="560" w:right="20" w:hanging="283"/>
        <w:spacing w:after="0" w:line="266" w:lineRule="auto"/>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57" w:lineRule="exact"/>
        <w:rPr>
          <w:rFonts w:ascii="Arial" w:cs="Arial" w:eastAsia="Arial" w:hAnsi="Arial"/>
          <w:sz w:val="16"/>
          <w:szCs w:val="16"/>
          <w:color w:val="auto"/>
        </w:rPr>
      </w:pPr>
    </w:p>
    <w:p>
      <w:pPr>
        <w:jc w:val="both"/>
        <w:ind w:left="560" w:right="20" w:hanging="283"/>
        <w:spacing w:after="0" w:line="322" w:lineRule="auto"/>
        <w:tabs>
          <w:tab w:leader="none" w:pos="5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If we are or have been a “United States real property holding corporation” and you own warrants, you are urged to consult your own tax advisor regarding the application of these rules.</w:t>
      </w:r>
    </w:p>
    <w:p>
      <w:pPr>
        <w:spacing w:after="0" w:line="128"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spacing w:after="0" w:line="115"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from such holder may be required to withhold U.S. federal income tax at a rate of 15% of the amount realized upon such disposition. We believe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spacing w:after="0" w:line="174"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b w:val="1"/>
          <w:bCs w:val="1"/>
          <w:i w:val="1"/>
          <w:iCs w:val="1"/>
          <w:color w:val="auto"/>
        </w:rPr>
        <w:t xml:space="preserve">Possible Constructive Distributions. </w:t>
      </w:r>
      <w:r>
        <w:rPr>
          <w:rFonts w:ascii="Arial" w:cs="Arial" w:eastAsia="Arial" w:hAnsi="Arial"/>
          <w:sz w:val="13"/>
          <w:szCs w:val="13"/>
          <w:color w:val="auto"/>
        </w:rPr>
        <w:t>An adjustment to the number of shares of Class A common stock for which a warrant may be exercised or to the exercise price of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warrant may result in a constructive distribution from us to a non-U.S. holder of such warrant in the same manner as described above under “</w:t>
      </w:r>
      <w:r>
        <w:rPr>
          <w:rFonts w:ascii="Arial" w:cs="Arial" w:eastAsia="Arial" w:hAnsi="Arial"/>
          <w:sz w:val="13"/>
          <w:szCs w:val="13"/>
          <w:i w:val="1"/>
          <w:iCs w:val="1"/>
          <w:color w:val="auto"/>
        </w:rPr>
        <w:t>U.S. Holders—Possible Constructive</w:t>
      </w:r>
      <w:r>
        <w:rPr>
          <w:rFonts w:ascii="Arial" w:cs="Arial" w:eastAsia="Arial" w:hAnsi="Arial"/>
          <w:sz w:val="13"/>
          <w:szCs w:val="13"/>
          <w:color w:val="auto"/>
        </w:rPr>
        <w:t xml:space="preserve"> </w:t>
      </w:r>
      <w:r>
        <w:rPr>
          <w:rFonts w:ascii="Arial" w:cs="Arial" w:eastAsia="Arial" w:hAnsi="Arial"/>
          <w:sz w:val="13"/>
          <w:szCs w:val="13"/>
          <w:i w:val="1"/>
          <w:iCs w:val="1"/>
          <w:color w:val="auto"/>
        </w:rPr>
        <w:t>Distributions</w:t>
      </w:r>
      <w:r>
        <w:rPr>
          <w:rFonts w:ascii="Arial" w:cs="Arial" w:eastAsia="Arial" w:hAnsi="Arial"/>
          <w:sz w:val="13"/>
          <w:szCs w:val="13"/>
          <w:color w:val="auto"/>
        </w:rPr>
        <w:t>.” Any such constructive distribution received by a non-U.S. holder would be subject to U.S. federal income tax (including any applicable withholding) in the same</w:t>
      </w:r>
      <w:r>
        <w:rPr>
          <w:rFonts w:ascii="Arial" w:cs="Arial" w:eastAsia="Arial" w:hAnsi="Arial"/>
          <w:sz w:val="13"/>
          <w:szCs w:val="13"/>
          <w:i w:val="1"/>
          <w:iCs w:val="1"/>
          <w:color w:val="auto"/>
        </w:rPr>
        <w:t xml:space="preserve"> </w:t>
      </w:r>
      <w:r>
        <w:rPr>
          <w:rFonts w:ascii="Arial" w:cs="Arial" w:eastAsia="Arial" w:hAnsi="Arial"/>
          <w:sz w:val="13"/>
          <w:szCs w:val="13"/>
          <w:color w:val="auto"/>
        </w:rPr>
        <w:t>manner as described above under “</w:t>
      </w:r>
      <w:r>
        <w:rPr>
          <w:rFonts w:ascii="Arial" w:cs="Arial" w:eastAsia="Arial" w:hAnsi="Arial"/>
          <w:sz w:val="13"/>
          <w:szCs w:val="13"/>
          <w:i w:val="1"/>
          <w:iCs w:val="1"/>
          <w:color w:val="auto"/>
        </w:rPr>
        <w:t>Non-U.S. Holders—Taxation of Distributions</w:t>
      </w:r>
      <w:r>
        <w:rPr>
          <w:rFonts w:ascii="Arial" w:cs="Arial" w:eastAsia="Arial" w:hAnsi="Arial"/>
          <w:sz w:val="13"/>
          <w:szCs w:val="13"/>
          <w:color w:val="auto"/>
        </w:rPr>
        <w:t>” as if such non-U.S. holder received a cash distribution from us equal to the fair market value of such increased interest without any corresponding receipt of cash. Any resulting withholding tax may be withheld from future cash distributions.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134" w:name="page135"/>
    <w:bookmarkEnd w:id="134"/>
    <w:p>
      <w:pPr>
        <w:jc w:val="both"/>
        <w:ind w:firstLine="283"/>
        <w:spacing w:after="0" w:line="251"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returns will be filed with the IRS in connection with payments of dividends and the proceeds from a sale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disposition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65" w:lineRule="exact"/>
        <w:rPr>
          <w:sz w:val="20"/>
          <w:szCs w:val="20"/>
          <w:color w:val="auto"/>
        </w:rPr>
      </w:pPr>
    </w:p>
    <w:p>
      <w:pPr>
        <w:jc w:val="both"/>
        <w:ind w:firstLine="283"/>
        <w:spacing w:after="0" w:line="311" w:lineRule="auto"/>
        <w:rPr>
          <w:sz w:val="20"/>
          <w:szCs w:val="20"/>
          <w:color w:val="auto"/>
        </w:rPr>
      </w:pPr>
      <w:r>
        <w:rPr>
          <w:rFonts w:ascii="Arial" w:cs="Arial" w:eastAsia="Arial" w:hAnsi="Arial"/>
          <w:sz w:val="13"/>
          <w:szCs w:val="13"/>
          <w:b w:val="1"/>
          <w:bCs w:val="1"/>
          <w:i w:val="1"/>
          <w:iCs w:val="1"/>
          <w:color w:val="auto"/>
        </w:rPr>
        <w:t>FATCA</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Provisions commonly referred to as “FATCA” impose withholding of 30% on payments of dividends (including constructive dividends) on our Class A common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own tax advisors regarding the effects of FATCA on their investment in our Class A common stock.</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6"/>
          <w:szCs w:val="16"/>
          <w:b w:val="1"/>
          <w:bCs w:val="1"/>
          <w:color w:val="auto"/>
        </w:rPr>
        <w:t>PLAN OF DISTRIBUTION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registering the possible resale by the Selling Holders of up to 175,541,507 shares of Class A common stock.</w:t>
      </w:r>
    </w:p>
    <w:p>
      <w:pPr>
        <w:spacing w:after="0" w:line="193"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We will not receive any of the proceeds from the sale of the securities by the Selling Holders. The aggregate proceeds to the Selling Holders will be the purchase price of the securities less any discounts and commissions borne by the Selling Holders.</w:t>
      </w:r>
    </w:p>
    <w:p>
      <w:pPr>
        <w:spacing w:after="0" w:line="15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6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58"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Subject to the limitations set forth in any applicable registration rights agreement, the Selling Holders may use any one or more of the following methods when selling the securities offered by this prospectus:</w:t>
      </w:r>
    </w:p>
    <w:p>
      <w:pPr>
        <w:spacing w:after="0" w:line="157" w:lineRule="exact"/>
        <w:rPr>
          <w:sz w:val="20"/>
          <w:szCs w:val="20"/>
          <w:color w:val="auto"/>
        </w:rPr>
      </w:pPr>
    </w:p>
    <w:p>
      <w:pPr>
        <w:ind w:left="560" w:hanging="283"/>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such broker-dealer for its own account pursuant to this prospectus;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ordinary brokerage transactions and transactions in which the broker solicits purchasers;</w:t>
      </w:r>
    </w:p>
    <w:p>
      <w:pPr>
        <w:spacing w:after="0" w:line="192"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block trades in which the broker-dealer so engaged will attempt to sell the securities as agent but may position and resell a portion of the block as principal to facilitate the transaction;</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 over-the-counter distribution in accordance with the rules of Nasdaq;</w:t>
      </w:r>
    </w:p>
    <w:p>
      <w:pPr>
        <w:spacing w:after="0" w:line="192" w:lineRule="exact"/>
        <w:rPr>
          <w:rFonts w:ascii="Arial" w:cs="Arial" w:eastAsia="Arial" w:hAnsi="Arial"/>
          <w:sz w:val="16"/>
          <w:szCs w:val="16"/>
          <w:color w:val="auto"/>
        </w:rPr>
      </w:pPr>
    </w:p>
    <w:p>
      <w:pPr>
        <w:ind w:left="560" w:hanging="283"/>
        <w:spacing w:after="0" w:line="383" w:lineRule="auto"/>
        <w:tabs>
          <w:tab w:leader="none" w:pos="5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8" w:lineRule="exact"/>
        <w:rPr>
          <w:rFonts w:ascii="Arial" w:cs="Arial" w:eastAsia="Arial" w:hAnsi="Arial"/>
          <w:sz w:val="13"/>
          <w:szCs w:val="13"/>
          <w:color w:val="auto"/>
        </w:rPr>
      </w:pPr>
    </w:p>
    <w:p>
      <w:pPr>
        <w:ind w:left="560" w:hanging="283"/>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through one or more underwritten offerings on a firm commitment or best efforts basis;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settlement of short sales entered into after the date of this prospectus;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agreements with broker-dealers to sell a specified number of the securities at a stipulated price per share or warrant;</w:t>
      </w:r>
    </w:p>
    <w:p>
      <w:pPr>
        <w:spacing w:after="0" w:line="192" w:lineRule="exact"/>
        <w:rPr>
          <w:rFonts w:ascii="Arial" w:cs="Arial" w:eastAsia="Arial" w:hAnsi="Arial"/>
          <w:sz w:val="16"/>
          <w:szCs w:val="16"/>
          <w:color w:val="auto"/>
        </w:rPr>
      </w:pPr>
    </w:p>
    <w:p>
      <w:pPr>
        <w:jc w:val="both"/>
        <w:ind w:left="560" w:right="20" w:hanging="283"/>
        <w:spacing w:after="0" w:line="25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65" w:lineRule="exact"/>
        <w:rPr>
          <w:rFonts w:ascii="Arial" w:cs="Arial" w:eastAsia="Arial" w:hAnsi="Arial"/>
          <w:sz w:val="16"/>
          <w:szCs w:val="16"/>
          <w:color w:val="auto"/>
        </w:rPr>
      </w:pPr>
    </w:p>
    <w:p>
      <w:pPr>
        <w:ind w:left="560" w:hanging="283"/>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directly to purchasers, including through a specific bidding, auction or other process or in privately negotiated transactions;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36" w:name="page137"/>
    <w:bookmarkEnd w:id="136"/>
    <w:p>
      <w:pPr>
        <w:ind w:left="560" w:hanging="283"/>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through the distributions by any Selling Holder or its affiliates to its partners, members or stockholders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through a combination of any of the above methods of sale; or</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other method permitted pursuant to applicable law.</w:t>
      </w:r>
    </w:p>
    <w:p>
      <w:pPr>
        <w:spacing w:after="0" w:line="193"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55"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spacing w:after="0" w:line="115"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spacing w:after="0" w:line="148" w:lineRule="exact"/>
        <w:rPr>
          <w:sz w:val="20"/>
          <w:szCs w:val="20"/>
          <w:color w:val="auto"/>
        </w:rPr>
      </w:pPr>
    </w:p>
    <w:p>
      <w:pPr>
        <w:jc w:val="both"/>
        <w:ind w:right="20" w:firstLine="283"/>
        <w:spacing w:after="0" w:line="300" w:lineRule="auto"/>
        <w:rPr>
          <w:sz w:val="20"/>
          <w:szCs w:val="20"/>
          <w:color w:val="auto"/>
        </w:rPr>
      </w:pPr>
      <w:r>
        <w:rPr>
          <w:rFonts w:ascii="Arial" w:cs="Arial" w:eastAsia="Arial" w:hAnsi="Arial"/>
          <w:sz w:val="15"/>
          <w:szCs w:val="15"/>
          <w:color w:val="auto"/>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spacing w:after="0" w:line="134" w:lineRule="exact"/>
        <w:rPr>
          <w:sz w:val="20"/>
          <w:szCs w:val="20"/>
          <w:color w:val="auto"/>
        </w:rPr>
      </w:pPr>
    </w:p>
    <w:p>
      <w:pPr>
        <w:ind w:left="560" w:hanging="283"/>
        <w:spacing w:after="0"/>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specific securities to be offered and sold;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names of the Selling Holders;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respective purchase prices and public offering prices, the proceeds to be received from the sale, if any, and other material terms of the offering;</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settlement of short sales entered into after the date of this prospectus;</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names of any participating agents, broker-dealers or underwriters; and</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applicable commissions, discounts, concessions and other items constituting compensation from the Selling Holders.</w:t>
      </w:r>
    </w:p>
    <w:p>
      <w:pPr>
        <w:spacing w:after="0" w:line="193" w:lineRule="exact"/>
        <w:rPr>
          <w:sz w:val="20"/>
          <w:szCs w:val="20"/>
          <w:color w:val="auto"/>
        </w:rPr>
      </w:pPr>
    </w:p>
    <w:p>
      <w:pPr>
        <w:jc w:val="both"/>
        <w:ind w:firstLine="283"/>
        <w:spacing w:after="0" w:line="316" w:lineRule="auto"/>
        <w:rPr>
          <w:sz w:val="20"/>
          <w:szCs w:val="20"/>
          <w:color w:val="auto"/>
        </w:rPr>
      </w:pPr>
      <w:r>
        <w:rPr>
          <w:rFonts w:ascii="Arial" w:cs="Arial" w:eastAsia="Arial" w:hAnsi="Arial"/>
          <w:sz w:val="13"/>
          <w:szCs w:val="13"/>
          <w:color w:val="auto"/>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30" w:lineRule="exact"/>
        <w:rPr>
          <w:sz w:val="20"/>
          <w:szCs w:val="20"/>
          <w:color w:val="auto"/>
        </w:rPr>
      </w:pPr>
    </w:p>
    <w:p>
      <w:pPr>
        <w:jc w:val="both"/>
        <w:ind w:firstLine="283"/>
        <w:spacing w:after="0" w:line="316" w:lineRule="auto"/>
        <w:rPr>
          <w:sz w:val="20"/>
          <w:szCs w:val="20"/>
          <w:color w:val="auto"/>
        </w:rPr>
      </w:pPr>
      <w:r>
        <w:rPr>
          <w:rFonts w:ascii="Arial" w:cs="Arial" w:eastAsia="Arial" w:hAnsi="Arial"/>
          <w:sz w:val="13"/>
          <w:szCs w:val="13"/>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37" w:name="page138"/>
    <w:bookmarkEnd w:id="137"/>
    <w:p>
      <w:pPr>
        <w:jc w:val="both"/>
        <w:ind w:right="20" w:firstLine="283"/>
        <w:spacing w:after="0" w:line="256" w:lineRule="auto"/>
        <w:rPr>
          <w:sz w:val="20"/>
          <w:szCs w:val="20"/>
          <w:color w:val="auto"/>
        </w:rPr>
      </w:pPr>
      <w:r>
        <w:rPr>
          <w:rFonts w:ascii="Arial" w:cs="Arial" w:eastAsia="Arial" w:hAnsi="Arial"/>
          <w:sz w:val="16"/>
          <w:szCs w:val="16"/>
          <w:color w:val="auto"/>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65"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 and our public warrants are currently listed on Nasdaq under the symbol “OPALW.”</w:t>
      </w:r>
    </w:p>
    <w:p>
      <w:pPr>
        <w:spacing w:after="0" w:line="165"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spacing w:after="0" w:line="169"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color w:val="auto"/>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61"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spacing w:after="0" w:line="15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In compliance with the guidelines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65"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spacing w:after="0" w:line="15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38" w:name="page139"/>
    <w:bookmarkEnd w:id="138"/>
    <w:p>
      <w:pPr>
        <w:jc w:val="both"/>
        <w:ind w:firstLine="283"/>
        <w:spacing w:after="0" w:line="383" w:lineRule="auto"/>
        <w:rPr>
          <w:sz w:val="20"/>
          <w:szCs w:val="20"/>
          <w:color w:val="auto"/>
        </w:rPr>
      </w:pPr>
      <w:r>
        <w:rPr>
          <w:rFonts w:ascii="Arial" w:cs="Arial" w:eastAsia="Arial" w:hAnsi="Arial"/>
          <w:sz w:val="13"/>
          <w:szCs w:val="13"/>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88"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65"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The underwriters, broker-dealers and agents may engage in transactions with us or the Selling Holders, or perform services for us or the Selling Holders, in the ordinary course of business.</w:t>
      </w:r>
    </w:p>
    <w:p>
      <w:pPr>
        <w:spacing w:after="0" w:line="15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spacing w:after="0" w:line="148"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spacing w:after="0" w:line="165"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16"/>
          <w:szCs w:val="16"/>
          <w:b w:val="1"/>
          <w:bCs w:val="1"/>
          <w:color w:val="auto"/>
        </w:rPr>
        <w:t>LEGAL MATTERS</w:t>
      </w:r>
    </w:p>
    <w:p>
      <w:pPr>
        <w:spacing w:after="0" w:line="19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Sheppard, Mullin, Richter &amp; Hampton LLP will pass upon the validity of the Class A common stock offered by this prospectus and certain other matters related to this prospectus.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197" w:lineRule="exact"/>
        <w:rPr>
          <w:sz w:val="20"/>
          <w:szCs w:val="20"/>
          <w:color w:val="auto"/>
        </w:rPr>
      </w:pPr>
    </w:p>
    <w:p>
      <w:pPr>
        <w:jc w:val="both"/>
        <w:ind w:right="20" w:firstLine="283"/>
        <w:spacing w:after="0" w:line="281" w:lineRule="auto"/>
        <w:rPr>
          <w:sz w:val="20"/>
          <w:szCs w:val="20"/>
          <w:color w:val="auto"/>
        </w:rPr>
      </w:pPr>
      <w:r>
        <w:rPr>
          <w:rFonts w:ascii="Arial" w:cs="Arial" w:eastAsia="Arial" w:hAnsi="Arial"/>
          <w:sz w:val="15"/>
          <w:szCs w:val="15"/>
          <w:color w:val="auto"/>
        </w:rPr>
        <w:t>The financial statements of ArcLight Clean Transition Corp. II as of December 31, 2021, and for the period from January 13, 2021 (inception) through December 31, 2021, included in this prospectus and Registration Statement have been audited by Marcum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48"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The consolidated financial statements of OPAL Fuels LLC as of and for the years ended December 31, 2021, 2020 and 2019 included in this prospectus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65"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The consolidated financial statements of Beacon RNG LLC as of April 30, 2021, December 31, 2020 and December 31, 2019 and for the period ended April 30, 2021, and for the year ended December 31, 2021 and for the period from March 11, 2019 (Inception) through December 31, 2019 included in this prospectus and Registration Statement have been so included in reliance on the report of BDO USA, LLP, an independent auditor, appearing elsewhere herein and in the Registration Statement, given on the authority of said firm as experts in auditing and accounting.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197"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31"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We also file annual, quarterly and current reports, proxy statements and other information with the SEC. Our SEC filings are available to the public over the Internet at the SEC’s website at www.sec.gov and on our website at www.opalfuels.com. The information contained on, or that may be accessed through, our website is not part of, and is not incorporated into, this prospectus. You may inspect a copy of the registration statement through the SEC’s website, as provided herein.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6"/>
          <w:szCs w:val="16"/>
          <w:b w:val="1"/>
          <w:bCs w:val="1"/>
          <w:color w:val="auto"/>
        </w:rPr>
        <w:t>INDEX TO FINANCIAL STATEMENTS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ARCLIGHT CLEAN TRANSITION CORP. II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88"/>
        </w:trPr>
        <w:tc>
          <w:tcPr>
            <w:tcW w:w="10240" w:type="dxa"/>
            <w:vAlign w:val="bottom"/>
            <w:gridSpan w:val="10"/>
            <w:shd w:val="clear" w:color="auto" w:fill="CCEEFF"/>
          </w:tcPr>
          <w:p>
            <w:pPr>
              <w:spacing w:after="0"/>
              <w:rPr>
                <w:sz w:val="20"/>
                <w:szCs w:val="20"/>
                <w:color w:val="auto"/>
              </w:rPr>
            </w:pPr>
            <w:r>
              <w:rPr>
                <w:rFonts w:ascii="Arial" w:cs="Arial" w:eastAsia="Arial" w:hAnsi="Arial"/>
                <w:sz w:val="16"/>
                <w:szCs w:val="16"/>
                <w:b w:val="1"/>
                <w:bCs w:val="1"/>
                <w:color w:val="auto"/>
              </w:rPr>
              <w:t>Unaudited Financial Statements of ArcLight Clean Transition Corp. II</w:t>
            </w:r>
          </w:p>
        </w:tc>
        <w:tc>
          <w:tcPr>
            <w:tcW w:w="1020" w:type="dxa"/>
            <w:vAlign w:val="bottom"/>
            <w:shd w:val="clear" w:color="auto" w:fill="CCEEFF"/>
          </w:tcPr>
          <w:p>
            <w:pPr>
              <w:spacing w:after="0"/>
              <w:rPr>
                <w:sz w:val="16"/>
                <w:szCs w:val="16"/>
                <w:color w:val="auto"/>
              </w:rPr>
            </w:pPr>
          </w:p>
        </w:tc>
      </w:tr>
      <w:tr>
        <w:trPr>
          <w:trHeight w:val="153"/>
        </w:trPr>
        <w:tc>
          <w:tcPr>
            <w:tcW w:w="10240" w:type="dxa"/>
            <w:vAlign w:val="bottom"/>
            <w:gridSpan w:val="10"/>
          </w:tcPr>
          <w:p>
            <w:pPr>
              <w:spacing w:after="0" w:line="153" w:lineRule="exact"/>
              <w:rPr>
                <w:sz w:val="20"/>
                <w:szCs w:val="20"/>
                <w:color w:val="auto"/>
              </w:rPr>
            </w:pPr>
            <w:r>
              <w:rPr>
                <w:rFonts w:ascii="Arial" w:cs="Arial" w:eastAsia="Arial" w:hAnsi="Arial"/>
                <w:sz w:val="16"/>
                <w:szCs w:val="16"/>
                <w:color w:val="0000EE"/>
              </w:rPr>
              <w:t>Balance Sheets as of June 30, 2022 (Unaudited) and December 31, 2021</w:t>
            </w:r>
          </w:p>
        </w:tc>
        <w:tc>
          <w:tcPr>
            <w:tcW w:w="1020" w:type="dxa"/>
            <w:vAlign w:val="bottom"/>
          </w:tcPr>
          <w:p>
            <w:pPr>
              <w:jc w:val="center"/>
              <w:spacing w:after="0" w:line="153" w:lineRule="exact"/>
              <w:rPr>
                <w:sz w:val="20"/>
                <w:szCs w:val="20"/>
                <w:color w:val="auto"/>
              </w:rPr>
            </w:pPr>
            <w:r>
              <w:rPr>
                <w:rFonts w:ascii="Arial" w:cs="Arial" w:eastAsia="Arial" w:hAnsi="Arial"/>
                <w:sz w:val="16"/>
                <w:szCs w:val="16"/>
                <w:color w:val="auto"/>
                <w:w w:val="91"/>
              </w:rPr>
              <w:t>F-3</w:t>
            </w:r>
          </w:p>
        </w:tc>
      </w:tr>
      <w:tr>
        <w:trPr>
          <w:trHeight w:val="20"/>
        </w:trPr>
        <w:tc>
          <w:tcPr>
            <w:tcW w:w="1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8"/>
        </w:trPr>
        <w:tc>
          <w:tcPr>
            <w:tcW w:w="9880" w:type="dxa"/>
            <w:vAlign w:val="bottom"/>
            <w:tcBorders>
              <w:bottom w:val="single" w:sz="8" w:color="0000EE"/>
            </w:tcBorders>
            <w:gridSpan w:val="8"/>
            <w:shd w:val="clear" w:color="auto" w:fill="CCEEFF"/>
          </w:tcPr>
          <w:p>
            <w:pPr>
              <w:spacing w:after="0" w:line="168" w:lineRule="exact"/>
              <w:rPr>
                <w:sz w:val="20"/>
                <w:szCs w:val="20"/>
                <w:color w:val="auto"/>
              </w:rPr>
            </w:pPr>
            <w:r>
              <w:rPr>
                <w:rFonts w:ascii="Arial" w:cs="Arial" w:eastAsia="Arial" w:hAnsi="Arial"/>
                <w:sz w:val="16"/>
                <w:szCs w:val="16"/>
                <w:color w:val="0000EE"/>
                <w:w w:val="87"/>
              </w:rPr>
              <w:t>Statements of Operations for the three and six months ended June 30, 2022 and for the three months ended June 30, 2021 and for the period from January 13,</w:t>
            </w:r>
          </w:p>
        </w:tc>
        <w:tc>
          <w:tcPr>
            <w:tcW w:w="360" w:type="dxa"/>
            <w:vAlign w:val="bottom"/>
            <w:tcBorders>
              <w:bottom w:val="single" w:sz="8" w:color="CCEEFF"/>
            </w:tcBorders>
            <w:gridSpan w:val="2"/>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84"/>
        </w:trPr>
        <w:tc>
          <w:tcPr>
            <w:tcW w:w="16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0000EE"/>
            </w:tcBorders>
            <w:gridSpan w:val="4"/>
            <w:shd w:val="clear" w:color="auto" w:fill="CCEEFF"/>
          </w:tcPr>
          <w:p>
            <w:pPr>
              <w:spacing w:after="0" w:line="168" w:lineRule="exact"/>
              <w:rPr>
                <w:sz w:val="20"/>
                <w:szCs w:val="20"/>
                <w:color w:val="auto"/>
              </w:rPr>
            </w:pPr>
            <w:r>
              <w:rPr>
                <w:rFonts w:ascii="Arial" w:cs="Arial" w:eastAsia="Arial" w:hAnsi="Arial"/>
                <w:sz w:val="16"/>
                <w:szCs w:val="16"/>
                <w:color w:val="0000EE"/>
                <w:w w:val="88"/>
              </w:rPr>
              <w:t>2021 (inception) through June 30, 2021 (Unaudited)</w:t>
            </w:r>
          </w:p>
        </w:tc>
        <w:tc>
          <w:tcPr>
            <w:tcW w:w="6800" w:type="dxa"/>
            <w:vAlign w:val="bottom"/>
            <w:tcBorders>
              <w:bottom w:val="single" w:sz="8" w:color="CCEEFF"/>
            </w:tcBorders>
            <w:gridSpan w:val="5"/>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91"/>
              </w:rPr>
              <w:t>F-4</w:t>
            </w:r>
          </w:p>
        </w:tc>
      </w:tr>
      <w:tr>
        <w:trPr>
          <w:trHeight w:val="153"/>
        </w:trPr>
        <w:tc>
          <w:tcPr>
            <w:tcW w:w="10240" w:type="dxa"/>
            <w:vAlign w:val="bottom"/>
            <w:gridSpan w:val="10"/>
          </w:tcPr>
          <w:p>
            <w:pPr>
              <w:spacing w:after="0" w:line="153" w:lineRule="exact"/>
              <w:rPr>
                <w:sz w:val="20"/>
                <w:szCs w:val="20"/>
                <w:color w:val="auto"/>
              </w:rPr>
            </w:pPr>
            <w:r>
              <w:rPr>
                <w:rFonts w:ascii="Arial" w:cs="Arial" w:eastAsia="Arial" w:hAnsi="Arial"/>
                <w:sz w:val="16"/>
                <w:szCs w:val="16"/>
                <w:color w:val="0000EE"/>
                <w:w w:val="90"/>
              </w:rPr>
              <w:t>Statements of Changes in Shareholders’ Equity for the three and six months ended June 30, 2022 and for the period from January 13, 2021 (inception) through</w:t>
            </w:r>
          </w:p>
        </w:tc>
        <w:tc>
          <w:tcPr>
            <w:tcW w:w="1020" w:type="dxa"/>
            <w:vAlign w:val="bottom"/>
          </w:tcPr>
          <w:p>
            <w:pPr>
              <w:spacing w:after="0"/>
              <w:rPr>
                <w:sz w:val="13"/>
                <w:szCs w:val="13"/>
                <w:color w:val="auto"/>
              </w:rPr>
            </w:pPr>
          </w:p>
        </w:tc>
      </w:tr>
      <w:tr>
        <w:trPr>
          <w:trHeight w:val="168"/>
        </w:trPr>
        <w:tc>
          <w:tcPr>
            <w:tcW w:w="160" w:type="dxa"/>
            <w:vAlign w:val="bottom"/>
            <w:tcBorders>
              <w:top w:val="single" w:sz="8" w:color="0000EE"/>
            </w:tcBorders>
          </w:tcPr>
          <w:p>
            <w:pPr>
              <w:spacing w:after="0"/>
              <w:rPr>
                <w:sz w:val="14"/>
                <w:szCs w:val="14"/>
                <w:color w:val="auto"/>
              </w:rPr>
            </w:pPr>
          </w:p>
        </w:tc>
        <w:tc>
          <w:tcPr>
            <w:tcW w:w="9800" w:type="dxa"/>
            <w:vAlign w:val="bottom"/>
            <w:tcBorders>
              <w:top w:val="single" w:sz="8" w:color="0000EE"/>
            </w:tcBorders>
            <w:gridSpan w:val="8"/>
          </w:tcPr>
          <w:p>
            <w:pPr>
              <w:spacing w:after="0" w:line="168" w:lineRule="exact"/>
              <w:rPr>
                <w:sz w:val="20"/>
                <w:szCs w:val="20"/>
                <w:color w:val="auto"/>
              </w:rPr>
            </w:pPr>
            <w:r>
              <w:rPr>
                <w:rFonts w:ascii="Arial" w:cs="Arial" w:eastAsia="Arial" w:hAnsi="Arial"/>
                <w:sz w:val="16"/>
                <w:szCs w:val="16"/>
                <w:color w:val="0000EE"/>
              </w:rPr>
              <w:t>June 30, 2021 (Unaudited)</w:t>
            </w:r>
          </w:p>
        </w:tc>
        <w:tc>
          <w:tcPr>
            <w:tcW w:w="280" w:type="dxa"/>
            <w:vAlign w:val="bottom"/>
          </w:tcPr>
          <w:p>
            <w:pPr>
              <w:spacing w:after="0"/>
              <w:rPr>
                <w:sz w:val="14"/>
                <w:szCs w:val="14"/>
                <w:color w:val="auto"/>
              </w:rPr>
            </w:pPr>
          </w:p>
        </w:tc>
        <w:tc>
          <w:tcPr>
            <w:tcW w:w="1020" w:type="dxa"/>
            <w:vAlign w:val="bottom"/>
          </w:tcPr>
          <w:p>
            <w:pPr>
              <w:jc w:val="center"/>
              <w:spacing w:after="0" w:line="168" w:lineRule="exact"/>
              <w:rPr>
                <w:sz w:val="20"/>
                <w:szCs w:val="20"/>
                <w:color w:val="auto"/>
              </w:rPr>
            </w:pPr>
            <w:r>
              <w:rPr>
                <w:rFonts w:ascii="Arial" w:cs="Arial" w:eastAsia="Arial" w:hAnsi="Arial"/>
                <w:sz w:val="16"/>
                <w:szCs w:val="16"/>
                <w:color w:val="auto"/>
                <w:w w:val="91"/>
              </w:rPr>
              <w:t>F-5</w:t>
            </w:r>
          </w:p>
        </w:tc>
      </w:tr>
      <w:tr>
        <w:trPr>
          <w:trHeight w:val="20"/>
        </w:trPr>
        <w:tc>
          <w:tcPr>
            <w:tcW w:w="1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8"/>
        </w:trPr>
        <w:tc>
          <w:tcPr>
            <w:tcW w:w="9660" w:type="dxa"/>
            <w:vAlign w:val="bottom"/>
            <w:tcBorders>
              <w:bottom w:val="single" w:sz="8" w:color="0000EE"/>
            </w:tcBorders>
            <w:gridSpan w:val="7"/>
            <w:shd w:val="clear" w:color="auto" w:fill="CCEEFF"/>
          </w:tcPr>
          <w:p>
            <w:pPr>
              <w:spacing w:after="0" w:line="168" w:lineRule="exact"/>
              <w:rPr>
                <w:sz w:val="20"/>
                <w:szCs w:val="20"/>
                <w:color w:val="auto"/>
              </w:rPr>
            </w:pPr>
            <w:r>
              <w:rPr>
                <w:rFonts w:ascii="Arial" w:cs="Arial" w:eastAsia="Arial" w:hAnsi="Arial"/>
                <w:sz w:val="16"/>
                <w:szCs w:val="16"/>
                <w:color w:val="0000EE"/>
                <w:w w:val="87"/>
              </w:rPr>
              <w:t>Statements of Cash Flows for the six months ended June 30, 2022 and for the three months ended June 30, 2021 and for the period from January 13, 2021</w:t>
            </w:r>
          </w:p>
        </w:tc>
        <w:tc>
          <w:tcPr>
            <w:tcW w:w="580" w:type="dxa"/>
            <w:vAlign w:val="bottom"/>
            <w:tcBorders>
              <w:bottom w:val="single" w:sz="8" w:color="CCEEFF"/>
            </w:tcBorders>
            <w:gridSpan w:val="3"/>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68"/>
        </w:trPr>
        <w:tc>
          <w:tcPr>
            <w:tcW w:w="160" w:type="dxa"/>
            <w:vAlign w:val="bottom"/>
            <w:shd w:val="clear" w:color="auto" w:fill="CCEEFF"/>
          </w:tcPr>
          <w:p>
            <w:pPr>
              <w:spacing w:after="0"/>
              <w:rPr>
                <w:sz w:val="14"/>
                <w:szCs w:val="14"/>
                <w:color w:val="auto"/>
              </w:rPr>
            </w:pPr>
          </w:p>
        </w:tc>
        <w:tc>
          <w:tcPr>
            <w:tcW w:w="10080" w:type="dxa"/>
            <w:vAlign w:val="bottom"/>
            <w:gridSpan w:val="9"/>
            <w:shd w:val="clear" w:color="auto" w:fill="CCEEFF"/>
          </w:tcPr>
          <w:p>
            <w:pPr>
              <w:spacing w:after="0" w:line="168" w:lineRule="exact"/>
              <w:rPr>
                <w:sz w:val="20"/>
                <w:szCs w:val="20"/>
                <w:color w:val="auto"/>
              </w:rPr>
            </w:pPr>
            <w:r>
              <w:rPr>
                <w:rFonts w:ascii="Arial" w:cs="Arial" w:eastAsia="Arial" w:hAnsi="Arial"/>
                <w:sz w:val="16"/>
                <w:szCs w:val="16"/>
                <w:color w:val="0000EE"/>
              </w:rPr>
              <w:t>(inception) through June 30, 2021 (Unaudited)</w:t>
            </w:r>
          </w:p>
        </w:tc>
        <w:tc>
          <w:tcPr>
            <w:tcW w:w="102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1"/>
              </w:rPr>
              <w:t>F-6</w:t>
            </w:r>
          </w:p>
        </w:tc>
      </w:tr>
      <w:tr>
        <w:trPr>
          <w:trHeight w:val="35"/>
        </w:trPr>
        <w:tc>
          <w:tcPr>
            <w:tcW w:w="160" w:type="dxa"/>
            <w:vAlign w:val="bottom"/>
            <w:shd w:val="clear" w:color="auto" w:fill="CCEEFF"/>
          </w:tcPr>
          <w:p>
            <w:pPr>
              <w:spacing w:after="0"/>
              <w:rPr>
                <w:sz w:val="3"/>
                <w:szCs w:val="3"/>
                <w:color w:val="auto"/>
              </w:rPr>
            </w:pPr>
          </w:p>
        </w:tc>
        <w:tc>
          <w:tcPr>
            <w:tcW w:w="1660" w:type="dxa"/>
            <w:vAlign w:val="bottom"/>
            <w:shd w:val="clear" w:color="auto" w:fill="0000EE"/>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153"/>
        </w:trPr>
        <w:tc>
          <w:tcPr>
            <w:tcW w:w="10240" w:type="dxa"/>
            <w:vAlign w:val="bottom"/>
            <w:gridSpan w:val="10"/>
          </w:tcPr>
          <w:p>
            <w:pPr>
              <w:spacing w:after="0" w:line="153" w:lineRule="exact"/>
              <w:rPr>
                <w:sz w:val="20"/>
                <w:szCs w:val="20"/>
                <w:color w:val="auto"/>
              </w:rPr>
            </w:pPr>
            <w:r>
              <w:rPr>
                <w:rFonts w:ascii="Arial" w:cs="Arial" w:eastAsia="Arial" w:hAnsi="Arial"/>
                <w:sz w:val="16"/>
                <w:szCs w:val="16"/>
                <w:color w:val="0000EE"/>
              </w:rPr>
              <w:t>Notes to Unaudited condensed Financial Statements</w:t>
            </w:r>
          </w:p>
        </w:tc>
        <w:tc>
          <w:tcPr>
            <w:tcW w:w="1020" w:type="dxa"/>
            <w:vAlign w:val="bottom"/>
          </w:tcPr>
          <w:p>
            <w:pPr>
              <w:jc w:val="center"/>
              <w:spacing w:after="0" w:line="153" w:lineRule="exact"/>
              <w:rPr>
                <w:sz w:val="20"/>
                <w:szCs w:val="20"/>
                <w:color w:val="auto"/>
              </w:rPr>
            </w:pPr>
            <w:r>
              <w:rPr>
                <w:rFonts w:ascii="Arial" w:cs="Arial" w:eastAsia="Arial" w:hAnsi="Arial"/>
                <w:sz w:val="16"/>
                <w:szCs w:val="16"/>
                <w:color w:val="auto"/>
                <w:w w:val="91"/>
              </w:rPr>
              <w:t>F-7</w:t>
            </w:r>
          </w:p>
        </w:tc>
      </w:tr>
      <w:tr>
        <w:trPr>
          <w:trHeight w:val="20"/>
        </w:trPr>
        <w:tc>
          <w:tcPr>
            <w:tcW w:w="1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Page</w:t>
            </w:r>
          </w:p>
        </w:tc>
      </w:tr>
      <w:tr>
        <w:trPr>
          <w:trHeight w:val="188"/>
        </w:trPr>
        <w:tc>
          <w:tcPr>
            <w:tcW w:w="10240" w:type="dxa"/>
            <w:vAlign w:val="bottom"/>
            <w:gridSpan w:val="7"/>
            <w:shd w:val="clear" w:color="auto" w:fill="CCEEFF"/>
          </w:tcPr>
          <w:p>
            <w:pPr>
              <w:spacing w:after="0"/>
              <w:rPr>
                <w:sz w:val="20"/>
                <w:szCs w:val="20"/>
                <w:color w:val="auto"/>
              </w:rPr>
            </w:pPr>
            <w:r>
              <w:rPr>
                <w:rFonts w:ascii="Arial" w:cs="Arial" w:eastAsia="Arial" w:hAnsi="Arial"/>
                <w:sz w:val="16"/>
                <w:szCs w:val="16"/>
                <w:b w:val="1"/>
                <w:bCs w:val="1"/>
                <w:color w:val="auto"/>
              </w:rPr>
              <w:t>Audited Financial Statements of ArcLight Clean Transition Corp. II</w:t>
            </w:r>
          </w:p>
        </w:tc>
        <w:tc>
          <w:tcPr>
            <w:tcW w:w="1020" w:type="dxa"/>
            <w:vAlign w:val="bottom"/>
            <w:shd w:val="clear" w:color="auto" w:fill="CCEEFF"/>
          </w:tcPr>
          <w:p>
            <w:pPr>
              <w:spacing w:after="0"/>
              <w:rPr>
                <w:sz w:val="16"/>
                <w:szCs w:val="16"/>
                <w:color w:val="auto"/>
              </w:rPr>
            </w:pPr>
          </w:p>
        </w:tc>
      </w:tr>
      <w:tr>
        <w:trPr>
          <w:trHeight w:val="153"/>
        </w:trPr>
        <w:tc>
          <w:tcPr>
            <w:tcW w:w="3680" w:type="dxa"/>
            <w:vAlign w:val="bottom"/>
            <w:tcBorders>
              <w:bottom w:val="single" w:sz="8" w:color="0000EE"/>
            </w:tcBorders>
            <w:gridSpan w:val="3"/>
          </w:tcPr>
          <w:p>
            <w:pPr>
              <w:spacing w:after="0" w:line="153" w:lineRule="exact"/>
              <w:rPr>
                <w:sz w:val="20"/>
                <w:szCs w:val="20"/>
                <w:color w:val="auto"/>
              </w:rPr>
            </w:pPr>
            <w:r>
              <w:rPr>
                <w:rFonts w:ascii="Arial" w:cs="Arial" w:eastAsia="Arial" w:hAnsi="Arial"/>
                <w:sz w:val="16"/>
                <w:szCs w:val="16"/>
                <w:color w:val="0000EE"/>
                <w:w w:val="89"/>
              </w:rPr>
              <w:t>Report of Independent Registered Public Accounting Firm</w:t>
            </w:r>
          </w:p>
        </w:tc>
        <w:tc>
          <w:tcPr>
            <w:tcW w:w="6560" w:type="dxa"/>
            <w:vAlign w:val="bottom"/>
            <w:gridSpan w:val="4"/>
          </w:tcPr>
          <w:p>
            <w:pPr>
              <w:spacing w:after="0"/>
              <w:rPr>
                <w:sz w:val="13"/>
                <w:szCs w:val="13"/>
                <w:color w:val="auto"/>
              </w:rPr>
            </w:pPr>
          </w:p>
        </w:tc>
        <w:tc>
          <w:tcPr>
            <w:tcW w:w="1020" w:type="dxa"/>
            <w:vAlign w:val="bottom"/>
          </w:tcPr>
          <w:p>
            <w:pPr>
              <w:ind w:left="360"/>
              <w:spacing w:after="0" w:line="153" w:lineRule="exact"/>
              <w:rPr>
                <w:sz w:val="20"/>
                <w:szCs w:val="20"/>
                <w:color w:val="auto"/>
              </w:rPr>
            </w:pPr>
            <w:r>
              <w:rPr>
                <w:rFonts w:ascii="Arial" w:cs="Arial" w:eastAsia="Arial" w:hAnsi="Arial"/>
                <w:sz w:val="16"/>
                <w:szCs w:val="16"/>
                <w:color w:val="auto"/>
              </w:rPr>
              <w:t>F-23</w:t>
            </w:r>
          </w:p>
        </w:tc>
      </w:tr>
      <w:tr>
        <w:trPr>
          <w:trHeight w:val="168"/>
        </w:trPr>
        <w:tc>
          <w:tcPr>
            <w:tcW w:w="10240" w:type="dxa"/>
            <w:vAlign w:val="bottom"/>
            <w:gridSpan w:val="7"/>
            <w:shd w:val="clear" w:color="auto" w:fill="CCEEFF"/>
          </w:tcPr>
          <w:p>
            <w:pPr>
              <w:spacing w:after="0" w:line="168" w:lineRule="exact"/>
              <w:rPr>
                <w:sz w:val="20"/>
                <w:szCs w:val="20"/>
                <w:color w:val="auto"/>
              </w:rPr>
            </w:pPr>
            <w:r>
              <w:rPr>
                <w:rFonts w:ascii="Arial" w:cs="Arial" w:eastAsia="Arial" w:hAnsi="Arial"/>
                <w:sz w:val="16"/>
                <w:szCs w:val="16"/>
                <w:color w:val="0000EE"/>
              </w:rPr>
              <w:t>Balance Sheet as of December 31, 2021</w:t>
            </w:r>
          </w:p>
        </w:tc>
        <w:tc>
          <w:tcPr>
            <w:tcW w:w="102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F-24</w:t>
            </w:r>
          </w:p>
        </w:tc>
      </w:tr>
      <w:tr>
        <w:trPr>
          <w:trHeight w:val="35"/>
        </w:trPr>
        <w:tc>
          <w:tcPr>
            <w:tcW w:w="18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153"/>
        </w:trPr>
        <w:tc>
          <w:tcPr>
            <w:tcW w:w="10240" w:type="dxa"/>
            <w:vAlign w:val="bottom"/>
            <w:gridSpan w:val="7"/>
          </w:tcPr>
          <w:p>
            <w:pPr>
              <w:spacing w:after="0" w:line="153" w:lineRule="exact"/>
              <w:rPr>
                <w:sz w:val="20"/>
                <w:szCs w:val="20"/>
                <w:color w:val="auto"/>
              </w:rPr>
            </w:pPr>
            <w:r>
              <w:rPr>
                <w:rFonts w:ascii="Arial" w:cs="Arial" w:eastAsia="Arial" w:hAnsi="Arial"/>
                <w:sz w:val="16"/>
                <w:szCs w:val="16"/>
                <w:color w:val="0000EE"/>
              </w:rPr>
              <w:t>Statement of Operations for the period from January 13, 2021 (inception) through December 31, 2021</w:t>
            </w:r>
          </w:p>
        </w:tc>
        <w:tc>
          <w:tcPr>
            <w:tcW w:w="1020" w:type="dxa"/>
            <w:vAlign w:val="bottom"/>
          </w:tcPr>
          <w:p>
            <w:pPr>
              <w:ind w:left="360"/>
              <w:spacing w:after="0" w:line="153" w:lineRule="exact"/>
              <w:rPr>
                <w:sz w:val="20"/>
                <w:szCs w:val="20"/>
                <w:color w:val="auto"/>
              </w:rPr>
            </w:pPr>
            <w:r>
              <w:rPr>
                <w:rFonts w:ascii="Arial" w:cs="Arial" w:eastAsia="Arial" w:hAnsi="Arial"/>
                <w:sz w:val="16"/>
                <w:szCs w:val="16"/>
                <w:color w:val="auto"/>
              </w:rPr>
              <w:t>F-25</w:t>
            </w:r>
          </w:p>
        </w:tc>
      </w:tr>
      <w:tr>
        <w:trPr>
          <w:trHeight w:val="20"/>
        </w:trPr>
        <w:tc>
          <w:tcPr>
            <w:tcW w:w="18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10240" w:type="dxa"/>
            <w:vAlign w:val="bottom"/>
            <w:gridSpan w:val="7"/>
            <w:shd w:val="clear" w:color="auto" w:fill="CCEEFF"/>
          </w:tcPr>
          <w:p>
            <w:pPr>
              <w:spacing w:after="0" w:line="168" w:lineRule="exact"/>
              <w:rPr>
                <w:sz w:val="20"/>
                <w:szCs w:val="20"/>
                <w:color w:val="auto"/>
              </w:rPr>
            </w:pPr>
            <w:r>
              <w:rPr>
                <w:rFonts w:ascii="Arial" w:cs="Arial" w:eastAsia="Arial" w:hAnsi="Arial"/>
                <w:sz w:val="16"/>
                <w:szCs w:val="16"/>
                <w:color w:val="0000EE"/>
              </w:rPr>
              <w:t>Statement of Changes in Shareholders’ Equity for the period from January 13, 2021 (inception) through December 31, 2021</w:t>
            </w:r>
          </w:p>
        </w:tc>
        <w:tc>
          <w:tcPr>
            <w:tcW w:w="102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F-26</w:t>
            </w:r>
          </w:p>
        </w:tc>
      </w:tr>
      <w:tr>
        <w:trPr>
          <w:trHeight w:val="153"/>
        </w:trPr>
        <w:tc>
          <w:tcPr>
            <w:tcW w:w="6460" w:type="dxa"/>
            <w:vAlign w:val="bottom"/>
            <w:tcBorders>
              <w:top w:val="single" w:sz="8" w:color="0000EE"/>
              <w:bottom w:val="single" w:sz="8" w:color="0000EE"/>
            </w:tcBorders>
            <w:gridSpan w:val="5"/>
          </w:tcPr>
          <w:p>
            <w:pPr>
              <w:spacing w:after="0" w:line="153" w:lineRule="exact"/>
              <w:rPr>
                <w:sz w:val="20"/>
                <w:szCs w:val="20"/>
                <w:color w:val="auto"/>
              </w:rPr>
            </w:pPr>
            <w:r>
              <w:rPr>
                <w:rFonts w:ascii="Arial" w:cs="Arial" w:eastAsia="Arial" w:hAnsi="Arial"/>
                <w:sz w:val="16"/>
                <w:szCs w:val="16"/>
                <w:color w:val="0000EE"/>
                <w:w w:val="88"/>
              </w:rPr>
              <w:t>Statement of Cash Flows for the period from January 13, 2021 (inception) through December 31, 2021</w:t>
            </w:r>
          </w:p>
        </w:tc>
        <w:tc>
          <w:tcPr>
            <w:tcW w:w="1320" w:type="dxa"/>
            <w:vAlign w:val="bottom"/>
            <w:tcBorders>
              <w:top w:val="single" w:sz="8" w:color="0000EE"/>
            </w:tcBorders>
          </w:tcPr>
          <w:p>
            <w:pPr>
              <w:spacing w:after="0"/>
              <w:rPr>
                <w:sz w:val="13"/>
                <w:szCs w:val="13"/>
                <w:color w:val="auto"/>
              </w:rPr>
            </w:pPr>
          </w:p>
        </w:tc>
        <w:tc>
          <w:tcPr>
            <w:tcW w:w="246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ind w:left="360"/>
              <w:spacing w:after="0" w:line="153" w:lineRule="exact"/>
              <w:rPr>
                <w:sz w:val="20"/>
                <w:szCs w:val="20"/>
                <w:color w:val="auto"/>
              </w:rPr>
            </w:pPr>
            <w:r>
              <w:rPr>
                <w:rFonts w:ascii="Arial" w:cs="Arial" w:eastAsia="Arial" w:hAnsi="Arial"/>
                <w:sz w:val="16"/>
                <w:szCs w:val="16"/>
                <w:color w:val="auto"/>
              </w:rPr>
              <w:t>F-27</w:t>
            </w:r>
          </w:p>
        </w:tc>
      </w:tr>
      <w:tr>
        <w:trPr>
          <w:trHeight w:val="184"/>
        </w:trPr>
        <w:tc>
          <w:tcPr>
            <w:tcW w:w="10240" w:type="dxa"/>
            <w:vAlign w:val="bottom"/>
            <w:gridSpan w:val="7"/>
            <w:shd w:val="clear" w:color="auto" w:fill="CCEEFF"/>
          </w:tcPr>
          <w:p>
            <w:pPr>
              <w:spacing w:after="0" w:line="168" w:lineRule="exact"/>
              <w:rPr>
                <w:sz w:val="20"/>
                <w:szCs w:val="20"/>
                <w:color w:val="auto"/>
              </w:rPr>
            </w:pPr>
            <w:r>
              <w:rPr>
                <w:rFonts w:ascii="Arial" w:cs="Arial" w:eastAsia="Arial" w:hAnsi="Arial"/>
                <w:sz w:val="16"/>
                <w:szCs w:val="16"/>
                <w:color w:val="0000EE"/>
              </w:rPr>
              <w:t>Notes to Financial Statements</w:t>
            </w:r>
          </w:p>
        </w:tc>
        <w:tc>
          <w:tcPr>
            <w:tcW w:w="102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F-28</w:t>
            </w:r>
          </w:p>
        </w:tc>
      </w:tr>
      <w:tr>
        <w:trPr>
          <w:trHeight w:val="376"/>
        </w:trPr>
        <w:tc>
          <w:tcPr>
            <w:tcW w:w="1880" w:type="dxa"/>
            <w:vAlign w:val="bottom"/>
            <w:tcBorders>
              <w:top w:val="single" w:sz="8" w:color="0000EE"/>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6560" w:type="dxa"/>
            <w:vAlign w:val="bottom"/>
            <w:tcBorders>
              <w:top w:val="single" w:sz="8" w:color="CCEEFF"/>
            </w:tcBorders>
            <w:gridSpan w:val="4"/>
          </w:tcPr>
          <w:p>
            <w:pPr>
              <w:ind w:left="260"/>
              <w:spacing w:after="0"/>
              <w:rPr>
                <w:sz w:val="20"/>
                <w:szCs w:val="20"/>
                <w:color w:val="auto"/>
              </w:rPr>
            </w:pPr>
            <w:r>
              <w:rPr>
                <w:rFonts w:ascii="Arial" w:cs="Arial" w:eastAsia="Arial" w:hAnsi="Arial"/>
                <w:sz w:val="16"/>
                <w:szCs w:val="16"/>
                <w:b w:val="1"/>
                <w:bCs w:val="1"/>
                <w:color w:val="auto"/>
              </w:rPr>
              <w:t>OPAL FUELS LLC FINANCIAL STATEMENTS</w:t>
            </w:r>
          </w:p>
        </w:tc>
        <w:tc>
          <w:tcPr>
            <w:tcW w:w="1020" w:type="dxa"/>
            <w:vAlign w:val="bottom"/>
            <w:tcBorders>
              <w:top w:val="single" w:sz="8" w:color="CCEEFF"/>
            </w:tcBorders>
          </w:tcPr>
          <w:p>
            <w:pPr>
              <w:spacing w:after="0"/>
              <w:rPr>
                <w:sz w:val="24"/>
                <w:szCs w:val="24"/>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88"/>
        </w:trPr>
        <w:tc>
          <w:tcPr>
            <w:tcW w:w="10240" w:type="dxa"/>
            <w:vAlign w:val="bottom"/>
            <w:gridSpan w:val="7"/>
            <w:shd w:val="clear" w:color="auto" w:fill="CCEEFF"/>
          </w:tcPr>
          <w:p>
            <w:pPr>
              <w:spacing w:after="0"/>
              <w:rPr>
                <w:sz w:val="20"/>
                <w:szCs w:val="20"/>
                <w:color w:val="auto"/>
              </w:rPr>
            </w:pPr>
            <w:r>
              <w:rPr>
                <w:rFonts w:ascii="Arial" w:cs="Arial" w:eastAsia="Arial" w:hAnsi="Arial"/>
                <w:sz w:val="16"/>
                <w:szCs w:val="16"/>
                <w:b w:val="1"/>
                <w:bCs w:val="1"/>
                <w:color w:val="auto"/>
              </w:rPr>
              <w:t>Unaudited Financial Statements of OPAL Fuels LLC</w:t>
            </w:r>
          </w:p>
        </w:tc>
        <w:tc>
          <w:tcPr>
            <w:tcW w:w="1020" w:type="dxa"/>
            <w:vAlign w:val="bottom"/>
            <w:shd w:val="clear" w:color="auto" w:fill="CCEEFF"/>
          </w:tcPr>
          <w:p>
            <w:pPr>
              <w:spacing w:after="0"/>
              <w:rPr>
                <w:sz w:val="16"/>
                <w:szCs w:val="16"/>
                <w:color w:val="auto"/>
              </w:rPr>
            </w:pPr>
          </w:p>
        </w:tc>
      </w:tr>
      <w:tr>
        <w:trPr>
          <w:trHeight w:val="153"/>
        </w:trPr>
        <w:tc>
          <w:tcPr>
            <w:tcW w:w="6120" w:type="dxa"/>
            <w:vAlign w:val="bottom"/>
            <w:tcBorders>
              <w:bottom w:val="single" w:sz="8" w:color="0000EE"/>
            </w:tcBorders>
            <w:gridSpan w:val="4"/>
          </w:tcPr>
          <w:p>
            <w:pPr>
              <w:spacing w:after="0" w:line="153" w:lineRule="exact"/>
              <w:rPr>
                <w:sz w:val="20"/>
                <w:szCs w:val="20"/>
                <w:color w:val="auto"/>
              </w:rPr>
            </w:pPr>
            <w:r>
              <w:rPr>
                <w:rFonts w:ascii="Arial" w:cs="Arial" w:eastAsia="Arial" w:hAnsi="Arial"/>
                <w:sz w:val="16"/>
                <w:szCs w:val="16"/>
                <w:color w:val="0000EE"/>
                <w:w w:val="86"/>
              </w:rPr>
              <w:t>Condensed Consolidated Balance Sheets as of June 30, 2022 (unaudited) and December 31, 2021</w:t>
            </w:r>
          </w:p>
        </w:tc>
        <w:tc>
          <w:tcPr>
            <w:tcW w:w="4120" w:type="dxa"/>
            <w:vAlign w:val="bottom"/>
            <w:gridSpan w:val="3"/>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6"/>
                <w:szCs w:val="16"/>
                <w:color w:val="auto"/>
                <w:w w:val="91"/>
              </w:rPr>
              <w:t>F-44</w:t>
            </w:r>
          </w:p>
        </w:tc>
      </w:tr>
      <w:tr>
        <w:trPr>
          <w:trHeight w:val="168"/>
        </w:trPr>
        <w:tc>
          <w:tcPr>
            <w:tcW w:w="10240" w:type="dxa"/>
            <w:vAlign w:val="bottom"/>
            <w:gridSpan w:val="7"/>
            <w:shd w:val="clear" w:color="auto" w:fill="CCEEFF"/>
          </w:tcPr>
          <w:p>
            <w:pPr>
              <w:spacing w:after="0" w:line="168" w:lineRule="exact"/>
              <w:rPr>
                <w:sz w:val="20"/>
                <w:szCs w:val="20"/>
                <w:color w:val="auto"/>
              </w:rPr>
            </w:pPr>
            <w:r>
              <w:rPr>
                <w:rFonts w:ascii="Arial" w:cs="Arial" w:eastAsia="Arial" w:hAnsi="Arial"/>
                <w:sz w:val="16"/>
                <w:szCs w:val="16"/>
                <w:color w:val="0000EE"/>
              </w:rPr>
              <w:t>Condensed Consolidated Statements of Operations for the Six Months Ended June 30, 2022 and 2021 (unaudited)</w:t>
            </w:r>
          </w:p>
        </w:tc>
        <w:tc>
          <w:tcPr>
            <w:tcW w:w="102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1"/>
              </w:rPr>
              <w:t>F-45</w:t>
            </w:r>
          </w:p>
        </w:tc>
      </w:tr>
      <w:tr>
        <w:trPr>
          <w:trHeight w:val="35"/>
        </w:trPr>
        <w:tc>
          <w:tcPr>
            <w:tcW w:w="16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3300" w:type="dxa"/>
            <w:vAlign w:val="bottom"/>
            <w:shd w:val="clear" w:color="auto" w:fill="0000EE"/>
          </w:tcPr>
          <w:p>
            <w:pPr>
              <w:spacing w:after="0"/>
              <w:rPr>
                <w:sz w:val="3"/>
                <w:szCs w:val="3"/>
                <w:color w:val="auto"/>
              </w:rPr>
            </w:pPr>
          </w:p>
        </w:tc>
        <w:tc>
          <w:tcPr>
            <w:tcW w:w="1940" w:type="dxa"/>
            <w:vAlign w:val="bottom"/>
            <w:shd w:val="clear" w:color="auto" w:fill="0000EE"/>
          </w:tcPr>
          <w:p>
            <w:pPr>
              <w:spacing w:after="0"/>
              <w:rPr>
                <w:sz w:val="3"/>
                <w:szCs w:val="3"/>
                <w:color w:val="auto"/>
              </w:rPr>
            </w:pPr>
          </w:p>
        </w:tc>
        <w:tc>
          <w:tcPr>
            <w:tcW w:w="1080" w:type="dxa"/>
            <w:vAlign w:val="bottom"/>
            <w:tcBorders>
              <w:right w:val="single" w:sz="8" w:color="CCEEFF"/>
            </w:tcBorders>
            <w:shd w:val="clear" w:color="auto" w:fill="0000EE"/>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153"/>
        </w:trPr>
        <w:tc>
          <w:tcPr>
            <w:tcW w:w="10240" w:type="dxa"/>
            <w:vAlign w:val="bottom"/>
            <w:gridSpan w:val="7"/>
          </w:tcPr>
          <w:p>
            <w:pPr>
              <w:spacing w:after="0" w:line="153" w:lineRule="exact"/>
              <w:rPr>
                <w:sz w:val="20"/>
                <w:szCs w:val="20"/>
                <w:color w:val="auto"/>
              </w:rPr>
            </w:pPr>
            <w:r>
              <w:rPr>
                <w:rFonts w:ascii="Arial" w:cs="Arial" w:eastAsia="Arial" w:hAnsi="Arial"/>
                <w:sz w:val="16"/>
                <w:szCs w:val="16"/>
                <w:color w:val="0000EE"/>
                <w:w w:val="93"/>
              </w:rPr>
              <w:t>Condensed Consolidated Statements of Changes in Redeemable Preferred Units and Members’ Equity for the Six Months Ended June 30, 2022 and 2021</w:t>
            </w:r>
          </w:p>
        </w:tc>
        <w:tc>
          <w:tcPr>
            <w:tcW w:w="1020" w:type="dxa"/>
            <w:vAlign w:val="bottom"/>
          </w:tcPr>
          <w:p>
            <w:pPr>
              <w:spacing w:after="0"/>
              <w:rPr>
                <w:sz w:val="13"/>
                <w:szCs w:val="13"/>
                <w:color w:val="auto"/>
              </w:rPr>
            </w:pPr>
          </w:p>
        </w:tc>
      </w:tr>
      <w:tr>
        <w:trPr>
          <w:trHeight w:val="168"/>
        </w:trPr>
        <w:tc>
          <w:tcPr>
            <w:tcW w:w="160" w:type="dxa"/>
            <w:vAlign w:val="bottom"/>
            <w:tcBorders>
              <w:top w:val="single" w:sz="8" w:color="0000EE"/>
            </w:tcBorders>
          </w:tcPr>
          <w:p>
            <w:pPr>
              <w:spacing w:after="0"/>
              <w:rPr>
                <w:sz w:val="14"/>
                <w:szCs w:val="14"/>
                <w:color w:val="auto"/>
              </w:rPr>
            </w:pPr>
          </w:p>
        </w:tc>
        <w:tc>
          <w:tcPr>
            <w:tcW w:w="720" w:type="dxa"/>
            <w:vAlign w:val="bottom"/>
            <w:tcBorders>
              <w:top w:val="single" w:sz="8" w:color="0000EE"/>
              <w:bottom w:val="single" w:sz="8" w:color="0000EE"/>
            </w:tcBorders>
          </w:tcPr>
          <w:p>
            <w:pPr>
              <w:spacing w:after="0" w:line="168" w:lineRule="exact"/>
              <w:rPr>
                <w:sz w:val="20"/>
                <w:szCs w:val="20"/>
                <w:color w:val="auto"/>
              </w:rPr>
            </w:pPr>
            <w:r>
              <w:rPr>
                <w:rFonts w:ascii="Arial" w:cs="Arial" w:eastAsia="Arial" w:hAnsi="Arial"/>
                <w:sz w:val="16"/>
                <w:szCs w:val="16"/>
                <w:color w:val="0000EE"/>
                <w:w w:val="86"/>
              </w:rPr>
              <w:t>(unaudited)</w:t>
            </w:r>
          </w:p>
        </w:tc>
        <w:tc>
          <w:tcPr>
            <w:tcW w:w="8740" w:type="dxa"/>
            <w:vAlign w:val="bottom"/>
            <w:tcBorders>
              <w:top w:val="single" w:sz="8" w:color="0000EE"/>
            </w:tcBorders>
            <w:gridSpan w:val="4"/>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center"/>
              <w:spacing w:after="0" w:line="168" w:lineRule="exact"/>
              <w:rPr>
                <w:sz w:val="20"/>
                <w:szCs w:val="20"/>
                <w:color w:val="auto"/>
              </w:rPr>
            </w:pPr>
            <w:r>
              <w:rPr>
                <w:rFonts w:ascii="Arial" w:cs="Arial" w:eastAsia="Arial" w:hAnsi="Arial"/>
                <w:sz w:val="16"/>
                <w:szCs w:val="16"/>
                <w:color w:val="auto"/>
                <w:w w:val="91"/>
              </w:rPr>
              <w:t>F-46</w:t>
            </w:r>
          </w:p>
        </w:tc>
      </w:tr>
      <w:tr>
        <w:trPr>
          <w:trHeight w:val="184"/>
        </w:trPr>
        <w:tc>
          <w:tcPr>
            <w:tcW w:w="7200" w:type="dxa"/>
            <w:vAlign w:val="bottom"/>
            <w:tcBorders>
              <w:bottom w:val="single" w:sz="8" w:color="0000EE"/>
              <w:right w:val="single" w:sz="8" w:color="CCEEFF"/>
            </w:tcBorders>
            <w:gridSpan w:val="5"/>
            <w:shd w:val="clear" w:color="auto" w:fill="CCEEFF"/>
          </w:tcPr>
          <w:p>
            <w:pPr>
              <w:spacing w:after="0" w:line="168" w:lineRule="exact"/>
              <w:rPr>
                <w:sz w:val="20"/>
                <w:szCs w:val="20"/>
                <w:color w:val="auto"/>
              </w:rPr>
            </w:pPr>
            <w:r>
              <w:rPr>
                <w:rFonts w:ascii="Arial" w:cs="Arial" w:eastAsia="Arial" w:hAnsi="Arial"/>
                <w:sz w:val="16"/>
                <w:szCs w:val="16"/>
                <w:color w:val="0000EE"/>
                <w:w w:val="87"/>
              </w:rPr>
              <w:t>Condensed Consolidated Statements of Cash Flows for the Six Months Ended June 30, 2022 and 2021 (unaudited)</w:t>
            </w:r>
          </w:p>
        </w:tc>
        <w:tc>
          <w:tcPr>
            <w:tcW w:w="3040" w:type="dxa"/>
            <w:vAlign w:val="bottom"/>
            <w:tcBorders>
              <w:bottom w:val="single" w:sz="8" w:color="CCEEFF"/>
            </w:tcBorders>
            <w:gridSpan w:val="2"/>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91"/>
              </w:rPr>
              <w:t>F-48</w:t>
            </w:r>
          </w:p>
        </w:tc>
      </w:tr>
      <w:tr>
        <w:trPr>
          <w:trHeight w:val="153"/>
        </w:trPr>
        <w:tc>
          <w:tcPr>
            <w:tcW w:w="10240" w:type="dxa"/>
            <w:vAlign w:val="bottom"/>
            <w:gridSpan w:val="7"/>
          </w:tcPr>
          <w:p>
            <w:pPr>
              <w:spacing w:after="0" w:line="153" w:lineRule="exact"/>
              <w:rPr>
                <w:sz w:val="20"/>
                <w:szCs w:val="20"/>
                <w:color w:val="auto"/>
              </w:rPr>
            </w:pPr>
            <w:r>
              <w:rPr>
                <w:rFonts w:ascii="Arial" w:cs="Arial" w:eastAsia="Arial" w:hAnsi="Arial"/>
                <w:sz w:val="16"/>
                <w:szCs w:val="16"/>
                <w:color w:val="0000EE"/>
              </w:rPr>
              <w:t>Notes to Unaudited Condensed Consolidated Financial Statements</w:t>
            </w:r>
          </w:p>
        </w:tc>
        <w:tc>
          <w:tcPr>
            <w:tcW w:w="1020" w:type="dxa"/>
            <w:vAlign w:val="bottom"/>
          </w:tcPr>
          <w:p>
            <w:pPr>
              <w:jc w:val="center"/>
              <w:spacing w:after="0" w:line="153" w:lineRule="exact"/>
              <w:rPr>
                <w:sz w:val="20"/>
                <w:szCs w:val="20"/>
                <w:color w:val="auto"/>
              </w:rPr>
            </w:pPr>
            <w:r>
              <w:rPr>
                <w:rFonts w:ascii="Arial" w:cs="Arial" w:eastAsia="Arial" w:hAnsi="Arial"/>
                <w:sz w:val="16"/>
                <w:szCs w:val="16"/>
                <w:color w:val="auto"/>
                <w:w w:val="91"/>
              </w:rPr>
              <w:t>F-49</w:t>
            </w:r>
          </w:p>
        </w:tc>
      </w:tr>
      <w:tr>
        <w:trPr>
          <w:trHeight w:val="490"/>
        </w:trPr>
        <w:tc>
          <w:tcPr>
            <w:tcW w:w="16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3300" w:type="dxa"/>
            <w:vAlign w:val="bottom"/>
            <w:tcBorders>
              <w:top w:val="single" w:sz="8" w:color="0000EE"/>
              <w:bottom w:val="single" w:sz="8" w:color="auto"/>
            </w:tcBorders>
          </w:tcPr>
          <w:p>
            <w:pPr>
              <w:spacing w:after="0"/>
              <w:rPr>
                <w:sz w:val="24"/>
                <w:szCs w:val="24"/>
                <w:color w:val="auto"/>
              </w:rPr>
            </w:pPr>
          </w:p>
        </w:tc>
        <w:tc>
          <w:tcPr>
            <w:tcW w:w="6060" w:type="dxa"/>
            <w:vAlign w:val="bottom"/>
            <w:tcBorders>
              <w:bottom w:val="single" w:sz="8" w:color="auto"/>
            </w:tcBorders>
            <w:gridSpan w:val="4"/>
          </w:tcPr>
          <w:p>
            <w:pPr>
              <w:ind w:left="1340"/>
              <w:spacing w:after="0"/>
              <w:rPr>
                <w:sz w:val="20"/>
                <w:szCs w:val="20"/>
                <w:color w:val="auto"/>
              </w:rPr>
            </w:pPr>
            <w:r>
              <w:rPr>
                <w:rFonts w:ascii="Arial" w:cs="Arial" w:eastAsia="Arial" w:hAnsi="Arial"/>
                <w:sz w:val="16"/>
                <w:szCs w:val="16"/>
                <w:color w:val="auto"/>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2" w:right="31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Page</w:t>
            </w:r>
          </w:p>
        </w:tc>
      </w:tr>
      <w:tr>
        <w:trPr>
          <w:trHeight w:val="188"/>
        </w:trPr>
        <w:tc>
          <w:tcPr>
            <w:tcW w:w="10240" w:type="dxa"/>
            <w:vAlign w:val="bottom"/>
            <w:gridSpan w:val="9"/>
            <w:shd w:val="clear" w:color="auto" w:fill="CCEEFF"/>
          </w:tcPr>
          <w:p>
            <w:pPr>
              <w:spacing w:after="0"/>
              <w:rPr>
                <w:sz w:val="20"/>
                <w:szCs w:val="20"/>
                <w:color w:val="auto"/>
              </w:rPr>
            </w:pPr>
            <w:r>
              <w:rPr>
                <w:rFonts w:ascii="Arial" w:cs="Arial" w:eastAsia="Arial" w:hAnsi="Arial"/>
                <w:sz w:val="16"/>
                <w:szCs w:val="16"/>
                <w:b w:val="1"/>
                <w:bCs w:val="1"/>
                <w:color w:val="auto"/>
              </w:rPr>
              <w:t>Audited Financial Statements of OPAL Fuels LLC</w:t>
            </w:r>
          </w:p>
        </w:tc>
        <w:tc>
          <w:tcPr>
            <w:tcW w:w="1020" w:type="dxa"/>
            <w:vAlign w:val="bottom"/>
            <w:shd w:val="clear" w:color="auto" w:fill="CCEEFF"/>
          </w:tcPr>
          <w:p>
            <w:pPr>
              <w:spacing w:after="0"/>
              <w:rPr>
                <w:sz w:val="16"/>
                <w:szCs w:val="16"/>
                <w:color w:val="auto"/>
              </w:rPr>
            </w:pPr>
          </w:p>
        </w:tc>
      </w:tr>
      <w:tr>
        <w:trPr>
          <w:trHeight w:val="153"/>
        </w:trPr>
        <w:tc>
          <w:tcPr>
            <w:tcW w:w="3680" w:type="dxa"/>
            <w:vAlign w:val="bottom"/>
            <w:tcBorders>
              <w:bottom w:val="single" w:sz="8" w:color="0000EE"/>
            </w:tcBorders>
            <w:gridSpan w:val="4"/>
          </w:tcPr>
          <w:p>
            <w:pPr>
              <w:spacing w:after="0" w:line="153" w:lineRule="exact"/>
              <w:rPr>
                <w:sz w:val="20"/>
                <w:szCs w:val="20"/>
                <w:color w:val="auto"/>
              </w:rPr>
            </w:pPr>
            <w:r>
              <w:rPr>
                <w:rFonts w:ascii="Arial" w:cs="Arial" w:eastAsia="Arial" w:hAnsi="Arial"/>
                <w:sz w:val="16"/>
                <w:szCs w:val="16"/>
                <w:color w:val="0000EE"/>
                <w:w w:val="89"/>
              </w:rPr>
              <w:t>Report of Independent Registered Public Accounting Firm</w:t>
            </w:r>
          </w:p>
        </w:tc>
        <w:tc>
          <w:tcPr>
            <w:tcW w:w="6560" w:type="dxa"/>
            <w:vAlign w:val="bottom"/>
            <w:gridSpan w:val="5"/>
          </w:tcPr>
          <w:p>
            <w:pPr>
              <w:spacing w:after="0"/>
              <w:rPr>
                <w:sz w:val="13"/>
                <w:szCs w:val="13"/>
                <w:color w:val="auto"/>
              </w:rPr>
            </w:pPr>
          </w:p>
        </w:tc>
        <w:tc>
          <w:tcPr>
            <w:tcW w:w="1020" w:type="dxa"/>
            <w:vAlign w:val="bottom"/>
          </w:tcPr>
          <w:p>
            <w:pPr>
              <w:ind w:left="360"/>
              <w:spacing w:after="0" w:line="153" w:lineRule="exact"/>
              <w:rPr>
                <w:sz w:val="20"/>
                <w:szCs w:val="20"/>
                <w:color w:val="auto"/>
              </w:rPr>
            </w:pPr>
            <w:r>
              <w:rPr>
                <w:rFonts w:ascii="Arial" w:cs="Arial" w:eastAsia="Arial" w:hAnsi="Arial"/>
                <w:sz w:val="16"/>
                <w:szCs w:val="16"/>
                <w:color w:val="auto"/>
              </w:rPr>
              <w:t>F-77</w:t>
            </w:r>
          </w:p>
        </w:tc>
      </w:tr>
      <w:tr>
        <w:trPr>
          <w:trHeight w:val="168"/>
        </w:trPr>
        <w:tc>
          <w:tcPr>
            <w:tcW w:w="10240" w:type="dxa"/>
            <w:vAlign w:val="bottom"/>
            <w:gridSpan w:val="9"/>
            <w:shd w:val="clear" w:color="auto" w:fill="CCEEFF"/>
          </w:tcPr>
          <w:p>
            <w:pPr>
              <w:spacing w:after="0" w:line="168" w:lineRule="exact"/>
              <w:rPr>
                <w:sz w:val="20"/>
                <w:szCs w:val="20"/>
                <w:color w:val="auto"/>
              </w:rPr>
            </w:pPr>
            <w:r>
              <w:rPr>
                <w:rFonts w:ascii="Arial" w:cs="Arial" w:eastAsia="Arial" w:hAnsi="Arial"/>
                <w:sz w:val="16"/>
                <w:szCs w:val="16"/>
                <w:color w:val="0000EE"/>
              </w:rPr>
              <w:t>Consolidated Balance Sheets as of December 31, 2021 and 2020 (restated)</w:t>
            </w:r>
          </w:p>
        </w:tc>
        <w:tc>
          <w:tcPr>
            <w:tcW w:w="102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F-78</w:t>
            </w:r>
          </w:p>
        </w:tc>
      </w:tr>
      <w:tr>
        <w:trPr>
          <w:trHeight w:val="35"/>
        </w:trPr>
        <w:tc>
          <w:tcPr>
            <w:tcW w:w="16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22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0" w:type="dxa"/>
            <w:vAlign w:val="bottom"/>
            <w:shd w:val="clear" w:color="auto" w:fill="0000EE"/>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153"/>
        </w:trPr>
        <w:tc>
          <w:tcPr>
            <w:tcW w:w="7280" w:type="dxa"/>
            <w:vAlign w:val="bottom"/>
            <w:tcBorders>
              <w:bottom w:val="single" w:sz="8" w:color="0000EE"/>
            </w:tcBorders>
            <w:gridSpan w:val="6"/>
          </w:tcPr>
          <w:p>
            <w:pPr>
              <w:spacing w:after="0" w:line="153" w:lineRule="exact"/>
              <w:rPr>
                <w:sz w:val="20"/>
                <w:szCs w:val="20"/>
                <w:color w:val="auto"/>
              </w:rPr>
            </w:pPr>
            <w:r>
              <w:rPr>
                <w:rFonts w:ascii="Arial" w:cs="Arial" w:eastAsia="Arial" w:hAnsi="Arial"/>
                <w:sz w:val="16"/>
                <w:szCs w:val="16"/>
                <w:color w:val="0000EE"/>
                <w:w w:val="87"/>
              </w:rPr>
              <w:t>Consolidated Statements of Operations for the Years Ended December 31, 2021, 2020 (restated) and 2019 (restated)</w:t>
            </w:r>
          </w:p>
        </w:tc>
        <w:tc>
          <w:tcPr>
            <w:tcW w:w="2960" w:type="dxa"/>
            <w:vAlign w:val="bottom"/>
            <w:gridSpan w:val="3"/>
          </w:tcPr>
          <w:p>
            <w:pPr>
              <w:spacing w:after="0"/>
              <w:rPr>
                <w:sz w:val="13"/>
                <w:szCs w:val="13"/>
                <w:color w:val="auto"/>
              </w:rPr>
            </w:pPr>
          </w:p>
        </w:tc>
        <w:tc>
          <w:tcPr>
            <w:tcW w:w="1020" w:type="dxa"/>
            <w:vAlign w:val="bottom"/>
          </w:tcPr>
          <w:p>
            <w:pPr>
              <w:ind w:left="360"/>
              <w:spacing w:after="0" w:line="153" w:lineRule="exact"/>
              <w:rPr>
                <w:sz w:val="20"/>
                <w:szCs w:val="20"/>
                <w:color w:val="auto"/>
              </w:rPr>
            </w:pPr>
            <w:r>
              <w:rPr>
                <w:rFonts w:ascii="Arial" w:cs="Arial" w:eastAsia="Arial" w:hAnsi="Arial"/>
                <w:sz w:val="16"/>
                <w:szCs w:val="16"/>
                <w:color w:val="auto"/>
              </w:rPr>
              <w:t>F-80</w:t>
            </w:r>
          </w:p>
        </w:tc>
      </w:tr>
      <w:tr>
        <w:trPr>
          <w:trHeight w:val="168"/>
        </w:trPr>
        <w:tc>
          <w:tcPr>
            <w:tcW w:w="10120" w:type="dxa"/>
            <w:vAlign w:val="bottom"/>
            <w:tcBorders>
              <w:bottom w:val="single" w:sz="8" w:color="0000EE"/>
            </w:tcBorders>
            <w:gridSpan w:val="8"/>
            <w:shd w:val="clear" w:color="auto" w:fill="CCEEFF"/>
          </w:tcPr>
          <w:p>
            <w:pPr>
              <w:spacing w:after="0" w:line="168" w:lineRule="exact"/>
              <w:rPr>
                <w:sz w:val="20"/>
                <w:szCs w:val="20"/>
                <w:color w:val="auto"/>
              </w:rPr>
            </w:pPr>
            <w:r>
              <w:rPr>
                <w:rFonts w:ascii="Arial" w:cs="Arial" w:eastAsia="Arial" w:hAnsi="Arial"/>
                <w:sz w:val="16"/>
                <w:szCs w:val="16"/>
                <w:color w:val="0000EE"/>
                <w:w w:val="88"/>
              </w:rPr>
              <w:t>Consolidated Statements of Changes in Redeemable Preferred Units and Members’ Equity (Deficit) for the Years Ended December 31, 2021, 2020 (restated) and</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84"/>
        </w:trPr>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0000EE"/>
            </w:tcBorders>
            <w:shd w:val="clear" w:color="auto" w:fill="CCEEFF"/>
          </w:tcPr>
          <w:p>
            <w:pPr>
              <w:spacing w:after="0" w:line="168" w:lineRule="exact"/>
              <w:rPr>
                <w:sz w:val="20"/>
                <w:szCs w:val="20"/>
                <w:color w:val="auto"/>
              </w:rPr>
            </w:pPr>
            <w:r>
              <w:rPr>
                <w:rFonts w:ascii="Arial" w:cs="Arial" w:eastAsia="Arial" w:hAnsi="Arial"/>
                <w:sz w:val="16"/>
                <w:szCs w:val="16"/>
                <w:color w:val="0000EE"/>
                <w:w w:val="84"/>
              </w:rPr>
              <w:t>2019 (restated)</w:t>
            </w:r>
          </w:p>
        </w:tc>
        <w:tc>
          <w:tcPr>
            <w:tcW w:w="9140" w:type="dxa"/>
            <w:vAlign w:val="bottom"/>
            <w:tcBorders>
              <w:bottom w:val="single" w:sz="8" w:color="CCEEFF"/>
            </w:tcBorders>
            <w:gridSpan w:val="7"/>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ind w:left="360"/>
              <w:spacing w:after="0" w:line="168" w:lineRule="exact"/>
              <w:rPr>
                <w:sz w:val="20"/>
                <w:szCs w:val="20"/>
                <w:color w:val="auto"/>
              </w:rPr>
            </w:pPr>
            <w:r>
              <w:rPr>
                <w:rFonts w:ascii="Arial" w:cs="Arial" w:eastAsia="Arial" w:hAnsi="Arial"/>
                <w:sz w:val="16"/>
                <w:szCs w:val="16"/>
                <w:color w:val="auto"/>
              </w:rPr>
              <w:t>F-81</w:t>
            </w:r>
          </w:p>
        </w:tc>
      </w:tr>
      <w:tr>
        <w:trPr>
          <w:trHeight w:val="153"/>
        </w:trPr>
        <w:tc>
          <w:tcPr>
            <w:tcW w:w="10240" w:type="dxa"/>
            <w:vAlign w:val="bottom"/>
            <w:gridSpan w:val="9"/>
          </w:tcPr>
          <w:p>
            <w:pPr>
              <w:spacing w:after="0" w:line="153" w:lineRule="exact"/>
              <w:rPr>
                <w:sz w:val="20"/>
                <w:szCs w:val="20"/>
                <w:color w:val="auto"/>
              </w:rPr>
            </w:pPr>
            <w:r>
              <w:rPr>
                <w:rFonts w:ascii="Arial" w:cs="Arial" w:eastAsia="Arial" w:hAnsi="Arial"/>
                <w:sz w:val="16"/>
                <w:szCs w:val="16"/>
                <w:color w:val="0000EE"/>
              </w:rPr>
              <w:t>Consolidated Statements of Cash Flows for the Years Ended December 31, 2021, 2020 (restated) and 2019 (restated)</w:t>
            </w:r>
          </w:p>
        </w:tc>
        <w:tc>
          <w:tcPr>
            <w:tcW w:w="1020" w:type="dxa"/>
            <w:vAlign w:val="bottom"/>
          </w:tcPr>
          <w:p>
            <w:pPr>
              <w:ind w:left="360"/>
              <w:spacing w:after="0" w:line="153" w:lineRule="exact"/>
              <w:rPr>
                <w:sz w:val="20"/>
                <w:szCs w:val="20"/>
                <w:color w:val="auto"/>
              </w:rPr>
            </w:pPr>
            <w:r>
              <w:rPr>
                <w:rFonts w:ascii="Arial" w:cs="Arial" w:eastAsia="Arial" w:hAnsi="Arial"/>
                <w:sz w:val="16"/>
                <w:szCs w:val="16"/>
                <w:color w:val="auto"/>
              </w:rPr>
              <w:t>F-82</w:t>
            </w:r>
          </w:p>
        </w:tc>
      </w:tr>
      <w:tr>
        <w:trPr>
          <w:trHeight w:val="184"/>
        </w:trPr>
        <w:tc>
          <w:tcPr>
            <w:tcW w:w="7320" w:type="dxa"/>
            <w:vAlign w:val="bottom"/>
            <w:tcBorders>
              <w:top w:val="single" w:sz="8" w:color="0000EE"/>
            </w:tcBorders>
            <w:gridSpan w:val="7"/>
            <w:shd w:val="clear" w:color="auto" w:fill="CCEEFF"/>
          </w:tcPr>
          <w:p>
            <w:pPr>
              <w:spacing w:after="0" w:line="168" w:lineRule="exact"/>
              <w:rPr>
                <w:sz w:val="20"/>
                <w:szCs w:val="20"/>
                <w:color w:val="auto"/>
              </w:rPr>
            </w:pPr>
            <w:r>
              <w:rPr>
                <w:rFonts w:ascii="Arial" w:cs="Arial" w:eastAsia="Arial" w:hAnsi="Arial"/>
                <w:sz w:val="16"/>
                <w:szCs w:val="16"/>
                <w:color w:val="0000EE"/>
              </w:rPr>
              <w:t>Notes to Consolidated Financial Statements (restated)</w:t>
            </w:r>
          </w:p>
        </w:tc>
        <w:tc>
          <w:tcPr>
            <w:tcW w:w="2920" w:type="dxa"/>
            <w:vAlign w:val="bottom"/>
            <w:gridSpan w:val="2"/>
            <w:shd w:val="clear" w:color="auto" w:fill="CCEEFF"/>
          </w:tcPr>
          <w:p>
            <w:pPr>
              <w:spacing w:after="0"/>
              <w:rPr>
                <w:sz w:val="15"/>
                <w:szCs w:val="15"/>
                <w:color w:val="auto"/>
              </w:rPr>
            </w:pPr>
          </w:p>
        </w:tc>
        <w:tc>
          <w:tcPr>
            <w:tcW w:w="102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F-84</w:t>
            </w:r>
          </w:p>
        </w:tc>
      </w:tr>
      <w:tr>
        <w:trPr>
          <w:trHeight w:val="376"/>
        </w:trPr>
        <w:tc>
          <w:tcPr>
            <w:tcW w:w="1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2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6560" w:type="dxa"/>
            <w:vAlign w:val="bottom"/>
            <w:tcBorders>
              <w:top w:val="single" w:sz="8" w:color="CCEEFF"/>
            </w:tcBorders>
            <w:gridSpan w:val="5"/>
          </w:tcPr>
          <w:p>
            <w:pPr>
              <w:ind w:left="220"/>
              <w:spacing w:after="0"/>
              <w:rPr>
                <w:sz w:val="20"/>
                <w:szCs w:val="20"/>
                <w:color w:val="auto"/>
              </w:rPr>
            </w:pPr>
            <w:r>
              <w:rPr>
                <w:rFonts w:ascii="Arial" w:cs="Arial" w:eastAsia="Arial" w:hAnsi="Arial"/>
                <w:sz w:val="16"/>
                <w:szCs w:val="16"/>
                <w:b w:val="1"/>
                <w:bCs w:val="1"/>
                <w:color w:val="auto"/>
              </w:rPr>
              <w:t>BEACON RNG LLC FINANCIAL STATEMENTS</w:t>
            </w:r>
          </w:p>
        </w:tc>
        <w:tc>
          <w:tcPr>
            <w:tcW w:w="1020" w:type="dxa"/>
            <w:vAlign w:val="bottom"/>
            <w:tcBorders>
              <w:top w:val="single" w:sz="8" w:color="CCEEFF"/>
            </w:tcBorders>
          </w:tcPr>
          <w:p>
            <w:pPr>
              <w:spacing w:after="0"/>
              <w:rPr>
                <w:sz w:val="24"/>
                <w:szCs w:val="24"/>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88"/>
        </w:trPr>
        <w:tc>
          <w:tcPr>
            <w:tcW w:w="10240" w:type="dxa"/>
            <w:vAlign w:val="bottom"/>
            <w:gridSpan w:val="7"/>
            <w:shd w:val="clear" w:color="auto" w:fill="CCEEFF"/>
          </w:tcPr>
          <w:p>
            <w:pPr>
              <w:spacing w:after="0"/>
              <w:rPr>
                <w:sz w:val="20"/>
                <w:szCs w:val="20"/>
                <w:color w:val="auto"/>
              </w:rPr>
            </w:pPr>
            <w:r>
              <w:rPr>
                <w:rFonts w:ascii="Arial" w:cs="Arial" w:eastAsia="Arial" w:hAnsi="Arial"/>
                <w:sz w:val="16"/>
                <w:szCs w:val="16"/>
                <w:b w:val="1"/>
                <w:bCs w:val="1"/>
                <w:color w:val="auto"/>
              </w:rPr>
              <w:t>Audited Financial Statements of Beacon RNG LLC</w:t>
            </w:r>
          </w:p>
        </w:tc>
        <w:tc>
          <w:tcPr>
            <w:tcW w:w="1020" w:type="dxa"/>
            <w:vAlign w:val="bottom"/>
            <w:shd w:val="clear" w:color="auto" w:fill="CCEEFF"/>
          </w:tcPr>
          <w:p>
            <w:pPr>
              <w:spacing w:after="0"/>
              <w:rPr>
                <w:sz w:val="16"/>
                <w:szCs w:val="16"/>
                <w:color w:val="auto"/>
              </w:rPr>
            </w:pPr>
          </w:p>
        </w:tc>
      </w:tr>
      <w:tr>
        <w:trPr>
          <w:trHeight w:val="153"/>
        </w:trPr>
        <w:tc>
          <w:tcPr>
            <w:tcW w:w="1940" w:type="dxa"/>
            <w:vAlign w:val="bottom"/>
            <w:tcBorders>
              <w:bottom w:val="single" w:sz="8" w:color="0000EE"/>
            </w:tcBorders>
          </w:tcPr>
          <w:p>
            <w:pPr>
              <w:spacing w:after="0" w:line="153" w:lineRule="exact"/>
              <w:rPr>
                <w:sz w:val="20"/>
                <w:szCs w:val="20"/>
                <w:color w:val="auto"/>
              </w:rPr>
            </w:pPr>
            <w:r>
              <w:rPr>
                <w:rFonts w:ascii="Arial" w:cs="Arial" w:eastAsia="Arial" w:hAnsi="Arial"/>
                <w:sz w:val="16"/>
                <w:szCs w:val="16"/>
                <w:color w:val="0000EE"/>
                <w:w w:val="89"/>
              </w:rPr>
              <w:t>Report of Independent Auditor</w:t>
            </w:r>
          </w:p>
        </w:tc>
        <w:tc>
          <w:tcPr>
            <w:tcW w:w="8300" w:type="dxa"/>
            <w:vAlign w:val="bottom"/>
            <w:gridSpan w:val="6"/>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6"/>
                <w:szCs w:val="16"/>
                <w:color w:val="auto"/>
                <w:w w:val="90"/>
              </w:rPr>
              <w:t>F-132</w:t>
            </w:r>
          </w:p>
        </w:tc>
      </w:tr>
      <w:tr>
        <w:trPr>
          <w:trHeight w:val="184"/>
        </w:trPr>
        <w:tc>
          <w:tcPr>
            <w:tcW w:w="3060" w:type="dxa"/>
            <w:vAlign w:val="bottom"/>
            <w:tcBorders>
              <w:bottom w:val="single" w:sz="8" w:color="0000EE"/>
            </w:tcBorders>
            <w:gridSpan w:val="3"/>
            <w:shd w:val="clear" w:color="auto" w:fill="CCEEFF"/>
          </w:tcPr>
          <w:p>
            <w:pPr>
              <w:spacing w:after="0" w:line="168" w:lineRule="exact"/>
              <w:rPr>
                <w:sz w:val="20"/>
                <w:szCs w:val="20"/>
                <w:color w:val="auto"/>
              </w:rPr>
            </w:pPr>
            <w:r>
              <w:rPr>
                <w:rFonts w:ascii="Arial" w:cs="Arial" w:eastAsia="Arial" w:hAnsi="Arial"/>
                <w:sz w:val="16"/>
                <w:szCs w:val="16"/>
                <w:color w:val="0000EE"/>
                <w:w w:val="88"/>
              </w:rPr>
              <w:t>Consolidated Balance Sheet as of April 30, 2021</w:t>
            </w:r>
          </w:p>
        </w:tc>
        <w:tc>
          <w:tcPr>
            <w:tcW w:w="7180" w:type="dxa"/>
            <w:vAlign w:val="bottom"/>
            <w:tcBorders>
              <w:bottom w:val="single" w:sz="8" w:color="CCEEFF"/>
            </w:tcBorders>
            <w:gridSpan w:val="4"/>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90"/>
              </w:rPr>
              <w:t>F-134</w:t>
            </w:r>
          </w:p>
        </w:tc>
      </w:tr>
      <w:tr>
        <w:trPr>
          <w:trHeight w:val="153"/>
        </w:trPr>
        <w:tc>
          <w:tcPr>
            <w:tcW w:w="10240" w:type="dxa"/>
            <w:vAlign w:val="bottom"/>
            <w:gridSpan w:val="7"/>
          </w:tcPr>
          <w:p>
            <w:pPr>
              <w:spacing w:after="0" w:line="153" w:lineRule="exact"/>
              <w:rPr>
                <w:sz w:val="20"/>
                <w:szCs w:val="20"/>
                <w:color w:val="auto"/>
              </w:rPr>
            </w:pPr>
            <w:r>
              <w:rPr>
                <w:rFonts w:ascii="Arial" w:cs="Arial" w:eastAsia="Arial" w:hAnsi="Arial"/>
                <w:sz w:val="16"/>
                <w:szCs w:val="16"/>
                <w:color w:val="0000EE"/>
              </w:rPr>
              <w:t>Consolidated Statements of Operations for the period Ended April 30, 2021</w:t>
            </w:r>
          </w:p>
        </w:tc>
        <w:tc>
          <w:tcPr>
            <w:tcW w:w="1020" w:type="dxa"/>
            <w:vAlign w:val="bottom"/>
          </w:tcPr>
          <w:p>
            <w:pPr>
              <w:jc w:val="center"/>
              <w:spacing w:after="0" w:line="153" w:lineRule="exact"/>
              <w:rPr>
                <w:sz w:val="20"/>
                <w:szCs w:val="20"/>
                <w:color w:val="auto"/>
              </w:rPr>
            </w:pPr>
            <w:r>
              <w:rPr>
                <w:rFonts w:ascii="Arial" w:cs="Arial" w:eastAsia="Arial" w:hAnsi="Arial"/>
                <w:sz w:val="16"/>
                <w:szCs w:val="16"/>
                <w:color w:val="auto"/>
                <w:w w:val="90"/>
              </w:rPr>
              <w:t>F-135</w:t>
            </w:r>
          </w:p>
        </w:tc>
      </w:tr>
      <w:tr>
        <w:trPr>
          <w:trHeight w:val="20"/>
        </w:trPr>
        <w:tc>
          <w:tcPr>
            <w:tcW w:w="19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900" w:type="dxa"/>
            <w:vAlign w:val="bottom"/>
            <w:tcBorders>
              <w:bottom w:val="single" w:sz="8" w:color="0000EE"/>
            </w:tcBorders>
            <w:gridSpan w:val="6"/>
            <w:shd w:val="clear" w:color="auto" w:fill="CCEEFF"/>
          </w:tcPr>
          <w:p>
            <w:pPr>
              <w:spacing w:after="0" w:line="168" w:lineRule="exact"/>
              <w:rPr>
                <w:sz w:val="20"/>
                <w:szCs w:val="20"/>
                <w:color w:val="auto"/>
              </w:rPr>
            </w:pPr>
            <w:r>
              <w:rPr>
                <w:rFonts w:ascii="Arial" w:cs="Arial" w:eastAsia="Arial" w:hAnsi="Arial"/>
                <w:sz w:val="16"/>
                <w:szCs w:val="16"/>
                <w:color w:val="0000EE"/>
                <w:w w:val="89"/>
              </w:rPr>
              <w:t>Consolidated Statements of Changes in Members’ Equity for the period Ended April 30, 2021</w:t>
            </w:r>
          </w:p>
        </w:tc>
        <w:tc>
          <w:tcPr>
            <w:tcW w:w="4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90"/>
              </w:rPr>
              <w:t>F-136</w:t>
            </w:r>
          </w:p>
        </w:tc>
      </w:tr>
      <w:tr>
        <w:trPr>
          <w:trHeight w:val="153"/>
        </w:trPr>
        <w:tc>
          <w:tcPr>
            <w:tcW w:w="10240" w:type="dxa"/>
            <w:vAlign w:val="bottom"/>
            <w:gridSpan w:val="7"/>
          </w:tcPr>
          <w:p>
            <w:pPr>
              <w:spacing w:after="0" w:line="153" w:lineRule="exact"/>
              <w:rPr>
                <w:sz w:val="20"/>
                <w:szCs w:val="20"/>
                <w:color w:val="auto"/>
              </w:rPr>
            </w:pPr>
            <w:r>
              <w:rPr>
                <w:rFonts w:ascii="Arial" w:cs="Arial" w:eastAsia="Arial" w:hAnsi="Arial"/>
                <w:sz w:val="16"/>
                <w:szCs w:val="16"/>
                <w:color w:val="0000EE"/>
              </w:rPr>
              <w:t>Consolidated Statements of Cash Flows for the period Ended April 30, 2021</w:t>
            </w:r>
          </w:p>
        </w:tc>
        <w:tc>
          <w:tcPr>
            <w:tcW w:w="1020" w:type="dxa"/>
            <w:vAlign w:val="bottom"/>
          </w:tcPr>
          <w:p>
            <w:pPr>
              <w:jc w:val="center"/>
              <w:spacing w:after="0" w:line="153" w:lineRule="exact"/>
              <w:rPr>
                <w:sz w:val="20"/>
                <w:szCs w:val="20"/>
                <w:color w:val="auto"/>
              </w:rPr>
            </w:pPr>
            <w:r>
              <w:rPr>
                <w:rFonts w:ascii="Arial" w:cs="Arial" w:eastAsia="Arial" w:hAnsi="Arial"/>
                <w:sz w:val="16"/>
                <w:szCs w:val="16"/>
                <w:color w:val="auto"/>
                <w:w w:val="90"/>
              </w:rPr>
              <w:t>F-137</w:t>
            </w:r>
          </w:p>
        </w:tc>
      </w:tr>
      <w:tr>
        <w:trPr>
          <w:trHeight w:val="168"/>
        </w:trPr>
        <w:tc>
          <w:tcPr>
            <w:tcW w:w="4780" w:type="dxa"/>
            <w:vAlign w:val="bottom"/>
            <w:tcBorders>
              <w:top w:val="single" w:sz="8" w:color="0000EE"/>
            </w:tcBorders>
            <w:gridSpan w:val="5"/>
            <w:shd w:val="clear" w:color="auto" w:fill="CCEEFF"/>
          </w:tcPr>
          <w:p>
            <w:pPr>
              <w:spacing w:after="0" w:line="168" w:lineRule="exact"/>
              <w:rPr>
                <w:sz w:val="20"/>
                <w:szCs w:val="20"/>
                <w:color w:val="auto"/>
              </w:rPr>
            </w:pPr>
            <w:r>
              <w:rPr>
                <w:rFonts w:ascii="Arial" w:cs="Arial" w:eastAsia="Arial" w:hAnsi="Arial"/>
                <w:sz w:val="16"/>
                <w:szCs w:val="16"/>
                <w:color w:val="0000EE"/>
              </w:rPr>
              <w:t>Notes to Consolidated Financial Statements</w:t>
            </w:r>
          </w:p>
        </w:tc>
        <w:tc>
          <w:tcPr>
            <w:tcW w:w="5460" w:type="dxa"/>
            <w:vAlign w:val="bottom"/>
            <w:gridSpan w:val="2"/>
            <w:shd w:val="clear" w:color="auto" w:fill="CCEEFF"/>
          </w:tcPr>
          <w:p>
            <w:pPr>
              <w:spacing w:after="0"/>
              <w:rPr>
                <w:sz w:val="14"/>
                <w:szCs w:val="14"/>
                <w:color w:val="auto"/>
              </w:rPr>
            </w:pPr>
          </w:p>
        </w:tc>
        <w:tc>
          <w:tcPr>
            <w:tcW w:w="102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0"/>
              </w:rPr>
              <w:t>F-138</w:t>
            </w:r>
          </w:p>
        </w:tc>
      </w:tr>
      <w:tr>
        <w:trPr>
          <w:trHeight w:val="35"/>
        </w:trPr>
        <w:tc>
          <w:tcPr>
            <w:tcW w:w="19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4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220" w:type="dxa"/>
            <w:vAlign w:val="bottom"/>
            <w:gridSpan w:val="8"/>
            <w:shd w:val="clear" w:color="auto" w:fill="CCEEFF"/>
          </w:tcPr>
          <w:p>
            <w:pPr>
              <w:spacing w:after="0" w:line="142" w:lineRule="exact"/>
              <w:rPr>
                <w:sz w:val="20"/>
                <w:szCs w:val="20"/>
                <w:color w:val="auto"/>
              </w:rPr>
            </w:pPr>
            <w:r>
              <w:rPr>
                <w:rFonts w:ascii="Arial" w:cs="Arial" w:eastAsia="Arial" w:hAnsi="Arial"/>
                <w:sz w:val="16"/>
                <w:szCs w:val="16"/>
                <w:color w:val="0000EE"/>
              </w:rPr>
              <w:t>Consolidated Balance Sheets as of December 31, 2020 and 2019</w:t>
            </w:r>
          </w:p>
        </w:tc>
        <w:tc>
          <w:tcPr>
            <w:tcW w:w="102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90"/>
              </w:rPr>
              <w:t>F-144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50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9080" w:type="dxa"/>
            <w:vAlign w:val="bottom"/>
            <w:tcBorders>
              <w:bottom w:val="single" w:sz="8" w:color="0000EE"/>
            </w:tcBorders>
            <w:gridSpan w:val="5"/>
          </w:tcPr>
          <w:p>
            <w:pPr>
              <w:spacing w:after="0" w:line="153" w:lineRule="exact"/>
              <w:rPr>
                <w:sz w:val="20"/>
                <w:szCs w:val="20"/>
                <w:color w:val="auto"/>
              </w:rPr>
            </w:pPr>
            <w:r>
              <w:rPr>
                <w:rFonts w:ascii="Arial" w:cs="Arial" w:eastAsia="Arial" w:hAnsi="Arial"/>
                <w:sz w:val="16"/>
                <w:szCs w:val="16"/>
                <w:color w:val="0000EE"/>
                <w:w w:val="88"/>
              </w:rPr>
              <w:t>Consolidated Statements of Operations for the Year Ended 2020 and for the period from March 11, 2019 (Inception) through December 31, 2019</w:t>
            </w:r>
          </w:p>
        </w:tc>
        <w:tc>
          <w:tcPr>
            <w:tcW w:w="1140" w:type="dxa"/>
            <w:vAlign w:val="bottom"/>
            <w:gridSpan w:val="3"/>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6"/>
                <w:szCs w:val="16"/>
                <w:color w:val="auto"/>
                <w:w w:val="90"/>
              </w:rPr>
              <w:t>F-145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220" w:type="dxa"/>
            <w:vAlign w:val="bottom"/>
            <w:gridSpan w:val="8"/>
            <w:shd w:val="clear" w:color="auto" w:fill="CCEEFF"/>
          </w:tcPr>
          <w:p>
            <w:pPr>
              <w:spacing w:after="0" w:line="168" w:lineRule="exact"/>
              <w:rPr>
                <w:sz w:val="20"/>
                <w:szCs w:val="20"/>
                <w:color w:val="auto"/>
              </w:rPr>
            </w:pPr>
            <w:r>
              <w:rPr>
                <w:rFonts w:ascii="Arial" w:cs="Arial" w:eastAsia="Arial" w:hAnsi="Arial"/>
                <w:sz w:val="16"/>
                <w:szCs w:val="16"/>
                <w:color w:val="0000EE"/>
                <w:w w:val="91"/>
              </w:rPr>
              <w:t>Consolidated Statements of Changes in Members’ Equity for the Year Ended 2020 and for the period from March 11, 2019 (Inception) through December 31,</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20" w:type="dxa"/>
            <w:vAlign w:val="bottom"/>
            <w:tcBorders>
              <w:top w:val="single" w:sz="8" w:color="0000EE"/>
            </w:tcBorders>
            <w:gridSpan w:val="3"/>
            <w:shd w:val="clear" w:color="auto" w:fill="CCEEFF"/>
          </w:tcPr>
          <w:p>
            <w:pPr>
              <w:jc w:val="right"/>
              <w:ind w:right="2280"/>
              <w:spacing w:after="0" w:line="168" w:lineRule="exact"/>
              <w:rPr>
                <w:sz w:val="20"/>
                <w:szCs w:val="20"/>
                <w:color w:val="auto"/>
              </w:rPr>
            </w:pPr>
            <w:r>
              <w:rPr>
                <w:rFonts w:ascii="Arial" w:cs="Arial" w:eastAsia="Arial" w:hAnsi="Arial"/>
                <w:sz w:val="16"/>
                <w:szCs w:val="16"/>
                <w:color w:val="0000EE"/>
              </w:rPr>
              <w:t>2019</w:t>
            </w:r>
          </w:p>
        </w:tc>
        <w:tc>
          <w:tcPr>
            <w:tcW w:w="1300" w:type="dxa"/>
            <w:vAlign w:val="bottom"/>
            <w:tcBorders>
              <w:top w:val="single" w:sz="8" w:color="0000EE"/>
            </w:tcBorders>
            <w:shd w:val="clear" w:color="auto" w:fill="CCEEFF"/>
          </w:tcPr>
          <w:p>
            <w:pPr>
              <w:spacing w:after="0"/>
              <w:rPr>
                <w:sz w:val="14"/>
                <w:szCs w:val="14"/>
                <w:color w:val="auto"/>
              </w:rPr>
            </w:pPr>
          </w:p>
        </w:tc>
        <w:tc>
          <w:tcPr>
            <w:tcW w:w="50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76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90"/>
              </w:rPr>
              <w:t>F-146</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0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0220" w:type="dxa"/>
            <w:vAlign w:val="bottom"/>
            <w:gridSpan w:val="8"/>
          </w:tcPr>
          <w:p>
            <w:pPr>
              <w:spacing w:after="0" w:line="153" w:lineRule="exact"/>
              <w:rPr>
                <w:sz w:val="20"/>
                <w:szCs w:val="20"/>
                <w:color w:val="auto"/>
              </w:rPr>
            </w:pPr>
            <w:r>
              <w:rPr>
                <w:rFonts w:ascii="Arial" w:cs="Arial" w:eastAsia="Arial" w:hAnsi="Arial"/>
                <w:sz w:val="16"/>
                <w:szCs w:val="16"/>
                <w:color w:val="0000EE"/>
                <w:w w:val="99"/>
              </w:rPr>
              <w:t>Consolidated Statements of Cash Flows for the Year Ended 2020 and for the period from March 11, 2019 (Inception) through December 31, 2019</w:t>
            </w:r>
          </w:p>
        </w:tc>
        <w:tc>
          <w:tcPr>
            <w:tcW w:w="1020" w:type="dxa"/>
            <w:vAlign w:val="bottom"/>
          </w:tcPr>
          <w:p>
            <w:pPr>
              <w:jc w:val="center"/>
              <w:spacing w:after="0" w:line="153" w:lineRule="exact"/>
              <w:rPr>
                <w:sz w:val="20"/>
                <w:szCs w:val="20"/>
                <w:color w:val="auto"/>
              </w:rPr>
            </w:pPr>
            <w:r>
              <w:rPr>
                <w:rFonts w:ascii="Arial" w:cs="Arial" w:eastAsia="Arial" w:hAnsi="Arial"/>
                <w:sz w:val="16"/>
                <w:szCs w:val="16"/>
                <w:color w:val="auto"/>
                <w:w w:val="90"/>
              </w:rPr>
              <w:t>F-147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120" w:type="dxa"/>
            <w:vAlign w:val="bottom"/>
            <w:tcBorders>
              <w:top w:val="single" w:sz="8" w:color="0000EE"/>
            </w:tcBorders>
            <w:gridSpan w:val="6"/>
            <w:shd w:val="clear" w:color="auto" w:fill="CCEEFF"/>
          </w:tcPr>
          <w:p>
            <w:pPr>
              <w:spacing w:after="0" w:line="168" w:lineRule="exact"/>
              <w:rPr>
                <w:sz w:val="20"/>
                <w:szCs w:val="20"/>
                <w:color w:val="auto"/>
              </w:rPr>
            </w:pPr>
            <w:r>
              <w:rPr>
                <w:rFonts w:ascii="Arial" w:cs="Arial" w:eastAsia="Arial" w:hAnsi="Arial"/>
                <w:sz w:val="16"/>
                <w:szCs w:val="16"/>
                <w:color w:val="0000EE"/>
              </w:rPr>
              <w:t>Notes to Consolidated Financial Statements</w:t>
            </w:r>
          </w:p>
        </w:tc>
        <w:tc>
          <w:tcPr>
            <w:tcW w:w="1100" w:type="dxa"/>
            <w:vAlign w:val="bottom"/>
            <w:gridSpan w:val="2"/>
            <w:shd w:val="clear" w:color="auto" w:fill="CCEEFF"/>
          </w:tcPr>
          <w:p>
            <w:pPr>
              <w:spacing w:after="0"/>
              <w:rPr>
                <w:sz w:val="15"/>
                <w:szCs w:val="15"/>
                <w:color w:val="auto"/>
              </w:rPr>
            </w:pPr>
          </w:p>
        </w:tc>
        <w:tc>
          <w:tcPr>
            <w:tcW w:w="102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0"/>
              </w:rPr>
              <w:t>F-148</w:t>
            </w: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280" w:type="dxa"/>
            <w:vAlign w:val="bottom"/>
            <w:tcBorders>
              <w:top w:val="single" w:sz="8" w:color="0000EE"/>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6200" w:type="dxa"/>
            <w:vAlign w:val="bottom"/>
            <w:tcBorders>
              <w:top w:val="single" w:sz="8" w:color="CCEEFF"/>
              <w:bottom w:val="single" w:sz="8" w:color="auto"/>
            </w:tcBorders>
            <w:gridSpan w:val="4"/>
          </w:tcPr>
          <w:p>
            <w:pPr>
              <w:ind w:left="1480"/>
              <w:spacing w:after="0"/>
              <w:rPr>
                <w:sz w:val="20"/>
                <w:szCs w:val="20"/>
                <w:color w:val="auto"/>
              </w:rPr>
            </w:pPr>
            <w:r>
              <w:rPr>
                <w:rFonts w:ascii="Arial" w:cs="Arial" w:eastAsia="Arial" w:hAnsi="Arial"/>
                <w:sz w:val="16"/>
                <w:szCs w:val="16"/>
                <w:color w:val="auto"/>
              </w:rPr>
              <w:t>F-2</w:t>
            </w:r>
          </w:p>
        </w:tc>
        <w:tc>
          <w:tcPr>
            <w:tcW w:w="10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00" w:right="319" w:bottom="1440" w:gutter="0" w:footer="0" w:header="0"/>
        </w:sectPr>
      </w:pPr>
    </w:p>
    <w:bookmarkStart w:id="142" w:name="page143"/>
    <w:bookmarkEnd w:id="142"/>
    <w:p>
      <w:pPr>
        <w:ind w:left="5000"/>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CONDENSED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381"/>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2"/>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2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w w:val="93"/>
              </w:rPr>
              <w:t>(unaudited)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6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219,127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811,526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0" w:type="dxa"/>
            <w:vAlign w:val="bottom"/>
          </w:tcPr>
          <w:p>
            <w:pPr>
              <w:ind w:left="260"/>
              <w:spacing w:after="0"/>
              <w:rPr>
                <w:sz w:val="20"/>
                <w:szCs w:val="20"/>
                <w:color w:val="auto"/>
              </w:rPr>
            </w:pPr>
            <w:r>
              <w:rPr>
                <w:rFonts w:ascii="Arial" w:cs="Arial" w:eastAsia="Arial" w:hAnsi="Arial"/>
                <w:sz w:val="16"/>
                <w:szCs w:val="16"/>
                <w:color w:val="auto"/>
              </w:rPr>
              <w:t>Prepaid expenses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546,368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701,663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765,495</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1,513,189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Arial" w:cs="Arial" w:eastAsia="Arial" w:hAnsi="Arial"/>
                <w:sz w:val="16"/>
                <w:szCs w:val="16"/>
                <w:color w:val="auto"/>
              </w:rPr>
              <w:t>Other assets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159,954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Investments held in Trust Account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311,615,892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311,175,471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Total Assets</w:t>
            </w:r>
          </w:p>
        </w:tc>
        <w:tc>
          <w:tcPr>
            <w:tcW w:w="6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312,381,387</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312,848,614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Liabilities and Shareholders’ Deficit: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Arial" w:cs="Arial" w:eastAsia="Arial" w:hAnsi="Arial"/>
                <w:sz w:val="16"/>
                <w:szCs w:val="16"/>
                <w:color w:val="auto"/>
              </w:rPr>
              <w:t>Current liabilities: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68,531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18,764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29,902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94,497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Due to related party</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5,085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0" w:type="dxa"/>
            <w:vAlign w:val="bottom"/>
            <w:tcBorders>
              <w:top w:val="single" w:sz="8" w:color="CCEEFF"/>
            </w:tcBorders>
          </w:tcPr>
          <w:p>
            <w:pPr>
              <w:spacing w:after="0" w:line="172" w:lineRule="exact"/>
              <w:rPr>
                <w:sz w:val="20"/>
                <w:szCs w:val="20"/>
                <w:color w:val="auto"/>
              </w:rPr>
            </w:pPr>
            <w:r>
              <w:rPr>
                <w:rFonts w:ascii="Arial" w:cs="Arial" w:eastAsia="Arial" w:hAnsi="Arial"/>
                <w:sz w:val="16"/>
                <w:szCs w:val="16"/>
                <w:color w:val="auto"/>
              </w:rPr>
              <w:t>Total current liabilities</w:t>
            </w: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103,518</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113,261</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Deferred legal fees</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6,193,192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3,966,447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Arial" w:cs="Arial" w:eastAsia="Arial" w:hAnsi="Arial"/>
                <w:sz w:val="16"/>
                <w:szCs w:val="16"/>
                <w:color w:val="auto"/>
              </w:rPr>
              <w:t>Deferred underwriting commissions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10,890,707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Derivative warrant liabilities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16,218,840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25,795,700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0" w:type="dxa"/>
            <w:vAlign w:val="bottom"/>
            <w:tcBorders>
              <w:top w:val="single" w:sz="8" w:color="CCEEFF"/>
            </w:tcBorders>
          </w:tcPr>
          <w:p>
            <w:pPr>
              <w:spacing w:after="0" w:line="172" w:lineRule="exact"/>
              <w:rPr>
                <w:sz w:val="20"/>
                <w:szCs w:val="20"/>
                <w:color w:val="auto"/>
              </w:rPr>
            </w:pPr>
            <w:r>
              <w:rPr>
                <w:rFonts w:ascii="Arial" w:cs="Arial" w:eastAsia="Arial" w:hAnsi="Arial"/>
                <w:sz w:val="16"/>
                <w:szCs w:val="16"/>
                <w:color w:val="auto"/>
              </w:rPr>
              <w:t>Total liabilities</w:t>
            </w: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22,515,550</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40,766,115</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Arial" w:cs="Arial" w:eastAsia="Arial" w:hAnsi="Arial"/>
                <w:sz w:val="16"/>
                <w:szCs w:val="16"/>
                <w:color w:val="auto"/>
              </w:rPr>
              <w:t>Class A ordinary shares subject to possible redemption; 31,116,305 shares at redemption value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311,515,892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311,163,050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Shareholders’ Deficit: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Arial" w:cs="Arial" w:eastAsia="Arial" w:hAnsi="Arial"/>
                <w:sz w:val="16"/>
                <w:szCs w:val="16"/>
                <w:color w:val="auto"/>
              </w:rPr>
              <w:t>Preference shares, $0.0001 par value; 5,000,000 shares authorized; none issued and outstanding</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6"/>
              </w:rPr>
              <w:t>Class A ordinary shares, $0.0001 par value; 500,000,000 shares authorized (excluding 31,116,305 shares subject to possible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redemption) at June 30, 2022 and December 31, 2021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87"/>
              </w:rPr>
              <w:t>Class B ordinary shares, $0.0001 par value; 50,000,000 shares authorized; 7,779,076 shares issued and outstanding at June 30, 2022 and</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 2021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778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Arial" w:cs="Arial" w:eastAsia="Arial" w:hAnsi="Arial"/>
                <w:sz w:val="16"/>
                <w:szCs w:val="16"/>
                <w:color w:val="auto"/>
              </w:rPr>
              <w:t>Additional paid-in-capital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(21,650,833)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(39,081,329)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Total shareholders’ deficit</w:t>
            </w:r>
          </w:p>
        </w:tc>
        <w:tc>
          <w:tcPr>
            <w:tcW w:w="6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(21,650,055</w:t>
            </w:r>
          </w:p>
        </w:tc>
        <w:tc>
          <w:tcPr>
            <w:tcW w:w="12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(39,080,551</w:t>
            </w:r>
          </w:p>
        </w:tc>
        <w:tc>
          <w:tcPr>
            <w:tcW w:w="120" w:type="dxa"/>
            <w:vAlign w:val="bottom"/>
            <w:tcBorders>
              <w:top w:val="single" w:sz="8" w:color="CCEEFF"/>
              <w:bottom w:val="single" w:sz="8" w:color="CCEEFF"/>
            </w:tcBorders>
          </w:tcPr>
          <w:p>
            <w:pPr>
              <w:jc w:val="right"/>
              <w:spacing w:after="0" w:line="17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Shareholders’ Deficit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312,381,387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312,848,614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CONDENSED STATEMENTS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For the</w:t>
            </w:r>
          </w:p>
        </w:tc>
      </w:tr>
      <w:tr>
        <w:trPr>
          <w:trHeight w:val="188"/>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5"/>
              </w:rPr>
              <w:t>period</w:t>
            </w:r>
          </w:p>
        </w:tc>
      </w:tr>
      <w:tr>
        <w:trPr>
          <w:trHeight w:val="188"/>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January 13,</w:t>
            </w:r>
          </w:p>
        </w:tc>
      </w:tr>
      <w:tr>
        <w:trPr>
          <w:trHeight w:val="188"/>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22"/>
              <w:spacing w:after="0"/>
              <w:rPr>
                <w:sz w:val="20"/>
                <w:szCs w:val="20"/>
                <w:color w:val="auto"/>
              </w:rPr>
            </w:pPr>
            <w:r>
              <w:rPr>
                <w:rFonts w:ascii="Arial" w:cs="Arial" w:eastAsia="Arial" w:hAnsi="Arial"/>
                <w:sz w:val="16"/>
                <w:szCs w:val="16"/>
                <w:b w:val="1"/>
                <w:bCs w:val="1"/>
                <w:color w:val="auto"/>
                <w:w w:val="84"/>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For the three</w:t>
            </w:r>
          </w:p>
        </w:tc>
        <w:tc>
          <w:tcPr>
            <w:tcW w:w="80" w:type="dxa"/>
            <w:vAlign w:val="bottom"/>
          </w:tcPr>
          <w:p>
            <w:pPr>
              <w:spacing w:after="0"/>
              <w:rPr>
                <w:sz w:val="16"/>
                <w:szCs w:val="16"/>
                <w:color w:val="auto"/>
              </w:rPr>
            </w:pPr>
          </w:p>
        </w:tc>
        <w:tc>
          <w:tcPr>
            <w:tcW w:w="1260" w:type="dxa"/>
            <w:vAlign w:val="bottom"/>
            <w:gridSpan w:val="2"/>
          </w:tcPr>
          <w:p>
            <w:pPr>
              <w:jc w:val="center"/>
              <w:ind w:right="222"/>
              <w:spacing w:after="0"/>
              <w:rPr>
                <w:sz w:val="20"/>
                <w:szCs w:val="20"/>
                <w:color w:val="auto"/>
              </w:rPr>
            </w:pPr>
            <w:r>
              <w:rPr>
                <w:rFonts w:ascii="Arial" w:cs="Arial" w:eastAsia="Arial" w:hAnsi="Arial"/>
                <w:sz w:val="16"/>
                <w:szCs w:val="16"/>
                <w:b w:val="1"/>
                <w:bCs w:val="1"/>
                <w:color w:val="auto"/>
                <w:w w:val="89"/>
              </w:rPr>
              <w:t>For the three</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For the six</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(inception)</w:t>
            </w:r>
          </w:p>
        </w:tc>
      </w:tr>
      <w:tr>
        <w:trPr>
          <w:trHeight w:val="188"/>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months ended</w:t>
            </w:r>
          </w:p>
        </w:tc>
        <w:tc>
          <w:tcPr>
            <w:tcW w:w="80" w:type="dxa"/>
            <w:vAlign w:val="bottom"/>
          </w:tcPr>
          <w:p>
            <w:pPr>
              <w:spacing w:after="0"/>
              <w:rPr>
                <w:sz w:val="16"/>
                <w:szCs w:val="16"/>
                <w:color w:val="auto"/>
              </w:rPr>
            </w:pPr>
          </w:p>
        </w:tc>
        <w:tc>
          <w:tcPr>
            <w:tcW w:w="1260" w:type="dxa"/>
            <w:vAlign w:val="bottom"/>
            <w:gridSpan w:val="2"/>
          </w:tcPr>
          <w:p>
            <w:pPr>
              <w:jc w:val="center"/>
              <w:ind w:right="242"/>
              <w:spacing w:after="0"/>
              <w:rPr>
                <w:sz w:val="20"/>
                <w:szCs w:val="20"/>
                <w:color w:val="auto"/>
              </w:rPr>
            </w:pPr>
            <w:r>
              <w:rPr>
                <w:rFonts w:ascii="Arial" w:cs="Arial" w:eastAsia="Arial" w:hAnsi="Arial"/>
                <w:sz w:val="16"/>
                <w:szCs w:val="16"/>
                <w:b w:val="1"/>
                <w:bCs w:val="1"/>
                <w:color w:val="auto"/>
                <w:w w:val="85"/>
              </w:rPr>
              <w:t>months ended</w:t>
            </w: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5"/>
              </w:rPr>
              <w:t>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through</w:t>
            </w:r>
          </w:p>
        </w:tc>
      </w:tr>
      <w:tr>
        <w:trPr>
          <w:trHeight w:val="188"/>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June 30,</w:t>
            </w:r>
          </w:p>
        </w:tc>
        <w:tc>
          <w:tcPr>
            <w:tcW w:w="80" w:type="dxa"/>
            <w:vAlign w:val="bottom"/>
          </w:tcPr>
          <w:p>
            <w:pPr>
              <w:spacing w:after="0"/>
              <w:rPr>
                <w:sz w:val="16"/>
                <w:szCs w:val="16"/>
                <w:color w:val="auto"/>
              </w:rPr>
            </w:pPr>
          </w:p>
        </w:tc>
        <w:tc>
          <w:tcPr>
            <w:tcW w:w="1260" w:type="dxa"/>
            <w:vAlign w:val="bottom"/>
            <w:gridSpan w:val="2"/>
          </w:tcPr>
          <w:p>
            <w:pPr>
              <w:jc w:val="center"/>
              <w:ind w:right="222"/>
              <w:spacing w:after="0"/>
              <w:rPr>
                <w:sz w:val="20"/>
                <w:szCs w:val="20"/>
                <w:color w:val="auto"/>
              </w:rPr>
            </w:pPr>
            <w:r>
              <w:rPr>
                <w:rFonts w:ascii="Arial" w:cs="Arial" w:eastAsia="Arial" w:hAnsi="Arial"/>
                <w:sz w:val="16"/>
                <w:szCs w:val="16"/>
                <w:b w:val="1"/>
                <w:bCs w:val="1"/>
                <w:color w:val="auto"/>
                <w:w w:val="87"/>
              </w:rPr>
              <w:t>June 30,</w:t>
            </w:r>
          </w:p>
        </w:tc>
        <w:tc>
          <w:tcPr>
            <w:tcW w:w="14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7"/>
              </w:rPr>
              <w:t>June 30,</w:t>
            </w:r>
          </w:p>
        </w:tc>
      </w:tr>
      <w:tr>
        <w:trPr>
          <w:trHeight w:val="209"/>
        </w:trPr>
        <w:tc>
          <w:tcPr>
            <w:tcW w:w="59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2022</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9"/>
              </w:rPr>
              <w:t>2022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8"/>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1,733,643</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394,413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3,124,650</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522,889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72"/>
        </w:trPr>
        <w:tc>
          <w:tcPr>
            <w:tcW w:w="5980" w:type="dxa"/>
            <w:vAlign w:val="bottom"/>
          </w:tcPr>
          <w:p>
            <w:pPr>
              <w:ind w:left="280"/>
              <w:spacing w:after="0" w:line="172" w:lineRule="exact"/>
              <w:rPr>
                <w:sz w:val="20"/>
                <w:szCs w:val="20"/>
                <w:color w:val="auto"/>
              </w:rPr>
            </w:pPr>
            <w:r>
              <w:rPr>
                <w:rFonts w:ascii="Arial" w:cs="Arial" w:eastAsia="Arial" w:hAnsi="Arial"/>
                <w:sz w:val="16"/>
                <w:szCs w:val="16"/>
                <w:color w:val="auto"/>
              </w:rPr>
              <w:t>Loss from operations</w:t>
            </w:r>
          </w:p>
        </w:tc>
        <w:tc>
          <w:tcPr>
            <w:tcW w:w="8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Arial" w:cs="Arial" w:eastAsia="Arial" w:hAnsi="Arial"/>
                <w:sz w:val="16"/>
                <w:szCs w:val="16"/>
                <w:color w:val="auto"/>
              </w:rPr>
              <w:t>(1,733,643)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6"/>
                <w:szCs w:val="16"/>
                <w:color w:val="auto"/>
              </w:rPr>
              <w:t>(394,413)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Arial" w:cs="Arial" w:eastAsia="Arial" w:hAnsi="Arial"/>
                <w:sz w:val="16"/>
                <w:szCs w:val="16"/>
                <w:color w:val="auto"/>
              </w:rPr>
              <w:t>(3,124,650)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Arial" w:cs="Arial" w:eastAsia="Arial" w:hAnsi="Arial"/>
                <w:sz w:val="16"/>
                <w:szCs w:val="16"/>
                <w:color w:val="auto"/>
              </w:rPr>
              <w:t>(522,889)</w:t>
            </w:r>
          </w:p>
        </w:tc>
        <w:tc>
          <w:tcPr>
            <w:tcW w:w="120" w:type="dxa"/>
            <w:vAlign w:val="bottom"/>
            <w:gridSpan w:val="2"/>
          </w:tcPr>
          <w:p>
            <w:pPr>
              <w:spacing w:after="0"/>
              <w:rPr>
                <w:sz w:val="14"/>
                <w:szCs w:val="14"/>
                <w:color w:val="auto"/>
              </w:rPr>
            </w:pPr>
          </w:p>
        </w:tc>
      </w:tr>
      <w:tr>
        <w:trPr>
          <w:trHeight w:val="188"/>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5980" w:type="dxa"/>
            <w:vAlign w:val="bottom"/>
          </w:tcPr>
          <w:p>
            <w:pPr>
              <w:ind w:left="280"/>
              <w:spacing w:after="0"/>
              <w:rPr>
                <w:sz w:val="20"/>
                <w:szCs w:val="20"/>
                <w:color w:val="auto"/>
              </w:rPr>
            </w:pPr>
            <w:r>
              <w:rPr>
                <w:rFonts w:ascii="Arial" w:cs="Arial" w:eastAsia="Arial" w:hAnsi="Arial"/>
                <w:sz w:val="16"/>
                <w:szCs w:val="16"/>
                <w:color w:val="auto"/>
              </w:rPr>
              <w:t>Change in fair value of derivative warrant liabilities</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4,325,040</w:t>
            </w:r>
          </w:p>
        </w:tc>
        <w:tc>
          <w:tcPr>
            <w:tcW w:w="80" w:type="dxa"/>
            <w:vAlign w:val="bottom"/>
          </w:tcPr>
          <w:p>
            <w:pPr>
              <w:spacing w:after="0"/>
              <w:rPr>
                <w:sz w:val="16"/>
                <w:szCs w:val="16"/>
                <w:color w:val="auto"/>
              </w:rPr>
            </w:pPr>
          </w:p>
        </w:tc>
        <w:tc>
          <w:tcPr>
            <w:tcW w:w="1260" w:type="dxa"/>
            <w:vAlign w:val="bottom"/>
            <w:gridSpan w:val="2"/>
          </w:tcPr>
          <w:p>
            <w:pPr>
              <w:jc w:val="right"/>
              <w:ind w:right="82"/>
              <w:spacing w:after="0"/>
              <w:rPr>
                <w:sz w:val="20"/>
                <w:szCs w:val="20"/>
                <w:color w:val="auto"/>
              </w:rPr>
            </w:pPr>
            <w:r>
              <w:rPr>
                <w:rFonts w:ascii="Arial" w:cs="Arial" w:eastAsia="Arial" w:hAnsi="Arial"/>
                <w:sz w:val="16"/>
                <w:szCs w:val="16"/>
                <w:color w:val="auto"/>
              </w:rPr>
              <w:t>(11,225,560)</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9,576,860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(10,954,400)</w:t>
            </w:r>
          </w:p>
        </w:tc>
      </w:tr>
      <w:tr>
        <w:trPr>
          <w:trHeight w:val="188"/>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settlement of underwriting fees</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279,890</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279,890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(462,620)</w:t>
            </w:r>
          </w:p>
        </w:tc>
      </w:tr>
      <w:tr>
        <w:trPr>
          <w:trHeight w:val="204"/>
        </w:trPr>
        <w:tc>
          <w:tcPr>
            <w:tcW w:w="5980" w:type="dxa"/>
            <w:vAlign w:val="bottom"/>
          </w:tcPr>
          <w:p>
            <w:pPr>
              <w:ind w:left="280"/>
              <w:spacing w:after="0"/>
              <w:rPr>
                <w:sz w:val="20"/>
                <w:szCs w:val="20"/>
                <w:color w:val="auto"/>
              </w:rPr>
            </w:pPr>
            <w:r>
              <w:rPr>
                <w:rFonts w:ascii="Arial" w:cs="Arial" w:eastAsia="Arial" w:hAnsi="Arial"/>
                <w:sz w:val="16"/>
                <w:szCs w:val="16"/>
                <w:color w:val="auto"/>
              </w:rPr>
              <w:t>Net gain on investments held in Trust Account</w:t>
            </w: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415,868</w:t>
            </w:r>
          </w:p>
        </w:tc>
        <w:tc>
          <w:tcPr>
            <w:tcW w:w="8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Arial" w:cs="Arial" w:eastAsia="Arial" w:hAnsi="Arial"/>
                <w:sz w:val="16"/>
                <w:szCs w:val="16"/>
                <w:color w:val="auto"/>
              </w:rPr>
              <w:t>4,304</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440,421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4,457</w:t>
            </w:r>
          </w:p>
        </w:tc>
        <w:tc>
          <w:tcPr>
            <w:tcW w:w="100" w:type="dxa"/>
            <w:vAlign w:val="bottom"/>
          </w:tcPr>
          <w:p>
            <w:pPr>
              <w:spacing w:after="0"/>
              <w:rPr>
                <w:sz w:val="17"/>
                <w:szCs w:val="17"/>
                <w:color w:val="auto"/>
              </w:rPr>
            </w:pPr>
          </w:p>
        </w:tc>
      </w:tr>
      <w:tr>
        <w:trPr>
          <w:trHeight w:val="208"/>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5,020,798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(11,221,256</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10,297,171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(11,412,563</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176"/>
        </w:trPr>
        <w:tc>
          <w:tcPr>
            <w:tcW w:w="598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color w:val="auto"/>
              </w:rPr>
              <w:t>Net income (loss)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3,287,155</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(11,615,669</w:t>
            </w:r>
          </w:p>
        </w:tc>
        <w:tc>
          <w:tcPr>
            <w:tcW w:w="220" w:type="dxa"/>
            <w:vAlign w:val="bottom"/>
            <w:tcBorders>
              <w:bottom w:val="single" w:sz="8" w:color="CCEEFF"/>
            </w:tcBorders>
          </w:tcPr>
          <w:p>
            <w:pPr>
              <w:jc w:val="right"/>
              <w:ind w:right="82"/>
              <w:spacing w:after="0" w:line="172"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7,172,521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(11,935,452</w:t>
            </w:r>
          </w:p>
        </w:tc>
        <w:tc>
          <w:tcPr>
            <w:tcW w:w="120" w:type="dxa"/>
            <w:vAlign w:val="bottom"/>
            <w:tcBorders>
              <w:bottom w:val="single" w:sz="8" w:color="CCEEFF"/>
            </w:tcBorders>
            <w:gridSpan w:val="2"/>
          </w:tcPr>
          <w:p>
            <w:pPr>
              <w:jc w:val="right"/>
              <w:ind w:right="60"/>
              <w:spacing w:after="0" w:line="172" w:lineRule="exact"/>
              <w:rPr>
                <w:sz w:val="20"/>
                <w:szCs w:val="20"/>
                <w:color w:val="auto"/>
              </w:rPr>
            </w:pPr>
            <w:r>
              <w:rPr>
                <w:rFonts w:ascii="Arial" w:cs="Arial" w:eastAsia="Arial" w:hAnsi="Arial"/>
                <w:sz w:val="16"/>
                <w:szCs w:val="16"/>
                <w:color w:val="auto"/>
                <w:w w:val="74"/>
              </w:rPr>
              <w:t>)</w:t>
            </w:r>
          </w:p>
        </w:tc>
      </w:tr>
      <w:tr>
        <w:trPr>
          <w:trHeight w:val="208"/>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shares outstanding of Class A ordinary shares, basic and diluted</w:t>
            </w: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31,116,305</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31,116,305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31,116,305</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18,823,444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76"/>
        </w:trPr>
        <w:tc>
          <w:tcPr>
            <w:tcW w:w="598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color w:val="auto"/>
              </w:rPr>
              <w:t>Basic and diluted net income (loss) per ordinary share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0.08</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(0.30</w:t>
            </w:r>
          </w:p>
        </w:tc>
        <w:tc>
          <w:tcPr>
            <w:tcW w:w="220" w:type="dxa"/>
            <w:vAlign w:val="bottom"/>
            <w:tcBorders>
              <w:bottom w:val="single" w:sz="8" w:color="CCEEFF"/>
            </w:tcBorders>
          </w:tcPr>
          <w:p>
            <w:pPr>
              <w:jc w:val="right"/>
              <w:ind w:right="82"/>
              <w:spacing w:after="0" w:line="172"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0.18</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gridSpan w:val="2"/>
          </w:tcPr>
          <w:p>
            <w:pPr>
              <w:jc w:val="right"/>
              <w:ind w:right="60"/>
              <w:spacing w:after="0" w:line="172" w:lineRule="exact"/>
              <w:rPr>
                <w:sz w:val="20"/>
                <w:szCs w:val="20"/>
                <w:color w:val="auto"/>
              </w:rPr>
            </w:pPr>
            <w:r>
              <w:rPr>
                <w:rFonts w:ascii="Arial" w:cs="Arial" w:eastAsia="Arial" w:hAnsi="Arial"/>
                <w:sz w:val="16"/>
                <w:szCs w:val="16"/>
                <w:color w:val="auto"/>
                <w:w w:val="74"/>
              </w:rPr>
              <w:t>)</w:t>
            </w:r>
          </w:p>
        </w:tc>
      </w:tr>
      <w:tr>
        <w:trPr>
          <w:trHeight w:val="208"/>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shares outstanding of Class B ordinary shares, basic and diluted</w:t>
            </w: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7,421,910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9"/>
        </w:trPr>
        <w:tc>
          <w:tcPr>
            <w:tcW w:w="5980" w:type="dxa"/>
            <w:vAlign w:val="bottom"/>
          </w:tcPr>
          <w:p>
            <w:pPr>
              <w:spacing w:after="0" w:line="180" w:lineRule="exact"/>
              <w:rPr>
                <w:sz w:val="20"/>
                <w:szCs w:val="20"/>
                <w:color w:val="auto"/>
              </w:rPr>
            </w:pPr>
            <w:r>
              <w:rPr>
                <w:rFonts w:ascii="Arial" w:cs="Arial" w:eastAsia="Arial" w:hAnsi="Arial"/>
                <w:sz w:val="16"/>
                <w:szCs w:val="16"/>
                <w:color w:val="auto"/>
              </w:rPr>
              <w:t>Basic and diluted net income (loss) per ordinary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(0.30</w:t>
            </w:r>
          </w:p>
        </w:tc>
        <w:tc>
          <w:tcPr>
            <w:tcW w:w="220" w:type="dxa"/>
            <w:vAlign w:val="bottom"/>
          </w:tcPr>
          <w:p>
            <w:pPr>
              <w:jc w:val="right"/>
              <w:ind w:right="82"/>
              <w:spacing w:after="0" w:line="180" w:lineRule="exact"/>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0.18</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CONDENSED STATEMENTS OF CHANGES IN SHAREHOLDERS’ DEFICIT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Six Months Ended</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June 30, 2022</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Ordinary Shares</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w w:val="94"/>
              </w:rPr>
              <w:t>Additional</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2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20" w:type="dxa"/>
            <w:vAlign w:val="bottom"/>
            <w:gridSpan w:val="7"/>
          </w:tcPr>
          <w:p>
            <w:pPr>
              <w:ind w:left="20"/>
              <w:spacing w:after="0"/>
              <w:rPr>
                <w:sz w:val="20"/>
                <w:szCs w:val="20"/>
                <w:color w:val="auto"/>
              </w:rPr>
            </w:pPr>
            <w:r>
              <w:rPr>
                <w:rFonts w:ascii="Arial" w:cs="Arial" w:eastAsia="Arial" w:hAnsi="Arial"/>
                <w:sz w:val="16"/>
                <w:szCs w:val="16"/>
                <w:b w:val="1"/>
                <w:bCs w:val="1"/>
                <w:color w:val="auto"/>
              </w:rPr>
              <w:t>Class A</w:t>
            </w:r>
          </w:p>
        </w:tc>
        <w:tc>
          <w:tcPr>
            <w:tcW w:w="1160" w:type="dxa"/>
            <w:vAlign w:val="bottom"/>
            <w:gridSpan w:val="4"/>
          </w:tcPr>
          <w:p>
            <w:pPr>
              <w:ind w:left="660"/>
              <w:spacing w:after="0"/>
              <w:rPr>
                <w:sz w:val="20"/>
                <w:szCs w:val="20"/>
                <w:color w:val="auto"/>
              </w:rPr>
            </w:pPr>
            <w:r>
              <w:rPr>
                <w:rFonts w:ascii="Arial" w:cs="Arial" w:eastAsia="Arial" w:hAnsi="Arial"/>
                <w:sz w:val="16"/>
                <w:szCs w:val="16"/>
                <w:b w:val="1"/>
                <w:bCs w:val="1"/>
                <w:color w:val="auto"/>
                <w:w w:val="81"/>
              </w:rPr>
              <w:t>Class B</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Paid-in</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4"/>
          </w:tcPr>
          <w:p>
            <w:pPr>
              <w:jc w:val="right"/>
              <w:ind w:right="62"/>
              <w:spacing w:after="0"/>
              <w:rPr>
                <w:sz w:val="20"/>
                <w:szCs w:val="20"/>
                <w:color w:val="auto"/>
              </w:rPr>
            </w:pPr>
            <w:r>
              <w:rPr>
                <w:rFonts w:ascii="Arial" w:cs="Arial" w:eastAsia="Arial" w:hAnsi="Arial"/>
                <w:sz w:val="16"/>
                <w:szCs w:val="16"/>
                <w:b w:val="1"/>
                <w:bCs w:val="1"/>
                <w:color w:val="auto"/>
                <w:w w:val="85"/>
              </w:rPr>
              <w:t>Accumulated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86"/>
              </w:rPr>
              <w:t>Shareholders’</w:t>
            </w:r>
          </w:p>
        </w:tc>
        <w:tc>
          <w:tcPr>
            <w:tcW w:w="0" w:type="dxa"/>
            <w:vAlign w:val="bottom"/>
          </w:tcPr>
          <w:p>
            <w:pPr>
              <w:spacing w:after="0"/>
              <w:rPr>
                <w:sz w:val="1"/>
                <w:szCs w:val="1"/>
                <w:color w:val="auto"/>
              </w:rPr>
            </w:pPr>
          </w:p>
        </w:tc>
      </w:tr>
      <w:tr>
        <w:trPr>
          <w:trHeight w:val="204"/>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Capital</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3"/>
          </w:tcPr>
          <w:p>
            <w:pPr>
              <w:jc w:val="right"/>
              <w:ind w:right="282"/>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ind w:left="26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188"/>
        </w:trPr>
        <w:tc>
          <w:tcPr>
            <w:tcW w:w="34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Balance - January 1, 2022</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4"/>
                <w:szCs w:val="4"/>
                <w:color w:val="auto"/>
                <w:w w:val="98"/>
              </w:rPr>
              <w:t>—</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0"/>
              </w:rPr>
              <w:t>(39,081,329)</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(39,080,551)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ind w:left="6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62"/>
              <w:spacing w:after="0"/>
              <w:rPr>
                <w:sz w:val="20"/>
                <w:szCs w:val="20"/>
                <w:color w:val="auto"/>
              </w:rPr>
            </w:pPr>
            <w:r>
              <w:rPr>
                <w:rFonts w:ascii="Arial" w:cs="Arial" w:eastAsia="Arial" w:hAnsi="Arial"/>
                <w:sz w:val="16"/>
                <w:szCs w:val="16"/>
                <w:color w:val="auto"/>
              </w:rPr>
              <w:t>3,885,366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3,885,366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Balance - March 31, 2022 (unaudited)</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4"/>
                <w:szCs w:val="4"/>
                <w:color w:val="auto"/>
                <w:w w:val="98"/>
              </w:rPr>
              <w:t>—</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0"/>
              </w:rPr>
              <w:t>(35,195,963)</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(35,195,185)</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gridSpan w:val="3"/>
          </w:tcPr>
          <w:p>
            <w:pPr>
              <w:spacing w:after="0" w:line="176" w:lineRule="exact"/>
              <w:rPr>
                <w:sz w:val="20"/>
                <w:szCs w:val="20"/>
                <w:color w:val="auto"/>
              </w:rPr>
            </w:pPr>
            <w:r>
              <w:rPr>
                <w:rFonts w:ascii="Arial" w:cs="Arial" w:eastAsia="Arial" w:hAnsi="Arial"/>
                <w:sz w:val="16"/>
                <w:szCs w:val="16"/>
                <w:color w:val="auto"/>
                <w:w w:val="94"/>
              </w:rPr>
              <w:t>Remeasurement of Class A common stock subject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00" w:type="dxa"/>
            <w:vAlign w:val="bottom"/>
            <w:gridSpan w:val="3"/>
          </w:tcPr>
          <w:p>
            <w:pPr>
              <w:ind w:left="140"/>
              <w:spacing w:after="0"/>
              <w:rPr>
                <w:sz w:val="20"/>
                <w:szCs w:val="20"/>
                <w:color w:val="auto"/>
              </w:rPr>
            </w:pPr>
            <w:r>
              <w:rPr>
                <w:rFonts w:ascii="Arial" w:cs="Arial" w:eastAsia="Arial" w:hAnsi="Arial"/>
                <w:sz w:val="16"/>
                <w:szCs w:val="16"/>
                <w:color w:val="auto"/>
              </w:rPr>
              <w:t>to possible redemption amount</w:t>
            </w:r>
          </w:p>
        </w:tc>
        <w:tc>
          <w:tcPr>
            <w:tcW w:w="12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ind w:left="6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3"/>
          </w:tcPr>
          <w:p>
            <w:pPr>
              <w:jc w:val="right"/>
              <w:ind w:right="2"/>
              <w:spacing w:after="0"/>
              <w:rPr>
                <w:sz w:val="20"/>
                <w:szCs w:val="20"/>
                <w:color w:val="auto"/>
              </w:rPr>
            </w:pPr>
            <w:r>
              <w:rPr>
                <w:rFonts w:ascii="Arial" w:cs="Arial" w:eastAsia="Arial" w:hAnsi="Arial"/>
                <w:sz w:val="16"/>
                <w:szCs w:val="16"/>
                <w:color w:val="auto"/>
              </w:rPr>
              <w:t>(352,842)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(352,842)</w:t>
            </w:r>
          </w:p>
        </w:tc>
        <w:tc>
          <w:tcPr>
            <w:tcW w:w="0" w:type="dxa"/>
            <w:vAlign w:val="bottom"/>
          </w:tcPr>
          <w:p>
            <w:pPr>
              <w:spacing w:after="0"/>
              <w:rPr>
                <w:sz w:val="1"/>
                <w:szCs w:val="1"/>
                <w:color w:val="auto"/>
              </w:rPr>
            </w:pPr>
          </w:p>
        </w:tc>
      </w:tr>
      <w:tr>
        <w:trPr>
          <w:trHeight w:val="190"/>
        </w:trPr>
        <w:tc>
          <w:tcPr>
            <w:tcW w:w="3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Gain on settlement of underwriting fees</w:t>
            </w:r>
          </w:p>
        </w:tc>
        <w:tc>
          <w:tcPr>
            <w:tcW w:w="12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3"/>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10,610,817</w:t>
            </w:r>
          </w:p>
        </w:tc>
        <w:tc>
          <w:tcPr>
            <w:tcW w:w="2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10,610,817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40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ind w:left="6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3"/>
          </w:tcPr>
          <w:p>
            <w:pPr>
              <w:jc w:val="right"/>
              <w:ind w:right="62"/>
              <w:spacing w:after="0"/>
              <w:rPr>
                <w:sz w:val="20"/>
                <w:szCs w:val="20"/>
                <w:color w:val="auto"/>
              </w:rPr>
            </w:pPr>
            <w:r>
              <w:rPr>
                <w:rFonts w:ascii="Arial" w:cs="Arial" w:eastAsia="Arial" w:hAnsi="Arial"/>
                <w:sz w:val="16"/>
                <w:szCs w:val="16"/>
                <w:color w:val="auto"/>
              </w:rPr>
              <w:t>3,287,155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3,287,155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40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Balance - June 30, 2022 (unaudited)</w:t>
            </w: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6"/>
        </w:trPr>
        <w:tc>
          <w:tcPr>
            <w:tcW w:w="34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7,779,076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(21,650,833</w:t>
            </w:r>
          </w:p>
        </w:tc>
        <w:tc>
          <w:tcPr>
            <w:tcW w:w="140" w:type="dxa"/>
            <w:vAlign w:val="bottom"/>
            <w:vMerge w:val="continue"/>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(21,650,055</w:t>
            </w:r>
          </w:p>
        </w:tc>
        <w:tc>
          <w:tcPr>
            <w:tcW w:w="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20" w:type="dxa"/>
            <w:vAlign w:val="bottom"/>
            <w:gridSpan w:val="29"/>
          </w:tcPr>
          <w:p>
            <w:pPr>
              <w:ind w:left="2020"/>
              <w:spacing w:after="0"/>
              <w:rPr>
                <w:sz w:val="20"/>
                <w:szCs w:val="20"/>
                <w:color w:val="auto"/>
              </w:rPr>
            </w:pPr>
            <w:r>
              <w:rPr>
                <w:rFonts w:ascii="Arial" w:cs="Arial" w:eastAsia="Arial" w:hAnsi="Arial"/>
                <w:sz w:val="16"/>
                <w:szCs w:val="16"/>
                <w:b w:val="1"/>
                <w:bCs w:val="1"/>
                <w:color w:val="auto"/>
                <w:w w:val="99"/>
              </w:rPr>
              <w:t>For The Three Months Ended and For the Period From January 13, 2021 (inception) through June 30, 2021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Ordinary Shares</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w w:val="88"/>
              </w:rPr>
              <w:t>Class A</w:t>
            </w: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w w:val="88"/>
              </w:rPr>
              <w:t>Class B</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Paid-in</w:t>
            </w:r>
          </w:p>
        </w:tc>
        <w:tc>
          <w:tcPr>
            <w:tcW w:w="60" w:type="dxa"/>
            <w:vAlign w:val="bottom"/>
          </w:tcPr>
          <w:p>
            <w:pPr>
              <w:spacing w:after="0"/>
              <w:rPr>
                <w:sz w:val="16"/>
                <w:szCs w:val="16"/>
                <w:color w:val="auto"/>
              </w:rPr>
            </w:pPr>
          </w:p>
        </w:tc>
        <w:tc>
          <w:tcPr>
            <w:tcW w:w="1080" w:type="dxa"/>
            <w:vAlign w:val="bottom"/>
            <w:gridSpan w:val="5"/>
          </w:tcPr>
          <w:p>
            <w:pPr>
              <w:spacing w:after="0"/>
              <w:rPr>
                <w:sz w:val="20"/>
                <w:szCs w:val="20"/>
                <w:color w:val="auto"/>
              </w:rPr>
            </w:pPr>
            <w:r>
              <w:rPr>
                <w:rFonts w:ascii="Arial" w:cs="Arial" w:eastAsia="Arial" w:hAnsi="Arial"/>
                <w:sz w:val="16"/>
                <w:szCs w:val="16"/>
                <w:b w:val="1"/>
                <w:bCs w:val="1"/>
                <w:color w:val="auto"/>
              </w:rPr>
              <w:t>Accumulated</w:t>
            </w:r>
          </w:p>
        </w:tc>
        <w:tc>
          <w:tcPr>
            <w:tcW w:w="20" w:type="dxa"/>
            <w:vAlign w:val="bottom"/>
          </w:tcPr>
          <w:p>
            <w:pPr>
              <w:spacing w:after="0"/>
              <w:rPr>
                <w:sz w:val="16"/>
                <w:szCs w:val="16"/>
                <w:color w:val="auto"/>
              </w:rPr>
            </w:pP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04"/>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ind w:left="1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7"/>
              </w:rPr>
              <w:t>Shares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02"/>
              <w:spacing w:after="0"/>
              <w:rPr>
                <w:sz w:val="20"/>
                <w:szCs w:val="20"/>
                <w:color w:val="auto"/>
              </w:rPr>
            </w:pPr>
            <w:r>
              <w:rPr>
                <w:rFonts w:ascii="Arial" w:cs="Arial" w:eastAsia="Arial" w:hAnsi="Arial"/>
                <w:sz w:val="16"/>
                <w:szCs w:val="16"/>
                <w:b w:val="1"/>
                <w:bCs w:val="1"/>
                <w:color w:val="auto"/>
                <w:w w:val="89"/>
              </w:rPr>
              <w:t>Amount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Capital</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3"/>
          </w:tcPr>
          <w:p>
            <w:pPr>
              <w:jc w:val="right"/>
              <w:ind w:right="342"/>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188"/>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 January 13, 2021 (inception)</w:t>
            </w:r>
          </w:p>
        </w:tc>
        <w:tc>
          <w:tcPr>
            <w:tcW w:w="140" w:type="dxa"/>
            <w:vAlign w:val="bottom"/>
            <w:tcBorders>
              <w:top w:val="single" w:sz="8" w:color="auto"/>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auto"/>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left w:val="single" w:sz="8" w:color="CCEEFF"/>
            </w:tcBorders>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00" w:type="dxa"/>
            <w:vAlign w:val="bottom"/>
            <w:gridSpan w:val="3"/>
          </w:tcPr>
          <w:p>
            <w:pPr>
              <w:spacing w:after="0"/>
              <w:rPr>
                <w:sz w:val="20"/>
                <w:szCs w:val="20"/>
                <w:color w:val="auto"/>
              </w:rPr>
            </w:pPr>
            <w:r>
              <w:rPr>
                <w:rFonts w:ascii="Arial" w:cs="Arial" w:eastAsia="Arial" w:hAnsi="Arial"/>
                <w:sz w:val="16"/>
                <w:szCs w:val="16"/>
                <w:color w:val="auto"/>
              </w:rPr>
              <w:t>Issuance of Class B ordinary shares to Sponsor</w:t>
            </w:r>
          </w:p>
        </w:tc>
        <w:tc>
          <w:tcPr>
            <w:tcW w:w="12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3"/>
          </w:tcPr>
          <w:p>
            <w:pPr>
              <w:ind w:left="5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7,906,250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791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24,209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tcPr>
          <w:p>
            <w:pPr>
              <w:jc w:val="right"/>
              <w:ind w:right="12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88"/>
        </w:trPr>
        <w:tc>
          <w:tcPr>
            <w:tcW w:w="3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Accretion on Class A ordinary shares subject to</w:t>
            </w:r>
          </w:p>
        </w:tc>
        <w:tc>
          <w:tcPr>
            <w:tcW w:w="12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(199,953)</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8"/>
              </w:rPr>
              <w:t>(22,886,667)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(23,086,620)</w:t>
            </w:r>
          </w:p>
        </w:tc>
        <w:tc>
          <w:tcPr>
            <w:tcW w:w="0" w:type="dxa"/>
            <w:vAlign w:val="bottom"/>
          </w:tcPr>
          <w:p>
            <w:pPr>
              <w:spacing w:after="0"/>
              <w:rPr>
                <w:sz w:val="1"/>
                <w:szCs w:val="1"/>
                <w:color w:val="auto"/>
              </w:rPr>
            </w:pPr>
          </w:p>
        </w:tc>
      </w:tr>
      <w:tr>
        <w:trPr>
          <w:trHeight w:val="188"/>
        </w:trPr>
        <w:tc>
          <w:tcPr>
            <w:tcW w:w="3400" w:type="dxa"/>
            <w:vAlign w:val="bottom"/>
            <w:gridSpan w:val="3"/>
          </w:tcPr>
          <w:p>
            <w:pPr>
              <w:spacing w:after="0"/>
              <w:rPr>
                <w:sz w:val="20"/>
                <w:szCs w:val="20"/>
                <w:color w:val="auto"/>
              </w:rPr>
            </w:pPr>
            <w:r>
              <w:rPr>
                <w:rFonts w:ascii="Arial" w:cs="Arial" w:eastAsia="Arial" w:hAnsi="Arial"/>
                <w:sz w:val="16"/>
                <w:szCs w:val="16"/>
                <w:color w:val="auto"/>
              </w:rPr>
              <w:t>possible redemption</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color w:val="auto"/>
              </w:rPr>
              <w:t>Sale of private placement warrants to Sponsor</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less fair</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value of private warrants</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175,731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175,731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0" w:type="dxa"/>
            <w:vAlign w:val="bottom"/>
            <w:gridSpan w:val="3"/>
          </w:tcPr>
          <w:p>
            <w:pPr>
              <w:spacing w:after="0" w:line="176" w:lineRule="exact"/>
              <w:rPr>
                <w:sz w:val="20"/>
                <w:szCs w:val="20"/>
                <w:color w:val="auto"/>
              </w:rPr>
            </w:pPr>
            <w:r>
              <w:rPr>
                <w:rFonts w:ascii="Arial" w:cs="Arial" w:eastAsia="Arial" w:hAnsi="Arial"/>
                <w:sz w:val="16"/>
                <w:szCs w:val="16"/>
                <w:color w:val="auto"/>
              </w:rPr>
              <w:t>Forfeiture of Class B ordinary shares from</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00" w:type="dxa"/>
            <w:vAlign w:val="bottom"/>
            <w:gridSpan w:val="3"/>
          </w:tcPr>
          <w:p>
            <w:pPr>
              <w:ind w:left="140"/>
              <w:spacing w:after="0"/>
              <w:rPr>
                <w:sz w:val="20"/>
                <w:szCs w:val="20"/>
                <w:color w:val="auto"/>
              </w:rPr>
            </w:pPr>
            <w:r>
              <w:rPr>
                <w:rFonts w:ascii="Arial" w:cs="Arial" w:eastAsia="Arial" w:hAnsi="Arial"/>
                <w:sz w:val="16"/>
                <w:szCs w:val="16"/>
                <w:color w:val="auto"/>
              </w:rPr>
              <w:t>Sponsor</w:t>
            </w:r>
          </w:p>
        </w:tc>
        <w:tc>
          <w:tcPr>
            <w:tcW w:w="12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ind w:left="5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(127,174)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3"/>
          </w:tcPr>
          <w:p>
            <w:pPr>
              <w:jc w:val="right"/>
              <w:ind w:right="12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3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(319,783)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(319,783)</w:t>
            </w:r>
          </w:p>
        </w:tc>
        <w:tc>
          <w:tcPr>
            <w:tcW w:w="0" w:type="dxa"/>
            <w:vAlign w:val="bottom"/>
          </w:tcPr>
          <w:p>
            <w:pPr>
              <w:spacing w:after="0"/>
              <w:rPr>
                <w:sz w:val="1"/>
                <w:szCs w:val="1"/>
                <w:color w:val="auto"/>
              </w:rPr>
            </w:pPr>
          </w:p>
        </w:tc>
      </w:tr>
      <w:tr>
        <w:trPr>
          <w:trHeight w:val="172"/>
        </w:trPr>
        <w:tc>
          <w:tcPr>
            <w:tcW w:w="3260" w:type="dxa"/>
            <w:vAlign w:val="bottom"/>
            <w:tcBorders>
              <w:top w:val="single" w:sz="8" w:color="CCEEFF"/>
            </w:tcBorders>
          </w:tcPr>
          <w:p>
            <w:pPr>
              <w:spacing w:after="0" w:line="172" w:lineRule="exact"/>
              <w:rPr>
                <w:sz w:val="20"/>
                <w:szCs w:val="20"/>
                <w:color w:val="auto"/>
              </w:rPr>
            </w:pPr>
            <w:r>
              <w:rPr>
                <w:rFonts w:ascii="Arial" w:cs="Arial" w:eastAsia="Arial" w:hAnsi="Arial"/>
                <w:sz w:val="16"/>
                <w:szCs w:val="16"/>
                <w:color w:val="auto"/>
              </w:rPr>
              <w:t>Balance - March 31, 2021 (unaudited)</w:t>
            </w:r>
          </w:p>
        </w:tc>
        <w:tc>
          <w:tcPr>
            <w:tcW w:w="140" w:type="dxa"/>
            <w:vAlign w:val="bottom"/>
            <w:tcBorders>
              <w:top w:val="single" w:sz="8" w:color="auto"/>
            </w:tcBorders>
            <w:gridSpan w:val="2"/>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500"/>
              <w:spacing w:after="0" w:line="172" w:lineRule="exact"/>
              <w:rPr>
                <w:sz w:val="20"/>
                <w:szCs w:val="20"/>
                <w:color w:val="auto"/>
              </w:rPr>
            </w:pPr>
            <w:r>
              <w:rPr>
                <w:rFonts w:ascii="Arial" w:cs="Arial" w:eastAsia="Arial" w:hAnsi="Arial"/>
                <w:sz w:val="16"/>
                <w:szCs w:val="16"/>
                <w:color w:val="auto"/>
                <w:w w:val="87"/>
              </w:rPr>
              <w:t>—</w:t>
            </w: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ind w:left="540"/>
              <w:spacing w:after="0" w:line="172" w:lineRule="exact"/>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7,779,076</w:t>
            </w: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778</w:t>
            </w: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gridSpan w:val="3"/>
          </w:tcPr>
          <w:p>
            <w:pPr>
              <w:jc w:val="right"/>
              <w:spacing w:after="0" w:line="172" w:lineRule="exact"/>
              <w:rPr>
                <w:sz w:val="20"/>
                <w:szCs w:val="20"/>
                <w:color w:val="auto"/>
              </w:rPr>
            </w:pPr>
            <w:r>
              <w:rPr>
                <w:rFonts w:ascii="Arial" w:cs="Arial" w:eastAsia="Arial" w:hAnsi="Arial"/>
                <w:sz w:val="16"/>
                <w:szCs w:val="16"/>
                <w:color w:val="auto"/>
                <w:w w:val="82"/>
              </w:rPr>
              <w:t>$ (23,206,450)</w:t>
            </w: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jc w:val="right"/>
              <w:ind w:right="36"/>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(23,205,672)</w:t>
            </w:r>
          </w:p>
        </w:tc>
        <w:tc>
          <w:tcPr>
            <w:tcW w:w="12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4"/>
              </w:rPr>
              <w:t>—</w:t>
            </w:r>
          </w:p>
        </w:tc>
        <w:tc>
          <w:tcPr>
            <w:tcW w:w="2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8"/>
              </w:rPr>
              <w:t>(11,615,669)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(11,615,669)</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 June 30, 2021 (unaudited)</w:t>
            </w:r>
          </w:p>
        </w:tc>
        <w:tc>
          <w:tcPr>
            <w:tcW w:w="14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gridSpan w:val="2"/>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gridSpan w:val="3"/>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1"/>
        </w:trPr>
        <w:tc>
          <w:tcPr>
            <w:tcW w:w="3260" w:type="dxa"/>
            <w:vAlign w:val="bottom"/>
            <w:vMerge w:val="continue"/>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ind w:left="5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7,779,076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778</w:t>
            </w:r>
          </w:p>
        </w:tc>
        <w:tc>
          <w:tcPr>
            <w:tcW w:w="1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vMerge w:val="continue"/>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87"/>
              </w:rPr>
              <w:t>$ (34,822,119</w:t>
            </w:r>
          </w:p>
        </w:tc>
        <w:tc>
          <w:tcPr>
            <w:tcW w:w="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ind w:right="3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(34,821,341</w:t>
            </w:r>
          </w:p>
        </w:tc>
        <w:tc>
          <w:tcPr>
            <w:tcW w:w="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CONDENSED STATEMENTS OF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42"/>
              <w:spacing w:after="0"/>
              <w:rPr>
                <w:sz w:val="20"/>
                <w:szCs w:val="20"/>
                <w:color w:val="auto"/>
              </w:rPr>
            </w:pPr>
            <w:r>
              <w:rPr>
                <w:rFonts w:ascii="Arial" w:cs="Arial" w:eastAsia="Arial" w:hAnsi="Arial"/>
                <w:sz w:val="16"/>
                <w:szCs w:val="16"/>
                <w:b w:val="1"/>
                <w:bCs w:val="1"/>
                <w:color w:val="auto"/>
                <w:w w:val="92"/>
              </w:rPr>
              <w:t>For the</w:t>
            </w:r>
          </w:p>
        </w:tc>
      </w:tr>
      <w:tr>
        <w:trPr>
          <w:trHeight w:val="188"/>
        </w:trPr>
        <w:tc>
          <w:tcPr>
            <w:tcW w:w="23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42"/>
              <w:spacing w:after="0"/>
              <w:rPr>
                <w:sz w:val="20"/>
                <w:szCs w:val="20"/>
                <w:color w:val="auto"/>
              </w:rPr>
            </w:pPr>
            <w:r>
              <w:rPr>
                <w:rFonts w:ascii="Arial" w:cs="Arial" w:eastAsia="Arial" w:hAnsi="Arial"/>
                <w:sz w:val="16"/>
                <w:szCs w:val="16"/>
                <w:b w:val="1"/>
                <w:bCs w:val="1"/>
                <w:color w:val="auto"/>
                <w:w w:val="85"/>
              </w:rPr>
              <w:t>period</w:t>
            </w:r>
          </w:p>
        </w:tc>
      </w:tr>
      <w:tr>
        <w:trPr>
          <w:trHeight w:val="188"/>
        </w:trPr>
        <w:tc>
          <w:tcPr>
            <w:tcW w:w="23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42"/>
              <w:spacing w:after="0"/>
              <w:rPr>
                <w:sz w:val="20"/>
                <w:szCs w:val="20"/>
                <w:color w:val="auto"/>
              </w:rPr>
            </w:pPr>
            <w:r>
              <w:rPr>
                <w:rFonts w:ascii="Arial" w:cs="Arial" w:eastAsia="Arial" w:hAnsi="Arial"/>
                <w:sz w:val="16"/>
                <w:szCs w:val="16"/>
                <w:b w:val="1"/>
                <w:bCs w:val="1"/>
                <w:color w:val="auto"/>
                <w:w w:val="88"/>
              </w:rPr>
              <w:t>January 13,</w:t>
            </w:r>
          </w:p>
        </w:tc>
      </w:tr>
      <w:tr>
        <w:trPr>
          <w:trHeight w:val="188"/>
        </w:trPr>
        <w:tc>
          <w:tcPr>
            <w:tcW w:w="23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1"/>
              <w:spacing w:after="0"/>
              <w:rPr>
                <w:sz w:val="20"/>
                <w:szCs w:val="20"/>
                <w:color w:val="auto"/>
              </w:rPr>
            </w:pPr>
            <w:r>
              <w:rPr>
                <w:rFonts w:ascii="Arial" w:cs="Arial" w:eastAsia="Arial" w:hAnsi="Arial"/>
                <w:sz w:val="16"/>
                <w:szCs w:val="16"/>
                <w:b w:val="1"/>
                <w:bCs w:val="1"/>
                <w:color w:val="auto"/>
                <w:w w:val="88"/>
              </w:rPr>
              <w:t>For the six</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22"/>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6"/>
                <w:szCs w:val="16"/>
                <w:color w:val="auto"/>
              </w:rPr>
            </w:pPr>
          </w:p>
        </w:tc>
      </w:tr>
      <w:tr>
        <w:trPr>
          <w:trHeight w:val="188"/>
        </w:trPr>
        <w:tc>
          <w:tcPr>
            <w:tcW w:w="23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1"/>
              <w:spacing w:after="0"/>
              <w:rPr>
                <w:sz w:val="20"/>
                <w:szCs w:val="20"/>
                <w:color w:val="auto"/>
              </w:rPr>
            </w:pPr>
            <w:r>
              <w:rPr>
                <w:rFonts w:ascii="Arial" w:cs="Arial" w:eastAsia="Arial" w:hAnsi="Arial"/>
                <w:sz w:val="16"/>
                <w:szCs w:val="16"/>
                <w:b w:val="1"/>
                <w:bCs w:val="1"/>
                <w:color w:val="auto"/>
                <w:w w:val="86"/>
              </w:rPr>
              <w:t>months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42"/>
              <w:spacing w:after="0"/>
              <w:rPr>
                <w:sz w:val="20"/>
                <w:szCs w:val="20"/>
                <w:color w:val="auto"/>
              </w:rPr>
            </w:pPr>
            <w:r>
              <w:rPr>
                <w:rFonts w:ascii="Arial" w:cs="Arial" w:eastAsia="Arial" w:hAnsi="Arial"/>
                <w:sz w:val="16"/>
                <w:szCs w:val="16"/>
                <w:b w:val="1"/>
                <w:bCs w:val="1"/>
                <w:color w:val="auto"/>
                <w:w w:val="90"/>
              </w:rPr>
              <w:t>(inception)</w:t>
            </w:r>
          </w:p>
        </w:tc>
      </w:tr>
      <w:tr>
        <w:trPr>
          <w:trHeight w:val="188"/>
        </w:trPr>
        <w:tc>
          <w:tcPr>
            <w:tcW w:w="23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1"/>
              <w:spacing w:after="0"/>
              <w:rPr>
                <w:sz w:val="20"/>
                <w:szCs w:val="20"/>
                <w:color w:val="auto"/>
              </w:rPr>
            </w:pPr>
            <w:r>
              <w:rPr>
                <w:rFonts w:ascii="Arial" w:cs="Arial" w:eastAsia="Arial" w:hAnsi="Arial"/>
                <w:sz w:val="16"/>
                <w:szCs w:val="16"/>
                <w:b w:val="1"/>
                <w:bCs w:val="1"/>
                <w:color w:val="auto"/>
                <w:w w:val="84"/>
              </w:rPr>
              <w:t>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42"/>
              <w:spacing w:after="0"/>
              <w:rPr>
                <w:sz w:val="20"/>
                <w:szCs w:val="20"/>
                <w:color w:val="auto"/>
              </w:rPr>
            </w:pPr>
            <w:r>
              <w:rPr>
                <w:rFonts w:ascii="Arial" w:cs="Arial" w:eastAsia="Arial" w:hAnsi="Arial"/>
                <w:sz w:val="16"/>
                <w:szCs w:val="16"/>
                <w:b w:val="1"/>
                <w:bCs w:val="1"/>
                <w:color w:val="auto"/>
              </w:rPr>
              <w:t>through</w:t>
            </w:r>
          </w:p>
        </w:tc>
      </w:tr>
      <w:tr>
        <w:trPr>
          <w:trHeight w:val="188"/>
        </w:trPr>
        <w:tc>
          <w:tcPr>
            <w:tcW w:w="23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1"/>
              <w:spacing w:after="0"/>
              <w:rPr>
                <w:sz w:val="20"/>
                <w:szCs w:val="20"/>
                <w:color w:val="auto"/>
              </w:rPr>
            </w:pPr>
            <w:r>
              <w:rPr>
                <w:rFonts w:ascii="Arial" w:cs="Arial" w:eastAsia="Arial" w:hAnsi="Arial"/>
                <w:sz w:val="16"/>
                <w:szCs w:val="16"/>
                <w:b w:val="1"/>
                <w:bCs w:val="1"/>
                <w:color w:val="auto"/>
                <w:w w:val="87"/>
              </w:rPr>
              <w:t>June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2"/>
              <w:spacing w:after="0"/>
              <w:rPr>
                <w:sz w:val="20"/>
                <w:szCs w:val="20"/>
                <w:color w:val="auto"/>
              </w:rPr>
            </w:pPr>
            <w:r>
              <w:rPr>
                <w:rFonts w:ascii="Arial" w:cs="Arial" w:eastAsia="Arial" w:hAnsi="Arial"/>
                <w:sz w:val="16"/>
                <w:szCs w:val="16"/>
                <w:b w:val="1"/>
                <w:bCs w:val="1"/>
                <w:color w:val="auto"/>
                <w:w w:val="87"/>
              </w:rPr>
              <w:t>June 30,</w:t>
            </w:r>
          </w:p>
        </w:tc>
      </w:tr>
      <w:tr>
        <w:trPr>
          <w:trHeight w:val="209"/>
        </w:trPr>
        <w:tc>
          <w:tcPr>
            <w:tcW w:w="2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8"/>
                <w:szCs w:val="18"/>
                <w:color w:val="auto"/>
              </w:rPr>
            </w:pPr>
          </w:p>
        </w:tc>
      </w:tr>
      <w:tr>
        <w:trPr>
          <w:trHeight w:val="187"/>
        </w:trPr>
        <w:tc>
          <w:tcPr>
            <w:tcW w:w="794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56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7,172,521</w:t>
            </w: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(11,935,452)</w:t>
            </w:r>
          </w:p>
        </w:tc>
      </w:tr>
      <w:tr>
        <w:trPr>
          <w:trHeight w:val="188"/>
        </w:trPr>
        <w:tc>
          <w:tcPr>
            <w:tcW w:w="7940" w:type="dxa"/>
            <w:vAlign w:val="bottom"/>
            <w:gridSpan w:val="2"/>
          </w:tcPr>
          <w:p>
            <w:pPr>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7"/>
              </w:rPr>
              <w:t>General and administrative expenses paid by related party in exchange for issuance of Class B ordinary shares</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25,000</w:t>
            </w:r>
          </w:p>
        </w:tc>
      </w:tr>
      <w:tr>
        <w:trPr>
          <w:trHeight w:val="188"/>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 expenses paid by related party under promissory note</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26,800</w:t>
            </w:r>
          </w:p>
        </w:tc>
      </w:tr>
      <w:tr>
        <w:trPr>
          <w:trHeight w:val="188"/>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Change in fair value of derivative warrant liabilities</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(9,576,860)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10,954,400</w:t>
            </w:r>
          </w:p>
        </w:tc>
      </w:tr>
      <w:tr>
        <w:trPr>
          <w:trHeight w:val="188"/>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Financing costs - warrant liabilities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462,620</w:t>
            </w:r>
          </w:p>
        </w:tc>
      </w:tr>
      <w:tr>
        <w:trPr>
          <w:trHeight w:val="188"/>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Net gain on investments held in Trust Account</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(440,421)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(4,457)</w:t>
            </w:r>
          </w:p>
        </w:tc>
      </w:tr>
      <w:tr>
        <w:trPr>
          <w:trHeight w:val="188"/>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Gain on settlement of deferred underwriting fees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(279,890)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232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5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315,249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(1,225,548)</w:t>
            </w:r>
          </w:p>
        </w:tc>
      </w:tr>
      <w:tr>
        <w:trPr>
          <w:trHeight w:val="188"/>
        </w:trPr>
        <w:tc>
          <w:tcPr>
            <w:tcW w:w="2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56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49,767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232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5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(64,595)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105,056</w:t>
            </w:r>
          </w:p>
        </w:tc>
      </w:tr>
      <w:tr>
        <w:trPr>
          <w:trHeight w:val="188"/>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expenses - related party</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5,085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04"/>
        </w:trPr>
        <w:tc>
          <w:tcPr>
            <w:tcW w:w="2320" w:type="dxa"/>
            <w:vAlign w:val="bottom"/>
          </w:tcPr>
          <w:p>
            <w:pPr>
              <w:ind w:left="280"/>
              <w:spacing w:after="0"/>
              <w:rPr>
                <w:sz w:val="20"/>
                <w:szCs w:val="20"/>
                <w:color w:val="auto"/>
              </w:rPr>
            </w:pPr>
            <w:r>
              <w:rPr>
                <w:rFonts w:ascii="Arial" w:cs="Arial" w:eastAsia="Arial" w:hAnsi="Arial"/>
                <w:sz w:val="16"/>
                <w:szCs w:val="16"/>
                <w:color w:val="auto"/>
              </w:rPr>
              <w:t>Deferred legal fees</w:t>
            </w:r>
          </w:p>
        </w:tc>
        <w:tc>
          <w:tcPr>
            <w:tcW w:w="5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2,226,745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208"/>
        </w:trPr>
        <w:tc>
          <w:tcPr>
            <w:tcW w:w="794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cash used in operating activities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(592,399</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(1,591,581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72"/>
        </w:trPr>
        <w:tc>
          <w:tcPr>
            <w:tcW w:w="7940" w:type="dxa"/>
            <w:vAlign w:val="bottom"/>
            <w:gridSpan w:val="2"/>
          </w:tcPr>
          <w:p>
            <w:pPr>
              <w:spacing w:after="0" w:line="171" w:lineRule="exact"/>
              <w:rPr>
                <w:sz w:val="20"/>
                <w:szCs w:val="20"/>
                <w:color w:val="auto"/>
              </w:rPr>
            </w:pPr>
            <w:r>
              <w:rPr>
                <w:rFonts w:ascii="Arial" w:cs="Arial" w:eastAsia="Arial" w:hAnsi="Arial"/>
                <w:sz w:val="16"/>
                <w:szCs w:val="16"/>
                <w:color w:val="auto"/>
              </w:rPr>
              <w:t>Cash Flows from Investing Activities: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0"/>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w w:val="99"/>
              </w:rPr>
              <w:t>Cash deposited in Trust Account</w:t>
            </w:r>
          </w:p>
        </w:tc>
        <w:tc>
          <w:tcPr>
            <w:tcW w:w="5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(311,163,050)</w:t>
            </w:r>
          </w:p>
        </w:tc>
      </w:tr>
      <w:tr>
        <w:trPr>
          <w:trHeight w:val="176"/>
        </w:trPr>
        <w:tc>
          <w:tcPr>
            <w:tcW w:w="7940" w:type="dxa"/>
            <w:vAlign w:val="bottom"/>
            <w:tcBorders>
              <w:top w:val="single" w:sz="8" w:color="CCEEFF"/>
              <w:bottom w:val="single" w:sz="8" w:color="CCEEFF"/>
            </w:tcBorders>
            <w:gridSpan w:val="2"/>
          </w:tcPr>
          <w:p>
            <w:pPr>
              <w:ind w:left="280"/>
              <w:spacing w:after="0" w:line="172" w:lineRule="exact"/>
              <w:rPr>
                <w:sz w:val="20"/>
                <w:szCs w:val="20"/>
                <w:color w:val="auto"/>
              </w:rPr>
            </w:pPr>
            <w:r>
              <w:rPr>
                <w:rFonts w:ascii="Arial" w:cs="Arial" w:eastAsia="Arial" w:hAnsi="Arial"/>
                <w:sz w:val="16"/>
                <w:szCs w:val="16"/>
                <w:color w:val="auto"/>
              </w:rPr>
              <w:t>Net cash used in investing activities</w:t>
            </w:r>
          </w:p>
        </w:tc>
        <w:tc>
          <w:tcPr>
            <w:tcW w:w="74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(311,163,050</w:t>
            </w:r>
          </w:p>
        </w:tc>
        <w:tc>
          <w:tcPr>
            <w:tcW w:w="120" w:type="dxa"/>
            <w:vAlign w:val="bottom"/>
            <w:tcBorders>
              <w:top w:val="single" w:sz="8" w:color="CCEEFF"/>
              <w:bottom w:val="single" w:sz="8" w:color="CCEEFF"/>
            </w:tcBorders>
          </w:tcPr>
          <w:p>
            <w:pPr>
              <w:jc w:val="right"/>
              <w:spacing w:after="0" w:line="172" w:lineRule="exact"/>
              <w:rPr>
                <w:sz w:val="20"/>
                <w:szCs w:val="20"/>
                <w:color w:val="auto"/>
              </w:rPr>
            </w:pPr>
            <w:r>
              <w:rPr>
                <w:rFonts w:ascii="Arial" w:cs="Arial" w:eastAsia="Arial" w:hAnsi="Arial"/>
                <w:sz w:val="16"/>
                <w:szCs w:val="16"/>
                <w:color w:val="auto"/>
                <w:w w:val="74"/>
              </w:rPr>
              <w:t>)</w:t>
            </w:r>
          </w:p>
        </w:tc>
      </w:tr>
      <w:tr>
        <w:trPr>
          <w:trHeight w:val="188"/>
        </w:trPr>
        <w:tc>
          <w:tcPr>
            <w:tcW w:w="7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7940" w:type="dxa"/>
            <w:vAlign w:val="bottom"/>
            <w:gridSpan w:val="2"/>
          </w:tcPr>
          <w:p>
            <w:pPr>
              <w:spacing w:after="0"/>
              <w:rPr>
                <w:sz w:val="20"/>
                <w:szCs w:val="20"/>
                <w:color w:val="auto"/>
              </w:rPr>
            </w:pPr>
            <w:r>
              <w:rPr>
                <w:rFonts w:ascii="Arial" w:cs="Arial" w:eastAsia="Arial" w:hAnsi="Arial"/>
                <w:sz w:val="16"/>
                <w:szCs w:val="16"/>
                <w:color w:val="auto"/>
              </w:rPr>
              <w:t>Proceeds from note payable to related party</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100</w:t>
            </w:r>
          </w:p>
        </w:tc>
      </w:tr>
      <w:tr>
        <w:trPr>
          <w:trHeight w:val="188"/>
        </w:trPr>
        <w:tc>
          <w:tcPr>
            <w:tcW w:w="7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 of note payable to related party</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(171,742)</w:t>
            </w:r>
          </w:p>
        </w:tc>
      </w:tr>
      <w:tr>
        <w:trPr>
          <w:trHeight w:val="188"/>
        </w:trPr>
        <w:tc>
          <w:tcPr>
            <w:tcW w:w="7940" w:type="dxa"/>
            <w:vAlign w:val="bottom"/>
            <w:gridSpan w:val="2"/>
          </w:tcPr>
          <w:p>
            <w:pPr>
              <w:spacing w:after="0"/>
              <w:rPr>
                <w:sz w:val="20"/>
                <w:szCs w:val="20"/>
                <w:color w:val="auto"/>
              </w:rPr>
            </w:pPr>
            <w:r>
              <w:rPr>
                <w:rFonts w:ascii="Arial" w:cs="Arial" w:eastAsia="Arial" w:hAnsi="Arial"/>
                <w:sz w:val="16"/>
                <w:szCs w:val="16"/>
                <w:color w:val="auto"/>
              </w:rPr>
              <w:t>Proceeds received from initial public offering</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311,163,050</w:t>
            </w:r>
          </w:p>
        </w:tc>
      </w:tr>
      <w:tr>
        <w:trPr>
          <w:trHeight w:val="188"/>
        </w:trPr>
        <w:tc>
          <w:tcPr>
            <w:tcW w:w="7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received from private placement</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9,223,261</w:t>
            </w:r>
          </w:p>
        </w:tc>
      </w:tr>
      <w:tr>
        <w:trPr>
          <w:trHeight w:val="204"/>
        </w:trPr>
        <w:tc>
          <w:tcPr>
            <w:tcW w:w="2320" w:type="dxa"/>
            <w:vAlign w:val="bottom"/>
          </w:tcPr>
          <w:p>
            <w:pPr>
              <w:spacing w:after="0"/>
              <w:rPr>
                <w:sz w:val="20"/>
                <w:szCs w:val="20"/>
                <w:color w:val="auto"/>
              </w:rPr>
            </w:pPr>
            <w:r>
              <w:rPr>
                <w:rFonts w:ascii="Arial" w:cs="Arial" w:eastAsia="Arial" w:hAnsi="Arial"/>
                <w:sz w:val="16"/>
                <w:szCs w:val="16"/>
                <w:color w:val="auto"/>
              </w:rPr>
              <w:t>Offering costs paid</w:t>
            </w:r>
          </w:p>
        </w:tc>
        <w:tc>
          <w:tcPr>
            <w:tcW w:w="5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(6,295,461)</w:t>
            </w:r>
          </w:p>
        </w:tc>
      </w:tr>
      <w:tr>
        <w:trPr>
          <w:trHeight w:val="208"/>
        </w:trPr>
        <w:tc>
          <w:tcPr>
            <w:tcW w:w="23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2"/>
              </w:rPr>
              <w:t>Net cash provided by financing</w:t>
            </w: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activities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313,919,208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2"/>
        </w:trPr>
        <w:tc>
          <w:tcPr>
            <w:tcW w:w="2320" w:type="dxa"/>
            <w:vAlign w:val="bottom"/>
          </w:tcPr>
          <w:p>
            <w:pPr>
              <w:spacing w:after="0" w:line="172" w:lineRule="exact"/>
              <w:rPr>
                <w:sz w:val="20"/>
                <w:szCs w:val="20"/>
                <w:color w:val="auto"/>
              </w:rPr>
            </w:pPr>
            <w:r>
              <w:rPr>
                <w:rFonts w:ascii="Arial" w:cs="Arial" w:eastAsia="Arial" w:hAnsi="Arial"/>
                <w:sz w:val="16"/>
                <w:szCs w:val="16"/>
                <w:color w:val="auto"/>
              </w:rPr>
              <w:t>Net (decrease) increase in cash</w:t>
            </w:r>
          </w:p>
        </w:tc>
        <w:tc>
          <w:tcPr>
            <w:tcW w:w="5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Arial" w:cs="Arial" w:eastAsia="Arial" w:hAnsi="Arial"/>
                <w:sz w:val="16"/>
                <w:szCs w:val="16"/>
                <w:color w:val="auto"/>
              </w:rPr>
              <w:t>(592,399)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Arial" w:cs="Arial" w:eastAsia="Arial" w:hAnsi="Arial"/>
                <w:sz w:val="16"/>
                <w:szCs w:val="16"/>
                <w:color w:val="auto"/>
              </w:rPr>
              <w:t>1,164,577</w:t>
            </w:r>
          </w:p>
        </w:tc>
        <w:tc>
          <w:tcPr>
            <w:tcW w:w="120" w:type="dxa"/>
            <w:vAlign w:val="bottom"/>
          </w:tcPr>
          <w:p>
            <w:pPr>
              <w:spacing w:after="0"/>
              <w:rPr>
                <w:sz w:val="14"/>
                <w:szCs w:val="14"/>
                <w:color w:val="auto"/>
              </w:rPr>
            </w:pPr>
          </w:p>
        </w:tc>
      </w:tr>
      <w:tr>
        <w:trPr>
          <w:trHeight w:val="220"/>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Cash - beginning of the period</w:t>
            </w:r>
          </w:p>
        </w:tc>
        <w:tc>
          <w:tcPr>
            <w:tcW w:w="5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811,526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76"/>
        </w:trPr>
        <w:tc>
          <w:tcPr>
            <w:tcW w:w="232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Cash - end of the period</w:t>
            </w:r>
          </w:p>
        </w:tc>
        <w:tc>
          <w:tcPr>
            <w:tcW w:w="5620" w:type="dxa"/>
            <w:vAlign w:val="bottom"/>
            <w:tcBorders>
              <w:top w:val="single" w:sz="8" w:color="CCEEFF"/>
              <w:bottom w:val="single" w:sz="8" w:color="CCEEFF"/>
            </w:tcBorders>
          </w:tcPr>
          <w:p>
            <w:pPr>
              <w:spacing w:after="0"/>
              <w:rPr>
                <w:sz w:val="15"/>
                <w:szCs w:val="15"/>
                <w:color w:val="auto"/>
              </w:rPr>
            </w:pPr>
          </w:p>
        </w:tc>
        <w:tc>
          <w:tcPr>
            <w:tcW w:w="74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219,127</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1,164,577</w:t>
            </w:r>
          </w:p>
        </w:tc>
        <w:tc>
          <w:tcPr>
            <w:tcW w:w="120" w:type="dxa"/>
            <w:vAlign w:val="bottom"/>
            <w:tcBorders>
              <w:top w:val="single" w:sz="8" w:color="CCEEFF"/>
              <w:bottom w:val="single" w:sz="8" w:color="CCEEFF"/>
            </w:tcBorders>
          </w:tcPr>
          <w:p>
            <w:pPr>
              <w:spacing w:after="0"/>
              <w:rPr>
                <w:sz w:val="15"/>
                <w:szCs w:val="15"/>
                <w:color w:val="auto"/>
              </w:rPr>
            </w:pPr>
          </w:p>
        </w:tc>
      </w:tr>
      <w:tr>
        <w:trPr>
          <w:trHeight w:val="188"/>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w w:val="89"/>
              </w:rPr>
              <w:t>Supplemental disclosure of noncash</w:t>
            </w:r>
          </w:p>
        </w:tc>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investing and financing activities:</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Remeasurement of Class A common stock subject to possible redemption amount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352,842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Offering costs included in accounts payable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200,000</w:t>
            </w:r>
          </w:p>
        </w:tc>
      </w:tr>
      <w:tr>
        <w:trPr>
          <w:trHeight w:val="188"/>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Offering costs included in accrued expenses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70,000</w:t>
            </w:r>
          </w:p>
        </w:tc>
      </w:tr>
      <w:tr>
        <w:trPr>
          <w:trHeight w:val="188"/>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Offering costs paid by related party under promissory note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144,842</w:t>
            </w:r>
          </w:p>
        </w:tc>
      </w:tr>
      <w:tr>
        <w:trPr>
          <w:trHeight w:val="188"/>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Deferred underwriting commissions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10,890,707</w:t>
            </w:r>
          </w:p>
        </w:tc>
      </w:tr>
      <w:tr>
        <w:trPr>
          <w:trHeight w:val="188"/>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Gain on settlement of underwriting fees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10,610,817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0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Forfeiture of Class B ordinary shares from Sponsor</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13</w:t>
            </w:r>
          </w:p>
        </w:tc>
      </w:tr>
    </w:tbl>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NOTES TO UNAUDITED CONDENSED FINANCIAL STATEMENTS</w:t>
      </w:r>
      <w:r>
        <w:rPr>
          <w:rFonts w:ascii="Arial" w:cs="Arial" w:eastAsia="Arial" w:hAnsi="Arial"/>
          <w:sz w:val="26"/>
          <w:szCs w:val="26"/>
          <w:color w:val="auto"/>
          <w:vertAlign w:val="superscript"/>
        </w:rPr>
        <w:t>2</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Note 1-Description of Organization, Business Operations and Basis of Presentation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OPAL Fuels Inc. (formerly known as ArcLight Clean Transition Corp. II) (the “Company”)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On December 2, 2021, the Company, OPAL HoldCo LLC, a Delaware limited liability company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“Domestication”) and, in connection with the Domestication, (A) the Company’s name will be changed to “OPAL Fuels Inc.” (“New OPAL”), (B) each outstanding Class A ordinary share of the Company will become one share of Class A common stock, par value $0.0001 per share, of New OPAL (the “New OPAL Class A Common Stock”),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“Closing”) to be re-classified into a number of common units (collectively, the “OPAL Units”)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the “Ares Note”), held by ARCC Beacon LLC, a Delaware limited liability company (“Ares”), (C) the Company will contribute the (x) the amount of cash in the trust account (the “Trust Account”) established by the Company with the proceeds from its initial public offering as of immediately prior to the Closing (and before, for the avoidance of doubt, giving effect to the exercise of redemption rights by any of the Company’s shareholders (the “Public Share Redemptions”)),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(“Hillman”) a number of shares of Class D common stock, par value $0.0001 per share, of New OPAL (the “New OPAL Class D Common Stock”), and distribute to Ares (together with OPAL HoldCo and Hillman, collectively, the “OPAL Equityholders”) shares of Class B common stock, par value $0.0001 per share, of New OPAL (the “New OPAL Class B Common Stock”) (neither of which will have any economic value but will entitle the holder thereof to five votes per share or one vote per share, respectively), equal to the number of OPAL Units held by each of the OPAL Equityholders.</w:t>
      </w:r>
    </w:p>
    <w:p>
      <w:pPr>
        <w:spacing w:after="0" w:line="200" w:lineRule="exact"/>
        <w:rPr>
          <w:sz w:val="20"/>
          <w:szCs w:val="20"/>
          <w:color w:val="auto"/>
        </w:rPr>
      </w:pPr>
    </w:p>
    <w:p>
      <w:pPr>
        <w:spacing w:after="0" w:line="318"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In addition, if New OPAL’s annual EBITDA for the calendar year 2023 exceeds $238,000,000 (the “First Earnout Triggering Event”), New OPAL will issue to OPAL HoldCo, Ares and Hillman (collectively, the “Earnout Participants”) an aggregate of 5,000,000 shares of New OPAL Class B Common Stock and New OPAL Class D Common Stock and corresponding OPAL Units (collectively, the “First Earnout Tranche”) in accordance with the allocations set forth in the Business Combination Agreement. Additionally, if New OPAL’s annual EBITDA for the calendar year 2024 exceeds $446,000,000 (the “Second Earnout Triggering Event”), New OPAL will issue to the Earnout Participants an aggregate of 5,000,000 additional shares of New OPAL Class B Common Stock and New OPAL Class D Common Stock and corresponding OPAL Units (collectively, the “Second Earnout Tranche”)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PIPE Financing (Private Placement)</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Concurrently with the execution of the Business Combination Agreement, the Company entered into subscription agreements (the “Subscription Agreements”) with certain investors (the “PIPE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“PIPE Investment”). Effective as of May 11, 2022, the Company and PIPE Investors representing $110,806,000 of the original PIPE Investment entered into amendments with respect to such PIPE Investors’ Subscription Agreements (the “Amended Subscription Agreements”), whereby the termination rights described in the Subscription Agreements were amended to extend the term of each Amended Subscription Agreement by 60 days to July 29, 2022.</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Investor Rights Agreement</w:t>
      </w:r>
    </w:p>
    <w:p>
      <w:pPr>
        <w:spacing w:after="0" w:line="193" w:lineRule="exact"/>
        <w:rPr>
          <w:sz w:val="20"/>
          <w:szCs w:val="20"/>
          <w:color w:val="auto"/>
        </w:rPr>
      </w:pPr>
    </w:p>
    <w:p>
      <w:pPr>
        <w:jc w:val="both"/>
        <w:ind w:right="20"/>
        <w:spacing w:after="0" w:line="318" w:lineRule="auto"/>
        <w:rPr>
          <w:sz w:val="20"/>
          <w:szCs w:val="20"/>
          <w:color w:val="auto"/>
        </w:rPr>
      </w:pPr>
      <w:r>
        <w:rPr>
          <w:rFonts w:ascii="Arial" w:cs="Arial" w:eastAsia="Arial" w:hAnsi="Arial"/>
          <w:sz w:val="13"/>
          <w:szCs w:val="13"/>
          <w:color w:val="auto"/>
        </w:rPr>
        <w:t>The Business Combination Agreement contemplates that, at the Closing, OPAL Fuels, Ares, Hillman and the Class B Shareholders (collectively the “New OPAL Holders”) will enter into an Investor Rights Agreement (the “Investor Rights Agreement”),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Prior to Business Combination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All activity for the period from January 13, 2021 (inception) through June 30, 2022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$10.9 million was for deferred underwriting commissions (see Note 6).</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Company was required to provide its holders of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Company sought shareholder approval of a Business Combination in connection with the Business Combination. The Public Shareholders were entitled to redeem their Public Shares for a pro rata portion of the amount then in the Trust Account. The per-share amount distributed to Public Shareholders who redeemed their Public Shares was not reduced by the deferred underwriting commissions the Company paid to the underwriters (as discussed in Note 6). These Public Shares are recorded at a redemption value and classified as temporary equity upon and following the completion of the Initial Public Offering, in accordance with the Financial Accounting Standards Board’s (“FASB”) Accounting Standards Codification (“ASC”) Topic 480 “Distinguishing Liabilities from Equity” (“ASC 480”).</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the Company had approximately $219,000 in its operating bank account and working capital of approximately $662,000.</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Company’s liquidity needs up to June 30, 2022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On May 16, 2022, the Company entered into a non-interest bearing promissory note with the Sponsor for $1,000,000. To date, there were no amounts outstanding under any Working Capital Loans.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July 21, 2022, we used substantially all of the funds held in the Trust Account to complete the Business Combination. Funds held in the Trust Account were also used to fund the redemption of publicly held Class A ordinary shares of ArcLight.</w:t>
      </w:r>
    </w:p>
    <w:p>
      <w:pPr>
        <w:spacing w:after="0" w:line="157" w:lineRule="exact"/>
        <w:rPr>
          <w:sz w:val="20"/>
          <w:szCs w:val="20"/>
          <w:color w:val="auto"/>
        </w:rPr>
      </w:pPr>
    </w:p>
    <w:p>
      <w:pPr>
        <w:jc w:val="both"/>
        <w:spacing w:after="0" w:line="383" w:lineRule="auto"/>
        <w:rPr>
          <w:sz w:val="20"/>
          <w:szCs w:val="20"/>
          <w:color w:val="auto"/>
        </w:rPr>
      </w:pPr>
      <w:r>
        <w:rPr>
          <w:rFonts w:ascii="Arial" w:cs="Arial" w:eastAsia="Arial" w:hAnsi="Arial"/>
          <w:sz w:val="13"/>
          <w:szCs w:val="13"/>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Note 2-Summary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Basis of Presentation</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certain disclosures included in the annual financial statements have been condensed or omitted from these financial statements as they are not required for interim financial statements. In the opinion of management, all adjustments (consisting of normal accruals) considered for a fair presentation have been included. Operating results for the three and six months ended June 30, 2022 are not necessarily indicative of the results that may be expected for the year ended December 31, 2022.</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accompanying unaudited condensed financial statements should be read in conjunction with the audited financial statements and notes thereto included in the Annual Report on Form 10-K filed by the Company with the SEC on March 9, 2022.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93"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8"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31"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Use of Estimates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There were no cash equivalents as of June 30, 2022 and December 31, 2021.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Investments Held in Trust Account</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Concentration of Credit Risk</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As of June 30, 2022 and December 31, 2021, the Company has not experienced losses on these accounts and management believes the Company is not exposed to significant risks on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Fair Value of Financial Instruments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Fair Value Measurements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57" w:lineRule="exact"/>
        <w:rPr>
          <w:sz w:val="20"/>
          <w:szCs w:val="20"/>
          <w:color w:val="auto"/>
        </w:rPr>
      </w:pPr>
    </w:p>
    <w:p>
      <w:pPr>
        <w:ind w:left="840" w:hanging="280"/>
        <w:spacing w:after="0"/>
        <w:tabs>
          <w:tab w:leader="none" w:pos="8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Level 1, defined as observable inputs such as quoted prices for identical instruments in active markets;</w:t>
      </w:r>
    </w:p>
    <w:p>
      <w:pPr>
        <w:spacing w:after="0" w:line="192" w:lineRule="exact"/>
        <w:rPr>
          <w:rFonts w:ascii="Arial" w:cs="Arial" w:eastAsia="Arial" w:hAnsi="Arial"/>
          <w:sz w:val="16"/>
          <w:szCs w:val="16"/>
          <w:color w:val="auto"/>
        </w:rPr>
      </w:pPr>
    </w:p>
    <w:p>
      <w:pPr>
        <w:ind w:left="840" w:right="20" w:hanging="280"/>
        <w:spacing w:after="0" w:line="266" w:lineRule="auto"/>
        <w:tabs>
          <w:tab w:leader="none" w:pos="8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57" w:lineRule="exact"/>
        <w:rPr>
          <w:rFonts w:ascii="Arial" w:cs="Arial" w:eastAsia="Arial" w:hAnsi="Arial"/>
          <w:sz w:val="16"/>
          <w:szCs w:val="16"/>
          <w:color w:val="auto"/>
        </w:rPr>
      </w:pPr>
    </w:p>
    <w:p>
      <w:pPr>
        <w:ind w:left="840" w:right="20" w:hanging="280"/>
        <w:spacing w:after="0" w:line="266" w:lineRule="auto"/>
        <w:tabs>
          <w:tab w:leader="none" w:pos="8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Derivative warrant liabilities</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 “Derivatives and Hedging” (“ASC 815”). The classification of derivative instruments, including whether such instruments should be recorded as liabilities or as equity, is re-assessed at the end of each reporting period.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Offering Costs Associated with the Initial Public Offering</w:t>
      </w:r>
    </w:p>
    <w:p>
      <w:pPr>
        <w:spacing w:after="0" w:line="193"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 In May, 2022, the Company reversed the deferred underwriting fees as the underwriters resigned from their role in the Business Combination and thereby waived their entitlement of the deferred underwriting commissions (Note 6).</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Class A Ordinary Shares Subject to Possible Redemption</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June 30, 2022 and December 31, 2021, 31,116,305 Class A ordinary shares subject to possible redemption is presented at redemption value as temporary equity, outside of the shareholders’ equity section of the Company’s condensed balance sheets.</w:t>
      </w:r>
    </w:p>
    <w:p>
      <w:pPr>
        <w:spacing w:after="0" w:line="15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Immediately upon the closing of the Initial Public Offering, the Company recognized the re-measurement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Income Taxes</w:t>
      </w:r>
    </w:p>
    <w:p>
      <w:pPr>
        <w:spacing w:after="0" w:line="193"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Per Ordinary Share</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Public Warrants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three and six months ended June 30, 2022, the three months ended June 30, 2021 and for the period January 13, 2021 (inception) through June 30, 2021. Re-measurement associated with the Class A ordinary shares subject to possible redemption is excluded from earnings per share as the redemption value approximates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7"/>
          </w:tcPr>
          <w:p>
            <w:pPr>
              <w:ind w:left="16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86"/>
              </w:rPr>
              <w:t>For the six months ended</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7"/>
          </w:tcPr>
          <w:p>
            <w:pPr>
              <w:ind w:left="62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8"/>
                <w:szCs w:val="18"/>
                <w:color w:val="auto"/>
              </w:rPr>
            </w:pPr>
          </w:p>
        </w:tc>
        <w:tc>
          <w:tcPr>
            <w:tcW w:w="23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88"/>
              </w:rPr>
              <w:t>June 30, 2022</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Class A</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Class B</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Class A</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176"/>
        </w:trPr>
        <w:tc>
          <w:tcPr>
            <w:tcW w:w="5980" w:type="dxa"/>
            <w:vAlign w:val="bottom"/>
          </w:tcPr>
          <w:p>
            <w:pPr>
              <w:spacing w:after="0" w:line="176" w:lineRule="exact"/>
              <w:rPr>
                <w:sz w:val="20"/>
                <w:szCs w:val="20"/>
                <w:color w:val="auto"/>
              </w:rPr>
            </w:pPr>
            <w:r>
              <w:rPr>
                <w:rFonts w:ascii="Arial" w:cs="Arial" w:eastAsia="Arial" w:hAnsi="Arial"/>
                <w:sz w:val="16"/>
                <w:szCs w:val="16"/>
                <w:color w:val="auto"/>
              </w:rPr>
              <w:t>Basic and diluted net income per ordinary share:</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980" w:type="dxa"/>
            <w:vAlign w:val="bottom"/>
          </w:tcPr>
          <w:p>
            <w:pPr>
              <w:spacing w:after="0"/>
              <w:rPr>
                <w:sz w:val="20"/>
                <w:szCs w:val="20"/>
                <w:color w:val="auto"/>
              </w:rPr>
            </w:pPr>
            <w:r>
              <w:rPr>
                <w:rFonts w:ascii="Arial" w:cs="Arial" w:eastAsia="Arial" w:hAnsi="Arial"/>
                <w:sz w:val="16"/>
                <w:szCs w:val="16"/>
                <w:color w:val="auto"/>
              </w:rPr>
              <w:t>Numerator:</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Allocation of 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2,629,724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657,431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5,738,017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1,434,504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Arial" w:cs="Arial" w:eastAsia="Arial" w:hAnsi="Arial"/>
                <w:sz w:val="16"/>
                <w:szCs w:val="16"/>
                <w:color w:val="auto"/>
              </w:rPr>
              <w:t>Denominator:</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 and diluted weighted average ordinary shares outstanding</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31,116,305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7,779,076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31,116,305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Basic and diluted net income per ordinary share</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80" w:type="dxa"/>
            <w:vAlign w:val="bottom"/>
            <w:vMerge w:val="continue"/>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1">
            <w:col w:w="11260"/>
          </w:cols>
          <w:pgMar w:left="320" w:top="69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ordinary share: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Numerator:</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Allocation of net loss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Denominator:</w:t>
      </w:r>
    </w:p>
    <w:p>
      <w:pPr>
        <w:spacing w:after="0" w:line="4" w:lineRule="exact"/>
        <w:rPr>
          <w:sz w:val="20"/>
          <w:szCs w:val="20"/>
          <w:color w:val="auto"/>
        </w:rPr>
      </w:pPr>
    </w:p>
    <w:p>
      <w:pPr>
        <w:ind w:right="980" w:firstLine="283"/>
        <w:spacing w:after="0" w:line="282" w:lineRule="auto"/>
        <w:rPr>
          <w:sz w:val="20"/>
          <w:szCs w:val="20"/>
          <w:color w:val="auto"/>
        </w:rPr>
      </w:pPr>
      <w:r>
        <w:rPr>
          <w:rFonts w:ascii="Arial" w:cs="Arial" w:eastAsia="Arial" w:hAnsi="Arial"/>
          <w:sz w:val="16"/>
          <w:szCs w:val="16"/>
          <w:color w:val="auto"/>
        </w:rPr>
        <w:t>Basic and diluted weighted average ordinary shares outstanding Basic and diluted net loss per ordinary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89"/>
              </w:rPr>
              <w:t>For the period</w:t>
            </w:r>
          </w:p>
        </w:tc>
      </w:tr>
      <w:tr>
        <w:trPr>
          <w:trHeight w:val="188"/>
        </w:trPr>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w w:val="88"/>
              </w:rPr>
              <w:t>January 13, 2021</w:t>
            </w:r>
          </w:p>
        </w:tc>
      </w:tr>
      <w:tr>
        <w:trPr>
          <w:trHeight w:val="188"/>
        </w:trPr>
        <w:tc>
          <w:tcPr>
            <w:tcW w:w="220" w:type="dxa"/>
            <w:vAlign w:val="bottom"/>
          </w:tcPr>
          <w:p>
            <w:pPr>
              <w:spacing w:after="0"/>
              <w:rPr>
                <w:sz w:val="16"/>
                <w:szCs w:val="16"/>
                <w:color w:val="auto"/>
              </w:rPr>
            </w:pPr>
          </w:p>
        </w:tc>
        <w:tc>
          <w:tcPr>
            <w:tcW w:w="2500" w:type="dxa"/>
            <w:vAlign w:val="bottom"/>
            <w:gridSpan w:val="7"/>
          </w:tcPr>
          <w:p>
            <w:pPr>
              <w:ind w:left="16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w w:val="88"/>
              </w:rPr>
              <w:t>(inception) through</w:t>
            </w:r>
          </w:p>
        </w:tc>
      </w:tr>
      <w:tr>
        <w:trPr>
          <w:trHeight w:val="209"/>
        </w:trPr>
        <w:tc>
          <w:tcPr>
            <w:tcW w:w="220" w:type="dxa"/>
            <w:vAlign w:val="bottom"/>
          </w:tcPr>
          <w:p>
            <w:pPr>
              <w:spacing w:after="0"/>
              <w:rPr>
                <w:sz w:val="18"/>
                <w:szCs w:val="18"/>
                <w:color w:val="auto"/>
              </w:rPr>
            </w:pPr>
          </w:p>
        </w:tc>
        <w:tc>
          <w:tcPr>
            <w:tcW w:w="2500" w:type="dxa"/>
            <w:vAlign w:val="bottom"/>
            <w:gridSpan w:val="7"/>
          </w:tcPr>
          <w:p>
            <w:pPr>
              <w:ind w:left="62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18"/>
                <w:szCs w:val="18"/>
                <w:color w:val="auto"/>
              </w:rPr>
            </w:pPr>
          </w:p>
        </w:tc>
        <w:tc>
          <w:tcPr>
            <w:tcW w:w="234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88"/>
              </w:rPr>
              <w:t>June 30, 2021</w:t>
            </w:r>
          </w:p>
        </w:tc>
      </w:tr>
      <w:tr>
        <w:trPr>
          <w:trHeight w:val="204"/>
        </w:trPr>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Class A</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02"/>
              <w:spacing w:after="0"/>
              <w:rPr>
                <w:sz w:val="20"/>
                <w:szCs w:val="20"/>
                <w:color w:val="auto"/>
              </w:rPr>
            </w:pPr>
            <w:r>
              <w:rPr>
                <w:rFonts w:ascii="Arial" w:cs="Arial" w:eastAsia="Arial" w:hAnsi="Arial"/>
                <w:sz w:val="16"/>
                <w:szCs w:val="16"/>
                <w:b w:val="1"/>
                <w:bCs w:val="1"/>
                <w:color w:val="auto"/>
              </w:rPr>
              <w:t>Class B</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Class A</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Class B</w:t>
            </w:r>
          </w:p>
        </w:tc>
      </w:tr>
      <w:tr>
        <w:trPr>
          <w:trHeight w:val="564"/>
        </w:trPr>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(9,292,535)</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(2,323,134)</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(8,560,232)</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(3,375,220)</w:t>
            </w:r>
          </w:p>
        </w:tc>
      </w:tr>
      <w:tr>
        <w:trPr>
          <w:trHeight w:val="393"/>
        </w:trPr>
        <w:tc>
          <w:tcPr>
            <w:tcW w:w="220" w:type="dxa"/>
            <w:vAlign w:val="bottom"/>
          </w:tcPr>
          <w:p>
            <w:pPr>
              <w:spacing w:after="0"/>
              <w:rPr>
                <w:sz w:val="24"/>
                <w:szCs w:val="24"/>
                <w:color w:val="auto"/>
              </w:rPr>
            </w:pPr>
          </w:p>
        </w:tc>
        <w:tc>
          <w:tcPr>
            <w:tcW w:w="1040" w:type="dxa"/>
            <w:vAlign w:val="bottom"/>
            <w:gridSpan w:val="2"/>
          </w:tcPr>
          <w:p>
            <w:pPr>
              <w:jc w:val="right"/>
              <w:ind w:right="42"/>
              <w:spacing w:after="0"/>
              <w:rPr>
                <w:sz w:val="20"/>
                <w:szCs w:val="20"/>
                <w:color w:val="auto"/>
              </w:rPr>
            </w:pPr>
            <w:r>
              <w:rPr>
                <w:rFonts w:ascii="Arial" w:cs="Arial" w:eastAsia="Arial" w:hAnsi="Arial"/>
                <w:sz w:val="16"/>
                <w:szCs w:val="16"/>
                <w:color w:val="auto"/>
              </w:rPr>
              <w:t>31,116,305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6"/>
                <w:szCs w:val="16"/>
                <w:color w:val="auto"/>
              </w:rPr>
              <w:t>7,779,076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6"/>
                <w:szCs w:val="16"/>
                <w:color w:val="auto"/>
              </w:rPr>
              <w:t>18,823,444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7,421,910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jc w:val="right"/>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jc w:val="right"/>
              <w:spacing w:after="0" w:line="176" w:lineRule="exact"/>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w w:val="74"/>
              </w:rPr>
              <w:t>)</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-553085</wp:posOffset>
            </wp:positionV>
            <wp:extent cx="7150100" cy="1193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-313690</wp:posOffset>
            </wp:positionV>
            <wp:extent cx="7150100" cy="134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5260" w:space="720"/>
            <w:col w:w="5280"/>
          </w:cols>
          <w:pgMar w:left="320" w:top="692" w:right="319" w:bottom="1440" w:gutter="0" w:footer="0" w:header="0"/>
          <w:type w:val="continuous"/>
        </w:sectPr>
      </w:pPr>
    </w:p>
    <w:p>
      <w:pPr>
        <w:spacing w:after="0"/>
        <w:rPr>
          <w:sz w:val="20"/>
          <w:szCs w:val="20"/>
          <w:color w:val="auto"/>
        </w:rPr>
      </w:pPr>
      <w:r>
        <w:rPr>
          <w:rFonts w:ascii="Arial" w:cs="Arial" w:eastAsia="Arial" w:hAnsi="Arial"/>
          <w:sz w:val="16"/>
          <w:szCs w:val="16"/>
          <w:color w:val="auto"/>
        </w:rPr>
        <w:t>Recent Accounting Pronouncements</w:t>
      </w:r>
    </w:p>
    <w:p>
      <w:pPr>
        <w:spacing w:after="0" w:line="19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Management does not believe that any recently issued, but not yet effective, accounting pronouncement if currently adopted would have a material effect on the Company’s unaudited condensed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Note 3-Initial Public Offering</w:t>
      </w:r>
    </w:p>
    <w:p>
      <w:pPr>
        <w:spacing w:after="0" w:line="193"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 In May, 2022, the Company reversed the $10.9 million of deferred underwriting fees as the underwriters resigned from their role in the Business Combination and thereby waived their entitlement of the deferred underwriting commissions (Note 6).</w:t>
      </w:r>
    </w:p>
    <w:p>
      <w:pPr>
        <w:spacing w:after="0" w:line="15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Note 4-Private Placement</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57"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Note 5-Related Party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Founder Shares</w:t>
      </w:r>
    </w:p>
    <w:p>
      <w:pPr>
        <w:spacing w:after="0" w:line="193"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30"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Related Party Loans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As of June 30, 2022 and December 31, 2021, the Company had no borrowings under the Working Capital Loans.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May 16, 2022, the Company entered into a non-interest bearing $1,000,000 promissory note with the Sponsor. The promissory note is payable by the Company on the earlier of (i) September 25, 2023 and (ii) the date the Company consummates a merger, capital stock exchange, asset acquisition, stock purchase, reorganization or similar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Services Agreement</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$30,000 and $30,000 in expenses in connection with such services for the three months ended June 30, 2022 and 2021, respectively, as reflected in the accompanying unaudited condensed statements of operations. The Company incurred $60,000 and $40,000 in expenses in connection with such services for the six months ended June 30, 2022 and for the period from January 13, 2021 (inception) through June 30, 2021, respectively, as reflected in the accompanying unaudited condensed statements of operations. The company ceased paying these quarterly fees and periodic cost reimbursements following the consummation of the Business Combination.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Note 6-Commitments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Registration and Shareholder Rights Agreement</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Legal Proceedings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February 14, 2022 and March 7, 2022, respectively, the Company received demand letters from two purported shareholders of the Company claiming certain alleged material omissions in the registration statement on Form S-4, initially filed with the SEC on February 8, 2022, surrounding its planned transaction with OPAL Fuels. Additional demand letters or complaints may follow in the future. The Company specifically denies all allegations in the demand letters that any additional disclosure is required and believes these purported shareholders’ claims are without merit.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Underwriting Agreement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6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Effective as of May 14, 2022, the underwriters from the Initial Public Offering resigned and withdrew from their role in the Business Combination and thereby waived their entitlement to the deferred underwriting commissions in the amount of approximately $10.9 million, which the Company has recorded as a gain on settlement of underwriter fees on the statement of shareholders’ equity for the three and six months ended June 30, 2022 for $10.6 million, which represents the original amount recorded to accumulated deficit, and the remaining representing the original amount recorded to the statement of operations of approximately $280,000 was recorded for the three and six months ended June 30, 2022, which represents the original amount.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Deferred Legal Fees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entered into an engagement letter to obtain legal advisory services, pursuant to which the legal counsel agreed to defer the payment of their fees until the closing of the initial Business Combination. As of June 30, 2022 and December 31, 2021, the Company recorded an aggregate of approximately $6.2 million and $4.0 million, respectively, in connection with such arrangement as deferred legal fees in the accompanying condensed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Note 7 - Class A Ordinary Shares Subject to Possible Redemption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June 30, 2022 and December 31, 2021, there were 31,116,305 shares of Class A ordinary shares outstanding, all of which were subject to possible redemption.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80" w:type="dxa"/>
            <w:vAlign w:val="bottom"/>
            <w:gridSpan w:val="2"/>
          </w:tcPr>
          <w:p>
            <w:pPr>
              <w:spacing w:after="0"/>
              <w:rPr>
                <w:sz w:val="20"/>
                <w:szCs w:val="20"/>
                <w:color w:val="auto"/>
              </w:rPr>
            </w:pPr>
            <w:r>
              <w:rPr>
                <w:rFonts w:ascii="Arial" w:cs="Arial" w:eastAsia="Arial" w:hAnsi="Arial"/>
                <w:sz w:val="16"/>
                <w:szCs w:val="16"/>
                <w:color w:val="auto"/>
                <w:w w:val="89"/>
              </w:rPr>
              <w:t>As of June 30, 2022, Class A ordinary shares subject to possible redemption reflected on the condensed balance sheets is reconciled on the following table: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9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6"/>
                <w:szCs w:val="16"/>
                <w:color w:val="auto"/>
              </w:rPr>
              <w:t>Gross Proceeds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4"/>
              </w:rPr>
              <w:t>311,163,050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60" w:type="dxa"/>
            <w:vAlign w:val="bottom"/>
          </w:tcPr>
          <w:p>
            <w:pPr>
              <w:spacing w:after="0"/>
              <w:rPr>
                <w:sz w:val="20"/>
                <w:szCs w:val="20"/>
                <w:color w:val="auto"/>
              </w:rPr>
            </w:pPr>
            <w:r>
              <w:rPr>
                <w:rFonts w:ascii="Arial" w:cs="Arial" w:eastAsia="Arial" w:hAnsi="Arial"/>
                <w:sz w:val="16"/>
                <w:szCs w:val="16"/>
                <w:color w:val="auto"/>
              </w:rPr>
              <w:t>Less: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Offering costs allocated to Class A shares subject to possible redemption</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(17,138,390)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60" w:type="dxa"/>
            <w:vAlign w:val="bottom"/>
          </w:tcPr>
          <w:p>
            <w:pPr>
              <w:ind w:left="260"/>
              <w:spacing w:after="0"/>
              <w:rPr>
                <w:sz w:val="20"/>
                <w:szCs w:val="20"/>
                <w:color w:val="auto"/>
              </w:rPr>
            </w:pPr>
            <w:r>
              <w:rPr>
                <w:rFonts w:ascii="Arial" w:cs="Arial" w:eastAsia="Arial" w:hAnsi="Arial"/>
                <w:sz w:val="16"/>
                <w:szCs w:val="16"/>
                <w:color w:val="auto"/>
              </w:rPr>
              <w:t>Proceeds allocated to Public Warrants at issuance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(5,948,230)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6"/>
                <w:szCs w:val="16"/>
                <w:color w:val="auto"/>
              </w:rPr>
              <w:t>Plus: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60" w:type="dxa"/>
            <w:vAlign w:val="bottom"/>
          </w:tcPr>
          <w:p>
            <w:pPr>
              <w:ind w:left="260"/>
              <w:spacing w:after="0"/>
              <w:rPr>
                <w:sz w:val="20"/>
                <w:szCs w:val="20"/>
                <w:color w:val="auto"/>
              </w:rPr>
            </w:pPr>
            <w:r>
              <w:rPr>
                <w:rFonts w:ascii="Arial" w:cs="Arial" w:eastAsia="Arial" w:hAnsi="Arial"/>
                <w:sz w:val="16"/>
                <w:szCs w:val="16"/>
                <w:color w:val="auto"/>
              </w:rPr>
              <w:t>Re-measurement on Class A ordinary shares subject to possible redemption amount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23,086,620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6"/>
                <w:szCs w:val="16"/>
                <w:color w:val="auto"/>
              </w:rPr>
              <w:t>Class A ordinary shares subject to possible redemption at December 31, 2021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311,163,050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860" w:type="dxa"/>
            <w:vAlign w:val="bottom"/>
          </w:tcPr>
          <w:p>
            <w:pPr>
              <w:ind w:left="260"/>
              <w:spacing w:after="0"/>
              <w:rPr>
                <w:sz w:val="20"/>
                <w:szCs w:val="20"/>
                <w:color w:val="auto"/>
              </w:rPr>
            </w:pPr>
            <w:r>
              <w:rPr>
                <w:rFonts w:ascii="Arial" w:cs="Arial" w:eastAsia="Arial" w:hAnsi="Arial"/>
                <w:sz w:val="16"/>
                <w:szCs w:val="16"/>
                <w:color w:val="auto"/>
              </w:rPr>
              <w:t>Remeasurement of Class A common stock subject to possible redemption amount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352,842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Class A ordinary shares subject to possible redemption at June 30, 2022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311,515,892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Note 8-Shareholders’ Deficit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Class A Ordinary Shares-The Company is authorized to issue 500,000,000 Class A ordinary shares with a par value of $0.0001 per share. Holders of the Company’s Class A ordinary shares are entitled to one vote for each share. As of June 30, 2022 and December 31, 2021, there were 31,116,305 Class A ordinary shares issued and outstanding. All Class A ordinary shares subject to possible redemption have been classified as temporary equity (see Note 7).</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Class B Ordinary Shares-The Company is authorized to issue 50,000,000 Class B ordinary shares with a par value of $0.0001 per share. On 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June 30, 2022 and December 31, 2021, there were 7,779,076 Class B ordinary shares issued and outstanding.</w:t>
      </w:r>
    </w:p>
    <w:p>
      <w:pPr>
        <w:spacing w:after="0" w:line="161" w:lineRule="exact"/>
        <w:rPr>
          <w:sz w:val="20"/>
          <w:szCs w:val="20"/>
          <w:color w:val="auto"/>
        </w:rPr>
      </w:pPr>
    </w:p>
    <w:p>
      <w:pPr>
        <w:jc w:val="both"/>
        <w:ind w:right="20"/>
        <w:spacing w:after="0" w:line="383" w:lineRule="auto"/>
        <w:rPr>
          <w:sz w:val="20"/>
          <w:szCs w:val="20"/>
          <w:color w:val="auto"/>
        </w:rPr>
      </w:pPr>
      <w:r>
        <w:rPr>
          <w:rFonts w:ascii="Arial" w:cs="Arial" w:eastAsia="Arial" w:hAnsi="Arial"/>
          <w:sz w:val="13"/>
          <w:szCs w:val="13"/>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Preference Shares-The Company is authorized to issue 5,000,000 preference shares with a par value of $0.0001 per share. As of June 30, 2022 and December 31, 2021, there were no preference shares issued or outstanding.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Note 9-Derivative Warrant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and December 31, 2021, the Company had an aggregate of 15,446,522 warrants outstanding, comprised of 6,223,261 and 9,223,261</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Public Warrants and Private Placement Warrants,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69" w:lineRule="exact"/>
        <w:rPr>
          <w:sz w:val="20"/>
          <w:szCs w:val="20"/>
          <w:color w:val="auto"/>
        </w:rPr>
      </w:pPr>
    </w:p>
    <w:p>
      <w:pPr>
        <w:jc w:val="both"/>
        <w:spacing w:after="0" w:line="310" w:lineRule="auto"/>
        <w:rPr>
          <w:sz w:val="20"/>
          <w:szCs w:val="20"/>
          <w:color w:val="auto"/>
        </w:rPr>
      </w:pPr>
      <w:r>
        <w:rPr>
          <w:rFonts w:ascii="Arial" w:cs="Arial" w:eastAsia="Arial" w:hAnsi="Arial"/>
          <w:sz w:val="13"/>
          <w:szCs w:val="13"/>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326" w:lineRule="exact"/>
        <w:rPr>
          <w:sz w:val="20"/>
          <w:szCs w:val="20"/>
          <w:color w:val="auto"/>
        </w:rPr>
      </w:pPr>
    </w:p>
    <w:p>
      <w:pPr>
        <w:jc w:val="both"/>
        <w:ind w:right="20"/>
        <w:spacing w:after="0" w:line="322" w:lineRule="auto"/>
        <w:rPr>
          <w:sz w:val="20"/>
          <w:szCs w:val="20"/>
          <w:color w:val="auto"/>
        </w:rPr>
      </w:pPr>
      <w:r>
        <w:rPr>
          <w:rFonts w:ascii="Arial" w:cs="Arial" w:eastAsia="Arial" w:hAnsi="Arial"/>
          <w:sz w:val="13"/>
          <w:szCs w:val="13"/>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Redemption of warrants when the price per Class A ordinary share equals or exceeds $18.00:</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Once the warrants become exercisable, the Company may redeem the outstanding warrants (except as described herein with respect to the Private Placement Warrants):</w:t>
      </w:r>
    </w:p>
    <w:p>
      <w:pPr>
        <w:spacing w:after="0" w:line="227" w:lineRule="exact"/>
        <w:rPr>
          <w:sz w:val="20"/>
          <w:szCs w:val="20"/>
          <w:color w:val="auto"/>
        </w:rPr>
      </w:pPr>
    </w:p>
    <w:p>
      <w:pPr>
        <w:ind w:left="840" w:hanging="280"/>
        <w:spacing w:after="0"/>
        <w:tabs>
          <w:tab w:leader="none" w:pos="8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92" w:lineRule="exact"/>
        <w:rPr>
          <w:rFonts w:ascii="Arial" w:cs="Arial" w:eastAsia="Arial" w:hAnsi="Arial"/>
          <w:sz w:val="16"/>
          <w:szCs w:val="16"/>
          <w:color w:val="auto"/>
        </w:rPr>
      </w:pPr>
    </w:p>
    <w:p>
      <w:pPr>
        <w:ind w:left="840" w:hanging="280"/>
        <w:spacing w:after="0"/>
        <w:tabs>
          <w:tab w:leader="none" w:pos="8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192" w:lineRule="exact"/>
        <w:rPr>
          <w:rFonts w:ascii="Arial" w:cs="Arial" w:eastAsia="Arial" w:hAnsi="Arial"/>
          <w:sz w:val="16"/>
          <w:szCs w:val="16"/>
          <w:color w:val="auto"/>
        </w:rPr>
      </w:pPr>
    </w:p>
    <w:p>
      <w:pPr>
        <w:ind w:left="840" w:hanging="280"/>
        <w:spacing w:after="0"/>
        <w:tabs>
          <w:tab w:leader="none" w:pos="8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upon not less than 30 days’ prior written notice of redemption to each warrant holder; and</w:t>
      </w:r>
    </w:p>
    <w:p>
      <w:pPr>
        <w:spacing w:after="0" w:line="192" w:lineRule="exact"/>
        <w:rPr>
          <w:rFonts w:ascii="Arial" w:cs="Arial" w:eastAsia="Arial" w:hAnsi="Arial"/>
          <w:sz w:val="16"/>
          <w:szCs w:val="16"/>
          <w:color w:val="auto"/>
        </w:rPr>
      </w:pPr>
    </w:p>
    <w:p>
      <w:pPr>
        <w:ind w:left="840" w:right="20" w:hanging="280"/>
        <w:spacing w:after="0" w:line="383" w:lineRule="auto"/>
        <w:tabs>
          <w:tab w:leader="none" w:pos="8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p>
      <w:pPr>
        <w:spacing w:after="0" w:line="88"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Redemption of warrants when the price per Class A ordinary share equals or exceeds $10.00:</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Once the warrants become exercisable, the Company may redeem the outstanding warrants (except as described herein with respect to the Private Placement Warrants):</w:t>
      </w:r>
    </w:p>
    <w:p>
      <w:pPr>
        <w:spacing w:after="0" w:line="227" w:lineRule="exact"/>
        <w:rPr>
          <w:sz w:val="20"/>
          <w:szCs w:val="20"/>
          <w:color w:val="auto"/>
        </w:rPr>
      </w:pPr>
    </w:p>
    <w:p>
      <w:pPr>
        <w:ind w:left="840" w:hanging="280"/>
        <w:spacing w:after="0"/>
        <w:tabs>
          <w:tab w:leader="none" w:pos="8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92" w:lineRule="exact"/>
        <w:rPr>
          <w:rFonts w:ascii="Arial" w:cs="Arial" w:eastAsia="Arial" w:hAnsi="Arial"/>
          <w:sz w:val="16"/>
          <w:szCs w:val="16"/>
          <w:color w:val="auto"/>
        </w:rPr>
      </w:pPr>
    </w:p>
    <w:p>
      <w:pPr>
        <w:jc w:val="both"/>
        <w:ind w:left="840" w:right="20" w:hanging="280"/>
        <w:spacing w:after="0" w:line="256" w:lineRule="auto"/>
        <w:tabs>
          <w:tab w:leader="none" w:pos="8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65" w:lineRule="exact"/>
        <w:rPr>
          <w:rFonts w:ascii="Arial" w:cs="Arial" w:eastAsia="Arial" w:hAnsi="Arial"/>
          <w:sz w:val="16"/>
          <w:szCs w:val="16"/>
          <w:color w:val="auto"/>
        </w:rPr>
      </w:pPr>
    </w:p>
    <w:p>
      <w:pPr>
        <w:ind w:left="840" w:hanging="280"/>
        <w:spacing w:after="0"/>
        <w:tabs>
          <w:tab w:leader="none" w:pos="8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and only if, the Reference Value equals or exceeds $10.00 per share (as adjusted); and</w:t>
      </w:r>
    </w:p>
    <w:p>
      <w:pPr>
        <w:spacing w:after="0" w:line="192" w:lineRule="exact"/>
        <w:rPr>
          <w:rFonts w:ascii="Arial" w:cs="Arial" w:eastAsia="Arial" w:hAnsi="Arial"/>
          <w:sz w:val="16"/>
          <w:szCs w:val="16"/>
          <w:color w:val="auto"/>
        </w:rPr>
      </w:pPr>
    </w:p>
    <w:p>
      <w:pPr>
        <w:ind w:left="840" w:right="20" w:hanging="280"/>
        <w:spacing w:after="0" w:line="266" w:lineRule="auto"/>
        <w:tabs>
          <w:tab w:leader="none" w:pos="8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the Reference Value is less than $18.00 per share (as adjusted), the Private Placement Warrants must also concurrently be called for redemption on the same terms as the outstanding Public Warrants, as described above.</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Note 10-Fair Value Measurements</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as of June 30, 2022 and December 31, 2021 and indicates the fair value hierarchy of the valuation techniques that the Company utilized to determine such fair value.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June 30, 2022:</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61"/>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Quoted</w:t>
            </w:r>
          </w:p>
        </w:tc>
        <w:tc>
          <w:tcPr>
            <w:tcW w:w="160" w:type="dxa"/>
            <w:vAlign w:val="bottom"/>
          </w:tcPr>
          <w:p>
            <w:pPr>
              <w:spacing w:after="0"/>
              <w:rPr>
                <w:sz w:val="24"/>
                <w:szCs w:val="24"/>
                <w:color w:val="auto"/>
              </w:rPr>
            </w:pPr>
          </w:p>
        </w:tc>
        <w:tc>
          <w:tcPr>
            <w:tcW w:w="1060" w:type="dxa"/>
            <w:vAlign w:val="bottom"/>
          </w:tcPr>
          <w:p>
            <w:pPr>
              <w:jc w:val="center"/>
              <w:ind w:right="82"/>
              <w:spacing w:after="0"/>
              <w:rPr>
                <w:sz w:val="20"/>
                <w:szCs w:val="20"/>
                <w:color w:val="auto"/>
              </w:rPr>
            </w:pPr>
            <w:r>
              <w:rPr>
                <w:rFonts w:ascii="Arial" w:cs="Arial" w:eastAsia="Arial" w:hAnsi="Arial"/>
                <w:sz w:val="16"/>
                <w:szCs w:val="16"/>
                <w:b w:val="1"/>
                <w:bCs w:val="1"/>
                <w:color w:val="auto"/>
                <w:w w:val="90"/>
              </w:rPr>
              <w:t>Significant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8"/>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Prices</w:t>
            </w:r>
          </w:p>
        </w:tc>
        <w:tc>
          <w:tcPr>
            <w:tcW w:w="160" w:type="dxa"/>
            <w:vAlign w:val="bottom"/>
          </w:tcPr>
          <w:p>
            <w:pPr>
              <w:spacing w:after="0"/>
              <w:rPr>
                <w:sz w:val="16"/>
                <w:szCs w:val="16"/>
                <w:color w:val="auto"/>
              </w:rPr>
            </w:pPr>
          </w:p>
        </w:tc>
        <w:tc>
          <w:tcPr>
            <w:tcW w:w="1060" w:type="dxa"/>
            <w:vAlign w:val="bottom"/>
          </w:tcPr>
          <w:p>
            <w:pPr>
              <w:jc w:val="center"/>
              <w:ind w:right="82"/>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Significant Other</w:t>
            </w:r>
          </w:p>
        </w:tc>
      </w:tr>
      <w:tr>
        <w:trPr>
          <w:trHeight w:val="188"/>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in Active</w:t>
            </w:r>
          </w:p>
        </w:tc>
        <w:tc>
          <w:tcPr>
            <w:tcW w:w="160" w:type="dxa"/>
            <w:vAlign w:val="bottom"/>
          </w:tcPr>
          <w:p>
            <w:pPr>
              <w:spacing w:after="0"/>
              <w:rPr>
                <w:sz w:val="16"/>
                <w:szCs w:val="16"/>
                <w:color w:val="auto"/>
              </w:rPr>
            </w:pPr>
          </w:p>
        </w:tc>
        <w:tc>
          <w:tcPr>
            <w:tcW w:w="106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Observable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2"/>
              <w:spacing w:after="0"/>
              <w:rPr>
                <w:sz w:val="20"/>
                <w:szCs w:val="20"/>
                <w:color w:val="auto"/>
              </w:rPr>
            </w:pPr>
            <w:r>
              <w:rPr>
                <w:rFonts w:ascii="Arial" w:cs="Arial" w:eastAsia="Arial" w:hAnsi="Arial"/>
                <w:sz w:val="16"/>
                <w:szCs w:val="16"/>
                <w:b w:val="1"/>
                <w:bCs w:val="1"/>
                <w:color w:val="auto"/>
                <w:w w:val="86"/>
              </w:rPr>
              <w:t>Unobservable</w:t>
            </w:r>
          </w:p>
        </w:tc>
      </w:tr>
      <w:tr>
        <w:trPr>
          <w:trHeight w:val="188"/>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Markets</w:t>
            </w:r>
          </w:p>
        </w:tc>
        <w:tc>
          <w:tcPr>
            <w:tcW w:w="160" w:type="dxa"/>
            <w:vAlign w:val="bottom"/>
          </w:tcPr>
          <w:p>
            <w:pPr>
              <w:spacing w:after="0"/>
              <w:rPr>
                <w:sz w:val="16"/>
                <w:szCs w:val="16"/>
                <w:color w:val="auto"/>
              </w:rPr>
            </w:pPr>
          </w:p>
        </w:tc>
        <w:tc>
          <w:tcPr>
            <w:tcW w:w="1060" w:type="dxa"/>
            <w:vAlign w:val="bottom"/>
          </w:tcPr>
          <w:p>
            <w:pPr>
              <w:jc w:val="center"/>
              <w:ind w:right="82"/>
              <w:spacing w:after="0"/>
              <w:rPr>
                <w:sz w:val="20"/>
                <w:szCs w:val="20"/>
                <w:color w:val="auto"/>
              </w:rPr>
            </w:pPr>
            <w:r>
              <w:rPr>
                <w:rFonts w:ascii="Arial" w:cs="Arial" w:eastAsia="Arial" w:hAnsi="Arial"/>
                <w:sz w:val="16"/>
                <w:szCs w:val="16"/>
                <w:b w:val="1"/>
                <w:bCs w:val="1"/>
                <w:color w:val="auto"/>
                <w:w w:val="87"/>
              </w:rPr>
              <w:t>Inputs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2"/>
              <w:spacing w:after="0"/>
              <w:rPr>
                <w:sz w:val="20"/>
                <w:szCs w:val="20"/>
                <w:color w:val="auto"/>
              </w:rPr>
            </w:pPr>
            <w:r>
              <w:rPr>
                <w:rFonts w:ascii="Arial" w:cs="Arial" w:eastAsia="Arial" w:hAnsi="Arial"/>
                <w:sz w:val="16"/>
                <w:szCs w:val="16"/>
                <w:b w:val="1"/>
                <w:bCs w:val="1"/>
                <w:color w:val="auto"/>
                <w:w w:val="91"/>
              </w:rPr>
              <w:t>Inputs</w:t>
            </w:r>
          </w:p>
        </w:tc>
      </w:tr>
      <w:tr>
        <w:trPr>
          <w:trHeight w:val="209"/>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(Level 1)</w:t>
            </w:r>
          </w:p>
        </w:tc>
        <w:tc>
          <w:tcPr>
            <w:tcW w:w="160" w:type="dxa"/>
            <w:vAlign w:val="bottom"/>
          </w:tcPr>
          <w:p>
            <w:pPr>
              <w:spacing w:after="0"/>
              <w:rPr>
                <w:sz w:val="18"/>
                <w:szCs w:val="18"/>
                <w:color w:val="auto"/>
              </w:rPr>
            </w:pPr>
          </w:p>
        </w:tc>
        <w:tc>
          <w:tcPr>
            <w:tcW w:w="106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(Level 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42"/>
              <w:spacing w:after="0"/>
              <w:rPr>
                <w:sz w:val="20"/>
                <w:szCs w:val="20"/>
                <w:color w:val="auto"/>
              </w:rPr>
            </w:pPr>
            <w:r>
              <w:rPr>
                <w:rFonts w:ascii="Arial" w:cs="Arial" w:eastAsia="Arial" w:hAnsi="Arial"/>
                <w:sz w:val="16"/>
                <w:szCs w:val="16"/>
                <w:b w:val="1"/>
                <w:bCs w:val="1"/>
                <w:color w:val="auto"/>
                <w:w w:val="92"/>
              </w:rPr>
              <w:t>(Level 3)</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6"/>
                <w:szCs w:val="16"/>
                <w:color w:val="auto"/>
              </w:rPr>
              <w:t>Description</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Investments held in Trust Account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311,615,892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Derivative warrant liabilities-public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6,534,420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Derivative warrant liabilities-private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9,684,420</w:t>
            </w:r>
          </w:p>
        </w:tc>
      </w:tr>
      <w:tr>
        <w:trPr>
          <w:trHeight w:val="364"/>
        </w:trPr>
        <w:tc>
          <w:tcPr>
            <w:tcW w:w="7320" w:type="dxa"/>
            <w:vAlign w:val="bottom"/>
          </w:tcPr>
          <w:p>
            <w:pPr>
              <w:spacing w:after="0"/>
              <w:rPr>
                <w:sz w:val="20"/>
                <w:szCs w:val="20"/>
                <w:color w:val="auto"/>
              </w:rPr>
            </w:pPr>
            <w:r>
              <w:rPr>
                <w:rFonts w:ascii="Arial" w:cs="Arial" w:eastAsia="Arial" w:hAnsi="Arial"/>
                <w:sz w:val="16"/>
                <w:szCs w:val="16"/>
                <w:color w:val="auto"/>
              </w:rPr>
              <w:t>December 31, 2021: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1"/>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Quoted</w:t>
            </w:r>
          </w:p>
        </w:tc>
        <w:tc>
          <w:tcPr>
            <w:tcW w:w="160" w:type="dxa"/>
            <w:vAlign w:val="bottom"/>
          </w:tcPr>
          <w:p>
            <w:pPr>
              <w:spacing w:after="0"/>
              <w:rPr>
                <w:sz w:val="24"/>
                <w:szCs w:val="24"/>
                <w:color w:val="auto"/>
              </w:rPr>
            </w:pPr>
          </w:p>
        </w:tc>
        <w:tc>
          <w:tcPr>
            <w:tcW w:w="1060" w:type="dxa"/>
            <w:vAlign w:val="bottom"/>
          </w:tcPr>
          <w:p>
            <w:pPr>
              <w:jc w:val="center"/>
              <w:ind w:right="82"/>
              <w:spacing w:after="0"/>
              <w:rPr>
                <w:sz w:val="20"/>
                <w:szCs w:val="20"/>
                <w:color w:val="auto"/>
              </w:rPr>
            </w:pPr>
            <w:r>
              <w:rPr>
                <w:rFonts w:ascii="Arial" w:cs="Arial" w:eastAsia="Arial" w:hAnsi="Arial"/>
                <w:sz w:val="16"/>
                <w:szCs w:val="16"/>
                <w:b w:val="1"/>
                <w:bCs w:val="1"/>
                <w:color w:val="auto"/>
                <w:w w:val="90"/>
              </w:rPr>
              <w:t>Significant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42"/>
              <w:spacing w:after="0"/>
              <w:rPr>
                <w:sz w:val="20"/>
                <w:szCs w:val="20"/>
                <w:color w:val="auto"/>
              </w:rPr>
            </w:pPr>
            <w:r>
              <w:rPr>
                <w:rFonts w:ascii="Arial" w:cs="Arial" w:eastAsia="Arial" w:hAnsi="Arial"/>
                <w:sz w:val="16"/>
                <w:szCs w:val="16"/>
                <w:b w:val="1"/>
                <w:bCs w:val="1"/>
                <w:color w:val="auto"/>
                <w:w w:val="87"/>
              </w:rPr>
              <w:t>Significant</w:t>
            </w:r>
          </w:p>
        </w:tc>
      </w:tr>
      <w:tr>
        <w:trPr>
          <w:trHeight w:val="188"/>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Prices</w:t>
            </w:r>
          </w:p>
        </w:tc>
        <w:tc>
          <w:tcPr>
            <w:tcW w:w="160" w:type="dxa"/>
            <w:vAlign w:val="bottom"/>
          </w:tcPr>
          <w:p>
            <w:pPr>
              <w:spacing w:after="0"/>
              <w:rPr>
                <w:sz w:val="16"/>
                <w:szCs w:val="16"/>
                <w:color w:val="auto"/>
              </w:rPr>
            </w:pPr>
          </w:p>
        </w:tc>
        <w:tc>
          <w:tcPr>
            <w:tcW w:w="1060" w:type="dxa"/>
            <w:vAlign w:val="bottom"/>
          </w:tcPr>
          <w:p>
            <w:pPr>
              <w:jc w:val="center"/>
              <w:ind w:right="82"/>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2"/>
              <w:spacing w:after="0"/>
              <w:rPr>
                <w:sz w:val="20"/>
                <w:szCs w:val="20"/>
                <w:color w:val="auto"/>
              </w:rPr>
            </w:pPr>
            <w:r>
              <w:rPr>
                <w:rFonts w:ascii="Arial" w:cs="Arial" w:eastAsia="Arial" w:hAnsi="Arial"/>
                <w:sz w:val="16"/>
                <w:szCs w:val="16"/>
                <w:b w:val="1"/>
                <w:bCs w:val="1"/>
                <w:color w:val="auto"/>
                <w:w w:val="93"/>
              </w:rPr>
              <w:t>Other</w:t>
            </w:r>
          </w:p>
        </w:tc>
      </w:tr>
      <w:tr>
        <w:trPr>
          <w:trHeight w:val="188"/>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in Active</w:t>
            </w:r>
          </w:p>
        </w:tc>
        <w:tc>
          <w:tcPr>
            <w:tcW w:w="160" w:type="dxa"/>
            <w:vAlign w:val="bottom"/>
          </w:tcPr>
          <w:p>
            <w:pPr>
              <w:spacing w:after="0"/>
              <w:rPr>
                <w:sz w:val="16"/>
                <w:szCs w:val="16"/>
                <w:color w:val="auto"/>
              </w:rPr>
            </w:pPr>
          </w:p>
        </w:tc>
        <w:tc>
          <w:tcPr>
            <w:tcW w:w="106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Observable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2"/>
              <w:spacing w:after="0"/>
              <w:rPr>
                <w:sz w:val="20"/>
                <w:szCs w:val="20"/>
                <w:color w:val="auto"/>
              </w:rPr>
            </w:pPr>
            <w:r>
              <w:rPr>
                <w:rFonts w:ascii="Arial" w:cs="Arial" w:eastAsia="Arial" w:hAnsi="Arial"/>
                <w:sz w:val="16"/>
                <w:szCs w:val="16"/>
                <w:b w:val="1"/>
                <w:bCs w:val="1"/>
                <w:color w:val="auto"/>
                <w:w w:val="86"/>
              </w:rPr>
              <w:t>Unobservable</w:t>
            </w:r>
          </w:p>
        </w:tc>
      </w:tr>
      <w:tr>
        <w:trPr>
          <w:trHeight w:val="188"/>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Markets</w:t>
            </w:r>
          </w:p>
        </w:tc>
        <w:tc>
          <w:tcPr>
            <w:tcW w:w="160" w:type="dxa"/>
            <w:vAlign w:val="bottom"/>
          </w:tcPr>
          <w:p>
            <w:pPr>
              <w:spacing w:after="0"/>
              <w:rPr>
                <w:sz w:val="16"/>
                <w:szCs w:val="16"/>
                <w:color w:val="auto"/>
              </w:rPr>
            </w:pPr>
          </w:p>
        </w:tc>
        <w:tc>
          <w:tcPr>
            <w:tcW w:w="1060" w:type="dxa"/>
            <w:vAlign w:val="bottom"/>
          </w:tcPr>
          <w:p>
            <w:pPr>
              <w:jc w:val="center"/>
              <w:ind w:right="82"/>
              <w:spacing w:after="0"/>
              <w:rPr>
                <w:sz w:val="20"/>
                <w:szCs w:val="20"/>
                <w:color w:val="auto"/>
              </w:rPr>
            </w:pPr>
            <w:r>
              <w:rPr>
                <w:rFonts w:ascii="Arial" w:cs="Arial" w:eastAsia="Arial" w:hAnsi="Arial"/>
                <w:sz w:val="16"/>
                <w:szCs w:val="16"/>
                <w:b w:val="1"/>
                <w:bCs w:val="1"/>
                <w:color w:val="auto"/>
                <w:w w:val="87"/>
              </w:rPr>
              <w:t>Inputs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2"/>
              <w:spacing w:after="0"/>
              <w:rPr>
                <w:sz w:val="20"/>
                <w:szCs w:val="20"/>
                <w:color w:val="auto"/>
              </w:rPr>
            </w:pPr>
            <w:r>
              <w:rPr>
                <w:rFonts w:ascii="Arial" w:cs="Arial" w:eastAsia="Arial" w:hAnsi="Arial"/>
                <w:sz w:val="16"/>
                <w:szCs w:val="16"/>
                <w:b w:val="1"/>
                <w:bCs w:val="1"/>
                <w:color w:val="auto"/>
                <w:w w:val="91"/>
              </w:rPr>
              <w:t>Inputs</w:t>
            </w:r>
          </w:p>
        </w:tc>
      </w:tr>
      <w:tr>
        <w:trPr>
          <w:trHeight w:val="209"/>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(Level 1)</w:t>
            </w:r>
          </w:p>
        </w:tc>
        <w:tc>
          <w:tcPr>
            <w:tcW w:w="160" w:type="dxa"/>
            <w:vAlign w:val="bottom"/>
          </w:tcPr>
          <w:p>
            <w:pPr>
              <w:spacing w:after="0"/>
              <w:rPr>
                <w:sz w:val="18"/>
                <w:szCs w:val="18"/>
                <w:color w:val="auto"/>
              </w:rPr>
            </w:pPr>
          </w:p>
        </w:tc>
        <w:tc>
          <w:tcPr>
            <w:tcW w:w="106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(Level 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42"/>
              <w:spacing w:after="0"/>
              <w:rPr>
                <w:sz w:val="20"/>
                <w:szCs w:val="20"/>
                <w:color w:val="auto"/>
              </w:rPr>
            </w:pPr>
            <w:r>
              <w:rPr>
                <w:rFonts w:ascii="Arial" w:cs="Arial" w:eastAsia="Arial" w:hAnsi="Arial"/>
                <w:sz w:val="16"/>
                <w:szCs w:val="16"/>
                <w:b w:val="1"/>
                <w:bCs w:val="1"/>
                <w:color w:val="auto"/>
                <w:w w:val="92"/>
              </w:rPr>
              <w:t>(Level 3)</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6"/>
                <w:szCs w:val="16"/>
                <w:color w:val="auto"/>
              </w:rPr>
              <w:t>Description</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Investments held in Trust Account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311,175,471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Derivative warrant liabilities-public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10,392,850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00"/>
        </w:trPr>
        <w:tc>
          <w:tcPr>
            <w:tcW w:w="7320" w:type="dxa"/>
            <w:vAlign w:val="bottom"/>
          </w:tcPr>
          <w:p>
            <w:pPr>
              <w:ind w:left="40"/>
              <w:spacing w:after="0"/>
              <w:rPr>
                <w:sz w:val="20"/>
                <w:szCs w:val="20"/>
                <w:color w:val="auto"/>
              </w:rPr>
            </w:pPr>
            <w:r>
              <w:rPr>
                <w:rFonts w:ascii="Arial" w:cs="Arial" w:eastAsia="Arial" w:hAnsi="Arial"/>
                <w:sz w:val="16"/>
                <w:szCs w:val="16"/>
                <w:color w:val="auto"/>
              </w:rPr>
              <w:t>Derivative warrant liabilities-private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15,402,850</w:t>
            </w:r>
          </w:p>
        </w:tc>
      </w:tr>
    </w:tbl>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 There were no transfers between levels for the six months ended June 30, 2022 or for the period from January 13, 2021 (inception) through June 30, 2021.</w:t>
      </w:r>
    </w:p>
    <w:p>
      <w:pPr>
        <w:spacing w:after="0" w:line="16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June 30, 2022 and 2021, the Company recognized a gain/(loss) to the unaudited condensed statements of operations resulting from a decrease (increase) in the fair value of liabilities of approximately $4.3 million and ($11.2 million), respectively, presented as change in fair value of derivative warrant liabilities in the accompanying unaudited condensed statements of operations. For the six months ended June 30, 2022 and for the period from January 13, 2021 (inception) through June 30, 2021, the Company recognized a gain/(loss) to the unaudited condensed statements of operations resulting from a decrease (increase) in the fair value of liabilities of approximately $9.6 million and ($11.0 million), respectively, presented as change in fair value of derivative warrant liabilities in the accompanying unaudited condensed statements of operations.</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20" w:type="dxa"/>
            <w:vAlign w:val="bottom"/>
          </w:tcPr>
          <w:p>
            <w:pPr>
              <w:spacing w:after="0"/>
              <w:rPr>
                <w:sz w:val="20"/>
                <w:szCs w:val="20"/>
                <w:color w:val="auto"/>
              </w:rPr>
            </w:pPr>
            <w:r>
              <w:rPr>
                <w:rFonts w:ascii="Arial" w:cs="Arial" w:eastAsia="Arial" w:hAnsi="Arial"/>
                <w:sz w:val="16"/>
                <w:szCs w:val="16"/>
                <w:color w:val="auto"/>
                <w:w w:val="92"/>
              </w:rPr>
              <w:t>The following table provides quantitative information regarding Level 3 fair value measurements inputs at their measurement dates: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61"/>
        </w:trPr>
        <w:tc>
          <w:tcPr>
            <w:tcW w:w="8620" w:type="dxa"/>
            <w:vAlign w:val="bottom"/>
          </w:tcPr>
          <w:p>
            <w:pPr>
              <w:spacing w:after="0"/>
              <w:rPr>
                <w:sz w:val="24"/>
                <w:szCs w:val="24"/>
                <w:color w:val="auto"/>
              </w:rPr>
            </w:pPr>
          </w:p>
        </w:tc>
        <w:tc>
          <w:tcPr>
            <w:tcW w:w="840" w:type="dxa"/>
            <w:vAlign w:val="bottom"/>
          </w:tcPr>
          <w:p>
            <w:pPr>
              <w:jc w:val="center"/>
              <w:ind w:left="163"/>
              <w:spacing w:after="0"/>
              <w:rPr>
                <w:sz w:val="20"/>
                <w:szCs w:val="20"/>
                <w:color w:val="auto"/>
              </w:rPr>
            </w:pPr>
            <w:r>
              <w:rPr>
                <w:rFonts w:ascii="Arial" w:cs="Arial" w:eastAsia="Arial" w:hAnsi="Arial"/>
                <w:sz w:val="16"/>
                <w:szCs w:val="16"/>
                <w:b w:val="1"/>
                <w:bCs w:val="1"/>
                <w:color w:val="auto"/>
                <w:w w:val="87"/>
              </w:rPr>
              <w:t>June 30,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6"/>
              </w:rPr>
              <w:t>December 31,</w:t>
            </w:r>
          </w:p>
        </w:tc>
      </w:tr>
      <w:tr>
        <w:trPr>
          <w:trHeight w:val="209"/>
        </w:trPr>
        <w:tc>
          <w:tcPr>
            <w:tcW w:w="86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r>
      <w:tr>
        <w:trPr>
          <w:trHeight w:val="188"/>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price</w:t>
            </w:r>
          </w:p>
        </w:tc>
        <w:tc>
          <w:tcPr>
            <w:tcW w:w="84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9.95</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40" w:type="dxa"/>
            <w:vAlign w:val="bottom"/>
            <w:shd w:val="clear" w:color="auto" w:fill="CCEEFF"/>
          </w:tcPr>
          <w:p>
            <w:pPr>
              <w:spacing w:after="0"/>
              <w:rPr>
                <w:sz w:val="16"/>
                <w:szCs w:val="16"/>
                <w:color w:val="auto"/>
              </w:rPr>
            </w:pPr>
          </w:p>
        </w:tc>
      </w:tr>
      <w:tr>
        <w:trPr>
          <w:trHeight w:val="188"/>
        </w:trPr>
        <w:tc>
          <w:tcPr>
            <w:tcW w:w="862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8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88"/>
              </w:rPr>
              <w:t>11.8%</w:t>
            </w:r>
          </w:p>
        </w:tc>
        <w:tc>
          <w:tcPr>
            <w:tcW w:w="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21.8%</w:t>
            </w:r>
          </w:p>
        </w:tc>
      </w:tr>
      <w:tr>
        <w:trPr>
          <w:trHeight w:val="188"/>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of the options to convert</w:t>
            </w:r>
          </w:p>
        </w:tc>
        <w:tc>
          <w:tcPr>
            <w:tcW w:w="8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3"/>
              </w:rPr>
              <w:t>5.05</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5.50</w:t>
            </w:r>
          </w:p>
        </w:tc>
      </w:tr>
      <w:tr>
        <w:trPr>
          <w:trHeight w:val="188"/>
        </w:trPr>
        <w:tc>
          <w:tcPr>
            <w:tcW w:w="862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8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188"/>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8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change in the fair value of the Level 3 derivative warrant liabilities for the period from January 13, 2021 (inception) through June 30, 2022 is summarized as follows:</w:t>
      </w:r>
    </w:p>
    <w:p>
      <w:pPr>
        <w:sectPr>
          <w:pgSz w:w="11900" w:h="16838" w:orient="portrait"/>
          <w:cols w:equalWidth="0" w:num="1">
            <w:col w:w="11260"/>
          </w:cols>
          <w:pgMar w:left="320" w:top="69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Derivative warrant liabilities at January 13, 2021 (inception)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Issuance of Public and Private Warrants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Transfer to Level 1</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Change in fair value of derivative warrant liabilities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Derivative warrant liabilities at December 31, 2021</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6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Public</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Private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Warrants</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Warrants</w:t>
            </w:r>
          </w:p>
        </w:tc>
        <w:tc>
          <w:tcPr>
            <w:tcW w:w="220" w:type="dxa"/>
            <w:vAlign w:val="bottom"/>
          </w:tcPr>
          <w:p>
            <w:pPr>
              <w:spacing w:after="0"/>
              <w:rPr>
                <w:sz w:val="18"/>
                <w:szCs w:val="18"/>
                <w:color w:val="auto"/>
              </w:rPr>
            </w:pPr>
          </w:p>
        </w:tc>
        <w:tc>
          <w:tcPr>
            <w:tcW w:w="96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w:t>
            </w:r>
          </w:p>
        </w:tc>
      </w:tr>
      <w:tr>
        <w:trPr>
          <w:trHeight w:val="176"/>
        </w:trPr>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60" w:type="dxa"/>
            <w:vAlign w:val="bottom"/>
            <w:gridSpan w:val="2"/>
          </w:tcPr>
          <w:p>
            <w:pPr>
              <w:spacing w:after="0"/>
              <w:rPr>
                <w:sz w:val="15"/>
                <w:szCs w:val="15"/>
                <w:color w:val="auto"/>
              </w:rPr>
            </w:pPr>
          </w:p>
        </w:tc>
      </w:tr>
      <w:tr>
        <w:trPr>
          <w:trHeight w:val="188"/>
        </w:trPr>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5,948,230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9,047,530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14,995,760</w:t>
            </w:r>
          </w:p>
        </w:tc>
        <w:tc>
          <w:tcPr>
            <w:tcW w:w="40" w:type="dxa"/>
            <w:vAlign w:val="bottom"/>
          </w:tcPr>
          <w:p>
            <w:pPr>
              <w:spacing w:after="0"/>
              <w:rPr>
                <w:sz w:val="16"/>
                <w:szCs w:val="16"/>
                <w:color w:val="auto"/>
              </w:rPr>
            </w:pPr>
          </w:p>
        </w:tc>
      </w:tr>
      <w:tr>
        <w:trPr>
          <w:trHeight w:val="200"/>
        </w:trPr>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(10,455,080)</w:t>
            </w: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(10,455,080)</w:t>
            </w:r>
          </w:p>
        </w:tc>
      </w:tr>
      <w:tr>
        <w:trPr>
          <w:trHeight w:val="228"/>
        </w:trPr>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4,506,850</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6,355,320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10,862,170</w:t>
            </w:r>
          </w:p>
        </w:tc>
        <w:tc>
          <w:tcPr>
            <w:tcW w:w="4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15,402,850</w:t>
            </w: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15,402,850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6"/>
        </w:trPr>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Public</w:t>
            </w: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Private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4"/>
        </w:trPr>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Warrants</w:t>
            </w:r>
          </w:p>
        </w:tc>
        <w:tc>
          <w:tcPr>
            <w:tcW w:w="16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Warrants</w:t>
            </w:r>
          </w:p>
        </w:tc>
        <w:tc>
          <w:tcPr>
            <w:tcW w:w="220" w:type="dxa"/>
            <w:vAlign w:val="bottom"/>
          </w:tcPr>
          <w:p>
            <w:pPr>
              <w:spacing w:after="0"/>
              <w:rPr>
                <w:sz w:val="17"/>
                <w:szCs w:val="17"/>
                <w:color w:val="auto"/>
              </w:rPr>
            </w:pPr>
          </w:p>
        </w:tc>
        <w:tc>
          <w:tcPr>
            <w:tcW w:w="96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-1060450</wp:posOffset>
            </wp:positionV>
            <wp:extent cx="7150100" cy="1270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100" cy="12700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-814070</wp:posOffset>
            </wp:positionV>
            <wp:extent cx="7150100" cy="1193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-537210</wp:posOffset>
            </wp:positionV>
            <wp:extent cx="7150100" cy="156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100" cy="15684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00" w:space="720"/>
            <w:col w:w="3940"/>
          </w:cols>
          <w:pgMar w:left="320" w:top="692" w:right="3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3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32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Derivative warrant liabilities at December 31, 2021</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440"/>
              <w:spacing w:after="0" w:line="17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15,402,850</w:t>
            </w:r>
          </w:p>
        </w:tc>
        <w:tc>
          <w:tcPr>
            <w:tcW w:w="340" w:type="dxa"/>
            <w:vAlign w:val="bottom"/>
            <w:gridSpan w:val="2"/>
            <w:shd w:val="clear" w:color="auto" w:fill="CCEEFF"/>
          </w:tcPr>
          <w:p>
            <w:pPr>
              <w:jc w:val="right"/>
              <w:ind w:right="180"/>
              <w:spacing w:after="0" w:line="173"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15,402,850</w:t>
            </w:r>
          </w:p>
        </w:tc>
        <w:tc>
          <w:tcPr>
            <w:tcW w:w="0" w:type="dxa"/>
            <w:vAlign w:val="bottom"/>
          </w:tcPr>
          <w:p>
            <w:pPr>
              <w:spacing w:after="0"/>
              <w:rPr>
                <w:sz w:val="1"/>
                <w:szCs w:val="1"/>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6"/>
                <w:szCs w:val="16"/>
                <w:color w:val="auto"/>
              </w:rPr>
              <w:t>Change in fair value of derivative warrant liabilities</w:t>
            </w:r>
          </w:p>
        </w:tc>
        <w:tc>
          <w:tcPr>
            <w:tcW w:w="5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(3,135,910)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(3,135,910)</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 warrant liabilities at March 31, 2022</w:t>
            </w:r>
          </w:p>
        </w:tc>
        <w:tc>
          <w:tcPr>
            <w:tcW w:w="5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12,266,940</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12,266,940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Change in fair value of derivative warrant liabilities</w:t>
            </w:r>
          </w:p>
        </w:tc>
        <w:tc>
          <w:tcPr>
            <w:tcW w:w="5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(2,582,520)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(2,582,520)</w:t>
            </w:r>
          </w:p>
        </w:tc>
        <w:tc>
          <w:tcPr>
            <w:tcW w:w="0" w:type="dxa"/>
            <w:vAlign w:val="bottom"/>
          </w:tcPr>
          <w:p>
            <w:pPr>
              <w:spacing w:after="0"/>
              <w:rPr>
                <w:sz w:val="1"/>
                <w:szCs w:val="1"/>
                <w:color w:val="auto"/>
              </w:rPr>
            </w:pPr>
          </w:p>
        </w:tc>
      </w:tr>
      <w:tr>
        <w:trPr>
          <w:trHeight w:val="24"/>
        </w:trPr>
        <w:tc>
          <w:tcPr>
            <w:tcW w:w="7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Derivative warrant liabilities at June 30, 2022</w:t>
            </w: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6,534,420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6,534,420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Note 11-Subsequent Events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Management has evaluated subsequent events to determine if events or transactions occurring through the date the unaudited condensed financial statements were issued. Except as discussed below,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July 21, 2022, subsequent to the fiscal quarter ended June 30, 2022, OPAL Fuels Inc. consummated the previously announced Business Combination with OPAL HoldCo, and OPAL Fuels, pursuant to the Business Combination Agreement.</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$274,186,522 in the aggregate.</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Cash proceeds of the Business Combination were funded through a combination of Company cash held in trust, net of redemptions, and $110,806,000 in aggregate gross proceeds to New OPAL from the PIPE Investment.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August 4, 2022, OPAL Fuels Intermediate Holdco 2 LLC (“OPAL Intermediate Holdco 2”), a wholly-owned subsidiary the Company, entered into a new senior secured credit facility (the “Credit Agreement”) with OPAL Intermediate Holdco 2 as the Borrower, direct and indirect subsidiary of the Borrower as Guarantors, the lenders party thereto (the “Lenders”), Bank of Montreal as the administration agent, and Wilmington Trust as collateral and depositary agent. The Credit Agreement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outstanding borrowings under the Credit Agreement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type w:val="continuous"/>
        </w:sectPr>
      </w:pPr>
    </w:p>
    <w:bookmarkStart w:id="161" w:name="page162"/>
    <w:bookmarkEnd w:id="161"/>
    <w:p>
      <w:pPr>
        <w:jc w:val="center"/>
        <w:spacing w:after="0"/>
        <w:rPr>
          <w:sz w:val="20"/>
          <w:szCs w:val="20"/>
          <w:color w:val="auto"/>
        </w:rPr>
      </w:pPr>
      <w:r>
        <w:rPr>
          <w:rFonts w:ascii="Arial" w:cs="Arial" w:eastAsia="Arial" w:hAnsi="Arial"/>
          <w:sz w:val="16"/>
          <w:szCs w:val="16"/>
          <w:color w:val="auto"/>
        </w:rPr>
        <w:t>OPAL FUELS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Forward Purchase Agreement</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On July 18, 2022, the Company entered into a forward share purchase agreement (the “Purchase Agreement”) with Meteora Capital Partners and its affiliates (collectively, “Meteora”) pursuant to which, provided that so long as Meteora will have acquired from redeeming shareholders of the Company at least 1,900,000 ArcLight Class A ordinary shares as of the closing of the Company’s Business Combination with OPAL Fuels, and has not redeemed any of such the Company’s Class A ordinary shares, in connection with the Business Combination, then Meteora may elect to sell and transfer to the combined company following the Business Combination (the “Combined Company”), and the Combined Company will purchase from Meteora, on the six month anniversary of the closing of the Business Combination, up to 2,000,000 shares of Class A common stock of the Combined Company (the “Share Repurchase”) held by Meteora at the time of closing of the Business Combination (the “Meteora Shares”). Unless otherwise defined herein, capitalized terms used herein shall have the meanings ascribed thereto in the Purchase Agreement.</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price at which Meteora has the right to sell the Meteora Shares to the Combined Company is $10.02 per share. Meteora will notify the Combined Company in writing not less than five (5) business days prior to the closing date of the Share Repurchase (the “Put Date”), specifying the number of Meteora Shares that the Combined Company will be required to purchase.</w:t>
      </w:r>
    </w:p>
    <w:p>
      <w:pPr>
        <w:spacing w:after="0" w:line="16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Pursuant to the Purchase Agreement, Meteora is also permitted at its election to sell any or all of the Meteora Shares in the open market commencing after the closing of the Business Combination, so long as the sale price exceeds $10.02 per share prior to the payment of any commissions due by Meteora for such sale.</w:t>
      </w:r>
    </w:p>
    <w:p>
      <w:pPr>
        <w:spacing w:after="0" w:line="134"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Pursuant to an escrow agreement (the “Escrow Agreement”), to be entered into by and among Continental Stock Transfer and Trust Co. (“Continental”) and Meteora, to secure its purchase obligation to Meteora, at the closing of the Business Combination, the Company will place into escrow with Continental an aggregate amount of up to $20,040,000 (the “Escrow Amount”). If and when Meteora sells the Meteora Shares to any third party, an amount equal to the Combined Company’s purchase price obligation for that portion of such Meteora Shares, which Meteora sells in the open market, will be released from escrow to the Combined Company.</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exchange for the Company’s commitment to purchase the Meteora Shares on the Put Date, Meteora agrees to continue to hold, and not to redeem, the Meteora Shares prior to the closing date of the Business Combination. In consideration for Meteora’s entry into the Purchase Agreement and the transactions and covenants therein, the Company shall, at its option, (i) issue to Meteora 112,500 shares of Class A common stock of the Combined Company or (ii) pay to Meteora a cash payment in the amount of $600,000 upon consummation of the Business Combination.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ArcLight Clean Transition Corp. II</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7" w:lineRule="exact"/>
        <w:rPr>
          <w:sz w:val="20"/>
          <w:szCs w:val="20"/>
          <w:color w:val="auto"/>
        </w:rPr>
      </w:pPr>
    </w:p>
    <w:p>
      <w:pPr>
        <w:jc w:val="both"/>
        <w:ind w:firstLine="377"/>
        <w:spacing w:after="0" w:line="251" w:lineRule="auto"/>
        <w:rPr>
          <w:sz w:val="20"/>
          <w:szCs w:val="20"/>
          <w:color w:val="auto"/>
        </w:rPr>
      </w:pPr>
      <w:r>
        <w:rPr>
          <w:rFonts w:ascii="Arial" w:cs="Arial" w:eastAsia="Arial" w:hAnsi="Arial"/>
          <w:sz w:val="16"/>
          <w:szCs w:val="16"/>
          <w:color w:val="auto"/>
        </w:rPr>
        <w:t>We have audited the accompanying balance sheet of ArcLight Clean Transition Corp. II (the “Company”) as of December 31, 2021, the related statements of operations, changes in shareholders’ deficit and cash flows for the period from January 13,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January 13, 2021 (inception) through December 31, 2021,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7" w:lineRule="exact"/>
        <w:rPr>
          <w:sz w:val="20"/>
          <w:szCs w:val="20"/>
          <w:color w:val="auto"/>
        </w:rPr>
      </w:pPr>
    </w:p>
    <w:p>
      <w:pPr>
        <w:jc w:val="both"/>
        <w:ind w:firstLine="377"/>
        <w:spacing w:after="0" w:line="342"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ind w:firstLine="377"/>
        <w:spacing w:after="0" w:line="329"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2" w:lineRule="exact"/>
        <w:rPr>
          <w:sz w:val="20"/>
          <w:szCs w:val="20"/>
          <w:color w:val="auto"/>
        </w:rPr>
      </w:pPr>
    </w:p>
    <w:p>
      <w:pPr>
        <w:jc w:val="both"/>
        <w:ind w:firstLine="377"/>
        <w:spacing w:after="0" w:line="25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 Marcum LLP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Marcum LLP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2021.</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Hartford, CT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March 9, 2022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4"/>
        </w:trPr>
        <w:tc>
          <w:tcPr>
            <w:tcW w:w="10020" w:type="dxa"/>
            <w:vAlign w:val="bottom"/>
          </w:tcPr>
          <w:p>
            <w:pPr>
              <w:jc w:val="center"/>
              <w:ind w:left="1162"/>
              <w:spacing w:after="0"/>
              <w:rPr>
                <w:sz w:val="20"/>
                <w:szCs w:val="20"/>
                <w:color w:val="auto"/>
              </w:rPr>
            </w:pPr>
            <w:r>
              <w:rPr>
                <w:rFonts w:ascii="Arial" w:cs="Arial" w:eastAsia="Arial" w:hAnsi="Arial"/>
                <w:sz w:val="16"/>
                <w:szCs w:val="16"/>
                <w:b w:val="1"/>
                <w:bCs w:val="1"/>
                <w:color w:val="auto"/>
              </w:rPr>
              <w:t>ARCLIGHT CLEAN TRANSITION CORP. II</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1"/>
        </w:trPr>
        <w:tc>
          <w:tcPr>
            <w:tcW w:w="10020" w:type="dxa"/>
            <w:vAlign w:val="bottom"/>
          </w:tcPr>
          <w:p>
            <w:pPr>
              <w:jc w:val="center"/>
              <w:ind w:left="1142"/>
              <w:spacing w:after="0"/>
              <w:rPr>
                <w:sz w:val="20"/>
                <w:szCs w:val="20"/>
                <w:color w:val="auto"/>
              </w:rPr>
            </w:pPr>
            <w:r>
              <w:rPr>
                <w:rFonts w:ascii="Arial" w:cs="Arial" w:eastAsia="Arial" w:hAnsi="Arial"/>
                <w:sz w:val="16"/>
                <w:szCs w:val="16"/>
                <w:b w:val="1"/>
                <w:bCs w:val="1"/>
                <w:color w:val="auto"/>
                <w:w w:val="97"/>
              </w:rPr>
              <w:t>BALANCE SHEET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10020" w:type="dxa"/>
            <w:vAlign w:val="bottom"/>
          </w:tcPr>
          <w:p>
            <w:pPr>
              <w:jc w:val="center"/>
              <w:ind w:left="1162"/>
              <w:spacing w:after="0"/>
              <w:rPr>
                <w:sz w:val="20"/>
                <w:szCs w:val="20"/>
                <w:color w:val="auto"/>
              </w:rPr>
            </w:pPr>
            <w:r>
              <w:rPr>
                <w:rFonts w:ascii="Arial" w:cs="Arial" w:eastAsia="Arial" w:hAnsi="Arial"/>
                <w:sz w:val="16"/>
                <w:szCs w:val="16"/>
                <w:b w:val="1"/>
                <w:bCs w:val="1"/>
                <w:color w:val="auto"/>
                <w:w w:val="94"/>
              </w:rPr>
              <w:t>DECEMBER 31, 2021</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5"/>
        </w:trPr>
        <w:tc>
          <w:tcPr>
            <w:tcW w:w="100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1002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811,526</w:t>
            </w:r>
          </w:p>
        </w:tc>
        <w:tc>
          <w:tcPr>
            <w:tcW w:w="100" w:type="dxa"/>
            <w:vAlign w:val="bottom"/>
            <w:shd w:val="clear" w:color="auto" w:fill="CCEEFF"/>
          </w:tcPr>
          <w:p>
            <w:pPr>
              <w:spacing w:after="0"/>
              <w:rPr>
                <w:sz w:val="16"/>
                <w:szCs w:val="16"/>
                <w:color w:val="auto"/>
              </w:rPr>
            </w:pPr>
          </w:p>
        </w:tc>
      </w:tr>
      <w:tr>
        <w:trPr>
          <w:trHeight w:val="204"/>
        </w:trPr>
        <w:tc>
          <w:tcPr>
            <w:tcW w:w="10020" w:type="dxa"/>
            <w:vAlign w:val="bottom"/>
          </w:tcPr>
          <w:p>
            <w:pPr>
              <w:ind w:left="16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701,663</w:t>
            </w:r>
          </w:p>
        </w:tc>
        <w:tc>
          <w:tcPr>
            <w:tcW w:w="100" w:type="dxa"/>
            <w:vAlign w:val="bottom"/>
          </w:tcPr>
          <w:p>
            <w:pPr>
              <w:spacing w:after="0"/>
              <w:rPr>
                <w:sz w:val="17"/>
                <w:szCs w:val="17"/>
                <w:color w:val="auto"/>
              </w:rPr>
            </w:pPr>
          </w:p>
        </w:tc>
      </w:tr>
      <w:tr>
        <w:trPr>
          <w:trHeight w:val="188"/>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1,513,189</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159,954</w:t>
            </w:r>
          </w:p>
        </w:tc>
        <w:tc>
          <w:tcPr>
            <w:tcW w:w="100" w:type="dxa"/>
            <w:vAlign w:val="bottom"/>
          </w:tcPr>
          <w:p>
            <w:pPr>
              <w:spacing w:after="0"/>
              <w:rPr>
                <w:sz w:val="16"/>
                <w:szCs w:val="16"/>
                <w:color w:val="auto"/>
              </w:rPr>
            </w:pPr>
          </w:p>
        </w:tc>
      </w:tr>
      <w:tr>
        <w:trPr>
          <w:trHeight w:val="22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Investments held in Trust Account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311,175,471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9"/>
        </w:trPr>
        <w:tc>
          <w:tcPr>
            <w:tcW w:w="100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312,848,614</w:t>
            </w:r>
          </w:p>
        </w:tc>
        <w:tc>
          <w:tcPr>
            <w:tcW w:w="100" w:type="dxa"/>
            <w:vAlign w:val="bottom"/>
          </w:tcPr>
          <w:p>
            <w:pPr>
              <w:spacing w:after="0"/>
              <w:rPr>
                <w:sz w:val="20"/>
                <w:szCs w:val="20"/>
                <w:color w:val="auto"/>
              </w:rPr>
            </w:pPr>
          </w:p>
        </w:tc>
      </w:tr>
      <w:tr>
        <w:trPr>
          <w:trHeight w:val="184"/>
        </w:trPr>
        <w:tc>
          <w:tcPr>
            <w:tcW w:w="10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Liabilities and Shareholders’ Deficit:</w:t>
            </w: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18,764</w:t>
            </w:r>
          </w:p>
        </w:tc>
      </w:tr>
      <w:tr>
        <w:trPr>
          <w:trHeight w:val="204"/>
        </w:trPr>
        <w:tc>
          <w:tcPr>
            <w:tcW w:w="10020" w:type="dxa"/>
            <w:vAlign w:val="bottom"/>
          </w:tcPr>
          <w:p>
            <w:pPr>
              <w:ind w:left="16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7"/>
                <w:szCs w:val="17"/>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94,497</w:t>
            </w:r>
          </w:p>
        </w:tc>
      </w:tr>
      <w:tr>
        <w:trPr>
          <w:trHeight w:val="188"/>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113,261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6"/>
                <w:szCs w:val="16"/>
                <w:color w:val="auto"/>
              </w:rPr>
              <w:t>Deferred legal fees</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3,966,447</w:t>
            </w:r>
          </w:p>
        </w:tc>
        <w:tc>
          <w:tcPr>
            <w:tcW w:w="100" w:type="dxa"/>
            <w:vAlign w:val="bottom"/>
          </w:tcPr>
          <w:p>
            <w:pPr>
              <w:spacing w:after="0"/>
              <w:rPr>
                <w:sz w:val="16"/>
                <w:szCs w:val="16"/>
                <w:color w:val="auto"/>
              </w:rPr>
            </w:pP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Deferred underwriting commissions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10,890,707</w:t>
            </w:r>
          </w:p>
        </w:tc>
        <w:tc>
          <w:tcPr>
            <w:tcW w:w="100" w:type="dxa"/>
            <w:vAlign w:val="bottom"/>
            <w:shd w:val="clear" w:color="auto" w:fill="CCEEFF"/>
          </w:tcPr>
          <w:p>
            <w:pPr>
              <w:spacing w:after="0"/>
              <w:rPr>
                <w:sz w:val="16"/>
                <w:szCs w:val="16"/>
                <w:color w:val="auto"/>
              </w:rPr>
            </w:pPr>
          </w:p>
        </w:tc>
      </w:tr>
      <w:tr>
        <w:trPr>
          <w:trHeight w:val="204"/>
        </w:trPr>
        <w:tc>
          <w:tcPr>
            <w:tcW w:w="10020" w:type="dxa"/>
            <w:vAlign w:val="bottom"/>
          </w:tcPr>
          <w:p>
            <w:pPr>
              <w:spacing w:after="0"/>
              <w:rPr>
                <w:sz w:val="20"/>
                <w:szCs w:val="20"/>
                <w:color w:val="auto"/>
              </w:rPr>
            </w:pPr>
            <w:r>
              <w:rPr>
                <w:rFonts w:ascii="Arial" w:cs="Arial" w:eastAsia="Arial" w:hAnsi="Arial"/>
                <w:sz w:val="16"/>
                <w:szCs w:val="16"/>
                <w:color w:val="auto"/>
              </w:rPr>
              <w:t>Derivative warrant liabilities</w:t>
            </w: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25,795,700</w:t>
            </w:r>
          </w:p>
        </w:tc>
        <w:tc>
          <w:tcPr>
            <w:tcW w:w="100" w:type="dxa"/>
            <w:vAlign w:val="bottom"/>
          </w:tcPr>
          <w:p>
            <w:pPr>
              <w:spacing w:after="0"/>
              <w:rPr>
                <w:sz w:val="17"/>
                <w:szCs w:val="17"/>
                <w:color w:val="auto"/>
              </w:rPr>
            </w:pPr>
          </w:p>
        </w:tc>
      </w:tr>
      <w:tr>
        <w:trPr>
          <w:trHeight w:val="188"/>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40,766,115</w:t>
            </w:r>
          </w:p>
        </w:tc>
        <w:tc>
          <w:tcPr>
            <w:tcW w:w="120" w:type="dxa"/>
            <w:vAlign w:val="bottom"/>
            <w:tcBorders>
              <w:top w:val="single" w:sz="8" w:color="CCEEFF"/>
            </w:tcBorders>
            <w:gridSpan w:val="2"/>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Class A ordinary shares subject to possible redemption; 31,116,305 shares at redemption value of $10.00</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311,163,050</w:t>
            </w:r>
          </w:p>
        </w:tc>
        <w:tc>
          <w:tcPr>
            <w:tcW w:w="10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6"/>
                <w:szCs w:val="16"/>
                <w:b w:val="1"/>
                <w:bCs w:val="1"/>
                <w:color w:val="auto"/>
              </w:rPr>
              <w:t>Shareholders’ Deficit: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Preference shares, $0.0001 par value; 5,000,000 shares authorized; none issued and outstanding</w:t>
            </w: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10020" w:type="dxa"/>
            <w:vAlign w:val="bottom"/>
          </w:tcPr>
          <w:p>
            <w:pPr>
              <w:spacing w:after="0"/>
              <w:rPr>
                <w:sz w:val="20"/>
                <w:szCs w:val="20"/>
                <w:color w:val="auto"/>
              </w:rPr>
            </w:pPr>
            <w:r>
              <w:rPr>
                <w:rFonts w:ascii="Arial" w:cs="Arial" w:eastAsia="Arial" w:hAnsi="Arial"/>
                <w:sz w:val="16"/>
                <w:szCs w:val="16"/>
                <w:color w:val="auto"/>
              </w:rPr>
              <w:t>Class A ordinary shares, $0.0001 par value; 500,000,000 shares authorized; no n on-redeemable shares issued and outstanding</w:t>
            </w:r>
          </w:p>
        </w:tc>
        <w:tc>
          <w:tcPr>
            <w:tcW w:w="220" w:type="dxa"/>
            <w:vAlign w:val="bottom"/>
          </w:tcPr>
          <w:p>
            <w:pPr>
              <w:spacing w:after="0"/>
              <w:rPr>
                <w:sz w:val="16"/>
                <w:szCs w:val="16"/>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Class B ordinary shares, $0.0001 par value; 50,000,000 shares authorized; 7,779,076 shares issued and outstanding</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6"/>
                <w:szCs w:val="16"/>
                <w:color w:val="auto"/>
              </w:rPr>
            </w:pPr>
          </w:p>
        </w:tc>
      </w:tr>
      <w:tr>
        <w:trPr>
          <w:trHeight w:val="204"/>
        </w:trPr>
        <w:tc>
          <w:tcPr>
            <w:tcW w:w="10020" w:type="dxa"/>
            <w:vAlign w:val="bottom"/>
          </w:tcPr>
          <w:p>
            <w:pPr>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(39,081,329)</w:t>
            </w:r>
          </w:p>
        </w:tc>
      </w:tr>
      <w:tr>
        <w:trPr>
          <w:trHeight w:val="208"/>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shareholders’ deficit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(39,080,551</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199"/>
        </w:trPr>
        <w:tc>
          <w:tcPr>
            <w:tcW w:w="10020" w:type="dxa"/>
            <w:vAlign w:val="bottom"/>
          </w:tcPr>
          <w:p>
            <w:pPr>
              <w:spacing w:after="0"/>
              <w:rPr>
                <w:sz w:val="20"/>
                <w:szCs w:val="20"/>
                <w:color w:val="auto"/>
              </w:rPr>
            </w:pPr>
            <w:r>
              <w:rPr>
                <w:rFonts w:ascii="Arial" w:cs="Arial" w:eastAsia="Arial" w:hAnsi="Arial"/>
                <w:sz w:val="16"/>
                <w:szCs w:val="16"/>
                <w:b w:val="1"/>
                <w:bCs w:val="1"/>
                <w:color w:val="auto"/>
              </w:rPr>
              <w:t>Total Liabilities and Shareholders’ Deficit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312,848,614</w:t>
            </w:r>
          </w:p>
        </w:tc>
        <w:tc>
          <w:tcPr>
            <w:tcW w:w="10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0000" w:type="dxa"/>
            <w:vAlign w:val="bottom"/>
          </w:tcPr>
          <w:p>
            <w:pPr>
              <w:jc w:val="center"/>
              <w:ind w:left="1142"/>
              <w:spacing w:after="0"/>
              <w:rPr>
                <w:sz w:val="20"/>
                <w:szCs w:val="20"/>
                <w:color w:val="auto"/>
              </w:rPr>
            </w:pPr>
            <w:r>
              <w:rPr>
                <w:rFonts w:ascii="Arial" w:cs="Arial" w:eastAsia="Arial" w:hAnsi="Arial"/>
                <w:sz w:val="16"/>
                <w:szCs w:val="16"/>
                <w:b w:val="1"/>
                <w:bCs w:val="1"/>
                <w:color w:val="auto"/>
              </w:rPr>
              <w:t>ARCLIGHT CLEAN TRANSITION CORP. II</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0000" w:type="dxa"/>
            <w:vAlign w:val="bottom"/>
          </w:tcPr>
          <w:p>
            <w:pPr>
              <w:jc w:val="center"/>
              <w:ind w:left="1122"/>
              <w:spacing w:after="0"/>
              <w:rPr>
                <w:sz w:val="20"/>
                <w:szCs w:val="20"/>
                <w:color w:val="auto"/>
              </w:rPr>
            </w:pPr>
            <w:r>
              <w:rPr>
                <w:rFonts w:ascii="Arial" w:cs="Arial" w:eastAsia="Arial" w:hAnsi="Arial"/>
                <w:sz w:val="16"/>
                <w:szCs w:val="16"/>
                <w:b w:val="1"/>
                <w:bCs w:val="1"/>
                <w:color w:val="auto"/>
                <w:w w:val="97"/>
              </w:rPr>
              <w:t>STATEMENT OF OPERATIONS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00" w:type="dxa"/>
            <w:vAlign w:val="bottom"/>
          </w:tcPr>
          <w:p>
            <w:pPr>
              <w:jc w:val="center"/>
              <w:ind w:left="1122"/>
              <w:spacing w:after="0"/>
              <w:rPr>
                <w:sz w:val="20"/>
                <w:szCs w:val="20"/>
                <w:color w:val="auto"/>
              </w:rPr>
            </w:pPr>
            <w:r>
              <w:rPr>
                <w:rFonts w:ascii="Arial" w:cs="Arial" w:eastAsia="Arial" w:hAnsi="Arial"/>
                <w:sz w:val="16"/>
                <w:szCs w:val="16"/>
                <w:b w:val="1"/>
                <w:bCs w:val="1"/>
                <w:color w:val="auto"/>
                <w:w w:val="97"/>
              </w:rPr>
              <w:t>FOR THE PERIOD FROM JANUARY 13, 2021 (INCEPTION) THROUGH DECEMBER 31, 2021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0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4,944,523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00" w:type="dxa"/>
            <w:vAlign w:val="bottom"/>
            <w:tcBorders>
              <w:top w:val="single" w:sz="8" w:color="CCEEFF"/>
            </w:tcBorders>
          </w:tcPr>
          <w:p>
            <w:pPr>
              <w:ind w:left="140"/>
              <w:spacing w:after="0" w:line="172" w:lineRule="exact"/>
              <w:rPr>
                <w:sz w:val="20"/>
                <w:szCs w:val="20"/>
                <w:color w:val="auto"/>
              </w:rPr>
            </w:pPr>
            <w:r>
              <w:rPr>
                <w:rFonts w:ascii="Arial" w:cs="Arial" w:eastAsia="Arial" w:hAnsi="Arial"/>
                <w:sz w:val="16"/>
                <w:szCs w:val="16"/>
                <w:color w:val="auto"/>
              </w:rPr>
              <w:t>Loss from operations</w:t>
            </w: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(4,944,523)</w:t>
            </w:r>
          </w:p>
        </w:tc>
        <w:tc>
          <w:tcPr>
            <w:tcW w:w="12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140"/>
              <w:spacing w:after="0"/>
              <w:rPr>
                <w:sz w:val="20"/>
                <w:szCs w:val="20"/>
                <w:color w:val="auto"/>
              </w:rPr>
            </w:pPr>
            <w:r>
              <w:rPr>
                <w:rFonts w:ascii="Arial" w:cs="Arial" w:eastAsia="Arial" w:hAnsi="Arial"/>
                <w:sz w:val="16"/>
                <w:szCs w:val="16"/>
                <w:color w:val="auto"/>
              </w:rPr>
              <w:t>Change in fair value of derivative warrant liabilities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(10,799,940)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Financing costs – warrant liabilities</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(462,620)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00" w:type="dxa"/>
            <w:vAlign w:val="bottom"/>
          </w:tcPr>
          <w:p>
            <w:pPr>
              <w:ind w:left="140"/>
              <w:spacing w:after="0"/>
              <w:rPr>
                <w:sz w:val="20"/>
                <w:szCs w:val="20"/>
                <w:color w:val="auto"/>
              </w:rPr>
            </w:pPr>
            <w:r>
              <w:rPr>
                <w:rFonts w:ascii="Arial" w:cs="Arial" w:eastAsia="Arial" w:hAnsi="Arial"/>
                <w:sz w:val="16"/>
                <w:szCs w:val="16"/>
                <w:color w:val="auto"/>
              </w:rPr>
              <w:t>Net gain on investments held in Trust Account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12,421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(11,250,139</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(16,194,662</w:t>
            </w:r>
          </w:p>
        </w:tc>
        <w:tc>
          <w:tcPr>
            <w:tcW w:w="12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0" w:type="dxa"/>
            <w:vAlign w:val="bottom"/>
            <w:tcBorders>
              <w:top w:val="single" w:sz="8" w:color="CCEEFF"/>
              <w:bottom w:val="single" w:sz="8" w:color="CCEEFF"/>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Weighted average shares outstanding of Class A ordinary shares, basic and diluted</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25,360,688</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vMerge w:val="restart"/>
          </w:tcPr>
          <w:p>
            <w:pPr>
              <w:spacing w:after="0"/>
              <w:rPr>
                <w:sz w:val="20"/>
                <w:szCs w:val="20"/>
                <w:color w:val="auto"/>
              </w:rPr>
            </w:pPr>
            <w:r>
              <w:rPr>
                <w:rFonts w:ascii="Arial" w:cs="Arial" w:eastAsia="Arial" w:hAnsi="Arial"/>
                <w:sz w:val="16"/>
                <w:szCs w:val="16"/>
                <w:b w:val="1"/>
                <w:bCs w:val="1"/>
                <w:color w:val="auto"/>
              </w:rPr>
              <w:t>Basic and diluted net (loss) per ordinary share</w:t>
            </w: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1000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0" w:type="dxa"/>
            <w:vAlign w:val="bottom"/>
            <w:tcBorders>
              <w:bottom w:val="single" w:sz="8" w:color="CCEEFF"/>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Weighted average shares outstanding of Class B ordinary shares, basic and diluted</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7,611,848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vMerge w:val="restart"/>
          </w:tcPr>
          <w:p>
            <w:pPr>
              <w:spacing w:after="0"/>
              <w:rPr>
                <w:sz w:val="20"/>
                <w:szCs w:val="20"/>
                <w:color w:val="auto"/>
              </w:rPr>
            </w:pPr>
            <w:r>
              <w:rPr>
                <w:rFonts w:ascii="Arial" w:cs="Arial" w:eastAsia="Arial" w:hAnsi="Arial"/>
                <w:sz w:val="16"/>
                <w:szCs w:val="16"/>
                <w:b w:val="1"/>
                <w:bCs w:val="1"/>
                <w:color w:val="auto"/>
              </w:rPr>
              <w:t>Basic and diluted net (loss) per ordinary share</w:t>
            </w: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16"/>
          <w:szCs w:val="16"/>
          <w:b w:val="1"/>
          <w:bCs w:val="1"/>
          <w:color w:val="auto"/>
        </w:rPr>
        <w:t>ARCLIGHT CLEAN TRANSITION CORP. II</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 OF CHANGES IN SHAREHOLDERS’ DEFICIT</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PERIOD FROM JANUARY 13, 2021 (INCEPTION) THROUGH DECEMBER 31,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ind w:left="460"/>
              <w:spacing w:after="0"/>
              <w:rPr>
                <w:sz w:val="20"/>
                <w:szCs w:val="20"/>
                <w:color w:val="auto"/>
              </w:rPr>
            </w:pPr>
            <w:r>
              <w:rPr>
                <w:rFonts w:ascii="Arial" w:cs="Arial" w:eastAsia="Arial" w:hAnsi="Arial"/>
                <w:sz w:val="16"/>
                <w:szCs w:val="16"/>
                <w:b w:val="1"/>
                <w:bCs w:val="1"/>
                <w:color w:val="auto"/>
              </w:rPr>
              <w:t>Ordinary Shares</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8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w w:val="95"/>
              </w:rPr>
              <w:t>Class A</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Class B</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7"/>
              </w:rPr>
              <w:t>Accumulated</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Shareholders’</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ind w:left="34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2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Amount</w:t>
            </w:r>
          </w:p>
        </w:tc>
        <w:tc>
          <w:tcPr>
            <w:tcW w:w="14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68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w w:val="99"/>
              </w:rPr>
              <w:t>Balance – January 13,</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2021 (inception)</w:t>
            </w:r>
          </w:p>
        </w:tc>
        <w:tc>
          <w:tcPr>
            <w:tcW w:w="114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7"/>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Pr>
          <w:p>
            <w:pPr>
              <w:spacing w:after="0" w:line="176" w:lineRule="exact"/>
              <w:rPr>
                <w:sz w:val="20"/>
                <w:szCs w:val="20"/>
                <w:color w:val="auto"/>
              </w:rPr>
            </w:pPr>
            <w:r>
              <w:rPr>
                <w:rFonts w:ascii="Arial" w:cs="Arial" w:eastAsia="Arial" w:hAnsi="Arial"/>
                <w:sz w:val="16"/>
                <w:szCs w:val="16"/>
                <w:color w:val="auto"/>
              </w:rPr>
              <w:t>Issuance of Class B</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80" w:type="dxa"/>
            <w:vAlign w:val="bottom"/>
          </w:tcPr>
          <w:p>
            <w:pPr>
              <w:ind w:left="140"/>
              <w:spacing w:after="0"/>
              <w:rPr>
                <w:sz w:val="20"/>
                <w:szCs w:val="20"/>
                <w:color w:val="auto"/>
              </w:rPr>
            </w:pPr>
            <w:r>
              <w:rPr>
                <w:rFonts w:ascii="Arial" w:cs="Arial" w:eastAsia="Arial" w:hAnsi="Arial"/>
                <w:sz w:val="16"/>
                <w:szCs w:val="16"/>
                <w:color w:val="auto"/>
              </w:rPr>
              <w:t>ordinary shares to</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80" w:type="dxa"/>
            <w:vAlign w:val="bottom"/>
          </w:tcPr>
          <w:p>
            <w:pPr>
              <w:ind w:left="140"/>
              <w:spacing w:after="0"/>
              <w:rPr>
                <w:sz w:val="20"/>
                <w:szCs w:val="20"/>
                <w:color w:val="auto"/>
              </w:rPr>
            </w:pPr>
            <w:r>
              <w:rPr>
                <w:rFonts w:ascii="Arial" w:cs="Arial" w:eastAsia="Arial" w:hAnsi="Arial"/>
                <w:sz w:val="16"/>
                <w:szCs w:val="16"/>
                <w:color w:val="auto"/>
              </w:rPr>
              <w:t>Sponsor</w:t>
            </w:r>
          </w:p>
        </w:tc>
        <w:tc>
          <w:tcPr>
            <w:tcW w:w="1140" w:type="dxa"/>
            <w:vAlign w:val="bottom"/>
          </w:tcPr>
          <w:p>
            <w:pPr>
              <w:ind w:left="9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7,906,250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791</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24,209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6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Accretion on Class A</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ordinary shares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subject to possible</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redemption</w:t>
            </w:r>
          </w:p>
        </w:tc>
        <w:tc>
          <w:tcPr>
            <w:tcW w:w="114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(199,953)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(22,886,667)</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(23,086,620)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Pr>
          <w:p>
            <w:pPr>
              <w:spacing w:after="0" w:line="176" w:lineRule="exact"/>
              <w:rPr>
                <w:sz w:val="20"/>
                <w:szCs w:val="20"/>
                <w:color w:val="auto"/>
              </w:rPr>
            </w:pPr>
            <w:r>
              <w:rPr>
                <w:rFonts w:ascii="Arial" w:cs="Arial" w:eastAsia="Arial" w:hAnsi="Arial"/>
                <w:sz w:val="16"/>
                <w:szCs w:val="16"/>
                <w:color w:val="auto"/>
              </w:rPr>
              <w:t>Sale of private</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80" w:type="dxa"/>
            <w:vAlign w:val="bottom"/>
          </w:tcPr>
          <w:p>
            <w:pPr>
              <w:ind w:left="140"/>
              <w:spacing w:after="0"/>
              <w:rPr>
                <w:sz w:val="20"/>
                <w:szCs w:val="20"/>
                <w:color w:val="auto"/>
              </w:rPr>
            </w:pPr>
            <w:r>
              <w:rPr>
                <w:rFonts w:ascii="Arial" w:cs="Arial" w:eastAsia="Arial" w:hAnsi="Arial"/>
                <w:sz w:val="16"/>
                <w:szCs w:val="16"/>
                <w:color w:val="auto"/>
                <w:w w:val="96"/>
              </w:rPr>
              <w:t>placement warrants to</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80" w:type="dxa"/>
            <w:vAlign w:val="bottom"/>
          </w:tcPr>
          <w:p>
            <w:pPr>
              <w:ind w:left="140"/>
              <w:spacing w:after="0"/>
              <w:rPr>
                <w:sz w:val="20"/>
                <w:szCs w:val="20"/>
                <w:color w:val="auto"/>
              </w:rPr>
            </w:pPr>
            <w:r>
              <w:rPr>
                <w:rFonts w:ascii="Arial" w:cs="Arial" w:eastAsia="Arial" w:hAnsi="Arial"/>
                <w:sz w:val="16"/>
                <w:szCs w:val="16"/>
                <w:color w:val="auto"/>
              </w:rPr>
              <w:t>Sponsor less fair</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80" w:type="dxa"/>
            <w:vAlign w:val="bottom"/>
          </w:tcPr>
          <w:p>
            <w:pPr>
              <w:ind w:left="140"/>
              <w:spacing w:after="0"/>
              <w:rPr>
                <w:sz w:val="20"/>
                <w:szCs w:val="20"/>
                <w:color w:val="auto"/>
              </w:rPr>
            </w:pPr>
            <w:r>
              <w:rPr>
                <w:rFonts w:ascii="Arial" w:cs="Arial" w:eastAsia="Arial" w:hAnsi="Arial"/>
                <w:sz w:val="16"/>
                <w:szCs w:val="16"/>
                <w:color w:val="auto"/>
              </w:rPr>
              <w:t>value of private</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80" w:type="dxa"/>
            <w:vAlign w:val="bottom"/>
          </w:tcPr>
          <w:p>
            <w:pPr>
              <w:ind w:left="140"/>
              <w:spacing w:after="0"/>
              <w:rPr>
                <w:sz w:val="20"/>
                <w:szCs w:val="20"/>
                <w:color w:val="auto"/>
              </w:rPr>
            </w:pPr>
            <w:r>
              <w:rPr>
                <w:rFonts w:ascii="Arial" w:cs="Arial" w:eastAsia="Arial" w:hAnsi="Arial"/>
                <w:sz w:val="16"/>
                <w:szCs w:val="16"/>
                <w:color w:val="auto"/>
              </w:rPr>
              <w:t>warrants</w:t>
            </w:r>
          </w:p>
        </w:tc>
        <w:tc>
          <w:tcPr>
            <w:tcW w:w="1140" w:type="dxa"/>
            <w:vAlign w:val="bottom"/>
          </w:tcPr>
          <w:p>
            <w:pPr>
              <w:ind w:left="9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175,731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175,731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6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Forfeiture of Class B</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ordinary shares from</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Sponsor</w:t>
            </w:r>
          </w:p>
        </w:tc>
        <w:tc>
          <w:tcPr>
            <w:tcW w:w="114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(127,174)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tcPr>
          <w:p>
            <w:pPr>
              <w:ind w:left="9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(16,194,662)</w:t>
            </w:r>
          </w:p>
        </w:tc>
        <w:tc>
          <w:tcPr>
            <w:tcW w:w="1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(16,194,662)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6"/>
                <w:szCs w:val="16"/>
                <w:b w:val="1"/>
                <w:bCs w:val="1"/>
                <w:color w:val="auto"/>
              </w:rPr>
              <w:t>Balance –</w:t>
            </w: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December 31, 2021</w:t>
            </w:r>
          </w:p>
        </w:tc>
        <w:tc>
          <w:tcPr>
            <w:tcW w:w="1140" w:type="dxa"/>
            <w:vAlign w:val="bottom"/>
            <w:shd w:val="clear" w:color="auto" w:fill="CCEEFF"/>
          </w:tcPr>
          <w:p>
            <w:pPr>
              <w:ind w:left="980"/>
              <w:spacing w:after="0"/>
              <w:rPr>
                <w:sz w:val="20"/>
                <w:szCs w:val="20"/>
                <w:color w:val="auto"/>
              </w:rPr>
            </w:pPr>
            <w:r>
              <w:rPr>
                <w:rFonts w:ascii="Arial" w:cs="Arial" w:eastAsia="Arial" w:hAnsi="Arial"/>
                <w:sz w:val="16"/>
                <w:szCs w:val="16"/>
                <w:b w:val="1"/>
                <w:bCs w:val="1"/>
                <w:color w:val="auto"/>
                <w:w w:val="87"/>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7,779,076</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CCEEFF"/>
          </w:tcPr>
          <w:p>
            <w:pPr>
              <w:jc w:val="right"/>
              <w:ind w:right="160"/>
              <w:spacing w:after="0" w:line="240" w:lineRule="exact"/>
              <w:rPr>
                <w:sz w:val="20"/>
                <w:szCs w:val="20"/>
                <w:color w:val="auto"/>
              </w:rPr>
            </w:pPr>
            <w:r>
              <w:rPr>
                <w:rFonts w:ascii="Arial" w:cs="Arial" w:eastAsia="Arial" w:hAnsi="Arial"/>
                <w:sz w:val="14"/>
                <w:szCs w:val="14"/>
                <w:b w:val="1"/>
                <w:bCs w:val="1"/>
                <w:color w:val="auto"/>
              </w:rPr>
              <w:t>(39,081,329</w:t>
            </w:r>
            <w:r>
              <w:rPr>
                <w:rFonts w:ascii="Arial" w:cs="Arial" w:eastAsia="Arial" w:hAnsi="Arial"/>
                <w:sz w:val="27"/>
                <w:szCs w:val="27"/>
                <w:b w:val="1"/>
                <w:bCs w:val="1"/>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60"/>
              <w:spacing w:after="0" w:line="240" w:lineRule="exact"/>
              <w:rPr>
                <w:sz w:val="20"/>
                <w:szCs w:val="20"/>
                <w:color w:val="auto"/>
              </w:rPr>
            </w:pPr>
            <w:r>
              <w:rPr>
                <w:rFonts w:ascii="Arial" w:cs="Arial" w:eastAsia="Arial" w:hAnsi="Arial"/>
                <w:sz w:val="14"/>
                <w:szCs w:val="14"/>
                <w:b w:val="1"/>
                <w:bCs w:val="1"/>
                <w:color w:val="auto"/>
              </w:rPr>
              <w:t>(39,080,551</w:t>
            </w:r>
            <w:r>
              <w:rPr>
                <w:rFonts w:ascii="Arial" w:cs="Arial" w:eastAsia="Arial" w:hAnsi="Arial"/>
                <w:sz w:val="27"/>
                <w:szCs w:val="27"/>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66" w:name="page167"/>
    <w:bookmarkEnd w:id="166"/>
    <w:p>
      <w:pPr>
        <w:jc w:val="center"/>
        <w:ind w:left="1940"/>
        <w:spacing w:after="0"/>
        <w:rPr>
          <w:sz w:val="20"/>
          <w:szCs w:val="20"/>
          <w:color w:val="auto"/>
        </w:rPr>
      </w:pPr>
      <w:r>
        <w:rPr>
          <w:rFonts w:ascii="Arial" w:cs="Arial" w:eastAsia="Arial" w:hAnsi="Arial"/>
          <w:sz w:val="16"/>
          <w:szCs w:val="16"/>
          <w:b w:val="1"/>
          <w:bCs w:val="1"/>
          <w:color w:val="auto"/>
        </w:rPr>
        <w:t>ARCLIGHT CLEAN TRANSITION CORP. II</w:t>
      </w:r>
    </w:p>
    <w:p>
      <w:pPr>
        <w:spacing w:after="0" w:line="193"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STATEMENT OF CASH FLOWS</w:t>
      </w:r>
    </w:p>
    <w:p>
      <w:pPr>
        <w:spacing w:after="0" w:line="20" w:lineRule="exact"/>
        <w:rPr>
          <w:sz w:val="20"/>
          <w:szCs w:val="20"/>
          <w:color w:val="auto"/>
        </w:rPr>
      </w:pPr>
    </w:p>
    <w:p>
      <w:pPr>
        <w:jc w:val="center"/>
        <w:ind w:left="1940"/>
        <w:spacing w:after="0"/>
        <w:rPr>
          <w:sz w:val="20"/>
          <w:szCs w:val="20"/>
          <w:color w:val="auto"/>
        </w:rPr>
      </w:pPr>
      <w:r>
        <w:rPr>
          <w:rFonts w:ascii="Arial" w:cs="Arial" w:eastAsia="Arial" w:hAnsi="Arial"/>
          <w:sz w:val="15"/>
          <w:szCs w:val="15"/>
          <w:b w:val="1"/>
          <w:bCs w:val="1"/>
          <w:color w:val="auto"/>
        </w:rPr>
        <w:t>FOR THE PERIOD FROM JANUARY 13, 2021 (INCEPTION) THROUGH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General and administrative expenses paid by related party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General and administrative expenses paid by related party under promissory note</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Change in fair value of 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Financing costs – warrant liabilities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gain on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Changes in operating assets and liabilities: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Accounts payable</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Deferred legal fees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0100" cy="149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100" cy="14986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Cash deposited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42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100" cy="14224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50100" cy="134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Proceeds from note payable to related party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Proceeds received from initial public offering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Offering costs paid</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0100" cy="149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100" cy="14986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increase in cash</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42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100" cy="142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7150100" cy="142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100" cy="14224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Offering costs included in accounts payable</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Offering costs paid by related party under promissory note</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underwriting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Forfeiture of Class B ordinary shares from Sponsor</w:t>
      </w:r>
    </w:p>
    <w:p>
      <w:pPr>
        <w:spacing w:after="0" w:line="181" w:lineRule="exact"/>
        <w:rPr>
          <w:sz w:val="20"/>
          <w:szCs w:val="20"/>
          <w:color w:val="auto"/>
        </w:rPr>
      </w:pPr>
    </w:p>
    <w:p>
      <w:pPr>
        <w:ind w:left="3280"/>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8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0" w:hanging="351"/>
        <w:spacing w:after="0"/>
        <w:tabs>
          <w:tab w:leader="none" w:pos="3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(16,194,662)</w:t>
      </w:r>
    </w:p>
    <w:p>
      <w:pPr>
        <w:spacing w:after="0" w:line="22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25,000</w:t>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26,800</w:t>
      </w:r>
    </w:p>
    <w:p>
      <w:pPr>
        <w:spacing w:after="0" w:line="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10,799,940</w:t>
      </w:r>
    </w:p>
    <w:p>
      <w:pPr>
        <w:spacing w:after="0" w:line="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462,620</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(12,421)</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(861,617)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(181,236)</w:t>
      </w:r>
    </w:p>
    <w:p>
      <w:pPr>
        <w:spacing w:after="0" w:line="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24,497</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3,966,447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(1,944,632)</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(311,163,050)</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(311,163,050)</w:t>
      </w:r>
    </w:p>
    <w:p>
      <w:pPr>
        <w:spacing w:after="0" w:line="228"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100</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(171,742)</w:t>
      </w:r>
    </w:p>
    <w:p>
      <w:pPr>
        <w:spacing w:after="0" w:line="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311,163,050</w:t>
      </w:r>
    </w:p>
    <w:p>
      <w:pPr>
        <w:spacing w:after="0" w:line="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9,223,261</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(6,295,461)</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313,919,208</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811,526</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p>
    <w:p>
      <w:pPr>
        <w:spacing w:after="0" w:line="48" w:lineRule="exact"/>
        <w:rPr>
          <w:sz w:val="20"/>
          <w:szCs w:val="20"/>
          <w:color w:val="auto"/>
        </w:rPr>
      </w:pPr>
    </w:p>
    <w:p>
      <w:pPr>
        <w:ind w:left="620" w:hanging="611"/>
        <w:spacing w:after="0"/>
        <w:tabs>
          <w:tab w:leader="none" w:pos="62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811,526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71056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0565" cy="15240"/>
                    </a:xfrm>
                    <a:prstGeom prst="rect">
                      <a:avLst/>
                    </a:prstGeom>
                    <a:noFill/>
                  </pic:spPr>
                </pic:pic>
              </a:graphicData>
            </a:graphic>
          </wp:anchor>
        </w:drawing>
      </w:r>
    </w:p>
    <w:p>
      <w:pPr>
        <w:spacing w:after="0" w:line="247" w:lineRule="exact"/>
        <w:rPr>
          <w:sz w:val="20"/>
          <w:szCs w:val="20"/>
          <w:color w:val="auto"/>
        </w:rPr>
      </w:pPr>
    </w:p>
    <w:p>
      <w:pPr>
        <w:ind w:left="620" w:hanging="611"/>
        <w:spacing w:after="0"/>
        <w:tabs>
          <w:tab w:leader="none" w:pos="6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200,000</w:t>
      </w:r>
    </w:p>
    <w:p>
      <w:pPr>
        <w:spacing w:after="0" w:line="27" w:lineRule="exact"/>
        <w:rPr>
          <w:sz w:val="20"/>
          <w:szCs w:val="20"/>
          <w:color w:val="auto"/>
        </w:rPr>
      </w:pPr>
    </w:p>
    <w:p>
      <w:pPr>
        <w:ind w:left="700" w:hanging="691"/>
        <w:spacing w:after="0"/>
        <w:tabs>
          <w:tab w:leader="none" w:pos="7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70,000</w:t>
      </w:r>
    </w:p>
    <w:p>
      <w:pPr>
        <w:spacing w:after="0" w:line="16" w:lineRule="exact"/>
        <w:rPr>
          <w:sz w:val="20"/>
          <w:szCs w:val="20"/>
          <w:color w:val="auto"/>
        </w:rPr>
      </w:pPr>
    </w:p>
    <w:p>
      <w:pPr>
        <w:ind w:left="620" w:hanging="611"/>
        <w:spacing w:after="0"/>
        <w:tabs>
          <w:tab w:leader="none" w:pos="62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144,842</w:t>
      </w:r>
    </w:p>
    <w:p>
      <w:pPr>
        <w:spacing w:after="0" w:line="16" w:lineRule="exact"/>
        <w:rPr>
          <w:sz w:val="20"/>
          <w:szCs w:val="20"/>
          <w:color w:val="auto"/>
        </w:rPr>
      </w:pPr>
    </w:p>
    <w:p>
      <w:pPr>
        <w:ind w:left="420" w:hanging="411"/>
        <w:spacing w:after="0"/>
        <w:tabs>
          <w:tab w:leader="none" w:pos="42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10,890,707</w:t>
      </w:r>
    </w:p>
    <w:p>
      <w:pPr>
        <w:spacing w:after="0" w:line="15" w:lineRule="exact"/>
        <w:rPr>
          <w:rFonts w:ascii="Arial" w:cs="Arial" w:eastAsia="Arial" w:hAnsi="Arial"/>
          <w:sz w:val="15"/>
          <w:szCs w:val="15"/>
          <w:color w:val="auto"/>
        </w:rPr>
      </w:pPr>
    </w:p>
    <w:p>
      <w:pPr>
        <w:ind w:left="980" w:hanging="971"/>
        <w:spacing w:after="0"/>
        <w:tabs>
          <w:tab w:leader="none" w:pos="9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13</w:t>
      </w:r>
    </w:p>
    <w:p>
      <w:pPr>
        <w:sectPr>
          <w:pgSz w:w="11900" w:h="16838" w:orient="portrait"/>
          <w:cols w:equalWidth="0" w:num="2">
            <w:col w:w="9300" w:space="720"/>
            <w:col w:w="1180"/>
          </w:cols>
          <w:pgMar w:left="320" w:top="688" w:right="37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Description of Organization and Business Operations</w:t>
      </w:r>
    </w:p>
    <w:p>
      <w:pPr>
        <w:spacing w:after="0" w:line="197" w:lineRule="exact"/>
        <w:rPr>
          <w:sz w:val="20"/>
          <w:szCs w:val="20"/>
          <w:color w:val="auto"/>
        </w:rPr>
      </w:pPr>
    </w:p>
    <w:p>
      <w:pPr>
        <w:jc w:val="both"/>
        <w:ind w:right="20" w:firstLine="377"/>
        <w:spacing w:after="0" w:line="256" w:lineRule="auto"/>
        <w:rPr>
          <w:sz w:val="20"/>
          <w:szCs w:val="20"/>
          <w:color w:val="auto"/>
        </w:rPr>
      </w:pPr>
      <w:r>
        <w:rPr>
          <w:rFonts w:ascii="Arial" w:cs="Arial" w:eastAsia="Arial" w:hAnsi="Arial"/>
          <w:sz w:val="16"/>
          <w:szCs w:val="16"/>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finalized (“Business Combination”).</w:t>
      </w:r>
    </w:p>
    <w:p>
      <w:pPr>
        <w:spacing w:after="0" w:line="165" w:lineRule="exact"/>
        <w:rPr>
          <w:sz w:val="20"/>
          <w:szCs w:val="20"/>
          <w:color w:val="auto"/>
        </w:rPr>
      </w:pPr>
    </w:p>
    <w:p>
      <w:pPr>
        <w:jc w:val="both"/>
        <w:ind w:right="20" w:firstLine="377"/>
        <w:spacing w:after="0" w:line="251" w:lineRule="auto"/>
        <w:rPr>
          <w:sz w:val="20"/>
          <w:szCs w:val="20"/>
          <w:color w:val="auto"/>
        </w:rPr>
      </w:pPr>
      <w:r>
        <w:rPr>
          <w:rFonts w:ascii="Arial" w:cs="Arial" w:eastAsia="Arial" w:hAnsi="Arial"/>
          <w:sz w:val="16"/>
          <w:szCs w:val="16"/>
          <w:color w:val="auto"/>
        </w:rPr>
        <w:t>As of December 31, 2021, the Company had not yet commenced operations. All activity for the period from January 13, 2021 (inception) through December 31,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69" w:lineRule="exact"/>
        <w:rPr>
          <w:sz w:val="20"/>
          <w:szCs w:val="20"/>
          <w:color w:val="auto"/>
        </w:rPr>
      </w:pPr>
    </w:p>
    <w:p>
      <w:pPr>
        <w:jc w:val="both"/>
        <w:ind w:firstLine="377"/>
        <w:spacing w:after="0" w:line="271" w:lineRule="auto"/>
        <w:rPr>
          <w:sz w:val="20"/>
          <w:szCs w:val="20"/>
          <w:color w:val="auto"/>
        </w:rPr>
      </w:pPr>
      <w:r>
        <w:rPr>
          <w:rFonts w:ascii="Arial" w:cs="Arial" w:eastAsia="Arial" w:hAnsi="Arial"/>
          <w:sz w:val="15"/>
          <w:szCs w:val="15"/>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57"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65" w:lineRule="exact"/>
        <w:rPr>
          <w:sz w:val="20"/>
          <w:szCs w:val="20"/>
          <w:color w:val="auto"/>
        </w:rPr>
      </w:pPr>
    </w:p>
    <w:p>
      <w:pPr>
        <w:jc w:val="both"/>
        <w:ind w:firstLine="377"/>
        <w:spacing w:after="0" w:line="249"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74" w:lineRule="exact"/>
        <w:rPr>
          <w:sz w:val="20"/>
          <w:szCs w:val="20"/>
          <w:color w:val="auto"/>
        </w:rPr>
      </w:pPr>
    </w:p>
    <w:p>
      <w:pPr>
        <w:jc w:val="both"/>
        <w:ind w:firstLine="377"/>
        <w:spacing w:after="0" w:line="249"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 Description of Organization and Business Operations </w:t>
      </w:r>
      <w:r>
        <w:rPr>
          <w:rFonts w:ascii="Arial" w:cs="Arial" w:eastAsia="Arial" w:hAnsi="Arial"/>
          <w:sz w:val="16"/>
          <w:szCs w:val="16"/>
          <w:color w:val="auto"/>
        </w:rPr>
        <w:t>(cont.)</w:t>
      </w:r>
    </w:p>
    <w:p>
      <w:pPr>
        <w:spacing w:after="0" w:line="197" w:lineRule="exact"/>
        <w:rPr>
          <w:sz w:val="20"/>
          <w:szCs w:val="20"/>
          <w:color w:val="auto"/>
        </w:rPr>
      </w:pPr>
    </w:p>
    <w:p>
      <w:pPr>
        <w:jc w:val="both"/>
        <w:ind w:firstLine="377"/>
        <w:spacing w:after="0" w:line="307" w:lineRule="auto"/>
        <w:rPr>
          <w:sz w:val="20"/>
          <w:szCs w:val="20"/>
          <w:color w:val="auto"/>
        </w:rPr>
      </w:pPr>
      <w:r>
        <w:rPr>
          <w:rFonts w:ascii="Arial" w:cs="Arial" w:eastAsia="Arial" w:hAnsi="Arial"/>
          <w:sz w:val="13"/>
          <w:szCs w:val="13"/>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200" w:lineRule="exact"/>
        <w:rPr>
          <w:sz w:val="20"/>
          <w:szCs w:val="20"/>
          <w:color w:val="auto"/>
        </w:rPr>
      </w:pPr>
    </w:p>
    <w:p>
      <w:pPr>
        <w:spacing w:after="0" w:line="315" w:lineRule="exact"/>
        <w:rPr>
          <w:sz w:val="20"/>
          <w:szCs w:val="20"/>
          <w:color w:val="auto"/>
        </w:rPr>
      </w:pPr>
    </w:p>
    <w:p>
      <w:pPr>
        <w:jc w:val="both"/>
        <w:ind w:firstLine="377"/>
        <w:spacing w:after="0" w:line="252"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69" w:lineRule="exact"/>
        <w:rPr>
          <w:sz w:val="20"/>
          <w:szCs w:val="20"/>
          <w:color w:val="auto"/>
        </w:rPr>
      </w:pPr>
    </w:p>
    <w:p>
      <w:pPr>
        <w:jc w:val="both"/>
        <w:ind w:firstLine="377"/>
        <w:spacing w:after="0" w:line="252" w:lineRule="auto"/>
        <w:rPr>
          <w:sz w:val="20"/>
          <w:szCs w:val="20"/>
          <w:color w:val="auto"/>
        </w:rPr>
      </w:pPr>
      <w:r>
        <w:rPr>
          <w:rFonts w:ascii="Arial" w:cs="Arial" w:eastAsia="Arial" w:hAnsi="Arial"/>
          <w:sz w:val="16"/>
          <w:szCs w:val="16"/>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69" w:lineRule="exact"/>
        <w:rPr>
          <w:sz w:val="20"/>
          <w:szCs w:val="20"/>
          <w:color w:val="auto"/>
        </w:rPr>
      </w:pPr>
    </w:p>
    <w:p>
      <w:pPr>
        <w:jc w:val="both"/>
        <w:ind w:right="20" w:firstLine="377"/>
        <w:spacing w:after="0" w:line="248"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69" w:name="page170"/>
    <w:bookmarkEnd w:id="169"/>
    <w:p>
      <w:pPr>
        <w:jc w:val="center"/>
        <w:ind w:right="-5"/>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Note 1 — Description of Organization and Business Operations </w:t>
      </w:r>
      <w:r>
        <w:rPr>
          <w:rFonts w:ascii="Arial" w:cs="Arial" w:eastAsia="Arial" w:hAnsi="Arial"/>
          <w:sz w:val="16"/>
          <w:szCs w:val="16"/>
          <w:color w:val="auto"/>
        </w:rPr>
        <w:t>(cont.)</w:t>
      </w:r>
    </w:p>
    <w:p>
      <w:pPr>
        <w:spacing w:after="0" w:line="197" w:lineRule="exact"/>
        <w:rPr>
          <w:sz w:val="20"/>
          <w:szCs w:val="20"/>
          <w:color w:val="auto"/>
        </w:rPr>
      </w:pPr>
    </w:p>
    <w:p>
      <w:pPr>
        <w:jc w:val="both"/>
        <w:ind w:left="6" w:right="20" w:firstLine="377"/>
        <w:spacing w:after="0" w:line="256"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65" w:lineRule="exact"/>
        <w:rPr>
          <w:sz w:val="20"/>
          <w:szCs w:val="20"/>
          <w:color w:val="auto"/>
        </w:rPr>
      </w:pPr>
    </w:p>
    <w:p>
      <w:pPr>
        <w:jc w:val="both"/>
        <w:ind w:left="6" w:firstLine="377"/>
        <w:spacing w:after="0" w:line="304" w:lineRule="auto"/>
        <w:rPr>
          <w:sz w:val="20"/>
          <w:szCs w:val="20"/>
          <w:color w:val="auto"/>
        </w:rPr>
      </w:pPr>
      <w:r>
        <w:rPr>
          <w:rFonts w:ascii="Arial" w:cs="Arial" w:eastAsia="Arial" w:hAnsi="Arial"/>
          <w:sz w:val="13"/>
          <w:szCs w:val="13"/>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w:t>
      </w:r>
    </w:p>
    <w:p>
      <w:pPr>
        <w:spacing w:after="0" w:line="3" w:lineRule="exact"/>
        <w:rPr>
          <w:sz w:val="20"/>
          <w:szCs w:val="20"/>
          <w:color w:val="auto"/>
        </w:rPr>
      </w:pPr>
    </w:p>
    <w:p>
      <w:pPr>
        <w:jc w:val="both"/>
        <w:ind w:left="6" w:hanging="6"/>
        <w:spacing w:after="0" w:line="311" w:lineRule="auto"/>
        <w:tabs>
          <w:tab w:leader="none" w:pos="194" w:val="left"/>
        </w:tabs>
        <w:numPr>
          <w:ilvl w:val="0"/>
          <w:numId w:val="105"/>
        </w:numPr>
        <w:rPr>
          <w:rFonts w:ascii="Arial" w:cs="Arial" w:eastAsia="Arial" w:hAnsi="Arial"/>
          <w:sz w:val="13"/>
          <w:szCs w:val="13"/>
          <w:color w:val="auto"/>
        </w:rPr>
      </w:pPr>
      <w:r>
        <w:rPr>
          <w:rFonts w:ascii="Arial" w:cs="Arial" w:eastAsia="Arial" w:hAnsi="Arial"/>
          <w:sz w:val="13"/>
          <w:szCs w:val="13"/>
          <w:color w:val="auto"/>
        </w:rPr>
        <w:t>$10.00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Proposed Business Combination</w:t>
      </w:r>
    </w:p>
    <w:p>
      <w:pPr>
        <w:spacing w:after="0" w:line="193" w:lineRule="exact"/>
        <w:rPr>
          <w:sz w:val="20"/>
          <w:szCs w:val="20"/>
          <w:color w:val="auto"/>
        </w:rPr>
      </w:pPr>
    </w:p>
    <w:p>
      <w:pPr>
        <w:jc w:val="both"/>
        <w:ind w:left="6" w:right="20" w:firstLine="377"/>
        <w:spacing w:after="0" w:line="256" w:lineRule="auto"/>
        <w:rPr>
          <w:sz w:val="20"/>
          <w:szCs w:val="20"/>
          <w:color w:val="auto"/>
        </w:rPr>
      </w:pPr>
      <w:r>
        <w:rPr>
          <w:rFonts w:ascii="Arial" w:cs="Arial" w:eastAsia="Arial" w:hAnsi="Arial"/>
          <w:sz w:val="16"/>
          <w:szCs w:val="16"/>
          <w:color w:val="auto"/>
        </w:rPr>
        <w:t>On December 2, 2021, the Company, OPAL HoldCo LLC, a Delaware limited liability company (“</w:t>
      </w:r>
      <w:r>
        <w:rPr>
          <w:rFonts w:ascii="Arial" w:cs="Arial" w:eastAsia="Arial" w:hAnsi="Arial"/>
          <w:sz w:val="16"/>
          <w:szCs w:val="16"/>
          <w:i w:val="1"/>
          <w:iCs w:val="1"/>
          <w:color w:val="auto"/>
        </w:rPr>
        <w:t>OPAL HoldCo</w:t>
      </w:r>
      <w:r>
        <w:rPr>
          <w:rFonts w:ascii="Arial" w:cs="Arial" w:eastAsia="Arial" w:hAnsi="Arial"/>
          <w:sz w:val="16"/>
          <w:szCs w:val="16"/>
          <w:color w:val="auto"/>
        </w:rPr>
        <w:t>”), and OPAL Fuels LLC, a Delaware limited liability company (“</w:t>
      </w:r>
      <w:r>
        <w:rPr>
          <w:rFonts w:ascii="Arial" w:cs="Arial" w:eastAsia="Arial" w:hAnsi="Arial"/>
          <w:sz w:val="16"/>
          <w:szCs w:val="16"/>
          <w:i w:val="1"/>
          <w:iCs w:val="1"/>
          <w:color w:val="auto"/>
        </w:rPr>
        <w:t>OPAL Fuels</w:t>
      </w:r>
      <w:r>
        <w:rPr>
          <w:rFonts w:ascii="Arial" w:cs="Arial" w:eastAsia="Arial" w:hAnsi="Arial"/>
          <w:sz w:val="16"/>
          <w:szCs w:val="16"/>
          <w:color w:val="auto"/>
        </w:rPr>
        <w:t>”), entered into a Business Combination Agreement (as it may be amended, supplemented or otherwise modified from time to time,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Agreement</w:t>
      </w:r>
      <w:r>
        <w:rPr>
          <w:rFonts w:ascii="Arial" w:cs="Arial" w:eastAsia="Arial" w:hAnsi="Arial"/>
          <w:sz w:val="16"/>
          <w:szCs w:val="16"/>
          <w:color w:val="auto"/>
        </w:rPr>
        <w:t>”).</w:t>
      </w:r>
    </w:p>
    <w:p>
      <w:pPr>
        <w:spacing w:after="0" w:line="25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170" w:name="page171"/>
    <w:bookmarkEnd w:id="170"/>
    <w:p>
      <w:pPr>
        <w:jc w:val="center"/>
        <w:ind w:right="-5"/>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Note 1 — Description of Organization and Business Operations </w:t>
      </w:r>
      <w:r>
        <w:rPr>
          <w:rFonts w:ascii="Arial" w:cs="Arial" w:eastAsia="Arial" w:hAnsi="Arial"/>
          <w:sz w:val="16"/>
          <w:szCs w:val="16"/>
          <w:color w:val="auto"/>
        </w:rPr>
        <w:t>(cont.)</w:t>
      </w:r>
    </w:p>
    <w:p>
      <w:pPr>
        <w:spacing w:after="0" w:line="197" w:lineRule="exact"/>
        <w:rPr>
          <w:sz w:val="20"/>
          <w:szCs w:val="20"/>
          <w:color w:val="auto"/>
        </w:rPr>
      </w:pPr>
    </w:p>
    <w:p>
      <w:pPr>
        <w:jc w:val="both"/>
        <w:ind w:left="6" w:firstLine="377"/>
        <w:spacing w:after="0" w:line="309" w:lineRule="auto"/>
        <w:rPr>
          <w:sz w:val="20"/>
          <w:szCs w:val="20"/>
          <w:color w:val="auto"/>
        </w:rPr>
      </w:pPr>
      <w:r>
        <w:rPr>
          <w:rFonts w:ascii="Arial" w:cs="Arial" w:eastAsia="Arial" w:hAnsi="Arial"/>
          <w:sz w:val="13"/>
          <w:szCs w:val="13"/>
          <w:color w:val="auto"/>
        </w:rPr>
        <w:t>The Business Combination Agreement and the transactions contemplated thereby (collectively, the “</w:t>
      </w:r>
      <w:r>
        <w:rPr>
          <w:rFonts w:ascii="Arial" w:cs="Arial" w:eastAsia="Arial" w:hAnsi="Arial"/>
          <w:sz w:val="13"/>
          <w:szCs w:val="13"/>
          <w:i w:val="1"/>
          <w:iCs w:val="1"/>
          <w:color w:val="auto"/>
        </w:rPr>
        <w:t>Business Combination</w:t>
      </w:r>
      <w:r>
        <w:rPr>
          <w:rFonts w:ascii="Arial" w:cs="Arial" w:eastAsia="Arial" w:hAnsi="Arial"/>
          <w:sz w:val="13"/>
          <w:szCs w:val="13"/>
          <w:color w:val="auto"/>
        </w:rPr>
        <w:t>”) were unanimously approved by the boards of directors of each of the Company and OPAL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w:t>
      </w:r>
      <w:r>
        <w:rPr>
          <w:rFonts w:ascii="Arial" w:cs="Arial" w:eastAsia="Arial" w:hAnsi="Arial"/>
          <w:sz w:val="13"/>
          <w:szCs w:val="13"/>
          <w:i w:val="1"/>
          <w:iCs w:val="1"/>
          <w:color w:val="auto"/>
        </w:rPr>
        <w:t>Domestication</w:t>
      </w:r>
      <w:r>
        <w:rPr>
          <w:rFonts w:ascii="Arial" w:cs="Arial" w:eastAsia="Arial" w:hAnsi="Arial"/>
          <w:sz w:val="13"/>
          <w:szCs w:val="13"/>
          <w:color w:val="auto"/>
        </w:rPr>
        <w:t>”) and, in connection with the Domestication, (A) the Company’s name will be changed to “OPAL Fuels Inc.” (“</w:t>
      </w:r>
      <w:r>
        <w:rPr>
          <w:rFonts w:ascii="Arial" w:cs="Arial" w:eastAsia="Arial" w:hAnsi="Arial"/>
          <w:sz w:val="13"/>
          <w:szCs w:val="13"/>
          <w:i w:val="1"/>
          <w:iCs w:val="1"/>
          <w:color w:val="auto"/>
        </w:rPr>
        <w:t>New OPAL</w:t>
      </w:r>
      <w:r>
        <w:rPr>
          <w:rFonts w:ascii="Arial" w:cs="Arial" w:eastAsia="Arial" w:hAnsi="Arial"/>
          <w:sz w:val="13"/>
          <w:szCs w:val="13"/>
          <w:color w:val="auto"/>
        </w:rPr>
        <w:t>”), (B) each outstanding Class A ordinary share of the Company will become one share of Class A common stock, par value $0.0001 per share, of New OPAL (the “</w:t>
      </w:r>
      <w:r>
        <w:rPr>
          <w:rFonts w:ascii="Arial" w:cs="Arial" w:eastAsia="Arial" w:hAnsi="Arial"/>
          <w:sz w:val="13"/>
          <w:szCs w:val="13"/>
          <w:i w:val="1"/>
          <w:iCs w:val="1"/>
          <w:color w:val="auto"/>
        </w:rPr>
        <w:t>New OPAL Class A Common Stock</w:t>
      </w:r>
      <w:r>
        <w:rPr>
          <w:rFonts w:ascii="Arial" w:cs="Arial" w:eastAsia="Arial" w:hAnsi="Arial"/>
          <w:sz w:val="13"/>
          <w:szCs w:val="13"/>
          <w:color w:val="auto"/>
        </w:rPr>
        <w:t>”),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w:t>
      </w:r>
      <w:r>
        <w:rPr>
          <w:rFonts w:ascii="Arial" w:cs="Arial" w:eastAsia="Arial" w:hAnsi="Arial"/>
          <w:sz w:val="13"/>
          <w:szCs w:val="13"/>
          <w:i w:val="1"/>
          <w:iCs w:val="1"/>
          <w:color w:val="auto"/>
        </w:rPr>
        <w:t>Closing</w:t>
      </w:r>
      <w:r>
        <w:rPr>
          <w:rFonts w:ascii="Arial" w:cs="Arial" w:eastAsia="Arial" w:hAnsi="Arial"/>
          <w:sz w:val="13"/>
          <w:szCs w:val="13"/>
          <w:color w:val="auto"/>
        </w:rPr>
        <w:t>”)to be re-classified into a number of common units (collectively, the “</w:t>
      </w:r>
      <w:r>
        <w:rPr>
          <w:rFonts w:ascii="Arial" w:cs="Arial" w:eastAsia="Arial" w:hAnsi="Arial"/>
          <w:sz w:val="13"/>
          <w:szCs w:val="13"/>
          <w:i w:val="1"/>
          <w:iCs w:val="1"/>
          <w:color w:val="auto"/>
        </w:rPr>
        <w:t>OPAL Units</w:t>
      </w:r>
      <w:r>
        <w:rPr>
          <w:rFonts w:ascii="Arial" w:cs="Arial" w:eastAsia="Arial" w:hAnsi="Arial"/>
          <w:sz w:val="13"/>
          <w:szCs w:val="13"/>
          <w:color w:val="auto"/>
        </w:rPr>
        <w:t>”)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held by ARCC Beacon LLC, a Delaware limited liability company (“</w:t>
      </w:r>
      <w:r>
        <w:rPr>
          <w:rFonts w:ascii="Arial" w:cs="Arial" w:eastAsia="Arial" w:hAnsi="Arial"/>
          <w:sz w:val="13"/>
          <w:szCs w:val="13"/>
          <w:i w:val="1"/>
          <w:iCs w:val="1"/>
          <w:color w:val="auto"/>
        </w:rPr>
        <w:t>Ares</w:t>
      </w:r>
      <w:r>
        <w:rPr>
          <w:rFonts w:ascii="Arial" w:cs="Arial" w:eastAsia="Arial" w:hAnsi="Arial"/>
          <w:sz w:val="13"/>
          <w:szCs w:val="13"/>
          <w:color w:val="auto"/>
        </w:rPr>
        <w:t>”), (C) the Company will contribute the</w:t>
      </w:r>
    </w:p>
    <w:p>
      <w:pPr>
        <w:spacing w:after="0" w:line="152" w:lineRule="exact"/>
        <w:rPr>
          <w:sz w:val="20"/>
          <w:szCs w:val="20"/>
          <w:color w:val="auto"/>
        </w:rPr>
      </w:pPr>
    </w:p>
    <w:p>
      <w:pPr>
        <w:jc w:val="both"/>
        <w:ind w:left="6" w:right="20" w:hanging="6"/>
        <w:spacing w:after="0" w:line="265" w:lineRule="auto"/>
        <w:tabs>
          <w:tab w:leader="none" w:pos="243"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amount of cash in the trust account (the “</w:t>
      </w:r>
      <w:r>
        <w:rPr>
          <w:rFonts w:ascii="Arial" w:cs="Arial" w:eastAsia="Arial" w:hAnsi="Arial"/>
          <w:sz w:val="15"/>
          <w:szCs w:val="15"/>
          <w:i w:val="1"/>
          <w:iCs w:val="1"/>
          <w:color w:val="auto"/>
        </w:rPr>
        <w:t>Trust Account</w:t>
      </w:r>
      <w:r>
        <w:rPr>
          <w:rFonts w:ascii="Arial" w:cs="Arial" w:eastAsia="Arial" w:hAnsi="Arial"/>
          <w:sz w:val="15"/>
          <w:szCs w:val="15"/>
          <w:color w:val="auto"/>
        </w:rPr>
        <w:t>”) established by the Company with the proceeds from its initial public offering as of immediately prior to the Closing (and before, for the avoidance of doubt, giving effect to the exercise of redemption rights by any of the Company’s shareholders (the “</w:t>
      </w:r>
      <w:r>
        <w:rPr>
          <w:rFonts w:ascii="Arial" w:cs="Arial" w:eastAsia="Arial" w:hAnsi="Arial"/>
          <w:sz w:val="15"/>
          <w:szCs w:val="15"/>
          <w:i w:val="1"/>
          <w:iCs w:val="1"/>
          <w:color w:val="auto"/>
        </w:rPr>
        <w:t>Public Share Redemptions</w:t>
      </w:r>
      <w:r>
        <w:rPr>
          <w:rFonts w:ascii="Arial" w:cs="Arial" w:eastAsia="Arial" w:hAnsi="Arial"/>
          <w:sz w:val="15"/>
          <w:szCs w:val="15"/>
          <w:color w:val="auto"/>
        </w:rPr>
        <w:t>”)),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w:t>
      </w:r>
      <w:r>
        <w:rPr>
          <w:rFonts w:ascii="Arial" w:cs="Arial" w:eastAsia="Arial" w:hAnsi="Arial"/>
          <w:sz w:val="15"/>
          <w:szCs w:val="15"/>
          <w:i w:val="1"/>
          <w:iCs w:val="1"/>
          <w:color w:val="auto"/>
        </w:rPr>
        <w:t>Hillman</w:t>
      </w:r>
      <w:r>
        <w:rPr>
          <w:rFonts w:ascii="Arial" w:cs="Arial" w:eastAsia="Arial" w:hAnsi="Arial"/>
          <w:sz w:val="15"/>
          <w:szCs w:val="15"/>
          <w:color w:val="auto"/>
        </w:rPr>
        <w:t>”) a number of shares of Class D common stock, par value $0.0001 per share, of New OPAL (the “</w:t>
      </w:r>
      <w:r>
        <w:rPr>
          <w:rFonts w:ascii="Arial" w:cs="Arial" w:eastAsia="Arial" w:hAnsi="Arial"/>
          <w:sz w:val="15"/>
          <w:szCs w:val="15"/>
          <w:i w:val="1"/>
          <w:iCs w:val="1"/>
          <w:color w:val="auto"/>
        </w:rPr>
        <w:t>New OPAL Class D</w:t>
      </w:r>
      <w:r>
        <w:rPr>
          <w:rFonts w:ascii="Arial" w:cs="Arial" w:eastAsia="Arial" w:hAnsi="Arial"/>
          <w:sz w:val="15"/>
          <w:szCs w:val="15"/>
          <w:color w:val="auto"/>
        </w:rPr>
        <w:t xml:space="preserve"> </w:t>
      </w:r>
      <w:r>
        <w:rPr>
          <w:rFonts w:ascii="Arial" w:cs="Arial" w:eastAsia="Arial" w:hAnsi="Arial"/>
          <w:sz w:val="15"/>
          <w:szCs w:val="15"/>
          <w:i w:val="1"/>
          <w:iCs w:val="1"/>
          <w:color w:val="auto"/>
        </w:rPr>
        <w:t>Common Stock</w:t>
      </w:r>
      <w:r>
        <w:rPr>
          <w:rFonts w:ascii="Arial" w:cs="Arial" w:eastAsia="Arial" w:hAnsi="Arial"/>
          <w:sz w:val="15"/>
          <w:szCs w:val="15"/>
          <w:color w:val="auto"/>
        </w:rPr>
        <w:t>”), and distribute to Ares (together with OPAL HoldCo and Hillman, collectively, the “</w:t>
      </w:r>
      <w:r>
        <w:rPr>
          <w:rFonts w:ascii="Arial" w:cs="Arial" w:eastAsia="Arial" w:hAnsi="Arial"/>
          <w:sz w:val="15"/>
          <w:szCs w:val="15"/>
          <w:i w:val="1"/>
          <w:iCs w:val="1"/>
          <w:color w:val="auto"/>
        </w:rPr>
        <w:t>OPAL Equityholders</w:t>
      </w:r>
      <w:r>
        <w:rPr>
          <w:rFonts w:ascii="Arial" w:cs="Arial" w:eastAsia="Arial" w:hAnsi="Arial"/>
          <w:sz w:val="15"/>
          <w:szCs w:val="15"/>
          <w:color w:val="auto"/>
        </w:rPr>
        <w:t>”) shares of Class B common stock, par value $0.0001</w:t>
      </w:r>
      <w:r>
        <w:rPr>
          <w:rFonts w:ascii="Arial" w:cs="Arial" w:eastAsia="Arial" w:hAnsi="Arial"/>
          <w:sz w:val="15"/>
          <w:szCs w:val="15"/>
          <w:i w:val="1"/>
          <w:iCs w:val="1"/>
          <w:color w:val="auto"/>
        </w:rPr>
        <w:t xml:space="preserve"> </w:t>
      </w:r>
      <w:r>
        <w:rPr>
          <w:rFonts w:ascii="Arial" w:cs="Arial" w:eastAsia="Arial" w:hAnsi="Arial"/>
          <w:sz w:val="15"/>
          <w:szCs w:val="15"/>
          <w:color w:val="auto"/>
        </w:rPr>
        <w:t>per share, of New OPAL (the “</w:t>
      </w:r>
      <w:r>
        <w:rPr>
          <w:rFonts w:ascii="Arial" w:cs="Arial" w:eastAsia="Arial" w:hAnsi="Arial"/>
          <w:sz w:val="15"/>
          <w:szCs w:val="15"/>
          <w:i w:val="1"/>
          <w:iCs w:val="1"/>
          <w:color w:val="auto"/>
        </w:rPr>
        <w:t>New OPAL Class B Common Stock</w:t>
      </w:r>
      <w:r>
        <w:rPr>
          <w:rFonts w:ascii="Arial" w:cs="Arial" w:eastAsia="Arial" w:hAnsi="Arial"/>
          <w:sz w:val="15"/>
          <w:szCs w:val="15"/>
          <w:color w:val="auto"/>
        </w:rPr>
        <w:t>”) (neither of which will have any economic value but will entitle the holder thereof to five votes per share or one vote per share, respectively), equal to the number of OPAL Units held by each of the OPAL Equityholders.</w:t>
      </w:r>
    </w:p>
    <w:p>
      <w:pPr>
        <w:spacing w:after="0" w:line="161" w:lineRule="exact"/>
        <w:rPr>
          <w:sz w:val="20"/>
          <w:szCs w:val="20"/>
          <w:color w:val="auto"/>
        </w:rPr>
      </w:pPr>
    </w:p>
    <w:p>
      <w:pPr>
        <w:jc w:val="both"/>
        <w:ind w:left="6" w:firstLine="377"/>
        <w:spacing w:after="0" w:line="267" w:lineRule="auto"/>
        <w:rPr>
          <w:sz w:val="20"/>
          <w:szCs w:val="20"/>
          <w:color w:val="auto"/>
        </w:rPr>
      </w:pPr>
      <w:r>
        <w:rPr>
          <w:rFonts w:ascii="Arial" w:cs="Arial" w:eastAsia="Arial" w:hAnsi="Arial"/>
          <w:sz w:val="15"/>
          <w:szCs w:val="15"/>
          <w:color w:val="auto"/>
        </w:rPr>
        <w:t>In addition, if New OPAL’s annual EBITDA for the calendar year 2023 exceeds $238,000,000 (the “</w:t>
      </w:r>
      <w:r>
        <w:rPr>
          <w:rFonts w:ascii="Arial" w:cs="Arial" w:eastAsia="Arial" w:hAnsi="Arial"/>
          <w:sz w:val="15"/>
          <w:szCs w:val="15"/>
          <w:i w:val="1"/>
          <w:iCs w:val="1"/>
          <w:color w:val="auto"/>
        </w:rPr>
        <w:t>First Earnout Triggering Event</w:t>
      </w:r>
      <w:r>
        <w:rPr>
          <w:rFonts w:ascii="Arial" w:cs="Arial" w:eastAsia="Arial" w:hAnsi="Arial"/>
          <w:sz w:val="15"/>
          <w:szCs w:val="15"/>
          <w:color w:val="auto"/>
        </w:rPr>
        <w:t>”), New OPAL will issue to OPAL HoldCo, Ares and Hillman (collectively, the “</w:t>
      </w:r>
      <w:r>
        <w:rPr>
          <w:rFonts w:ascii="Arial" w:cs="Arial" w:eastAsia="Arial" w:hAnsi="Arial"/>
          <w:sz w:val="15"/>
          <w:szCs w:val="15"/>
          <w:i w:val="1"/>
          <w:iCs w:val="1"/>
          <w:color w:val="auto"/>
        </w:rPr>
        <w:t>Earnout Participants</w:t>
      </w:r>
      <w:r>
        <w:rPr>
          <w:rFonts w:ascii="Arial" w:cs="Arial" w:eastAsia="Arial" w:hAnsi="Arial"/>
          <w:sz w:val="15"/>
          <w:szCs w:val="15"/>
          <w:color w:val="auto"/>
        </w:rPr>
        <w:t>”) an aggregate of 5,000,000 shares of New OPAL Class B Common Stock and New OPAL Class D Common Stock and corresponding OPAL Units (collectively, the “</w:t>
      </w:r>
      <w:r>
        <w:rPr>
          <w:rFonts w:ascii="Arial" w:cs="Arial" w:eastAsia="Arial" w:hAnsi="Arial"/>
          <w:sz w:val="15"/>
          <w:szCs w:val="15"/>
          <w:i w:val="1"/>
          <w:iCs w:val="1"/>
          <w:color w:val="auto"/>
        </w:rPr>
        <w:t>First Earnout Tranche</w:t>
      </w:r>
      <w:r>
        <w:rPr>
          <w:rFonts w:ascii="Arial" w:cs="Arial" w:eastAsia="Arial" w:hAnsi="Arial"/>
          <w:sz w:val="15"/>
          <w:szCs w:val="15"/>
          <w:color w:val="auto"/>
        </w:rPr>
        <w:t>”) in accordance with the allocations set forth in the Business Combination Agreement. Additionally, if New OPAL’s annual EBITDA for the calendar year 2024 exceeds $446,000,000 (the “</w:t>
      </w:r>
      <w:r>
        <w:rPr>
          <w:rFonts w:ascii="Arial" w:cs="Arial" w:eastAsia="Arial" w:hAnsi="Arial"/>
          <w:sz w:val="15"/>
          <w:szCs w:val="15"/>
          <w:i w:val="1"/>
          <w:iCs w:val="1"/>
          <w:color w:val="auto"/>
        </w:rPr>
        <w:t>Second Earnout Triggering Event</w:t>
      </w:r>
      <w:r>
        <w:rPr>
          <w:rFonts w:ascii="Arial" w:cs="Arial" w:eastAsia="Arial" w:hAnsi="Arial"/>
          <w:sz w:val="15"/>
          <w:szCs w:val="15"/>
          <w:color w:val="auto"/>
        </w:rPr>
        <w:t>”), New OPAL will issue to the Earnout Participants an aggregate of 5,000,000 additional shares of New OPAL Class B Common Stock and New OPAL Class D Common Stock and corresponding OPAL Units (collectively, the “</w:t>
      </w:r>
      <w:r>
        <w:rPr>
          <w:rFonts w:ascii="Arial" w:cs="Arial" w:eastAsia="Arial" w:hAnsi="Arial"/>
          <w:sz w:val="15"/>
          <w:szCs w:val="15"/>
          <w:i w:val="1"/>
          <w:iCs w:val="1"/>
          <w:color w:val="auto"/>
        </w:rPr>
        <w:t>Second Earnout Tranche</w:t>
      </w:r>
      <w:r>
        <w:rPr>
          <w:rFonts w:ascii="Arial" w:cs="Arial" w:eastAsia="Arial" w:hAnsi="Arial"/>
          <w:sz w:val="15"/>
          <w:szCs w:val="15"/>
          <w:color w:val="auto"/>
        </w:rPr>
        <w:t>”)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161" w:lineRule="exact"/>
        <w:rPr>
          <w:sz w:val="20"/>
          <w:szCs w:val="20"/>
          <w:color w:val="auto"/>
        </w:rPr>
      </w:pPr>
    </w:p>
    <w:p>
      <w:pPr>
        <w:jc w:val="both"/>
        <w:ind w:left="6" w:firstLine="377"/>
        <w:spacing w:after="0" w:line="266" w:lineRule="auto"/>
        <w:rPr>
          <w:sz w:val="20"/>
          <w:szCs w:val="20"/>
          <w:color w:val="auto"/>
        </w:rPr>
      </w:pPr>
      <w:r>
        <w:rPr>
          <w:rFonts w:ascii="Arial" w:cs="Arial" w:eastAsia="Arial" w:hAnsi="Arial"/>
          <w:sz w:val="16"/>
          <w:szCs w:val="16"/>
          <w:color w:val="auto"/>
        </w:rPr>
        <w:t>The Business Combination is expected to close late in first half of 2022, following the receipt of the required approval by the Company’s shareholders and the fulfillment of other customary closing conditions.</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PIPE Financing (Private Placement)</w:t>
      </w:r>
    </w:p>
    <w:p>
      <w:pPr>
        <w:spacing w:after="0" w:line="193" w:lineRule="exact"/>
        <w:rPr>
          <w:sz w:val="20"/>
          <w:szCs w:val="20"/>
          <w:color w:val="auto"/>
        </w:rPr>
      </w:pPr>
    </w:p>
    <w:p>
      <w:pPr>
        <w:jc w:val="both"/>
        <w:ind w:left="6" w:firstLine="377"/>
        <w:spacing w:after="0" w:line="274" w:lineRule="auto"/>
        <w:rPr>
          <w:sz w:val="20"/>
          <w:szCs w:val="20"/>
          <w:color w:val="auto"/>
        </w:rPr>
      </w:pPr>
      <w:r>
        <w:rPr>
          <w:rFonts w:ascii="Arial" w:cs="Arial" w:eastAsia="Arial" w:hAnsi="Arial"/>
          <w:sz w:val="15"/>
          <w:szCs w:val="15"/>
          <w:color w:val="auto"/>
        </w:rPr>
        <w:t>Concurrently with the execution of the Business Combination Agreement, the Company entered into subscription agreements (the “</w:t>
      </w:r>
      <w:r>
        <w:rPr>
          <w:rFonts w:ascii="Arial" w:cs="Arial" w:eastAsia="Arial" w:hAnsi="Arial"/>
          <w:sz w:val="15"/>
          <w:szCs w:val="15"/>
          <w:i w:val="1"/>
          <w:iCs w:val="1"/>
          <w:color w:val="auto"/>
        </w:rPr>
        <w:t>Subscription Agreements</w:t>
      </w:r>
      <w:r>
        <w:rPr>
          <w:rFonts w:ascii="Arial" w:cs="Arial" w:eastAsia="Arial" w:hAnsi="Arial"/>
          <w:sz w:val="15"/>
          <w:szCs w:val="15"/>
          <w:color w:val="auto"/>
        </w:rPr>
        <w:t>”) with certain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w:t>
      </w:r>
      <w:r>
        <w:rPr>
          <w:rFonts w:ascii="Arial" w:cs="Arial" w:eastAsia="Arial" w:hAnsi="Arial"/>
          <w:sz w:val="15"/>
          <w:szCs w:val="15"/>
          <w:i w:val="1"/>
          <w:iCs w:val="1"/>
          <w:color w:val="auto"/>
        </w:rPr>
        <w:t>PIPE Investment</w:t>
      </w:r>
      <w:r>
        <w:rPr>
          <w:rFonts w:ascii="Arial" w:cs="Arial" w:eastAsia="Arial" w:hAnsi="Arial"/>
          <w:sz w:val="15"/>
          <w:szCs w:val="15"/>
          <w:color w:val="auto"/>
        </w:rPr>
        <w:t>”).</w:t>
      </w:r>
    </w:p>
    <w:p>
      <w:pPr>
        <w:spacing w:after="0" w:line="155" w:lineRule="exact"/>
        <w:rPr>
          <w:sz w:val="20"/>
          <w:szCs w:val="20"/>
          <w:color w:val="auto"/>
        </w:rPr>
      </w:pPr>
    </w:p>
    <w:p>
      <w:pPr>
        <w:jc w:val="both"/>
        <w:ind w:left="6" w:right="20" w:firstLine="377"/>
        <w:spacing w:after="0" w:line="266" w:lineRule="auto"/>
        <w:rPr>
          <w:sz w:val="20"/>
          <w:szCs w:val="20"/>
          <w:color w:val="auto"/>
        </w:rPr>
      </w:pPr>
      <w:r>
        <w:rPr>
          <w:rFonts w:ascii="Arial" w:cs="Arial" w:eastAsia="Arial" w:hAnsi="Arial"/>
          <w:sz w:val="16"/>
          <w:szCs w:val="16"/>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 Description of Organization and Business Operations </w:t>
      </w:r>
      <w:r>
        <w:rPr>
          <w:rFonts w:ascii="Arial" w:cs="Arial" w:eastAsia="Arial" w:hAnsi="Arial"/>
          <w:sz w:val="16"/>
          <w:szCs w:val="16"/>
          <w:color w:val="auto"/>
        </w:rPr>
        <w:t>(cont.)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Investor Rights Agreement</w:t>
      </w:r>
    </w:p>
    <w:p>
      <w:pPr>
        <w:spacing w:after="0" w:line="193" w:lineRule="exact"/>
        <w:rPr>
          <w:sz w:val="20"/>
          <w:szCs w:val="20"/>
          <w:color w:val="auto"/>
        </w:rPr>
      </w:pPr>
    </w:p>
    <w:p>
      <w:pPr>
        <w:jc w:val="both"/>
        <w:ind w:firstLine="377"/>
        <w:spacing w:after="0" w:line="318" w:lineRule="auto"/>
        <w:rPr>
          <w:sz w:val="20"/>
          <w:szCs w:val="20"/>
          <w:color w:val="auto"/>
        </w:rPr>
      </w:pPr>
      <w:r>
        <w:rPr>
          <w:rFonts w:ascii="Arial" w:cs="Arial" w:eastAsia="Arial" w:hAnsi="Arial"/>
          <w:sz w:val="13"/>
          <w:szCs w:val="13"/>
          <w:color w:val="auto"/>
        </w:rPr>
        <w:t>The Business Combination Agreement contemplates that, at the Closing, OPAL Fuels, Ares, Hillman and the Class B Shareholders (collectively the “</w:t>
      </w:r>
      <w:r>
        <w:rPr>
          <w:rFonts w:ascii="Arial" w:cs="Arial" w:eastAsia="Arial" w:hAnsi="Arial"/>
          <w:sz w:val="13"/>
          <w:szCs w:val="13"/>
          <w:i w:val="1"/>
          <w:iCs w:val="1"/>
          <w:color w:val="auto"/>
        </w:rPr>
        <w:t>New OPAL Holders</w:t>
      </w:r>
      <w:r>
        <w:rPr>
          <w:rFonts w:ascii="Arial" w:cs="Arial" w:eastAsia="Arial" w:hAnsi="Arial"/>
          <w:sz w:val="13"/>
          <w:szCs w:val="13"/>
          <w:color w:val="auto"/>
        </w:rPr>
        <w:t>”) will enter into an Investor Rights Agreement (the “</w:t>
      </w:r>
      <w:r>
        <w:rPr>
          <w:rFonts w:ascii="Arial" w:cs="Arial" w:eastAsia="Arial" w:hAnsi="Arial"/>
          <w:sz w:val="13"/>
          <w:szCs w:val="13"/>
          <w:i w:val="1"/>
          <w:iCs w:val="1"/>
          <w:color w:val="auto"/>
        </w:rPr>
        <w:t>Investor Rights Agreement</w:t>
      </w:r>
      <w:r>
        <w:rPr>
          <w:rFonts w:ascii="Arial" w:cs="Arial" w:eastAsia="Arial" w:hAnsi="Arial"/>
          <w:sz w:val="13"/>
          <w:szCs w:val="13"/>
          <w:color w:val="auto"/>
        </w:rPr>
        <w: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and Capital Resources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2021, the Company had approximately $812,000 in its operating bank account and working capital of approximately $1.4 million.</w:t>
      </w:r>
    </w:p>
    <w:p>
      <w:pPr>
        <w:spacing w:after="0" w:line="193" w:lineRule="exact"/>
        <w:rPr>
          <w:sz w:val="20"/>
          <w:szCs w:val="20"/>
          <w:color w:val="auto"/>
        </w:rPr>
      </w:pPr>
    </w:p>
    <w:p>
      <w:pPr>
        <w:jc w:val="both"/>
        <w:ind w:firstLine="377"/>
        <w:spacing w:after="0" w:line="252" w:lineRule="auto"/>
        <w:rPr>
          <w:sz w:val="20"/>
          <w:szCs w:val="20"/>
          <w:color w:val="auto"/>
        </w:rPr>
      </w:pPr>
      <w:r>
        <w:rPr>
          <w:rFonts w:ascii="Arial" w:cs="Arial" w:eastAsia="Arial" w:hAnsi="Arial"/>
          <w:sz w:val="16"/>
          <w:szCs w:val="16"/>
          <w:color w:val="auto"/>
        </w:rPr>
        <w:t>The Company’s liquidity needs up to December 31, 2021 had been satisfied through a payment of $25,000 from the Sponsor to cover certain expenses on behalf of the Company in exchange for the issuance of the Founder Shares (as defined below), the loan under the promissory note from the Sponsor of approximately $172,000 (the “Note”) (see Note 5) to the Company, and the net proceeds from the consummation of the Private Placement not held in the Trust Account. The Note from the Sponsor was repaid in full on March 26, 2021.</w:t>
      </w:r>
    </w:p>
    <w:p>
      <w:pPr>
        <w:spacing w:after="0" w:line="169" w:lineRule="exact"/>
        <w:rPr>
          <w:sz w:val="20"/>
          <w:szCs w:val="20"/>
          <w:color w:val="auto"/>
        </w:rPr>
      </w:pPr>
    </w:p>
    <w:p>
      <w:pPr>
        <w:jc w:val="both"/>
        <w:ind w:firstLine="377"/>
        <w:spacing w:after="0" w:line="274" w:lineRule="auto"/>
        <w:rPr>
          <w:sz w:val="20"/>
          <w:szCs w:val="20"/>
          <w:color w:val="auto"/>
        </w:rPr>
      </w:pPr>
      <w:r>
        <w:rPr>
          <w:rFonts w:ascii="Arial" w:cs="Arial" w:eastAsia="Arial" w:hAnsi="Arial"/>
          <w:sz w:val="15"/>
          <w:szCs w:val="15"/>
          <w:color w:val="auto"/>
        </w:rPr>
        <w:t>Based on the foregoing, management believes that the Company will have sufficient working capital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55" w:lineRule="exact"/>
        <w:rPr>
          <w:sz w:val="20"/>
          <w:szCs w:val="20"/>
          <w:color w:val="auto"/>
        </w:rPr>
      </w:pPr>
    </w:p>
    <w:p>
      <w:pPr>
        <w:jc w:val="both"/>
        <w:ind w:firstLine="377"/>
        <w:spacing w:after="0" w:line="266" w:lineRule="auto"/>
        <w:rPr>
          <w:sz w:val="20"/>
          <w:szCs w:val="20"/>
          <w:color w:val="auto"/>
        </w:rPr>
      </w:pPr>
      <w:r>
        <w:rPr>
          <w:rFonts w:ascii="Arial" w:cs="Arial" w:eastAsia="Arial" w:hAnsi="Arial"/>
          <w:sz w:val="16"/>
          <w:szCs w:val="16"/>
          <w:color w:val="auto"/>
        </w:rPr>
        <w:t>Management continues to evaluate the impact of the COVID-19 pandemic and have concluded that the specific impact is not readily determinable as of the date of financial statements. The financial statement does not include any adjustments that might result from the outcome of this uncertainty.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193" w:lineRule="exact"/>
        <w:rPr>
          <w:sz w:val="20"/>
          <w:szCs w:val="20"/>
          <w:color w:val="auto"/>
        </w:rPr>
      </w:pPr>
    </w:p>
    <w:p>
      <w:pPr>
        <w:jc w:val="both"/>
        <w:ind w:right="20" w:firstLine="377"/>
        <w:spacing w:after="0" w:line="256" w:lineRule="auto"/>
        <w:rPr>
          <w:sz w:val="20"/>
          <w:szCs w:val="20"/>
          <w:color w:val="auto"/>
        </w:rPr>
      </w:pPr>
      <w:r>
        <w:rPr>
          <w:rFonts w:ascii="Arial" w:cs="Arial" w:eastAsia="Arial" w:hAnsi="Arial"/>
          <w:sz w:val="16"/>
          <w:szCs w:val="16"/>
          <w:color w:val="auto"/>
        </w:rPr>
        <w:t>The accompanying financial statements are presented in U.S. dollars in conformity with accounting principles generally accepted in the United States of America (“GAAP”) for financial information and pursuant to the rules and regulations of the SEC and include all adjustments necessary for the fair presentation of the Company’s financial position for the periods presented.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Emerging Growth Company</w:t>
      </w:r>
    </w:p>
    <w:p>
      <w:pPr>
        <w:spacing w:after="0" w:line="193" w:lineRule="exact"/>
        <w:rPr>
          <w:sz w:val="20"/>
          <w:szCs w:val="20"/>
          <w:color w:val="auto"/>
        </w:rPr>
      </w:pPr>
    </w:p>
    <w:p>
      <w:pPr>
        <w:jc w:val="both"/>
        <w:ind w:firstLine="377"/>
        <w:spacing w:after="0" w:line="322" w:lineRule="auto"/>
        <w:rPr>
          <w:sz w:val="20"/>
          <w:szCs w:val="20"/>
          <w:color w:val="auto"/>
        </w:rPr>
      </w:pPr>
      <w:r>
        <w:rPr>
          <w:rFonts w:ascii="Arial" w:cs="Arial" w:eastAsia="Arial" w:hAnsi="Arial"/>
          <w:sz w:val="13"/>
          <w:szCs w:val="13"/>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8" w:lineRule="exact"/>
        <w:rPr>
          <w:sz w:val="20"/>
          <w:szCs w:val="20"/>
          <w:color w:val="auto"/>
        </w:rPr>
      </w:pPr>
    </w:p>
    <w:p>
      <w:pPr>
        <w:jc w:val="both"/>
        <w:ind w:firstLine="377"/>
        <w:spacing w:after="0" w:line="315" w:lineRule="auto"/>
        <w:rPr>
          <w:sz w:val="20"/>
          <w:szCs w:val="20"/>
          <w:color w:val="auto"/>
        </w:rPr>
      </w:pPr>
      <w:r>
        <w:rPr>
          <w:rFonts w:ascii="Arial" w:cs="Arial" w:eastAsia="Arial" w:hAnsi="Arial"/>
          <w:sz w:val="13"/>
          <w:szCs w:val="13"/>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93" w:lineRule="exact"/>
        <w:rPr>
          <w:sz w:val="20"/>
          <w:szCs w:val="20"/>
          <w:color w:val="auto"/>
        </w:rPr>
      </w:pPr>
    </w:p>
    <w:p>
      <w:pPr>
        <w:jc w:val="both"/>
        <w:ind w:firstLine="377"/>
        <w:spacing w:after="0" w:line="251" w:lineRule="auto"/>
        <w:rPr>
          <w:sz w:val="20"/>
          <w:szCs w:val="20"/>
          <w:color w:val="auto"/>
        </w:rPr>
      </w:pPr>
      <w:r>
        <w:rPr>
          <w:rFonts w:ascii="Arial" w:cs="Arial" w:eastAsia="Arial" w:hAnsi="Arial"/>
          <w:sz w:val="16"/>
          <w:szCs w:val="16"/>
          <w:color w:val="auto"/>
        </w:rPr>
        <w:t>The preparation of our financial statements in conformity with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p>
    <w:p>
      <w:pPr>
        <w:spacing w:after="0" w:line="193" w:lineRule="exact"/>
        <w:rPr>
          <w:sz w:val="20"/>
          <w:szCs w:val="20"/>
          <w:color w:val="auto"/>
        </w:rPr>
      </w:pPr>
    </w:p>
    <w:p>
      <w:pPr>
        <w:jc w:val="both"/>
        <w:ind w:right="20" w:firstLine="377"/>
        <w:spacing w:after="0" w:line="266"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There were no cash equivalents as of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Held in Trust Account</w:t>
      </w:r>
    </w:p>
    <w:p>
      <w:pPr>
        <w:spacing w:after="0" w:line="193"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5"/>
          <w:szCs w:val="15"/>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93" w:lineRule="exact"/>
        <w:rPr>
          <w:sz w:val="20"/>
          <w:szCs w:val="20"/>
          <w:color w:val="auto"/>
        </w:rPr>
      </w:pPr>
    </w:p>
    <w:p>
      <w:pPr>
        <w:jc w:val="both"/>
        <w:ind w:right="20" w:firstLine="377"/>
        <w:spacing w:after="0" w:line="256"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December 31, 2021, the Company has not experienced losses on these accounts and management believes the Company is not exposed to significant risks on such accounts.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Financial Instruments</w:t>
      </w:r>
    </w:p>
    <w:p>
      <w:pPr>
        <w:spacing w:after="0" w:line="193" w:lineRule="exact"/>
        <w:rPr>
          <w:sz w:val="20"/>
          <w:szCs w:val="20"/>
          <w:color w:val="auto"/>
        </w:rPr>
      </w:pPr>
    </w:p>
    <w:p>
      <w:pPr>
        <w:ind w:firstLine="377"/>
        <w:spacing w:after="0" w:line="266"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the FASB ASC Topic 820, “Fair Value Measurements,” approximates the carrying amounts represented in the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Measurements</w:t>
      </w:r>
    </w:p>
    <w:p>
      <w:pPr>
        <w:spacing w:after="0" w:line="193" w:lineRule="exact"/>
        <w:rPr>
          <w:sz w:val="20"/>
          <w:szCs w:val="20"/>
          <w:color w:val="auto"/>
        </w:rPr>
      </w:pPr>
    </w:p>
    <w:p>
      <w:pPr>
        <w:ind w:firstLine="377"/>
        <w:spacing w:after="0" w:line="266" w:lineRule="auto"/>
        <w:rPr>
          <w:sz w:val="20"/>
          <w:szCs w:val="20"/>
          <w:color w:val="auto"/>
        </w:rPr>
      </w:pPr>
      <w:r>
        <w:rPr>
          <w:rFonts w:ascii="Arial" w:cs="Arial" w:eastAsia="Arial" w:hAnsi="Arial"/>
          <w:sz w:val="16"/>
          <w:szCs w:val="16"/>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57" w:lineRule="exact"/>
        <w:rPr>
          <w:sz w:val="20"/>
          <w:szCs w:val="20"/>
          <w:color w:val="auto"/>
        </w:rPr>
      </w:pPr>
    </w:p>
    <w:p>
      <w:pPr>
        <w:ind w:left="640" w:hanging="281"/>
        <w:spacing w:after="0"/>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Level 1, defined as observable inputs such as quoted prices for identical instruments in active markets;</w:t>
      </w:r>
    </w:p>
    <w:p>
      <w:pPr>
        <w:spacing w:after="0" w:line="192" w:lineRule="exact"/>
        <w:rPr>
          <w:rFonts w:ascii="Arial" w:cs="Arial" w:eastAsia="Arial" w:hAnsi="Arial"/>
          <w:sz w:val="16"/>
          <w:szCs w:val="16"/>
          <w:color w:val="auto"/>
        </w:rPr>
      </w:pPr>
    </w:p>
    <w:p>
      <w:pPr>
        <w:ind w:left="640" w:right="20" w:hanging="281"/>
        <w:spacing w:after="0" w:line="266" w:lineRule="auto"/>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57" w:lineRule="exact"/>
        <w:rPr>
          <w:rFonts w:ascii="Arial" w:cs="Arial" w:eastAsia="Arial" w:hAnsi="Arial"/>
          <w:sz w:val="16"/>
          <w:szCs w:val="16"/>
          <w:color w:val="auto"/>
        </w:rPr>
      </w:pPr>
    </w:p>
    <w:p>
      <w:pPr>
        <w:ind w:left="640" w:hanging="281"/>
        <w:spacing w:after="0" w:line="266" w:lineRule="auto"/>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57" w:lineRule="exact"/>
        <w:rPr>
          <w:sz w:val="20"/>
          <w:szCs w:val="20"/>
          <w:color w:val="auto"/>
        </w:rPr>
      </w:pPr>
    </w:p>
    <w:p>
      <w:pPr>
        <w:jc w:val="both"/>
        <w:ind w:right="20" w:firstLine="377"/>
        <w:spacing w:after="0" w:line="300" w:lineRule="auto"/>
        <w:rPr>
          <w:sz w:val="20"/>
          <w:szCs w:val="20"/>
          <w:color w:val="auto"/>
        </w:rPr>
      </w:pPr>
      <w:r>
        <w:rPr>
          <w:rFonts w:ascii="Arial" w:cs="Arial" w:eastAsia="Arial" w:hAnsi="Arial"/>
          <w:sz w:val="15"/>
          <w:szCs w:val="15"/>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 warrant liabilities</w:t>
      </w:r>
    </w:p>
    <w:p>
      <w:pPr>
        <w:spacing w:after="0" w:line="193" w:lineRule="exact"/>
        <w:rPr>
          <w:sz w:val="20"/>
          <w:szCs w:val="20"/>
          <w:color w:val="auto"/>
        </w:rPr>
      </w:pPr>
    </w:p>
    <w:p>
      <w:pPr>
        <w:jc w:val="both"/>
        <w:ind w:firstLine="377"/>
        <w:spacing w:after="0" w:line="252"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w:t>
      </w:r>
    </w:p>
    <w:p>
      <w:pPr>
        <w:spacing w:after="0" w:line="169"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5"/>
          <w:szCs w:val="15"/>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Offering Costs Associated with the Initial Public Offering</w:t>
      </w:r>
    </w:p>
    <w:p>
      <w:pPr>
        <w:spacing w:after="0" w:line="193" w:lineRule="exact"/>
        <w:rPr>
          <w:sz w:val="20"/>
          <w:szCs w:val="20"/>
          <w:color w:val="auto"/>
        </w:rPr>
      </w:pPr>
    </w:p>
    <w:p>
      <w:pPr>
        <w:jc w:val="both"/>
        <w:ind w:firstLine="377"/>
        <w:spacing w:after="0" w:line="269" w:lineRule="auto"/>
        <w:rPr>
          <w:sz w:val="20"/>
          <w:szCs w:val="20"/>
          <w:color w:val="auto"/>
        </w:rPr>
      </w:pPr>
      <w:r>
        <w:rPr>
          <w:rFonts w:ascii="Arial" w:cs="Arial" w:eastAsia="Arial" w:hAnsi="Arial"/>
          <w:sz w:val="15"/>
          <w:szCs w:val="15"/>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76" w:right="31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 A Ordinary Shares Subject to Possible Redemption</w:t>
      </w:r>
    </w:p>
    <w:p>
      <w:pPr>
        <w:spacing w:after="0" w:line="193" w:lineRule="exact"/>
        <w:rPr>
          <w:sz w:val="20"/>
          <w:szCs w:val="20"/>
          <w:color w:val="auto"/>
        </w:rPr>
      </w:pPr>
    </w:p>
    <w:p>
      <w:pPr>
        <w:jc w:val="both"/>
        <w:ind w:firstLine="377"/>
        <w:spacing w:after="0" w:line="249"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December 31, 2021, 31,116,305 Class A ordinary shares subject to possible redemption is presented at redemption value as temporary equity, outside of the shareholders’ equity section of the Company’s balance sheet.</w:t>
      </w:r>
    </w:p>
    <w:p>
      <w:pPr>
        <w:spacing w:after="0" w:line="171"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6"/>
          <w:szCs w:val="16"/>
          <w:color w:val="auto"/>
        </w:rPr>
        <w:t>Immediately upon the closing of the Initial Public Offering, the Company recognized the accretion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93" w:lineRule="exact"/>
        <w:rPr>
          <w:sz w:val="20"/>
          <w:szCs w:val="20"/>
          <w:color w:val="auto"/>
        </w:rPr>
      </w:pPr>
    </w:p>
    <w:p>
      <w:pPr>
        <w:jc w:val="both"/>
        <w:ind w:firstLine="377"/>
        <w:spacing w:after="0" w:line="329" w:lineRule="auto"/>
        <w:rPr>
          <w:sz w:val="20"/>
          <w:szCs w:val="20"/>
          <w:color w:val="auto"/>
        </w:rPr>
      </w:pPr>
      <w:r>
        <w:rPr>
          <w:rFonts w:ascii="Arial" w:cs="Arial" w:eastAsia="Arial" w:hAnsi="Arial"/>
          <w:sz w:val="13"/>
          <w:szCs w:val="13"/>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2" w:lineRule="exact"/>
        <w:rPr>
          <w:sz w:val="20"/>
          <w:szCs w:val="20"/>
          <w:color w:val="auto"/>
        </w:rPr>
      </w:pPr>
    </w:p>
    <w:p>
      <w:pPr>
        <w:jc w:val="both"/>
        <w:ind w:right="20" w:firstLine="377"/>
        <w:spacing w:after="0" w:line="322" w:lineRule="auto"/>
        <w:rPr>
          <w:sz w:val="20"/>
          <w:szCs w:val="20"/>
          <w:color w:val="auto"/>
        </w:rPr>
      </w:pPr>
      <w:r>
        <w:rPr>
          <w:rFonts w:ascii="Arial" w:cs="Arial" w:eastAsia="Arial" w:hAnsi="Arial"/>
          <w:sz w:val="13"/>
          <w:szCs w:val="13"/>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w:t>
      </w:r>
    </w:p>
    <w:p>
      <w:pPr>
        <w:spacing w:after="0" w:line="128" w:lineRule="exact"/>
        <w:rPr>
          <w:sz w:val="20"/>
          <w:szCs w:val="20"/>
          <w:color w:val="auto"/>
        </w:rPr>
      </w:pPr>
    </w:p>
    <w:p>
      <w:pPr>
        <w:jc w:val="both"/>
        <w:ind w:right="20" w:firstLine="377"/>
        <w:spacing w:after="0" w:line="256"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 (Loss) Per Ordinary Share</w:t>
      </w:r>
    </w:p>
    <w:p>
      <w:pPr>
        <w:spacing w:after="0" w:line="193" w:lineRule="exact"/>
        <w:rPr>
          <w:sz w:val="20"/>
          <w:szCs w:val="20"/>
          <w:color w:val="auto"/>
        </w:rPr>
      </w:pPr>
    </w:p>
    <w:p>
      <w:pPr>
        <w:jc w:val="both"/>
        <w:ind w:firstLine="377"/>
        <w:spacing w:after="0" w:line="318" w:lineRule="auto"/>
        <w:rPr>
          <w:sz w:val="20"/>
          <w:szCs w:val="20"/>
          <w:color w:val="auto"/>
        </w:rPr>
      </w:pPr>
      <w:r>
        <w:rPr>
          <w:rFonts w:ascii="Arial" w:cs="Arial" w:eastAsia="Arial" w:hAnsi="Arial"/>
          <w:sz w:val="13"/>
          <w:szCs w:val="13"/>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period January 13, 2021 (inception) through December 31, 2021. Accretion associated with the Class A ordinary shares subject to possible redemption is excluded from earnings per share as the redemption value approximates fair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presents a reconciliation of the numerator and denominator used to compute basic and diluted net income (loss) per share for each ordinary share class:</w:t>
      </w:r>
    </w:p>
    <w:p>
      <w:pPr>
        <w:sectPr>
          <w:pgSz w:w="11900" w:h="16838" w:orient="portrait"/>
          <w:cols w:equalWidth="0" w:num="1">
            <w:col w:w="11260"/>
          </w:cols>
          <w:pgMar w:left="320" w:top="68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ordinary share: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Numerator:</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Allocation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50100" cy="134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3"/>
          <w:szCs w:val="13"/>
          <w:color w:val="auto"/>
        </w:rPr>
        <w:t>Basic and diluted weighted average ordinary shares outstanding</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ordinary share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For the period</w:t>
      </w:r>
    </w:p>
    <w:p>
      <w:pPr>
        <w:spacing w:after="0" w:line="2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January 13,</w:t>
      </w:r>
    </w:p>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2021</w:t>
      </w:r>
    </w:p>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(inception) through</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December 31,</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Class A</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Class B</w:t>
            </w:r>
          </w:p>
        </w:tc>
        <w:tc>
          <w:tcPr>
            <w:tcW w:w="60" w:type="dxa"/>
            <w:vAlign w:val="bottom"/>
            <w:gridSpan w:val="3"/>
          </w:tcPr>
          <w:p>
            <w:pPr>
              <w:spacing w:after="0"/>
              <w:rPr>
                <w:sz w:val="18"/>
                <w:szCs w:val="18"/>
                <w:color w:val="auto"/>
              </w:rPr>
            </w:pPr>
          </w:p>
        </w:tc>
      </w:tr>
      <w:tr>
        <w:trPr>
          <w:trHeight w:val="564"/>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(12,456,056)</w:t>
            </w:r>
          </w:p>
        </w:tc>
        <w:tc>
          <w:tcPr>
            <w:tcW w:w="10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(3,738,606)</w:t>
            </w:r>
          </w:p>
        </w:tc>
      </w:tr>
      <w:tr>
        <w:trPr>
          <w:trHeight w:val="393"/>
        </w:trPr>
        <w:tc>
          <w:tcPr>
            <w:tcW w:w="20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6"/>
                <w:szCs w:val="16"/>
                <w:color w:val="auto"/>
              </w:rPr>
              <w:t>25,360,688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7,611,848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(0.49</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52" w:lineRule="exact"/>
        <w:rPr>
          <w:sz w:val="20"/>
          <w:szCs w:val="20"/>
          <w:color w:val="auto"/>
        </w:rPr>
      </w:pPr>
    </w:p>
    <w:p>
      <w:pPr>
        <w:sectPr>
          <w:pgSz w:w="11900" w:h="16838" w:orient="portrait"/>
          <w:cols w:equalWidth="0" w:num="2">
            <w:col w:w="7960" w:space="720"/>
            <w:col w:w="2580"/>
          </w:cols>
          <w:pgMar w:left="320" w:top="688" w:right="319" w:bottom="1440" w:gutter="0" w:footer="0" w:header="0"/>
          <w:type w:val="continuous"/>
        </w:sectPr>
      </w:pPr>
    </w:p>
    <w:p>
      <w:pPr>
        <w:jc w:val="both"/>
        <w:ind w:firstLine="377"/>
        <w:spacing w:after="0" w:line="248" w:lineRule="auto"/>
        <w:rPr>
          <w:sz w:val="20"/>
          <w:szCs w:val="20"/>
          <w:color w:val="auto"/>
        </w:rPr>
      </w:pPr>
      <w:r>
        <w:rPr>
          <w:rFonts w:ascii="Arial" w:cs="Arial" w:eastAsia="Arial" w:hAnsi="Arial"/>
          <w:sz w:val="16"/>
          <w:szCs w:val="16"/>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the Company on January 1, 2024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75" w:lineRule="exact"/>
        <w:rPr>
          <w:sz w:val="20"/>
          <w:szCs w:val="20"/>
          <w:color w:val="auto"/>
        </w:rPr>
      </w:pPr>
    </w:p>
    <w:p>
      <w:pPr>
        <w:jc w:val="both"/>
        <w:ind w:right="20" w:firstLine="377"/>
        <w:spacing w:after="0" w:line="266" w:lineRule="auto"/>
        <w:rPr>
          <w:sz w:val="20"/>
          <w:szCs w:val="20"/>
          <w:color w:val="auto"/>
        </w:rPr>
      </w:pPr>
      <w:r>
        <w:rPr>
          <w:rFonts w:ascii="Arial" w:cs="Arial" w:eastAsia="Arial" w:hAnsi="Arial"/>
          <w:sz w:val="16"/>
          <w:szCs w:val="16"/>
          <w:color w:val="auto"/>
        </w:rPr>
        <w:t>The Company’s management does not believe that any other recently issued, but not yet effective, accounting standards updates, if currently adopted, would have a material effect on the Company’s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Initial Public Offering</w:t>
      </w:r>
    </w:p>
    <w:p>
      <w:pPr>
        <w:spacing w:after="0" w:line="197"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6"/>
          <w:szCs w:val="16"/>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5" w:lineRule="exact"/>
        <w:rPr>
          <w:sz w:val="20"/>
          <w:szCs w:val="20"/>
          <w:color w:val="auto"/>
        </w:rPr>
      </w:pPr>
    </w:p>
    <w:p>
      <w:pPr>
        <w:jc w:val="both"/>
        <w:ind w:right="20" w:firstLine="377"/>
        <w:spacing w:after="0" w:line="266" w:lineRule="auto"/>
        <w:rPr>
          <w:sz w:val="20"/>
          <w:szCs w:val="20"/>
          <w:color w:val="auto"/>
        </w:rPr>
      </w:pPr>
      <w:r>
        <w:rPr>
          <w:rFonts w:ascii="Arial" w:cs="Arial" w:eastAsia="Arial" w:hAnsi="Arial"/>
          <w:sz w:val="16"/>
          <w:szCs w:val="16"/>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Private Placement</w:t>
      </w:r>
    </w:p>
    <w:p>
      <w:pPr>
        <w:spacing w:after="0" w:line="197" w:lineRule="exact"/>
        <w:rPr>
          <w:sz w:val="20"/>
          <w:szCs w:val="20"/>
          <w:color w:val="auto"/>
        </w:rPr>
      </w:pPr>
    </w:p>
    <w:p>
      <w:pPr>
        <w:jc w:val="both"/>
        <w:ind w:right="20" w:firstLine="377"/>
        <w:spacing w:after="0" w:line="266"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57" w:lineRule="exact"/>
        <w:rPr>
          <w:sz w:val="20"/>
          <w:szCs w:val="20"/>
          <w:color w:val="auto"/>
        </w:rPr>
      </w:pPr>
    </w:p>
    <w:p>
      <w:pPr>
        <w:jc w:val="both"/>
        <w:ind w:right="20" w:firstLine="377"/>
        <w:spacing w:after="0" w:line="252" w:lineRule="auto"/>
        <w:rPr>
          <w:sz w:val="20"/>
          <w:szCs w:val="20"/>
          <w:color w:val="auto"/>
        </w:rPr>
      </w:pPr>
      <w:r>
        <w:rPr>
          <w:rFonts w:ascii="Arial" w:cs="Arial" w:eastAsia="Arial" w:hAnsi="Arial"/>
          <w:sz w:val="16"/>
          <w:szCs w:val="16"/>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69" w:lineRule="exact"/>
        <w:rPr>
          <w:sz w:val="20"/>
          <w:szCs w:val="20"/>
          <w:color w:val="auto"/>
        </w:rPr>
      </w:pPr>
    </w:p>
    <w:p>
      <w:pPr>
        <w:jc w:val="both"/>
        <w:ind w:right="20" w:firstLine="377"/>
        <w:spacing w:after="0" w:line="266" w:lineRule="auto"/>
        <w:rPr>
          <w:sz w:val="20"/>
          <w:szCs w:val="20"/>
          <w:color w:val="auto"/>
        </w:rPr>
      </w:pPr>
      <w:r>
        <w:rPr>
          <w:rFonts w:ascii="Arial" w:cs="Arial" w:eastAsia="Arial" w:hAnsi="Arial"/>
          <w:sz w:val="16"/>
          <w:szCs w:val="16"/>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Related Party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Founder Shares</w:t>
      </w:r>
    </w:p>
    <w:p>
      <w:pPr>
        <w:spacing w:after="0" w:line="193" w:lineRule="exact"/>
        <w:rPr>
          <w:sz w:val="20"/>
          <w:szCs w:val="20"/>
          <w:color w:val="auto"/>
        </w:rPr>
      </w:pPr>
    </w:p>
    <w:p>
      <w:pPr>
        <w:jc w:val="both"/>
        <w:ind w:firstLine="377"/>
        <w:spacing w:after="0" w:line="316" w:lineRule="auto"/>
        <w:rPr>
          <w:sz w:val="20"/>
          <w:szCs w:val="20"/>
          <w:color w:val="auto"/>
        </w:rPr>
      </w:pPr>
      <w:r>
        <w:rPr>
          <w:rFonts w:ascii="Arial" w:cs="Arial" w:eastAsia="Arial" w:hAnsi="Arial"/>
          <w:sz w:val="13"/>
          <w:szCs w:val="13"/>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30" w:lineRule="exact"/>
        <w:rPr>
          <w:sz w:val="20"/>
          <w:szCs w:val="20"/>
          <w:color w:val="auto"/>
        </w:rPr>
      </w:pPr>
    </w:p>
    <w:p>
      <w:pPr>
        <w:jc w:val="both"/>
        <w:ind w:right="20" w:firstLine="377"/>
        <w:spacing w:after="0" w:line="271" w:lineRule="auto"/>
        <w:rPr>
          <w:sz w:val="20"/>
          <w:szCs w:val="20"/>
          <w:color w:val="auto"/>
        </w:rPr>
      </w:pPr>
      <w:r>
        <w:rPr>
          <w:rFonts w:ascii="Arial" w:cs="Arial" w:eastAsia="Arial" w:hAnsi="Arial"/>
          <w:sz w:val="15"/>
          <w:szCs w:val="15"/>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Related Party Loans</w:t>
      </w:r>
    </w:p>
    <w:p>
      <w:pPr>
        <w:spacing w:after="0" w:line="193"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6"/>
          <w:szCs w:val="16"/>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65" w:lineRule="exact"/>
        <w:rPr>
          <w:sz w:val="20"/>
          <w:szCs w:val="20"/>
          <w:color w:val="auto"/>
        </w:rPr>
      </w:pPr>
    </w:p>
    <w:p>
      <w:pPr>
        <w:jc w:val="both"/>
        <w:ind w:firstLine="377"/>
        <w:spacing w:after="0" w:line="266" w:lineRule="auto"/>
        <w:rPr>
          <w:sz w:val="20"/>
          <w:szCs w:val="20"/>
          <w:color w:val="auto"/>
        </w:rPr>
      </w:pPr>
      <w:r>
        <w:rPr>
          <w:rFonts w:ascii="Arial" w:cs="Arial" w:eastAsia="Arial" w:hAnsi="Arial"/>
          <w:sz w:val="15"/>
          <w:szCs w:val="15"/>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December 31, 2021, the Company had no borrowings under the Working Capital Loans.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5 — Related Party Transactions </w:t>
      </w:r>
      <w:r>
        <w:rPr>
          <w:rFonts w:ascii="Arial" w:cs="Arial" w:eastAsia="Arial" w:hAnsi="Arial"/>
          <w:sz w:val="16"/>
          <w:szCs w:val="16"/>
          <w:color w:val="auto"/>
        </w:rPr>
        <w:t>(cont.)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Administrative Services Agreement</w:t>
      </w:r>
    </w:p>
    <w:p>
      <w:pPr>
        <w:spacing w:after="0" w:line="193" w:lineRule="exact"/>
        <w:rPr>
          <w:sz w:val="20"/>
          <w:szCs w:val="20"/>
          <w:color w:val="auto"/>
        </w:rPr>
      </w:pPr>
    </w:p>
    <w:p>
      <w:pPr>
        <w:jc w:val="both"/>
        <w:ind w:firstLine="377"/>
        <w:spacing w:after="0" w:line="274" w:lineRule="auto"/>
        <w:rPr>
          <w:sz w:val="20"/>
          <w:szCs w:val="20"/>
          <w:color w:val="auto"/>
        </w:rPr>
      </w:pPr>
      <w:r>
        <w:rPr>
          <w:rFonts w:ascii="Arial" w:cs="Arial" w:eastAsia="Arial" w:hAnsi="Arial"/>
          <w:sz w:val="15"/>
          <w:szCs w:val="15"/>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$100,000 in expenses in connection with such services for the period from January 13, 2021 (inception) ended December 31, 2021 which is included in general and administrative expenses in the accompanying statement of operations.</w:t>
      </w:r>
    </w:p>
    <w:p>
      <w:pPr>
        <w:spacing w:after="0" w:line="155" w:lineRule="exact"/>
        <w:rPr>
          <w:sz w:val="20"/>
          <w:szCs w:val="20"/>
          <w:color w:val="auto"/>
        </w:rPr>
      </w:pPr>
    </w:p>
    <w:p>
      <w:pPr>
        <w:jc w:val="both"/>
        <w:ind w:firstLine="377"/>
        <w:spacing w:after="0" w:line="252"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Commitments &amp; Contingencies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Registration and Shareholder Rights Agreement</w:t>
      </w:r>
    </w:p>
    <w:p>
      <w:pPr>
        <w:spacing w:after="0" w:line="193" w:lineRule="exact"/>
        <w:rPr>
          <w:sz w:val="20"/>
          <w:szCs w:val="20"/>
          <w:color w:val="auto"/>
        </w:rPr>
      </w:pPr>
    </w:p>
    <w:p>
      <w:pPr>
        <w:ind w:right="40" w:firstLine="377"/>
        <w:spacing w:after="0" w:line="249"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Underwriting Agreement</w:t>
      </w:r>
    </w:p>
    <w:p>
      <w:pPr>
        <w:spacing w:after="0" w:line="193"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6"/>
          <w:szCs w:val="16"/>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65" w:lineRule="exact"/>
        <w:rPr>
          <w:sz w:val="20"/>
          <w:szCs w:val="20"/>
          <w:color w:val="auto"/>
        </w:rPr>
      </w:pPr>
    </w:p>
    <w:p>
      <w:pPr>
        <w:jc w:val="both"/>
        <w:ind w:right="20" w:firstLine="377"/>
        <w:spacing w:after="0" w:line="252" w:lineRule="auto"/>
        <w:rPr>
          <w:sz w:val="20"/>
          <w:szCs w:val="20"/>
          <w:color w:val="auto"/>
        </w:rPr>
      </w:pPr>
      <w:r>
        <w:rPr>
          <w:rFonts w:ascii="Arial" w:cs="Arial" w:eastAsia="Arial" w:hAnsi="Arial"/>
          <w:sz w:val="16"/>
          <w:szCs w:val="16"/>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6 — Commitments &amp; Contingencies </w:t>
      </w:r>
      <w:r>
        <w:rPr>
          <w:rFonts w:ascii="Arial" w:cs="Arial" w:eastAsia="Arial" w:hAnsi="Arial"/>
          <w:sz w:val="16"/>
          <w:szCs w:val="16"/>
          <w:color w:val="auto"/>
        </w:rPr>
        <w:t>(cont.)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Legal Fees</w:t>
      </w:r>
    </w:p>
    <w:p>
      <w:pPr>
        <w:spacing w:after="0" w:line="193"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6"/>
          <w:szCs w:val="16"/>
          <w:color w:val="auto"/>
        </w:rPr>
        <w:t>We entered into an engagement letter to obtain legal advisory services, pursuant to which the legal counsel agreed to defer their fees until the closing of the initial Business Combination. As of December 31, 2021, the Company recorded an aggregate of approximately $4.0 million in connection with such arrangement as deferred legal fees in the accompanying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Class A Ordinary Shares Subject to Possible Redemption</w:t>
      </w:r>
    </w:p>
    <w:p>
      <w:pPr>
        <w:spacing w:after="0" w:line="197" w:lineRule="exact"/>
        <w:rPr>
          <w:sz w:val="20"/>
          <w:szCs w:val="20"/>
          <w:color w:val="auto"/>
        </w:rPr>
      </w:pPr>
    </w:p>
    <w:p>
      <w:pPr>
        <w:jc w:val="both"/>
        <w:ind w:firstLine="377"/>
        <w:spacing w:after="0" w:line="252" w:lineRule="auto"/>
        <w:rPr>
          <w:sz w:val="20"/>
          <w:szCs w:val="20"/>
          <w:color w:val="auto"/>
        </w:rPr>
      </w:pPr>
      <w:r>
        <w:rPr>
          <w:rFonts w:ascii="Arial" w:cs="Arial" w:eastAsia="Arial" w:hAnsi="Arial"/>
          <w:sz w:val="16"/>
          <w:szCs w:val="16"/>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December 31, 2021, there were 31,116,305 shares of Class A ordinary shares outstanding, all of which were subject to possible redemption.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840" w:type="dxa"/>
            <w:vAlign w:val="bottom"/>
          </w:tcPr>
          <w:p>
            <w:pPr>
              <w:ind w:left="360"/>
              <w:spacing w:after="0"/>
              <w:rPr>
                <w:sz w:val="20"/>
                <w:szCs w:val="20"/>
                <w:color w:val="auto"/>
              </w:rPr>
            </w:pPr>
            <w:r>
              <w:rPr>
                <w:rFonts w:ascii="Arial" w:cs="Arial" w:eastAsia="Arial" w:hAnsi="Arial"/>
                <w:sz w:val="16"/>
                <w:szCs w:val="16"/>
                <w:color w:val="auto"/>
                <w:w w:val="89"/>
              </w:rPr>
              <w:t>As of December 31, 2021, Class A ordinary shares subject to possible redemption reflected on the balance sheet is reconciled on the following table: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9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Gross Proceeds</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311,163,050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40" w:type="dxa"/>
            <w:vAlign w:val="bottom"/>
          </w:tcPr>
          <w:p>
            <w:pPr>
              <w:spacing w:after="0"/>
              <w:rPr>
                <w:sz w:val="20"/>
                <w:szCs w:val="20"/>
                <w:color w:val="auto"/>
              </w:rPr>
            </w:pPr>
            <w:r>
              <w:rPr>
                <w:rFonts w:ascii="Arial" w:cs="Arial" w:eastAsia="Arial" w:hAnsi="Arial"/>
                <w:sz w:val="16"/>
                <w:szCs w:val="16"/>
                <w:color w:val="auto"/>
              </w:rPr>
              <w:t>Less: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Offering costs allocated to Class A shares subject to possible redemption</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(17,138,390)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40" w:type="dxa"/>
            <w:vAlign w:val="bottom"/>
          </w:tcPr>
          <w:p>
            <w:pPr>
              <w:ind w:left="120"/>
              <w:spacing w:after="0"/>
              <w:rPr>
                <w:sz w:val="20"/>
                <w:szCs w:val="20"/>
                <w:color w:val="auto"/>
              </w:rPr>
            </w:pPr>
            <w:r>
              <w:rPr>
                <w:rFonts w:ascii="Arial" w:cs="Arial" w:eastAsia="Arial" w:hAnsi="Arial"/>
                <w:sz w:val="16"/>
                <w:szCs w:val="16"/>
                <w:color w:val="auto"/>
              </w:rPr>
              <w:t>Proceeds allocated to Public Warrants at issuance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(5,948,230)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color w:val="auto"/>
              </w:rPr>
              <w:t>Plus: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840" w:type="dxa"/>
            <w:vAlign w:val="bottom"/>
          </w:tcPr>
          <w:p>
            <w:pPr>
              <w:ind w:left="120"/>
              <w:spacing w:after="0"/>
              <w:rPr>
                <w:sz w:val="20"/>
                <w:szCs w:val="20"/>
                <w:color w:val="auto"/>
              </w:rPr>
            </w:pPr>
            <w:r>
              <w:rPr>
                <w:rFonts w:ascii="Arial" w:cs="Arial" w:eastAsia="Arial" w:hAnsi="Arial"/>
                <w:sz w:val="16"/>
                <w:szCs w:val="16"/>
                <w:color w:val="auto"/>
              </w:rPr>
              <w:t>Accretion on Class A ordinary shares subject to possible redemption amount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23,086,620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Class A ordinary shares subject to possible redemption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8"/>
              </w:rPr>
              <w:t>311,163,050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Shareholders’ Deficit</w:t>
      </w:r>
    </w:p>
    <w:p>
      <w:pPr>
        <w:spacing w:after="0" w:line="197"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500,000,000 Class A ordinary shares with a par value of $0.0001 per share. Holders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ordinary shares are entitled to one vote for each share. As of December 31, 2021, there were 31,116,305 Class A ordinary shares issued and outstanding. All Class A ordinary shares subject to possible redemption have been classified as temporary equity (see Note 7).</w:t>
      </w:r>
    </w:p>
    <w:p>
      <w:pPr>
        <w:spacing w:after="0" w:line="165" w:lineRule="exact"/>
        <w:rPr>
          <w:sz w:val="20"/>
          <w:szCs w:val="20"/>
          <w:color w:val="auto"/>
        </w:rPr>
      </w:pPr>
    </w:p>
    <w:p>
      <w:pPr>
        <w:jc w:val="both"/>
        <w:ind w:firstLine="377"/>
        <w:spacing w:after="0" w:line="267" w:lineRule="auto"/>
        <w:rPr>
          <w:sz w:val="20"/>
          <w:szCs w:val="20"/>
          <w:color w:val="auto"/>
        </w:rPr>
      </w:pPr>
      <w:r>
        <w:rPr>
          <w:rFonts w:ascii="Arial" w:cs="Arial" w:eastAsia="Arial" w:hAnsi="Arial"/>
          <w:sz w:val="15"/>
          <w:szCs w:val="15"/>
          <w:b w:val="1"/>
          <w:bCs w:val="1"/>
          <w:i w:val="1"/>
          <w:iCs w:val="1"/>
          <w:color w:val="auto"/>
        </w:rPr>
        <w:t xml:space="preserve">Class B Ordinary Shares </w:t>
      </w:r>
      <w:r>
        <w:rPr>
          <w:rFonts w:ascii="Arial" w:cs="Arial" w:eastAsia="Arial" w:hAnsi="Arial"/>
          <w:sz w:val="15"/>
          <w:szCs w:val="15"/>
          <w:color w:val="auto"/>
        </w:rPr>
        <w:t>— The Company is authorized to issue 50,000,000 Class B ordinary shares with a par value of $0.0001 per share. On January 20, 2021,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December 31, 2021, there were 7,779,076 Class B ordinary shares issued and outstanding.</w:t>
      </w:r>
    </w:p>
    <w:p>
      <w:pPr>
        <w:spacing w:after="0" w:line="161" w:lineRule="exact"/>
        <w:rPr>
          <w:sz w:val="20"/>
          <w:szCs w:val="20"/>
          <w:color w:val="auto"/>
        </w:rPr>
      </w:pPr>
    </w:p>
    <w:p>
      <w:pPr>
        <w:jc w:val="both"/>
        <w:ind w:right="20" w:firstLine="377"/>
        <w:spacing w:after="0" w:line="383" w:lineRule="auto"/>
        <w:rPr>
          <w:sz w:val="20"/>
          <w:szCs w:val="20"/>
          <w:color w:val="auto"/>
        </w:rPr>
      </w:pPr>
      <w:r>
        <w:rPr>
          <w:rFonts w:ascii="Arial" w:cs="Arial" w:eastAsia="Arial" w:hAnsi="Arial"/>
          <w:sz w:val="13"/>
          <w:szCs w:val="13"/>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8 — Shareholders’ Deficit </w:t>
      </w:r>
      <w:r>
        <w:rPr>
          <w:rFonts w:ascii="Arial" w:cs="Arial" w:eastAsia="Arial" w:hAnsi="Arial"/>
          <w:sz w:val="16"/>
          <w:szCs w:val="16"/>
          <w:color w:val="auto"/>
        </w:rPr>
        <w:t>(cont.)</w:t>
      </w:r>
    </w:p>
    <w:p>
      <w:pPr>
        <w:spacing w:after="0" w:line="197" w:lineRule="exact"/>
        <w:rPr>
          <w:sz w:val="20"/>
          <w:szCs w:val="20"/>
          <w:color w:val="auto"/>
        </w:rPr>
      </w:pPr>
    </w:p>
    <w:p>
      <w:pPr>
        <w:jc w:val="both"/>
        <w:ind w:firstLine="377"/>
        <w:spacing w:after="0" w:line="266" w:lineRule="auto"/>
        <w:rPr>
          <w:sz w:val="20"/>
          <w:szCs w:val="20"/>
          <w:color w:val="auto"/>
        </w:rPr>
      </w:pPr>
      <w:r>
        <w:rPr>
          <w:rFonts w:ascii="Arial" w:cs="Arial" w:eastAsia="Arial" w:hAnsi="Arial"/>
          <w:sz w:val="15"/>
          <w:szCs w:val="15"/>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4" w:lineRule="exact"/>
        <w:rPr>
          <w:sz w:val="20"/>
          <w:szCs w:val="20"/>
          <w:color w:val="auto"/>
        </w:rPr>
      </w:pPr>
    </w:p>
    <w:p>
      <w:pPr>
        <w:jc w:val="both"/>
        <w:ind w:firstLine="377"/>
        <w:spacing w:after="0" w:line="266" w:lineRule="auto"/>
        <w:rPr>
          <w:sz w:val="20"/>
          <w:szCs w:val="20"/>
          <w:color w:val="auto"/>
        </w:rPr>
      </w:pPr>
      <w:r>
        <w:rPr>
          <w:rFonts w:ascii="Arial" w:cs="Arial" w:eastAsia="Arial" w:hAnsi="Arial"/>
          <w:sz w:val="16"/>
          <w:szCs w:val="16"/>
          <w:b w:val="1"/>
          <w:bCs w:val="1"/>
          <w:i w:val="1"/>
          <w:iCs w:val="1"/>
          <w:color w:val="auto"/>
        </w:rPr>
        <w:t xml:space="preserve">Preference Shares </w:t>
      </w:r>
      <w:r>
        <w:rPr>
          <w:rFonts w:ascii="Arial" w:cs="Arial" w:eastAsia="Arial" w:hAnsi="Arial"/>
          <w:sz w:val="16"/>
          <w:szCs w:val="16"/>
          <w:color w:val="auto"/>
        </w:rPr>
        <w:t>— The Company is authorized to issue 5,000,000 preference shares with a par value of $0.0001 per share. As of December 31, 2021, there were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preference shares issued or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Derivative Warrant Liabilities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2021, the Company had 6,223,261 and 9,223,261 Public Warrants and Private Placement Warrants, respectively, outstanding.</w:t>
      </w:r>
    </w:p>
    <w:p>
      <w:pPr>
        <w:spacing w:after="0" w:line="193" w:lineRule="exact"/>
        <w:rPr>
          <w:sz w:val="20"/>
          <w:szCs w:val="20"/>
          <w:color w:val="auto"/>
        </w:rPr>
      </w:pPr>
    </w:p>
    <w:p>
      <w:pPr>
        <w:jc w:val="both"/>
        <w:ind w:firstLine="377"/>
        <w:spacing w:after="0" w:line="304" w:lineRule="auto"/>
        <w:rPr>
          <w:sz w:val="20"/>
          <w:szCs w:val="20"/>
          <w:color w:val="auto"/>
        </w:rPr>
      </w:pPr>
      <w:r>
        <w:rPr>
          <w:rFonts w:ascii="Arial" w:cs="Arial" w:eastAsia="Arial" w:hAnsi="Arial"/>
          <w:sz w:val="13"/>
          <w:szCs w:val="13"/>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81" w:lineRule="exact"/>
        <w:rPr>
          <w:sz w:val="20"/>
          <w:szCs w:val="20"/>
          <w:color w:val="auto"/>
        </w:rPr>
      </w:pPr>
    </w:p>
    <w:p>
      <w:pPr>
        <w:jc w:val="both"/>
        <w:ind w:firstLine="377"/>
        <w:spacing w:after="0" w:line="310" w:lineRule="auto"/>
        <w:rPr>
          <w:sz w:val="20"/>
          <w:szCs w:val="20"/>
          <w:color w:val="auto"/>
        </w:rPr>
      </w:pPr>
      <w:r>
        <w:rPr>
          <w:rFonts w:ascii="Arial" w:cs="Arial" w:eastAsia="Arial" w:hAnsi="Arial"/>
          <w:sz w:val="13"/>
          <w:szCs w:val="13"/>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9 — Derivative Warrant Liabilities </w:t>
      </w:r>
      <w:r>
        <w:rPr>
          <w:rFonts w:ascii="Arial" w:cs="Arial" w:eastAsia="Arial" w:hAnsi="Arial"/>
          <w:sz w:val="16"/>
          <w:szCs w:val="16"/>
          <w:color w:val="auto"/>
        </w:rPr>
        <w:t>(cont.)</w:t>
      </w:r>
    </w:p>
    <w:p>
      <w:pPr>
        <w:spacing w:after="0" w:line="197" w:lineRule="exact"/>
        <w:rPr>
          <w:sz w:val="20"/>
          <w:szCs w:val="20"/>
          <w:color w:val="auto"/>
        </w:rPr>
      </w:pPr>
    </w:p>
    <w:p>
      <w:pPr>
        <w:jc w:val="both"/>
        <w:ind w:firstLine="377"/>
        <w:spacing w:after="0" w:line="322" w:lineRule="auto"/>
        <w:rPr>
          <w:sz w:val="20"/>
          <w:szCs w:val="20"/>
          <w:color w:val="auto"/>
        </w:rPr>
      </w:pPr>
      <w:r>
        <w:rPr>
          <w:rFonts w:ascii="Arial" w:cs="Arial" w:eastAsia="Arial" w:hAnsi="Arial"/>
          <w:sz w:val="13"/>
          <w:szCs w:val="13"/>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of warrants for cash when the price per Class A ordinary share equals or exceeds $18.00:</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Once the warrants become exercisable, the Company may redeem the outstanding warrants (except as described herein with respect to the Private Placement Warrants):</w:t>
      </w:r>
    </w:p>
    <w:p>
      <w:pPr>
        <w:spacing w:after="0" w:line="227" w:lineRule="exact"/>
        <w:rPr>
          <w:sz w:val="20"/>
          <w:szCs w:val="20"/>
          <w:color w:val="auto"/>
        </w:rPr>
      </w:pPr>
    </w:p>
    <w:p>
      <w:pPr>
        <w:ind w:left="640" w:hanging="281"/>
        <w:spacing w:after="0"/>
        <w:tabs>
          <w:tab w:leader="none" w:pos="6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92" w:lineRule="exact"/>
        <w:rPr>
          <w:rFonts w:ascii="Arial" w:cs="Arial" w:eastAsia="Arial" w:hAnsi="Arial"/>
          <w:sz w:val="16"/>
          <w:szCs w:val="16"/>
          <w:color w:val="auto"/>
        </w:rPr>
      </w:pPr>
    </w:p>
    <w:p>
      <w:pPr>
        <w:ind w:left="640" w:hanging="281"/>
        <w:spacing w:after="0"/>
        <w:tabs>
          <w:tab w:leader="none" w:pos="6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192" w:lineRule="exact"/>
        <w:rPr>
          <w:rFonts w:ascii="Arial" w:cs="Arial" w:eastAsia="Arial" w:hAnsi="Arial"/>
          <w:sz w:val="16"/>
          <w:szCs w:val="16"/>
          <w:color w:val="auto"/>
        </w:rPr>
      </w:pPr>
    </w:p>
    <w:p>
      <w:pPr>
        <w:ind w:left="640" w:hanging="281"/>
        <w:spacing w:after="0"/>
        <w:tabs>
          <w:tab w:leader="none" w:pos="6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upon a minimum of 30 days’ prior written notice of redemption to each warrant holder; and</w:t>
      </w:r>
    </w:p>
    <w:p>
      <w:pPr>
        <w:spacing w:after="0" w:line="192" w:lineRule="exact"/>
        <w:rPr>
          <w:rFonts w:ascii="Arial" w:cs="Arial" w:eastAsia="Arial" w:hAnsi="Arial"/>
          <w:sz w:val="16"/>
          <w:szCs w:val="16"/>
          <w:color w:val="auto"/>
        </w:rPr>
      </w:pPr>
    </w:p>
    <w:p>
      <w:pPr>
        <w:ind w:left="640" w:hanging="281"/>
        <w:spacing w:after="0" w:line="383" w:lineRule="auto"/>
        <w:tabs>
          <w:tab w:leader="none" w:pos="6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88" w:lineRule="exact"/>
        <w:rPr>
          <w:sz w:val="20"/>
          <w:szCs w:val="20"/>
          <w:color w:val="auto"/>
        </w:rPr>
      </w:pPr>
    </w:p>
    <w:p>
      <w:pPr>
        <w:ind w:right="20" w:firstLine="377"/>
        <w:spacing w:after="0" w:line="383" w:lineRule="auto"/>
        <w:rPr>
          <w:sz w:val="20"/>
          <w:szCs w:val="20"/>
          <w:color w:val="auto"/>
        </w:rPr>
      </w:pPr>
      <w:r>
        <w:rPr>
          <w:rFonts w:ascii="Arial" w:cs="Arial" w:eastAsia="Arial" w:hAnsi="Arial"/>
          <w:sz w:val="13"/>
          <w:szCs w:val="13"/>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of warrants for Class A ordinary shares when the price per Class A ordinary share equals or exceeds $10.00:</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Once the warrants become exercisable, the Company may redeem the outstanding warrants:</w:t>
      </w:r>
    </w:p>
    <w:p>
      <w:pPr>
        <w:spacing w:after="0" w:line="193" w:lineRule="exact"/>
        <w:rPr>
          <w:sz w:val="20"/>
          <w:szCs w:val="20"/>
          <w:color w:val="auto"/>
        </w:rPr>
      </w:pPr>
    </w:p>
    <w:p>
      <w:pPr>
        <w:ind w:left="640" w:hanging="281"/>
        <w:spacing w:after="0"/>
        <w:tabs>
          <w:tab w:leader="none" w:pos="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92" w:lineRule="exact"/>
        <w:rPr>
          <w:rFonts w:ascii="Arial" w:cs="Arial" w:eastAsia="Arial" w:hAnsi="Arial"/>
          <w:sz w:val="16"/>
          <w:szCs w:val="16"/>
          <w:color w:val="auto"/>
        </w:rPr>
      </w:pPr>
    </w:p>
    <w:p>
      <w:pPr>
        <w:jc w:val="both"/>
        <w:ind w:left="640" w:hanging="281"/>
        <w:spacing w:after="0" w:line="256" w:lineRule="auto"/>
        <w:tabs>
          <w:tab w:leader="none" w:pos="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65" w:lineRule="exact"/>
        <w:rPr>
          <w:rFonts w:ascii="Arial" w:cs="Arial" w:eastAsia="Arial" w:hAnsi="Arial"/>
          <w:sz w:val="16"/>
          <w:szCs w:val="16"/>
          <w:color w:val="auto"/>
        </w:rPr>
      </w:pPr>
    </w:p>
    <w:p>
      <w:pPr>
        <w:ind w:left="640" w:right="20" w:hanging="281"/>
        <w:spacing w:after="0" w:line="266" w:lineRule="auto"/>
        <w:tabs>
          <w:tab w:leader="none" w:pos="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and only if, the closing price of Class A ordinary shares equals or exceeds $10.00 per Public Share (as adjusted) for any 20 trading days within the 30 — trading day period ending three trading days before the Company sends the notice of redemption to the warrant holders;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9 — Derivative Warrant Liabilities </w:t>
      </w:r>
      <w:r>
        <w:rPr>
          <w:rFonts w:ascii="Arial" w:cs="Arial" w:eastAsia="Arial" w:hAnsi="Arial"/>
          <w:sz w:val="16"/>
          <w:szCs w:val="16"/>
          <w:color w:val="auto"/>
        </w:rPr>
        <w:t>(cont.)</w:t>
      </w:r>
    </w:p>
    <w:p>
      <w:pPr>
        <w:spacing w:after="0" w:line="197" w:lineRule="exact"/>
        <w:rPr>
          <w:sz w:val="20"/>
          <w:szCs w:val="20"/>
          <w:color w:val="auto"/>
        </w:rPr>
      </w:pPr>
    </w:p>
    <w:p>
      <w:pPr>
        <w:jc w:val="both"/>
        <w:ind w:left="640" w:hanging="281"/>
        <w:spacing w:after="0" w:line="256" w:lineRule="auto"/>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65" w:lineRule="exact"/>
        <w:rPr>
          <w:sz w:val="20"/>
          <w:szCs w:val="20"/>
          <w:color w:val="auto"/>
        </w:rPr>
      </w:pPr>
    </w:p>
    <w:p>
      <w:pPr>
        <w:jc w:val="both"/>
        <w:ind w:right="20" w:firstLine="377"/>
        <w:spacing w:after="0" w:line="256"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65" w:lineRule="exact"/>
        <w:rPr>
          <w:sz w:val="20"/>
          <w:szCs w:val="20"/>
          <w:color w:val="auto"/>
        </w:rPr>
      </w:pPr>
    </w:p>
    <w:p>
      <w:pPr>
        <w:jc w:val="both"/>
        <w:ind w:firstLine="377"/>
        <w:spacing w:after="0" w:line="281" w:lineRule="auto"/>
        <w:rPr>
          <w:sz w:val="20"/>
          <w:szCs w:val="20"/>
          <w:color w:val="auto"/>
        </w:rPr>
      </w:pPr>
      <w:r>
        <w:rPr>
          <w:rFonts w:ascii="Arial" w:cs="Arial" w:eastAsia="Arial" w:hAnsi="Arial"/>
          <w:sz w:val="15"/>
          <w:szCs w:val="15"/>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Fair Value Measurements</w:t>
      </w:r>
    </w:p>
    <w:p>
      <w:pPr>
        <w:spacing w:after="0" w:line="197" w:lineRule="exact"/>
        <w:rPr>
          <w:sz w:val="20"/>
          <w:szCs w:val="20"/>
          <w:color w:val="auto"/>
        </w:rPr>
      </w:pPr>
    </w:p>
    <w:p>
      <w:pPr>
        <w:jc w:val="both"/>
        <w:ind w:firstLine="377"/>
        <w:spacing w:after="0" w:line="266"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as of December 31, 2021 and indicates the fair value hierarchy of the valuation techniques that the Company utilized to determine such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December 31, 2021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342"/>
              <w:spacing w:after="0"/>
              <w:rPr>
                <w:sz w:val="20"/>
                <w:szCs w:val="20"/>
                <w:color w:val="auto"/>
              </w:rPr>
            </w:pPr>
            <w:r>
              <w:rPr>
                <w:rFonts w:ascii="Arial" w:cs="Arial" w:eastAsia="Arial" w:hAnsi="Arial"/>
                <w:sz w:val="16"/>
                <w:szCs w:val="16"/>
                <w:b w:val="1"/>
                <w:bCs w:val="1"/>
                <w:color w:val="auto"/>
              </w:rPr>
              <w:t>Level 3</w:t>
            </w:r>
          </w:p>
        </w:tc>
      </w:tr>
      <w:tr>
        <w:trPr>
          <w:trHeight w:val="188"/>
        </w:trPr>
        <w:tc>
          <w:tcPr>
            <w:tcW w:w="20" w:type="dxa"/>
            <w:vAlign w:val="bottom"/>
          </w:tcPr>
          <w:p>
            <w:pPr>
              <w:spacing w:after="0"/>
              <w:rPr>
                <w:sz w:val="16"/>
                <w:szCs w:val="16"/>
                <w:color w:val="auto"/>
              </w:rPr>
            </w:pPr>
          </w:p>
        </w:tc>
        <w:tc>
          <w:tcPr>
            <w:tcW w:w="71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Investments held in Trust Account – money market fund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311,175,471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liabilities – Public Warrants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10,392,850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00"/>
        </w:trPr>
        <w:tc>
          <w:tcPr>
            <w:tcW w:w="20" w:type="dxa"/>
            <w:vAlign w:val="bottom"/>
          </w:tcPr>
          <w:p>
            <w:pPr>
              <w:spacing w:after="0"/>
              <w:rPr>
                <w:sz w:val="17"/>
                <w:szCs w:val="17"/>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Derivative liabilities – Private Warrants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15,402,850</w:t>
            </w:r>
          </w:p>
        </w:tc>
      </w:tr>
    </w:tbl>
    <w:p>
      <w:pPr>
        <w:spacing w:after="0" w:line="164" w:lineRule="exact"/>
        <w:rPr>
          <w:sz w:val="20"/>
          <w:szCs w:val="20"/>
          <w:color w:val="auto"/>
        </w:rPr>
      </w:pPr>
    </w:p>
    <w:p>
      <w:pPr>
        <w:jc w:val="both"/>
        <w:ind w:right="20" w:firstLine="377"/>
        <w:spacing w:after="0" w:line="300" w:lineRule="auto"/>
        <w:rPr>
          <w:sz w:val="20"/>
          <w:szCs w:val="20"/>
          <w:color w:val="auto"/>
        </w:rPr>
      </w:pPr>
      <w:r>
        <w:rPr>
          <w:rFonts w:ascii="Arial" w:cs="Arial" w:eastAsia="Arial" w:hAnsi="Arial"/>
          <w:sz w:val="15"/>
          <w:szCs w:val="15"/>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w:t>
      </w:r>
    </w:p>
    <w:p>
      <w:pPr>
        <w:spacing w:after="0" w:line="134" w:lineRule="exact"/>
        <w:rPr>
          <w:sz w:val="20"/>
          <w:szCs w:val="20"/>
          <w:color w:val="auto"/>
        </w:rPr>
      </w:pPr>
    </w:p>
    <w:p>
      <w:pPr>
        <w:jc w:val="both"/>
        <w:ind w:firstLine="377"/>
        <w:spacing w:after="0" w:line="266" w:lineRule="auto"/>
        <w:rPr>
          <w:sz w:val="20"/>
          <w:szCs w:val="20"/>
          <w:color w:val="auto"/>
        </w:rPr>
      </w:pPr>
      <w:r>
        <w:rPr>
          <w:rFonts w:ascii="Arial" w:cs="Arial" w:eastAsia="Arial" w:hAnsi="Arial"/>
          <w:sz w:val="16"/>
          <w:szCs w:val="16"/>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57" w:lineRule="exact"/>
        <w:rPr>
          <w:sz w:val="20"/>
          <w:szCs w:val="20"/>
          <w:color w:val="auto"/>
        </w:rPr>
      </w:pPr>
    </w:p>
    <w:p>
      <w:pPr>
        <w:jc w:val="both"/>
        <w:ind w:firstLine="377"/>
        <w:spacing w:after="0" w:line="249" w:lineRule="auto"/>
        <w:rPr>
          <w:sz w:val="20"/>
          <w:szCs w:val="20"/>
          <w:color w:val="auto"/>
        </w:rPr>
      </w:pPr>
      <w:r>
        <w:rPr>
          <w:rFonts w:ascii="Arial" w:cs="Arial" w:eastAsia="Arial" w:hAnsi="Arial"/>
          <w:sz w:val="16"/>
          <w:szCs w:val="16"/>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period from January 13, 2021 (inception) through December 31, 2021, the Company recognized a change to the statement of operations resulting from an increase in the fair value of liabilities of approximately $10.8 million presented as change in fair value of derivative warrant liabilities in the accompanying statement of operations.</w:t>
      </w:r>
    </w:p>
    <w:p>
      <w:pPr>
        <w:spacing w:after="0" w:line="174" w:lineRule="exact"/>
        <w:rPr>
          <w:sz w:val="20"/>
          <w:szCs w:val="20"/>
          <w:color w:val="auto"/>
        </w:rPr>
      </w:pPr>
    </w:p>
    <w:p>
      <w:pPr>
        <w:jc w:val="both"/>
        <w:ind w:firstLine="377"/>
        <w:spacing w:after="0" w:line="249" w:lineRule="auto"/>
        <w:rPr>
          <w:sz w:val="20"/>
          <w:szCs w:val="20"/>
          <w:color w:val="auto"/>
        </w:rPr>
      </w:pPr>
      <w:r>
        <w:rPr>
          <w:rFonts w:ascii="Arial" w:cs="Arial" w:eastAsia="Arial" w:hAnsi="Arial"/>
          <w:sz w:val="16"/>
          <w:szCs w:val="16"/>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82" w:name="page183"/>
    <w:bookmarkEnd w:id="182"/>
    <w:p>
      <w:pPr>
        <w:ind w:left="4060"/>
        <w:spacing w:after="0"/>
        <w:rPr>
          <w:sz w:val="20"/>
          <w:szCs w:val="20"/>
          <w:color w:val="auto"/>
        </w:rPr>
      </w:pPr>
      <w:r>
        <w:rPr>
          <w:rFonts w:ascii="Arial" w:cs="Arial" w:eastAsia="Arial" w:hAnsi="Arial"/>
          <w:sz w:val="16"/>
          <w:szCs w:val="16"/>
          <w:b w:val="1"/>
          <w:bCs w:val="1"/>
          <w:color w:val="auto"/>
        </w:rPr>
        <w:t>ARCLIGHT CLEAN TRANSITION CORP. II</w:t>
      </w:r>
    </w:p>
    <w:p>
      <w:pPr>
        <w:spacing w:after="0" w:line="2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10 — Fair Value Measurements </w:t>
      </w:r>
      <w:r>
        <w:rPr>
          <w:rFonts w:ascii="Arial" w:cs="Arial" w:eastAsia="Arial" w:hAnsi="Arial"/>
          <w:sz w:val="16"/>
          <w:szCs w:val="16"/>
          <w:color w:val="auto"/>
        </w:rPr>
        <w:t>(cont.)</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provides quantitative information regarding Level 3 fair value measurements inputs at their measurement dates: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22,</w:t>
            </w:r>
          </w:p>
        </w:tc>
        <w:tc>
          <w:tcPr>
            <w:tcW w:w="8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4"/>
              </w:rPr>
              <w:t>December 31,</w:t>
            </w:r>
          </w:p>
        </w:tc>
      </w:tr>
      <w:tr>
        <w:trPr>
          <w:trHeight w:val="209"/>
        </w:trPr>
        <w:tc>
          <w:tcPr>
            <w:tcW w:w="8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r>
      <w:tr>
        <w:trPr>
          <w:trHeight w:val="188"/>
        </w:trPr>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Share price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40" w:type="dxa"/>
            <w:vAlign w:val="bottom"/>
            <w:shd w:val="clear" w:color="auto" w:fill="CCEEFF"/>
          </w:tcPr>
          <w:p>
            <w:pPr>
              <w:spacing w:after="0"/>
              <w:rPr>
                <w:sz w:val="16"/>
                <w:szCs w:val="16"/>
                <w:color w:val="auto"/>
              </w:rPr>
            </w:pPr>
          </w:p>
        </w:tc>
      </w:tr>
      <w:tr>
        <w:trPr>
          <w:trHeight w:val="188"/>
        </w:trPr>
        <w:tc>
          <w:tcPr>
            <w:tcW w:w="8620" w:type="dxa"/>
            <w:vAlign w:val="bottom"/>
          </w:tcPr>
          <w:p>
            <w:pPr>
              <w:spacing w:after="0"/>
              <w:rPr>
                <w:sz w:val="20"/>
                <w:szCs w:val="20"/>
                <w:color w:val="auto"/>
              </w:rPr>
            </w:pPr>
            <w:r>
              <w:rPr>
                <w:rFonts w:ascii="Arial" w:cs="Arial" w:eastAsia="Arial" w:hAnsi="Arial"/>
                <w:sz w:val="16"/>
                <w:szCs w:val="16"/>
                <w:color w:val="auto"/>
              </w:rPr>
              <w:t>Volatility</w:t>
            </w:r>
          </w:p>
        </w:tc>
        <w:tc>
          <w:tcPr>
            <w:tcW w:w="1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21.8%</w:t>
            </w:r>
          </w:p>
        </w:tc>
      </w:tr>
      <w:tr>
        <w:trPr>
          <w:trHeight w:val="188"/>
        </w:trPr>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Expected life of the options to convert</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6.53</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5.50</w:t>
            </w:r>
          </w:p>
        </w:tc>
      </w:tr>
      <w:tr>
        <w:trPr>
          <w:trHeight w:val="188"/>
        </w:trPr>
        <w:tc>
          <w:tcPr>
            <w:tcW w:w="8620" w:type="dxa"/>
            <w:vAlign w:val="bottom"/>
          </w:tcPr>
          <w:p>
            <w:pPr>
              <w:spacing w:after="0"/>
              <w:rPr>
                <w:sz w:val="20"/>
                <w:szCs w:val="20"/>
                <w:color w:val="auto"/>
              </w:rPr>
            </w:pPr>
            <w:r>
              <w:rPr>
                <w:rFonts w:ascii="Arial" w:cs="Arial" w:eastAsia="Arial" w:hAnsi="Arial"/>
                <w:sz w:val="16"/>
                <w:szCs w:val="16"/>
                <w:color w:val="auto"/>
              </w:rPr>
              <w:t>Risk-free rate</w:t>
            </w:r>
          </w:p>
        </w:tc>
        <w:tc>
          <w:tcPr>
            <w:tcW w:w="1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188"/>
        </w:trPr>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r>
    </w:tbl>
    <w:p>
      <w:pPr>
        <w:spacing w:after="0" w:line="176" w:lineRule="exact"/>
        <w:rPr>
          <w:sz w:val="20"/>
          <w:szCs w:val="20"/>
          <w:color w:val="auto"/>
        </w:rPr>
      </w:pPr>
    </w:p>
    <w:p>
      <w:pPr>
        <w:jc w:val="both"/>
        <w:ind w:right="20" w:firstLine="377"/>
        <w:spacing w:after="0" w:line="266" w:lineRule="auto"/>
        <w:rPr>
          <w:sz w:val="20"/>
          <w:szCs w:val="20"/>
          <w:color w:val="auto"/>
        </w:rPr>
      </w:pPr>
      <w:r>
        <w:rPr>
          <w:rFonts w:ascii="Arial" w:cs="Arial" w:eastAsia="Arial" w:hAnsi="Arial"/>
          <w:sz w:val="16"/>
          <w:szCs w:val="16"/>
          <w:color w:val="auto"/>
        </w:rPr>
        <w:t>The change in the level 3 fair value of the derivative warrant liabilities for the period from January 13, 2021 (inception) through December 31, 2021 is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Public</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Private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 warrant liabilities at January 13, 2021 (inception)</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Issuance of Public and Private Warrants</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5,948,230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9,047,530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14,995,760</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Transfer to Level 1</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(10,455,080)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(10,455,080)</w:t>
            </w: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Change in fair value of derivative warrant liabilities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4,506,850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6,355,320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10,862,170</w:t>
            </w:r>
          </w:p>
        </w:tc>
        <w:tc>
          <w:tcPr>
            <w:tcW w:w="0" w:type="dxa"/>
            <w:vAlign w:val="bottom"/>
          </w:tcPr>
          <w:p>
            <w:pPr>
              <w:spacing w:after="0"/>
              <w:rPr>
                <w:sz w:val="1"/>
                <w:szCs w:val="1"/>
                <w:color w:val="auto"/>
              </w:rPr>
            </w:pPr>
          </w:p>
        </w:tc>
      </w:tr>
      <w:tr>
        <w:trPr>
          <w:trHeight w:val="24"/>
        </w:trPr>
        <w:tc>
          <w:tcPr>
            <w:tcW w:w="7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Derivative warrant liabilities at December 31, 2021</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15,402,850</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15,402,850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Subsequent Events</w:t>
      </w:r>
    </w:p>
    <w:p>
      <w:pPr>
        <w:spacing w:after="0" w:line="197" w:lineRule="exact"/>
        <w:rPr>
          <w:sz w:val="20"/>
          <w:szCs w:val="20"/>
          <w:color w:val="auto"/>
        </w:rPr>
      </w:pPr>
    </w:p>
    <w:p>
      <w:pPr>
        <w:jc w:val="both"/>
        <w:ind w:firstLine="377"/>
        <w:spacing w:after="0" w:line="266" w:lineRule="auto"/>
        <w:rPr>
          <w:sz w:val="20"/>
          <w:szCs w:val="20"/>
          <w:color w:val="auto"/>
        </w:rPr>
      </w:pPr>
      <w:r>
        <w:rPr>
          <w:rFonts w:ascii="Arial" w:cs="Arial" w:eastAsia="Arial" w:hAnsi="Arial"/>
          <w:sz w:val="16"/>
          <w:szCs w:val="16"/>
          <w:color w:val="auto"/>
        </w:rPr>
        <w:t>The Company evaluated subsequent events and transactions that occurred up to the date financial statements were issued. Based upon this review, the Company determined that there have been no events that have occurred that would require adjustments to the disclosures in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83" w:name="page184"/>
    <w:bookmarkEnd w:id="183"/>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U.S. dollars, except per unit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4"/>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6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tcPr>
          <w:p>
            <w:pPr>
              <w:spacing w:after="0" w:line="176" w:lineRule="exact"/>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8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680" w:type="dxa"/>
            <w:vAlign w:val="bottom"/>
            <w:tcBorders>
              <w:right w:val="single" w:sz="8" w:color="CCEEFF"/>
            </w:tcBorders>
            <w:shd w:val="clear" w:color="auto" w:fill="CCEEFF"/>
          </w:tcPr>
          <w:p>
            <w:pPr>
              <w:ind w:left="160"/>
              <w:spacing w:after="0" w:line="177" w:lineRule="exact"/>
              <w:rPr>
                <w:sz w:val="20"/>
                <w:szCs w:val="20"/>
                <w:color w:val="auto"/>
              </w:rPr>
            </w:pPr>
            <w:r>
              <w:rPr>
                <w:rFonts w:ascii="Arial" w:cs="Arial" w:eastAsia="Arial" w:hAnsi="Arial"/>
                <w:sz w:val="16"/>
                <w:szCs w:val="16"/>
                <w:color w:val="auto"/>
                <w:w w:val="96"/>
              </w:rPr>
              <w:t>Cash and cash equivalents (includes $23,864 and $1,991 at June 30, 2022 and December 31, 2021, respectively, related to</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6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consolidated VIEs)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97,091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39,314</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w w:val="89"/>
              </w:rPr>
              <w:t>Accounts receivable, net (includes $100 and $40 at June 30, 2022 and December 31, 2021, respectively, related to consolidated VIEs)</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24,781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25,391</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Fuel tax credits receivable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Contract assets</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15,589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8,484</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Parts inventory</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5,143</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Note receivable</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9,518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Environmental credits held for sale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176"/>
        </w:trPr>
        <w:tc>
          <w:tcPr>
            <w:tcW w:w="8680" w:type="dxa"/>
            <w:vAlign w:val="bottom"/>
          </w:tcPr>
          <w:p>
            <w:pPr>
              <w:ind w:left="160"/>
              <w:spacing w:after="0" w:line="176" w:lineRule="exact"/>
              <w:rPr>
                <w:sz w:val="20"/>
                <w:szCs w:val="20"/>
                <w:color w:val="auto"/>
              </w:rPr>
            </w:pPr>
            <w:r>
              <w:rPr>
                <w:rFonts w:ascii="Arial" w:cs="Arial" w:eastAsia="Arial" w:hAnsi="Arial"/>
                <w:sz w:val="16"/>
                <w:szCs w:val="16"/>
                <w:color w:val="auto"/>
                <w:w w:val="89"/>
              </w:rPr>
              <w:t>Prepaid expense and other current assets (includes $496 and $113 at June 30, 2022 and December 31, 2021, respectively, related to</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80" w:type="dxa"/>
            <w:vAlign w:val="bottom"/>
          </w:tcPr>
          <w:p>
            <w:pPr>
              <w:ind w:left="300"/>
              <w:spacing w:after="0"/>
              <w:rPr>
                <w:sz w:val="20"/>
                <w:szCs w:val="20"/>
                <w:color w:val="auto"/>
              </w:rPr>
            </w:pPr>
            <w:r>
              <w:rPr>
                <w:rFonts w:ascii="Arial" w:cs="Arial" w:eastAsia="Arial" w:hAnsi="Arial"/>
                <w:sz w:val="16"/>
                <w:szCs w:val="16"/>
                <w:color w:val="auto"/>
              </w:rPr>
              <w:t>consolidated VIEs)</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5,810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5,482</w:t>
            </w:r>
          </w:p>
        </w:tc>
        <w:tc>
          <w:tcPr>
            <w:tcW w:w="0" w:type="dxa"/>
            <w:vAlign w:val="bottom"/>
          </w:tcPr>
          <w:p>
            <w:pPr>
              <w:spacing w:after="0"/>
              <w:rPr>
                <w:sz w:val="1"/>
                <w:szCs w:val="1"/>
                <w:color w:val="auto"/>
              </w:rPr>
            </w:pPr>
          </w:p>
        </w:tc>
      </w:tr>
      <w:tr>
        <w:trPr>
          <w:trHeight w:val="221"/>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financial asset, current portion</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300"/>
              <w:spacing w:after="0" w:line="172" w:lineRule="exact"/>
              <w:rPr>
                <w:sz w:val="20"/>
                <w:szCs w:val="20"/>
                <w:color w:val="auto"/>
              </w:rPr>
            </w:pPr>
            <w:r>
              <w:rPr>
                <w:rFonts w:ascii="Arial" w:cs="Arial" w:eastAsia="Arial" w:hAnsi="Arial"/>
                <w:sz w:val="16"/>
                <w:szCs w:val="16"/>
                <w:color w:val="auto"/>
              </w:rPr>
              <w:t>Total current assets</w:t>
            </w: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162,969</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86,975</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Capital spares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80" w:type="dxa"/>
            <w:vAlign w:val="bottom"/>
          </w:tcPr>
          <w:p>
            <w:pPr>
              <w:ind w:left="160"/>
              <w:spacing w:after="0" w:line="176" w:lineRule="exact"/>
              <w:rPr>
                <w:sz w:val="20"/>
                <w:szCs w:val="20"/>
                <w:color w:val="auto"/>
              </w:rPr>
            </w:pPr>
            <w:r>
              <w:rPr>
                <w:rFonts w:ascii="Arial" w:cs="Arial" w:eastAsia="Arial" w:hAnsi="Arial"/>
                <w:sz w:val="16"/>
                <w:szCs w:val="16"/>
                <w:color w:val="auto"/>
                <w:w w:val="89"/>
              </w:rPr>
              <w:t>Property, plant, and equipment, net (includes $36,653 and $27,794 at June 30, 2022 and December 31, 2021, respectively, related to</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80" w:type="dxa"/>
            <w:vAlign w:val="bottom"/>
          </w:tcPr>
          <w:p>
            <w:pPr>
              <w:ind w:left="300"/>
              <w:spacing w:after="0"/>
              <w:rPr>
                <w:sz w:val="20"/>
                <w:szCs w:val="20"/>
                <w:color w:val="auto"/>
              </w:rPr>
            </w:pPr>
            <w:r>
              <w:rPr>
                <w:rFonts w:ascii="Arial" w:cs="Arial" w:eastAsia="Arial" w:hAnsi="Arial"/>
                <w:sz w:val="16"/>
                <w:szCs w:val="16"/>
                <w:color w:val="auto"/>
              </w:rPr>
              <w:t>consolidated VIEs)</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229,411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169,770</w:t>
            </w:r>
          </w:p>
        </w:tc>
        <w:tc>
          <w:tcPr>
            <w:tcW w:w="0" w:type="dxa"/>
            <w:vAlign w:val="bottom"/>
          </w:tcPr>
          <w:p>
            <w:pPr>
              <w:spacing w:after="0"/>
              <w:rPr>
                <w:sz w:val="1"/>
                <w:szCs w:val="1"/>
                <w:color w:val="auto"/>
              </w:rPr>
            </w:pPr>
          </w:p>
        </w:tc>
      </w:tr>
      <w:tr>
        <w:trPr>
          <w:trHeight w:val="189"/>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Investment in other entities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47,113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47,150</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Note receivable</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9,200</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Note receivable - variable fee component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Deferred financing costs</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7,143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assets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1"/>
              </w:rPr>
              <w:t>Restricted cash (includes $1,164 and $1,163 at June 30, 2022 and December 31, 2021, respectively, related to consolidated VIEs)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r>
        <w:trPr>
          <w:trHeight w:val="200"/>
        </w:trPr>
        <w:tc>
          <w:tcPr>
            <w:tcW w:w="8680" w:type="dxa"/>
            <w:vAlign w:val="bottom"/>
          </w:tcPr>
          <w:p>
            <w:pPr>
              <w:ind w:left="16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54,608</w:t>
            </w:r>
          </w:p>
        </w:tc>
        <w:tc>
          <w:tcPr>
            <w:tcW w:w="0" w:type="dxa"/>
            <w:vAlign w:val="bottom"/>
          </w:tcPr>
          <w:p>
            <w:pPr>
              <w:spacing w:after="0"/>
              <w:rPr>
                <w:sz w:val="1"/>
                <w:szCs w:val="1"/>
                <w:color w:val="auto"/>
              </w:rPr>
            </w:pPr>
          </w:p>
        </w:tc>
      </w:tr>
      <w:tr>
        <w:trPr>
          <w:trHeight w:val="24"/>
        </w:trPr>
        <w:tc>
          <w:tcPr>
            <w:tcW w:w="8680" w:type="dxa"/>
            <w:vAlign w:val="bottom"/>
            <w:tcBorders>
              <w:right w:val="single" w:sz="8" w:color="CCEEFF"/>
            </w:tcBorders>
            <w:vMerge w:val="restart"/>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512,242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380,844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w w:val="92"/>
              </w:rPr>
              <w:t>Accounts payable (includes $217 and $544 at June 30, 2022 and December 31, 2021, respectively, related to consolidated VIEs)</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7,676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12,581</w:t>
            </w:r>
          </w:p>
        </w:tc>
        <w:tc>
          <w:tcPr>
            <w:tcW w:w="0" w:type="dxa"/>
            <w:vAlign w:val="bottom"/>
          </w:tcPr>
          <w:p>
            <w:pPr>
              <w:spacing w:after="0"/>
              <w:rPr>
                <w:sz w:val="1"/>
                <w:szCs w:val="1"/>
                <w:color w:val="auto"/>
              </w:rPr>
            </w:pPr>
          </w:p>
        </w:tc>
      </w:tr>
      <w:tr>
        <w:trPr>
          <w:trHeight w:val="176"/>
        </w:trPr>
        <w:tc>
          <w:tcPr>
            <w:tcW w:w="8680" w:type="dxa"/>
            <w:vAlign w:val="bottom"/>
            <w:tcBorders>
              <w:right w:val="single" w:sz="8" w:color="CCEEFF"/>
            </w:tcBorders>
            <w:shd w:val="clear" w:color="auto" w:fill="CCEEFF"/>
          </w:tcPr>
          <w:p>
            <w:pPr>
              <w:ind w:left="160"/>
              <w:spacing w:after="0" w:line="176" w:lineRule="exact"/>
              <w:rPr>
                <w:sz w:val="20"/>
                <w:szCs w:val="20"/>
                <w:color w:val="auto"/>
              </w:rPr>
            </w:pPr>
            <w:r>
              <w:rPr>
                <w:rFonts w:ascii="Arial" w:cs="Arial" w:eastAsia="Arial" w:hAnsi="Arial"/>
                <w:sz w:val="16"/>
                <w:szCs w:val="16"/>
                <w:color w:val="auto"/>
                <w:w w:val="98"/>
              </w:rPr>
              <w:t>Accounts payable, related party (includes $939 and $— at June 30, 2022 and December 31, 2021, respectively, related to</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6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consolidated VIEs)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Fuel tax credits payable</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payroll</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7,652</w:t>
            </w:r>
          </w:p>
        </w:tc>
        <w:tc>
          <w:tcPr>
            <w:tcW w:w="0" w:type="dxa"/>
            <w:vAlign w:val="bottom"/>
          </w:tcPr>
          <w:p>
            <w:pPr>
              <w:spacing w:after="0"/>
              <w:rPr>
                <w:sz w:val="1"/>
                <w:szCs w:val="1"/>
                <w:color w:val="auto"/>
              </w:rPr>
            </w:pPr>
          </w:p>
        </w:tc>
      </w:tr>
      <w:tr>
        <w:trPr>
          <w:trHeight w:val="176"/>
        </w:trPr>
        <w:tc>
          <w:tcPr>
            <w:tcW w:w="8680" w:type="dxa"/>
            <w:vAlign w:val="bottom"/>
          </w:tcPr>
          <w:p>
            <w:pPr>
              <w:ind w:left="160"/>
              <w:spacing w:after="0" w:line="176" w:lineRule="exact"/>
              <w:rPr>
                <w:sz w:val="20"/>
                <w:szCs w:val="20"/>
                <w:color w:val="auto"/>
              </w:rPr>
            </w:pPr>
            <w:r>
              <w:rPr>
                <w:rFonts w:ascii="Arial" w:cs="Arial" w:eastAsia="Arial" w:hAnsi="Arial"/>
                <w:sz w:val="16"/>
                <w:szCs w:val="16"/>
                <w:color w:val="auto"/>
                <w:w w:val="91"/>
              </w:rPr>
              <w:t>Accrued capital expenses (includes $— and $1,722 at June 30, 2022 and December 31, 2021, respectively, related to consolidated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80" w:type="dxa"/>
            <w:vAlign w:val="bottom"/>
          </w:tcPr>
          <w:p>
            <w:pPr>
              <w:ind w:left="300"/>
              <w:spacing w:after="0"/>
              <w:rPr>
                <w:sz w:val="20"/>
                <w:szCs w:val="20"/>
                <w:color w:val="auto"/>
              </w:rPr>
            </w:pPr>
            <w:r>
              <w:rPr>
                <w:rFonts w:ascii="Arial" w:cs="Arial" w:eastAsia="Arial" w:hAnsi="Arial"/>
                <w:sz w:val="16"/>
                <w:szCs w:val="16"/>
                <w:color w:val="auto"/>
              </w:rPr>
              <w:t>VIEs)</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18,263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5,517</w:t>
            </w:r>
          </w:p>
        </w:tc>
        <w:tc>
          <w:tcPr>
            <w:tcW w:w="0" w:type="dxa"/>
            <w:vAlign w:val="bottom"/>
          </w:tcPr>
          <w:p>
            <w:pPr>
              <w:spacing w:after="0"/>
              <w:rPr>
                <w:sz w:val="1"/>
                <w:szCs w:val="1"/>
                <w:color w:val="auto"/>
              </w:rPr>
            </w:pPr>
          </w:p>
        </w:tc>
      </w:tr>
      <w:tr>
        <w:trPr>
          <w:trHeight w:val="176"/>
        </w:trPr>
        <w:tc>
          <w:tcPr>
            <w:tcW w:w="8680" w:type="dxa"/>
            <w:vAlign w:val="bottom"/>
            <w:tcBorders>
              <w:right w:val="single" w:sz="8" w:color="CCEEFF"/>
            </w:tcBorders>
            <w:shd w:val="clear" w:color="auto" w:fill="CCEEFF"/>
          </w:tcPr>
          <w:p>
            <w:pPr>
              <w:ind w:left="160"/>
              <w:spacing w:after="0" w:line="177" w:lineRule="exact"/>
              <w:rPr>
                <w:sz w:val="20"/>
                <w:szCs w:val="20"/>
                <w:color w:val="auto"/>
              </w:rPr>
            </w:pPr>
            <w:r>
              <w:rPr>
                <w:rFonts w:ascii="Arial" w:cs="Arial" w:eastAsia="Arial" w:hAnsi="Arial"/>
                <w:sz w:val="16"/>
                <w:szCs w:val="16"/>
                <w:color w:val="auto"/>
                <w:w w:val="89"/>
              </w:rPr>
              <w:t>Accrued expenses and other current liabilities (includes $184 and $— at June 30, 2022 and December 31, 2021, respectively, related</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6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 consolidated VIEs)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7,220</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Contract liabilities</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7,159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9,785</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Senior secured credit facility - term loan, current portion, net of debt issuance costs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72,396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73,145</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Senior secured credit facility - working capital facility, current portion</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OPAL term loan, current portion</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13,425</w:t>
            </w:r>
          </w:p>
        </w:tc>
        <w:tc>
          <w:tcPr>
            <w:tcW w:w="0" w:type="dxa"/>
            <w:vAlign w:val="bottom"/>
          </w:tcPr>
          <w:p>
            <w:pPr>
              <w:spacing w:after="0"/>
              <w:rPr>
                <w:sz w:val="1"/>
                <w:szCs w:val="1"/>
                <w:color w:val="auto"/>
              </w:rPr>
            </w:pPr>
          </w:p>
        </w:tc>
      </w:tr>
      <w:tr>
        <w:trPr>
          <w:trHeight w:val="176"/>
        </w:trPr>
        <w:tc>
          <w:tcPr>
            <w:tcW w:w="8680" w:type="dxa"/>
            <w:vAlign w:val="bottom"/>
          </w:tcPr>
          <w:p>
            <w:pPr>
              <w:ind w:left="160"/>
              <w:spacing w:after="0" w:line="176" w:lineRule="exact"/>
              <w:rPr>
                <w:sz w:val="20"/>
                <w:szCs w:val="20"/>
                <w:color w:val="auto"/>
              </w:rPr>
            </w:pPr>
            <w:r>
              <w:rPr>
                <w:rFonts w:ascii="Arial" w:cs="Arial" w:eastAsia="Arial" w:hAnsi="Arial"/>
                <w:sz w:val="16"/>
                <w:szCs w:val="16"/>
                <w:color w:val="auto"/>
                <w:w w:val="97"/>
              </w:rPr>
              <w:t>Sunoma loan, current portion (includes $1,418 and $756 at June 30, 2022 and December 31, 2021, respectively, related to</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80" w:type="dxa"/>
            <w:vAlign w:val="bottom"/>
          </w:tcPr>
          <w:p>
            <w:pPr>
              <w:ind w:left="300"/>
              <w:spacing w:after="0"/>
              <w:rPr>
                <w:sz w:val="20"/>
                <w:szCs w:val="20"/>
                <w:color w:val="auto"/>
              </w:rPr>
            </w:pPr>
            <w:r>
              <w:rPr>
                <w:rFonts w:ascii="Arial" w:cs="Arial" w:eastAsia="Arial" w:hAnsi="Arial"/>
                <w:sz w:val="16"/>
                <w:szCs w:val="16"/>
                <w:color w:val="auto"/>
              </w:rPr>
              <w:t>consolidated VIEs)</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189"/>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Municipality loan</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Derivative financial liability, current portion</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04"/>
        </w:trPr>
        <w:tc>
          <w:tcPr>
            <w:tcW w:w="8680" w:type="dxa"/>
            <w:vAlign w:val="bottom"/>
          </w:tcPr>
          <w:p>
            <w:pPr>
              <w:ind w:left="160"/>
              <w:spacing w:after="0"/>
              <w:rPr>
                <w:sz w:val="20"/>
                <w:szCs w:val="20"/>
                <w:color w:val="auto"/>
              </w:rPr>
            </w:pPr>
            <w:r>
              <w:rPr>
                <w:rFonts w:ascii="Arial" w:cs="Arial" w:eastAsia="Arial" w:hAnsi="Arial"/>
                <w:sz w:val="16"/>
                <w:szCs w:val="16"/>
                <w:color w:val="auto"/>
              </w:rPr>
              <w:t>Asset retirement obligation, current portion</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8"/>
        </w:trPr>
        <w:tc>
          <w:tcPr>
            <w:tcW w:w="8680" w:type="dxa"/>
            <w:vAlign w:val="bottom"/>
            <w:tcBorders>
              <w:top w:val="single" w:sz="8" w:color="CCEEFF"/>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680" w:type="dxa"/>
            <w:vAlign w:val="bottom"/>
          </w:tcPr>
          <w:p>
            <w:pPr>
              <w:ind w:left="160"/>
              <w:spacing w:after="0" w:line="172" w:lineRule="exact"/>
              <w:rPr>
                <w:sz w:val="20"/>
                <w:szCs w:val="20"/>
                <w:color w:val="auto"/>
              </w:rPr>
            </w:pPr>
            <w:r>
              <w:rPr>
                <w:rFonts w:ascii="Arial" w:cs="Arial" w:eastAsia="Arial" w:hAnsi="Arial"/>
                <w:sz w:val="16"/>
                <w:szCs w:val="16"/>
                <w:color w:val="auto"/>
              </w:rPr>
              <w:t>Asset retirement obligation, non-current portion</w:t>
            </w:r>
          </w:p>
        </w:tc>
        <w:tc>
          <w:tcPr>
            <w:tcW w:w="12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4,301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4,907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OPAL term loan</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62,013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59,090</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Convertible note payable</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60,820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58,710</w:t>
            </w:r>
          </w:p>
        </w:tc>
        <w:tc>
          <w:tcPr>
            <w:tcW w:w="0" w:type="dxa"/>
            <w:vAlign w:val="bottom"/>
          </w:tcPr>
          <w:p>
            <w:pPr>
              <w:spacing w:after="0"/>
              <w:rPr>
                <w:sz w:val="1"/>
                <w:szCs w:val="1"/>
                <w:color w:val="auto"/>
              </w:rPr>
            </w:pPr>
          </w:p>
        </w:tc>
      </w:tr>
      <w:tr>
        <w:trPr>
          <w:trHeight w:val="176"/>
        </w:trPr>
        <w:tc>
          <w:tcPr>
            <w:tcW w:w="8680" w:type="dxa"/>
            <w:vAlign w:val="bottom"/>
            <w:tcBorders>
              <w:right w:val="single" w:sz="8" w:color="CCEEFF"/>
            </w:tcBorders>
            <w:shd w:val="clear" w:color="auto" w:fill="CCEEFF"/>
          </w:tcPr>
          <w:p>
            <w:pPr>
              <w:ind w:left="160"/>
              <w:spacing w:after="0" w:line="176" w:lineRule="exact"/>
              <w:rPr>
                <w:sz w:val="20"/>
                <w:szCs w:val="20"/>
                <w:color w:val="auto"/>
              </w:rPr>
            </w:pPr>
            <w:r>
              <w:rPr>
                <w:rFonts w:ascii="Arial" w:cs="Arial" w:eastAsia="Arial" w:hAnsi="Arial"/>
                <w:sz w:val="16"/>
                <w:szCs w:val="16"/>
                <w:color w:val="auto"/>
                <w:w w:val="93"/>
              </w:rPr>
              <w:t>Sunoma loan, net of debt issuance costs (includes $17,469 and $16,199 at June 30, 2022 and December 31, 2021, respectively,</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6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related to consolidated VIEs)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16,199</w:t>
            </w:r>
          </w:p>
        </w:tc>
        <w:tc>
          <w:tcPr>
            <w:tcW w:w="0" w:type="dxa"/>
            <w:vAlign w:val="bottom"/>
          </w:tcPr>
          <w:p>
            <w:pPr>
              <w:spacing w:after="0"/>
              <w:rPr>
                <w:sz w:val="1"/>
                <w:szCs w:val="1"/>
                <w:color w:val="auto"/>
              </w:rPr>
            </w:pPr>
          </w:p>
        </w:tc>
      </w:tr>
      <w:tr>
        <w:trPr>
          <w:trHeight w:val="188"/>
        </w:trPr>
        <w:tc>
          <w:tcPr>
            <w:tcW w:w="8680" w:type="dxa"/>
            <w:vAlign w:val="bottom"/>
          </w:tcPr>
          <w:p>
            <w:pPr>
              <w:ind w:left="160"/>
              <w:spacing w:after="0"/>
              <w:rPr>
                <w:sz w:val="20"/>
                <w:szCs w:val="20"/>
                <w:color w:val="auto"/>
              </w:rPr>
            </w:pPr>
            <w:r>
              <w:rPr>
                <w:rFonts w:ascii="Arial" w:cs="Arial" w:eastAsia="Arial" w:hAnsi="Arial"/>
                <w:sz w:val="16"/>
                <w:szCs w:val="16"/>
                <w:color w:val="auto"/>
              </w:rPr>
              <w:t>Municipality loan</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0"/>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liabilities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300"/>
              <w:spacing w:after="0" w:line="172" w:lineRule="exact"/>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305,323</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285,887</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Arial" w:cs="Arial" w:eastAsia="Arial" w:hAnsi="Arial"/>
                <w:sz w:val="16"/>
                <w:szCs w:val="16"/>
                <w:color w:val="auto"/>
              </w:rPr>
              <w:t>Redeemable preferred units: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80" w:type="dxa"/>
            <w:vAlign w:val="bottom"/>
            <w:tcBorders>
              <w:right w:val="single" w:sz="8" w:color="CCEEFF"/>
            </w:tcBorders>
            <w:shd w:val="clear" w:color="auto" w:fill="CCEEFF"/>
          </w:tcPr>
          <w:p>
            <w:pPr>
              <w:ind w:left="160"/>
              <w:spacing w:after="0" w:line="176" w:lineRule="exact"/>
              <w:rPr>
                <w:sz w:val="20"/>
                <w:szCs w:val="20"/>
                <w:color w:val="auto"/>
              </w:rPr>
            </w:pPr>
            <w:r>
              <w:rPr>
                <w:rFonts w:ascii="Arial" w:cs="Arial" w:eastAsia="Arial" w:hAnsi="Arial"/>
                <w:sz w:val="16"/>
                <w:szCs w:val="16"/>
                <w:color w:val="auto"/>
                <w:w w:val="91"/>
              </w:rPr>
              <w:t>Series A-1 preferred units, subject to redemption, $100 par value, 600,000 authorized, and 300,000 units issued and outstanding at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6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June 30, 2022 and December 31, 2021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31,417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30,210</w:t>
            </w:r>
          </w:p>
        </w:tc>
        <w:tc>
          <w:tcPr>
            <w:tcW w:w="0" w:type="dxa"/>
            <w:vAlign w:val="bottom"/>
          </w:tcPr>
          <w:p>
            <w:pPr>
              <w:spacing w:after="0"/>
              <w:rPr>
                <w:sz w:val="1"/>
                <w:szCs w:val="1"/>
                <w:color w:val="auto"/>
              </w:rPr>
            </w:pPr>
          </w:p>
        </w:tc>
      </w:tr>
      <w:tr>
        <w:trPr>
          <w:trHeight w:val="176"/>
        </w:trPr>
        <w:tc>
          <w:tcPr>
            <w:tcW w:w="8680" w:type="dxa"/>
            <w:vAlign w:val="bottom"/>
          </w:tcPr>
          <w:p>
            <w:pPr>
              <w:ind w:left="160"/>
              <w:spacing w:after="0" w:line="176" w:lineRule="exact"/>
              <w:rPr>
                <w:sz w:val="20"/>
                <w:szCs w:val="20"/>
                <w:color w:val="auto"/>
              </w:rPr>
            </w:pPr>
            <w:r>
              <w:rPr>
                <w:rFonts w:ascii="Arial" w:cs="Arial" w:eastAsia="Arial" w:hAnsi="Arial"/>
                <w:sz w:val="16"/>
                <w:szCs w:val="16"/>
                <w:color w:val="auto"/>
                <w:w w:val="92"/>
              </w:rPr>
              <w:t>Series A preferred units, subject to redemption, $100 par value, 2,000,000 units authorized, and 1,000,000 and 0 units issued and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80" w:type="dxa"/>
            <w:vAlign w:val="bottom"/>
          </w:tcPr>
          <w:p>
            <w:pPr>
              <w:ind w:left="300"/>
              <w:spacing w:after="0"/>
              <w:rPr>
                <w:sz w:val="20"/>
                <w:szCs w:val="20"/>
                <w:color w:val="auto"/>
              </w:rPr>
            </w:pPr>
            <w:r>
              <w:rPr>
                <w:rFonts w:ascii="Arial" w:cs="Arial" w:eastAsia="Arial" w:hAnsi="Arial"/>
                <w:sz w:val="16"/>
                <w:szCs w:val="16"/>
                <w:color w:val="auto"/>
              </w:rPr>
              <w:t>outstanding at June 30, 2022 and December 31, 2021, respectively.</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101,228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80" w:type="dxa"/>
            <w:vAlign w:val="bottom"/>
          </w:tcPr>
          <w:p>
            <w:pPr>
              <w:ind w:left="160"/>
              <w:spacing w:after="0" w:line="176" w:lineRule="exact"/>
              <w:rPr>
                <w:sz w:val="20"/>
                <w:szCs w:val="20"/>
                <w:color w:val="auto"/>
              </w:rPr>
            </w:pPr>
            <w:r>
              <w:rPr>
                <w:rFonts w:ascii="Arial" w:cs="Arial" w:eastAsia="Arial" w:hAnsi="Arial"/>
                <w:sz w:val="16"/>
                <w:szCs w:val="16"/>
                <w:color w:val="auto"/>
                <w:w w:val="89"/>
              </w:rPr>
              <w:t>Common units, without par value, 1,000 units authorized, and 1,000 units issued and outstanding at June 30, 2022 and December 31,</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80" w:type="dxa"/>
            <w:vAlign w:val="bottom"/>
          </w:tcPr>
          <w:p>
            <w:pPr>
              <w:ind w:left="30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47,681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47,592</w:t>
            </w:r>
          </w:p>
        </w:tc>
        <w:tc>
          <w:tcPr>
            <w:tcW w:w="0" w:type="dxa"/>
            <w:vAlign w:val="bottom"/>
          </w:tcPr>
          <w:p>
            <w:pPr>
              <w:spacing w:after="0"/>
              <w:rPr>
                <w:sz w:val="1"/>
                <w:szCs w:val="1"/>
                <w:color w:val="auto"/>
              </w:rPr>
            </w:pPr>
          </w:p>
        </w:tc>
      </w:tr>
      <w:tr>
        <w:trPr>
          <w:trHeight w:val="221"/>
        </w:trPr>
        <w:tc>
          <w:tcPr>
            <w:tcW w:w="8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15,967</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300"/>
              <w:spacing w:after="0" w:line="172" w:lineRule="exact"/>
              <w:rPr>
                <w:sz w:val="20"/>
                <w:szCs w:val="20"/>
                <w:color w:val="auto"/>
              </w:rPr>
            </w:pPr>
            <w:r>
              <w:rPr>
                <w:rFonts w:ascii="Arial" w:cs="Arial" w:eastAsia="Arial" w:hAnsi="Arial"/>
                <w:sz w:val="16"/>
                <w:szCs w:val="16"/>
                <w:color w:val="auto"/>
              </w:rPr>
              <w:t>Total OPAL Fuels LLC members’ equity</w:t>
            </w: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56,636</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63,559</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6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Non-controlling interest in subsidiaries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tcBorders>
              <w:bottom w:val="single" w:sz="8" w:color="CCEEFF"/>
            </w:tcBorders>
          </w:tcPr>
          <w:p>
            <w:pPr>
              <w:ind w:left="300"/>
              <w:spacing w:after="0" w:line="172" w:lineRule="exact"/>
              <w:rPr>
                <w:sz w:val="20"/>
                <w:szCs w:val="20"/>
                <w:color w:val="auto"/>
              </w:rPr>
            </w:pPr>
            <w:r>
              <w:rPr>
                <w:rFonts w:ascii="Arial" w:cs="Arial" w:eastAsia="Arial" w:hAnsi="Arial"/>
                <w:sz w:val="16"/>
                <w:szCs w:val="16"/>
                <w:color w:val="auto"/>
              </w:rPr>
              <w:t>Total members’ equity</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74,274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64,747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liabilities, redeemable preferred units and members’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512,242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380,844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51"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U.S. dollars, except per unit data)</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77"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June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14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RNG fuel</w:t>
            </w: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50,815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19,174</w:t>
            </w:r>
          </w:p>
        </w:tc>
        <w:tc>
          <w:tcPr>
            <w:tcW w:w="0" w:type="dxa"/>
            <w:vAlign w:val="bottom"/>
          </w:tcPr>
          <w:p>
            <w:pPr>
              <w:spacing w:after="0"/>
              <w:rPr>
                <w:sz w:val="1"/>
                <w:szCs w:val="1"/>
                <w:color w:val="auto"/>
              </w:rPr>
            </w:pPr>
          </w:p>
        </w:tc>
      </w:tr>
      <w:tr>
        <w:trPr>
          <w:trHeight w:val="188"/>
        </w:trPr>
        <w:tc>
          <w:tcPr>
            <w:tcW w:w="6140" w:type="dxa"/>
            <w:vAlign w:val="bottom"/>
          </w:tcPr>
          <w:p>
            <w:pPr>
              <w:ind w:left="100"/>
              <w:spacing w:after="0"/>
              <w:rPr>
                <w:sz w:val="20"/>
                <w:szCs w:val="20"/>
                <w:color w:val="auto"/>
              </w:rPr>
            </w:pPr>
            <w:r>
              <w:rPr>
                <w:rFonts w:ascii="Arial" w:cs="Arial" w:eastAsia="Arial" w:hAnsi="Arial"/>
                <w:sz w:val="16"/>
                <w:szCs w:val="16"/>
                <w:color w:val="auto"/>
              </w:rPr>
              <w:t>Renewable power</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19,152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21,437</w:t>
            </w:r>
          </w:p>
        </w:tc>
        <w:tc>
          <w:tcPr>
            <w:tcW w:w="0" w:type="dxa"/>
            <w:vAlign w:val="bottom"/>
          </w:tcPr>
          <w:p>
            <w:pPr>
              <w:spacing w:after="0"/>
              <w:rPr>
                <w:sz w:val="1"/>
                <w:szCs w:val="1"/>
                <w:color w:val="auto"/>
              </w:rPr>
            </w:pPr>
          </w:p>
        </w:tc>
      </w:tr>
      <w:tr>
        <w:trPr>
          <w:trHeight w:val="220"/>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Fuel station services</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32,297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17,173</w:t>
            </w:r>
          </w:p>
        </w:tc>
        <w:tc>
          <w:tcPr>
            <w:tcW w:w="0" w:type="dxa"/>
            <w:vAlign w:val="bottom"/>
          </w:tcPr>
          <w:p>
            <w:pPr>
              <w:spacing w:after="0"/>
              <w:rPr>
                <w:sz w:val="1"/>
                <w:szCs w:val="1"/>
                <w:color w:val="auto"/>
              </w:rPr>
            </w:pPr>
          </w:p>
        </w:tc>
      </w:tr>
      <w:tr>
        <w:trPr>
          <w:trHeight w:val="176"/>
        </w:trPr>
        <w:tc>
          <w:tcPr>
            <w:tcW w:w="6140" w:type="dxa"/>
            <w:vAlign w:val="bottom"/>
            <w:tcBorders>
              <w:top w:val="single" w:sz="8" w:color="CCEEFF"/>
              <w:bottom w:val="single" w:sz="8" w:color="CCEEFF"/>
            </w:tcBorders>
          </w:tcPr>
          <w:p>
            <w:pPr>
              <w:ind w:left="260"/>
              <w:spacing w:after="0" w:line="172" w:lineRule="exact"/>
              <w:rPr>
                <w:sz w:val="20"/>
                <w:szCs w:val="20"/>
                <w:color w:val="auto"/>
              </w:rPr>
            </w:pPr>
            <w:r>
              <w:rPr>
                <w:rFonts w:ascii="Arial" w:cs="Arial" w:eastAsia="Arial" w:hAnsi="Arial"/>
                <w:sz w:val="16"/>
                <w:szCs w:val="16"/>
                <w:color w:val="auto"/>
              </w:rPr>
              <w:t>Total revenues</w:t>
            </w:r>
          </w:p>
        </w:tc>
        <w:tc>
          <w:tcPr>
            <w:tcW w:w="25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102,264</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57,784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140" w:type="dxa"/>
            <w:vAlign w:val="bottom"/>
          </w:tcPr>
          <w:p>
            <w:pPr>
              <w:ind w:left="100"/>
              <w:spacing w:after="0"/>
              <w:rPr>
                <w:sz w:val="20"/>
                <w:szCs w:val="20"/>
                <w:color w:val="auto"/>
              </w:rPr>
            </w:pPr>
            <w:r>
              <w:rPr>
                <w:rFonts w:ascii="Arial" w:cs="Arial" w:eastAsia="Arial" w:hAnsi="Arial"/>
                <w:sz w:val="16"/>
                <w:szCs w:val="16"/>
                <w:color w:val="auto"/>
              </w:rPr>
              <w:t>Cost of sales - RNG fuel</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30,884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11,080</w:t>
            </w:r>
          </w:p>
        </w:tc>
        <w:tc>
          <w:tcPr>
            <w:tcW w:w="0" w:type="dxa"/>
            <w:vAlign w:val="bottom"/>
          </w:tcPr>
          <w:p>
            <w:pPr>
              <w:spacing w:after="0"/>
              <w:rPr>
                <w:sz w:val="1"/>
                <w:szCs w:val="1"/>
                <w:color w:val="auto"/>
              </w:rPr>
            </w:pPr>
          </w:p>
        </w:tc>
      </w:tr>
      <w:tr>
        <w:trPr>
          <w:trHeight w:val="188"/>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Cost of sales - Renewable power</w:t>
            </w:r>
          </w:p>
        </w:tc>
        <w:tc>
          <w:tcPr>
            <w:tcW w:w="2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15,948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17,888</w:t>
            </w:r>
          </w:p>
        </w:tc>
        <w:tc>
          <w:tcPr>
            <w:tcW w:w="0" w:type="dxa"/>
            <w:vAlign w:val="bottom"/>
          </w:tcPr>
          <w:p>
            <w:pPr>
              <w:spacing w:after="0"/>
              <w:rPr>
                <w:sz w:val="1"/>
                <w:szCs w:val="1"/>
                <w:color w:val="auto"/>
              </w:rPr>
            </w:pPr>
          </w:p>
        </w:tc>
      </w:tr>
      <w:tr>
        <w:trPr>
          <w:trHeight w:val="188"/>
        </w:trPr>
        <w:tc>
          <w:tcPr>
            <w:tcW w:w="6140" w:type="dxa"/>
            <w:vAlign w:val="bottom"/>
          </w:tcPr>
          <w:p>
            <w:pPr>
              <w:ind w:left="100"/>
              <w:spacing w:after="0"/>
              <w:rPr>
                <w:sz w:val="20"/>
                <w:szCs w:val="20"/>
                <w:color w:val="auto"/>
              </w:rPr>
            </w:pPr>
            <w:r>
              <w:rPr>
                <w:rFonts w:ascii="Arial" w:cs="Arial" w:eastAsia="Arial" w:hAnsi="Arial"/>
                <w:sz w:val="16"/>
                <w:szCs w:val="16"/>
                <w:color w:val="auto"/>
              </w:rPr>
              <w:t>Cost of sales - Fuel station services</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28,757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14,317</w:t>
            </w:r>
          </w:p>
        </w:tc>
        <w:tc>
          <w:tcPr>
            <w:tcW w:w="0" w:type="dxa"/>
            <w:vAlign w:val="bottom"/>
          </w:tcPr>
          <w:p>
            <w:pPr>
              <w:spacing w:after="0"/>
              <w:rPr>
                <w:sz w:val="1"/>
                <w:szCs w:val="1"/>
                <w:color w:val="auto"/>
              </w:rPr>
            </w:pPr>
          </w:p>
        </w:tc>
      </w:tr>
      <w:tr>
        <w:trPr>
          <w:trHeight w:val="188"/>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Selling, general, and administrative</w:t>
            </w:r>
          </w:p>
        </w:tc>
        <w:tc>
          <w:tcPr>
            <w:tcW w:w="2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18,810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11,185</w:t>
            </w:r>
          </w:p>
        </w:tc>
        <w:tc>
          <w:tcPr>
            <w:tcW w:w="0" w:type="dxa"/>
            <w:vAlign w:val="bottom"/>
          </w:tcPr>
          <w:p>
            <w:pPr>
              <w:spacing w:after="0"/>
              <w:rPr>
                <w:sz w:val="1"/>
                <w:szCs w:val="1"/>
                <w:color w:val="auto"/>
              </w:rPr>
            </w:pPr>
          </w:p>
        </w:tc>
      </w:tr>
      <w:tr>
        <w:trPr>
          <w:trHeight w:val="204"/>
        </w:trPr>
        <w:tc>
          <w:tcPr>
            <w:tcW w:w="6140" w:type="dxa"/>
            <w:vAlign w:val="bottom"/>
          </w:tcPr>
          <w:p>
            <w:pPr>
              <w:ind w:left="100"/>
              <w:spacing w:after="0"/>
              <w:rPr>
                <w:sz w:val="20"/>
                <w:szCs w:val="20"/>
                <w:color w:val="auto"/>
              </w:rPr>
            </w:pPr>
            <w:r>
              <w:rPr>
                <w:rFonts w:ascii="Arial" w:cs="Arial" w:eastAsia="Arial" w:hAnsi="Arial"/>
                <w:sz w:val="16"/>
                <w:szCs w:val="16"/>
                <w:color w:val="auto"/>
              </w:rPr>
              <w:t>Depreciation, amortization, and accretion</w:t>
            </w: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6,558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4,059</w:t>
            </w:r>
          </w:p>
        </w:tc>
        <w:tc>
          <w:tcPr>
            <w:tcW w:w="0" w:type="dxa"/>
            <w:vAlign w:val="bottom"/>
          </w:tcPr>
          <w:p>
            <w:pPr>
              <w:spacing w:after="0"/>
              <w:rPr>
                <w:sz w:val="1"/>
                <w:szCs w:val="1"/>
                <w:color w:val="auto"/>
              </w:rPr>
            </w:pPr>
          </w:p>
        </w:tc>
      </w:tr>
      <w:tr>
        <w:trPr>
          <w:trHeight w:val="208"/>
        </w:trPr>
        <w:tc>
          <w:tcPr>
            <w:tcW w:w="61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expenses</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140" w:type="dxa"/>
            <w:vAlign w:val="bottom"/>
            <w:tcBorders>
              <w:bottom w:val="single" w:sz="8" w:color="CCEEFF"/>
            </w:tcBorders>
          </w:tcPr>
          <w:p>
            <w:pPr>
              <w:ind w:left="260"/>
              <w:spacing w:after="0" w:line="172" w:lineRule="exact"/>
              <w:rPr>
                <w:sz w:val="20"/>
                <w:szCs w:val="20"/>
                <w:color w:val="auto"/>
              </w:rPr>
            </w:pPr>
            <w:r>
              <w:rPr>
                <w:rFonts w:ascii="Arial" w:cs="Arial" w:eastAsia="Arial" w:hAnsi="Arial"/>
                <w:sz w:val="16"/>
                <w:szCs w:val="16"/>
                <w:color w:val="auto"/>
              </w:rPr>
              <w:t>Operating income (loss)</w:t>
            </w:r>
          </w:p>
        </w:tc>
        <w:tc>
          <w:tcPr>
            <w:tcW w:w="25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1,307</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tcPr>
          <w:p>
            <w:pPr>
              <w:jc w:val="right"/>
              <w:spacing w:after="0" w:line="17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8"/>
        </w:trPr>
        <w:tc>
          <w:tcPr>
            <w:tcW w:w="6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(expense) income:</w:t>
            </w:r>
          </w:p>
        </w:tc>
        <w:tc>
          <w:tcPr>
            <w:tcW w:w="2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140" w:type="dxa"/>
            <w:vAlign w:val="bottom"/>
          </w:tcPr>
          <w:p>
            <w:pPr>
              <w:ind w:left="100"/>
              <w:spacing w:after="0"/>
              <w:rPr>
                <w:sz w:val="20"/>
                <w:szCs w:val="20"/>
                <w:color w:val="auto"/>
              </w:rPr>
            </w:pPr>
            <w:r>
              <w:rPr>
                <w:rFonts w:ascii="Arial" w:cs="Arial" w:eastAsia="Arial" w:hAnsi="Arial"/>
                <w:sz w:val="16"/>
                <w:szCs w:val="16"/>
                <w:color w:val="auto"/>
              </w:rPr>
              <w:t>Interest and financing expense, net</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(6,408)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188"/>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Realized and unrealized gain on interest rate swaps, net</w:t>
            </w:r>
          </w:p>
        </w:tc>
        <w:tc>
          <w:tcPr>
            <w:tcW w:w="2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8"/>
        </w:trPr>
        <w:tc>
          <w:tcPr>
            <w:tcW w:w="6140" w:type="dxa"/>
            <w:vAlign w:val="bottom"/>
          </w:tcPr>
          <w:p>
            <w:pPr>
              <w:ind w:left="100"/>
              <w:spacing w:after="0"/>
              <w:rPr>
                <w:sz w:val="20"/>
                <w:szCs w:val="20"/>
                <w:color w:val="auto"/>
              </w:rPr>
            </w:pPr>
            <w:r>
              <w:rPr>
                <w:rFonts w:ascii="Arial" w:cs="Arial" w:eastAsia="Arial" w:hAnsi="Arial"/>
                <w:sz w:val="16"/>
                <w:szCs w:val="16"/>
                <w:color w:val="auto"/>
              </w:rPr>
              <w:t>Gain on acquisition of equity method investment</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19,818</w:t>
            </w:r>
          </w:p>
        </w:tc>
        <w:tc>
          <w:tcPr>
            <w:tcW w:w="0" w:type="dxa"/>
            <w:vAlign w:val="bottom"/>
          </w:tcPr>
          <w:p>
            <w:pPr>
              <w:spacing w:after="0"/>
              <w:rPr>
                <w:sz w:val="1"/>
                <w:szCs w:val="1"/>
                <w:color w:val="auto"/>
              </w:rPr>
            </w:pPr>
          </w:p>
        </w:tc>
      </w:tr>
      <w:tr>
        <w:trPr>
          <w:trHeight w:val="220"/>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income from equity method investments</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2,392</w:t>
            </w:r>
          </w:p>
        </w:tc>
        <w:tc>
          <w:tcPr>
            <w:tcW w:w="0" w:type="dxa"/>
            <w:vAlign w:val="bottom"/>
          </w:tcPr>
          <w:p>
            <w:pPr>
              <w:spacing w:after="0"/>
              <w:rPr>
                <w:sz w:val="1"/>
                <w:szCs w:val="1"/>
                <w:color w:val="auto"/>
              </w:rPr>
            </w:pPr>
          </w:p>
        </w:tc>
      </w:tr>
      <w:tr>
        <w:trPr>
          <w:trHeight w:val="176"/>
        </w:trPr>
        <w:tc>
          <w:tcPr>
            <w:tcW w:w="6140" w:type="dxa"/>
            <w:vAlign w:val="bottom"/>
            <w:tcBorders>
              <w:top w:val="single" w:sz="8" w:color="CCEEFF"/>
              <w:bottom w:val="single" w:sz="8" w:color="CCEEFF"/>
            </w:tcBorders>
          </w:tcPr>
          <w:p>
            <w:pPr>
              <w:ind w:left="260"/>
              <w:spacing w:after="0" w:line="172" w:lineRule="exact"/>
              <w:rPr>
                <w:sz w:val="20"/>
                <w:szCs w:val="20"/>
                <w:color w:val="auto"/>
              </w:rPr>
            </w:pPr>
            <w:r>
              <w:rPr>
                <w:rFonts w:ascii="Arial" w:cs="Arial" w:eastAsia="Arial" w:hAnsi="Arial"/>
                <w:sz w:val="16"/>
                <w:szCs w:val="16"/>
                <w:color w:val="auto"/>
              </w:rPr>
              <w:t>Net (loss) income</w:t>
            </w:r>
          </w:p>
        </w:tc>
        <w:tc>
          <w:tcPr>
            <w:tcW w:w="25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(4,809</w:t>
            </w:r>
          </w:p>
        </w:tc>
        <w:tc>
          <w:tcPr>
            <w:tcW w:w="12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18,177</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Paid-in-kind preferred dividends</w:t>
            </w:r>
          </w:p>
        </w:tc>
        <w:tc>
          <w:tcPr>
            <w:tcW w:w="2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40" w:type="dxa"/>
            <w:vAlign w:val="bottom"/>
          </w:tcPr>
          <w:p>
            <w:pPr>
              <w:ind w:left="100"/>
              <w:spacing w:after="0"/>
              <w:rPr>
                <w:sz w:val="20"/>
                <w:szCs w:val="20"/>
                <w:color w:val="auto"/>
              </w:rPr>
            </w:pPr>
            <w:r>
              <w:rPr>
                <w:rFonts w:ascii="Arial" w:cs="Arial" w:eastAsia="Arial" w:hAnsi="Arial"/>
                <w:sz w:val="16"/>
                <w:szCs w:val="16"/>
                <w:color w:val="auto"/>
              </w:rPr>
              <w:t>Net loss attributable to non-controlling interests</w:t>
            </w: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4"/>
        </w:trPr>
        <w:tc>
          <w:tcPr>
            <w:tcW w:w="614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Net (loss) income attributable to OPAL Fuels LLC</w:t>
            </w:r>
          </w:p>
        </w:tc>
        <w:tc>
          <w:tcPr>
            <w:tcW w:w="2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vMerge w:val="continue"/>
            <w:shd w:val="clear" w:color="auto" w:fill="CCEEFF"/>
          </w:tcPr>
          <w:p>
            <w:pPr>
              <w:spacing w:after="0"/>
              <w:rPr>
                <w:sz w:val="18"/>
                <w:szCs w:val="18"/>
                <w:color w:val="auto"/>
              </w:rPr>
            </w:pP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120" w:type="dxa"/>
            <w:vAlign w:val="bottom"/>
            <w:vMerge w:val="continue"/>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18,375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Weighted average units outstanding:</w:t>
            </w: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2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188"/>
        </w:trPr>
        <w:tc>
          <w:tcPr>
            <w:tcW w:w="6140" w:type="dxa"/>
            <w:vAlign w:val="bottom"/>
          </w:tcPr>
          <w:p>
            <w:pPr>
              <w:ind w:left="260"/>
              <w:spacing w:after="0"/>
              <w:rPr>
                <w:sz w:val="20"/>
                <w:szCs w:val="20"/>
                <w:color w:val="auto"/>
              </w:rPr>
            </w:pPr>
            <w:r>
              <w:rPr>
                <w:rFonts w:ascii="Arial" w:cs="Arial" w:eastAsia="Arial" w:hAnsi="Arial"/>
                <w:sz w:val="16"/>
                <w:szCs w:val="16"/>
                <w:color w:val="auto"/>
              </w:rPr>
              <w:t>Diluted</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188"/>
        </w:trPr>
        <w:tc>
          <w:tcPr>
            <w:tcW w:w="6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unit amounts:</w:t>
            </w:r>
          </w:p>
        </w:tc>
        <w:tc>
          <w:tcPr>
            <w:tcW w:w="2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140" w:type="dxa"/>
            <w:vAlign w:val="bottom"/>
          </w:tcPr>
          <w:p>
            <w:pPr>
              <w:ind w:left="260"/>
              <w:spacing w:after="0"/>
              <w:rPr>
                <w:sz w:val="20"/>
                <w:szCs w:val="20"/>
                <w:color w:val="auto"/>
              </w:rPr>
            </w:pPr>
            <w:r>
              <w:rPr>
                <w:rFonts w:ascii="Arial" w:cs="Arial" w:eastAsia="Arial" w:hAnsi="Arial"/>
                <w:sz w:val="16"/>
                <w:szCs w:val="16"/>
                <w:color w:val="auto"/>
              </w:rPr>
              <w:t>Basic</w:t>
            </w:r>
          </w:p>
        </w:tc>
        <w:tc>
          <w:tcPr>
            <w:tcW w:w="2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(6,745)</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18,636</w:t>
            </w:r>
          </w:p>
        </w:tc>
        <w:tc>
          <w:tcPr>
            <w:tcW w:w="0" w:type="dxa"/>
            <w:vAlign w:val="bottom"/>
          </w:tcPr>
          <w:p>
            <w:pPr>
              <w:spacing w:after="0"/>
              <w:rPr>
                <w:sz w:val="1"/>
                <w:szCs w:val="1"/>
                <w:color w:val="auto"/>
              </w:rPr>
            </w:pPr>
          </w:p>
        </w:tc>
      </w:tr>
      <w:tr>
        <w:trPr>
          <w:trHeight w:val="188"/>
        </w:trPr>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(6,745)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18,636</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85" w:name="page186"/>
    <w:bookmarkEnd w:id="185"/>
    <w:p>
      <w:pPr>
        <w:jc w:val="center"/>
        <w:ind w:right="14"/>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CONDENSED CONSOLIDATED STATEMENTS OF CHANGES IN REDEEMABLE PREFERRED UNITS AND MEMBERS’ EQUITY</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U.S. dollars, except per unit data)</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w w:val="97"/>
              </w:rPr>
              <w:t>Series A-1 Preferred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180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w w:val="90"/>
              </w:rPr>
              <w:t>Series A Preferred Units</w:t>
            </w:r>
          </w:p>
        </w:tc>
        <w:tc>
          <w:tcPr>
            <w:tcW w:w="1720" w:type="dxa"/>
            <w:vAlign w:val="bottom"/>
            <w:tcBorders>
              <w:right w:val="single" w:sz="8" w:color="auto"/>
            </w:tcBorders>
            <w:gridSpan w:val="6"/>
          </w:tcPr>
          <w:p>
            <w:pPr>
              <w:jc w:val="right"/>
              <w:ind w:right="720"/>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Common Units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900" w:type="dxa"/>
            <w:vAlign w:val="bottom"/>
            <w:tcBorders>
              <w:top w:val="single" w:sz="8" w:color="auto"/>
            </w:tcBorders>
            <w:gridSpan w:val="2"/>
          </w:tcPr>
          <w:p>
            <w:pPr>
              <w:ind w:left="120"/>
              <w:spacing w:after="0" w:line="172" w:lineRule="exact"/>
              <w:rPr>
                <w:sz w:val="20"/>
                <w:szCs w:val="20"/>
                <w:color w:val="auto"/>
              </w:rPr>
            </w:pPr>
            <w:r>
              <w:rPr>
                <w:rFonts w:ascii="Arial" w:cs="Arial" w:eastAsia="Arial" w:hAnsi="Arial"/>
                <w:sz w:val="16"/>
                <w:szCs w:val="16"/>
                <w:b w:val="1"/>
                <w:bCs w:val="1"/>
                <w:color w:val="auto"/>
              </w:rPr>
              <w:t>Number</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gridSpan w:val="2"/>
          </w:tcPr>
          <w:p>
            <w:pPr>
              <w:jc w:val="right"/>
              <w:ind w:right="160"/>
              <w:spacing w:after="0" w:line="172" w:lineRule="exact"/>
              <w:rPr>
                <w:sz w:val="20"/>
                <w:szCs w:val="20"/>
                <w:color w:val="auto"/>
              </w:rPr>
            </w:pPr>
            <w:r>
              <w:rPr>
                <w:rFonts w:ascii="Arial" w:cs="Arial" w:eastAsia="Arial" w:hAnsi="Arial"/>
                <w:sz w:val="16"/>
                <w:szCs w:val="16"/>
                <w:b w:val="1"/>
                <w:bCs w:val="1"/>
                <w:color w:val="auto"/>
              </w:rPr>
              <w:t>Number</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jc w:val="right"/>
              <w:ind w:right="62"/>
              <w:spacing w:after="0" w:line="172" w:lineRule="exact"/>
              <w:rPr>
                <w:sz w:val="20"/>
                <w:szCs w:val="20"/>
                <w:color w:val="auto"/>
              </w:rPr>
            </w:pPr>
            <w:r>
              <w:rPr>
                <w:rFonts w:ascii="Arial" w:cs="Arial" w:eastAsia="Arial" w:hAnsi="Arial"/>
                <w:sz w:val="16"/>
                <w:szCs w:val="16"/>
                <w:b w:val="1"/>
                <w:bCs w:val="1"/>
                <w:color w:val="auto"/>
              </w:rPr>
              <w:t>Number</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42"/>
              <w:spacing w:after="0" w:line="172" w:lineRule="exact"/>
              <w:rPr>
                <w:sz w:val="20"/>
                <w:szCs w:val="20"/>
                <w:color w:val="auto"/>
              </w:rPr>
            </w:pPr>
            <w:r>
              <w:rPr>
                <w:rFonts w:ascii="Arial" w:cs="Arial" w:eastAsia="Arial" w:hAnsi="Arial"/>
                <w:sz w:val="16"/>
                <w:szCs w:val="16"/>
                <w:b w:val="1"/>
                <w:bCs w:val="1"/>
                <w:color w:val="auto"/>
                <w:w w:val="93"/>
              </w:rPr>
              <w:t>Members’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line="172" w:lineRule="exact"/>
              <w:rPr>
                <w:sz w:val="20"/>
                <w:szCs w:val="20"/>
                <w:color w:val="auto"/>
              </w:rPr>
            </w:pPr>
            <w:r>
              <w:rPr>
                <w:rFonts w:ascii="Arial" w:cs="Arial" w:eastAsia="Arial" w:hAnsi="Arial"/>
                <w:sz w:val="16"/>
                <w:szCs w:val="16"/>
                <w:b w:val="1"/>
                <w:bCs w:val="1"/>
                <w:color w:val="auto"/>
                <w:w w:val="91"/>
              </w:rPr>
              <w:t>Retained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line="172" w:lineRule="exact"/>
              <w:rPr>
                <w:sz w:val="20"/>
                <w:szCs w:val="20"/>
                <w:color w:val="auto"/>
              </w:rPr>
            </w:pPr>
            <w:r>
              <w:rPr>
                <w:rFonts w:ascii="Arial" w:cs="Arial" w:eastAsia="Arial" w:hAnsi="Arial"/>
                <w:sz w:val="16"/>
                <w:szCs w:val="16"/>
                <w:b w:val="1"/>
                <w:bCs w:val="1"/>
                <w:color w:val="auto"/>
                <w:w w:val="90"/>
              </w:rPr>
              <w:t>Members’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72" w:lineRule="exact"/>
              <w:rPr>
                <w:sz w:val="20"/>
                <w:szCs w:val="20"/>
                <w:color w:val="auto"/>
              </w:rPr>
            </w:pPr>
            <w:r>
              <w:rPr>
                <w:rFonts w:ascii="Arial" w:cs="Arial" w:eastAsia="Arial" w:hAnsi="Arial"/>
                <w:sz w:val="16"/>
                <w:szCs w:val="16"/>
                <w:b w:val="1"/>
                <w:bCs w:val="1"/>
                <w:color w:val="auto"/>
                <w:w w:val="91"/>
              </w:rPr>
              <w:t>Controlling</w:t>
            </w:r>
          </w:p>
        </w:tc>
        <w:tc>
          <w:tcPr>
            <w:tcW w:w="120" w:type="dxa"/>
            <w:vAlign w:val="bottom"/>
          </w:tcPr>
          <w:p>
            <w:pPr>
              <w:spacing w:after="0"/>
              <w:rPr>
                <w:sz w:val="14"/>
                <w:szCs w:val="14"/>
                <w:color w:val="auto"/>
              </w:rPr>
            </w:pPr>
          </w:p>
        </w:tc>
        <w:tc>
          <w:tcPr>
            <w:tcW w:w="720" w:type="dxa"/>
            <w:vAlign w:val="bottom"/>
            <w:gridSpan w:val="3"/>
          </w:tcPr>
          <w:p>
            <w:pPr>
              <w:jc w:val="right"/>
              <w:ind w:right="300"/>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6"/>
                <w:szCs w:val="16"/>
                <w:b w:val="1"/>
                <w:bCs w:val="1"/>
                <w:color w:val="auto"/>
              </w:rPr>
              <w:t>of Units</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Amount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of Units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8"/>
                <w:szCs w:val="18"/>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b w:val="1"/>
                <w:bCs w:val="1"/>
                <w:color w:val="auto"/>
              </w:rPr>
              <w:t>of 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0"/>
              </w:rPr>
              <w:t>Earnings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w:t>
            </w: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64"/>
        </w:trPr>
        <w:tc>
          <w:tcPr>
            <w:tcW w:w="168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w w:val="99"/>
              </w:rPr>
              <w:t>Balance, December 31,</w:t>
            </w: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300,000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30,210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47,592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15,967</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63,559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64,747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loss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8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(4,310)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(4,809)</w:t>
            </w: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Initial non-controlling</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680" w:type="dxa"/>
            <w:vAlign w:val="bottom"/>
            <w:shd w:val="clear" w:color="auto" w:fill="CCEEFF"/>
          </w:tcPr>
          <w:p>
            <w:pPr>
              <w:ind w:left="160"/>
              <w:spacing w:after="0" w:line="232" w:lineRule="exact"/>
              <w:rPr>
                <w:sz w:val="20"/>
                <w:szCs w:val="20"/>
                <w:color w:val="auto"/>
              </w:rPr>
            </w:pPr>
            <w:r>
              <w:rPr>
                <w:rFonts w:ascii="Arial" w:cs="Arial" w:eastAsia="Arial" w:hAnsi="Arial"/>
                <w:sz w:val="16"/>
                <w:szCs w:val="16"/>
                <w:color w:val="auto"/>
              </w:rPr>
              <w:t xml:space="preserve">interests </w:t>
            </w:r>
            <w:r>
              <w:rPr>
                <w:rFonts w:ascii="Arial" w:cs="Arial" w:eastAsia="Arial" w:hAnsi="Arial"/>
                <w:sz w:val="26"/>
                <w:szCs w:val="26"/>
                <w:color w:val="auto"/>
                <w:vertAlign w:val="superscript"/>
              </w:rPr>
              <w:t>(1)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16,949</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16,901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Arial" w:cs="Arial" w:eastAsia="Arial" w:hAnsi="Arial"/>
                <w:sz w:val="16"/>
                <w:szCs w:val="16"/>
                <w:color w:val="auto"/>
                <w:w w:val="93"/>
              </w:rPr>
              <w:t>Amortization on payment</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Arial" w:cs="Arial" w:eastAsia="Arial" w:hAnsi="Arial"/>
                <w:sz w:val="16"/>
                <w:szCs w:val="16"/>
                <w:color w:val="auto"/>
              </w:rPr>
              <w:t>to acquire non-</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80" w:type="dxa"/>
            <w:vAlign w:val="bottom"/>
          </w:tcPr>
          <w:p>
            <w:pPr>
              <w:ind w:left="160"/>
              <w:spacing w:after="0"/>
              <w:rPr>
                <w:sz w:val="20"/>
                <w:szCs w:val="20"/>
                <w:color w:val="auto"/>
              </w:rPr>
            </w:pPr>
            <w:r>
              <w:rPr>
                <w:rFonts w:ascii="Arial" w:cs="Arial" w:eastAsia="Arial" w:hAnsi="Arial"/>
                <w:sz w:val="16"/>
                <w:szCs w:val="16"/>
                <w:color w:val="auto"/>
              </w:rPr>
              <w:t>controlling interest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(183)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77"/>
        </w:trPr>
        <w:tc>
          <w:tcPr>
            <w:tcW w:w="16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Series A redeemable</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6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preferred units, net of</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680" w:type="dxa"/>
            <w:vAlign w:val="bottom"/>
            <w:shd w:val="clear" w:color="auto" w:fill="CCEEFF"/>
          </w:tcPr>
          <w:p>
            <w:pPr>
              <w:ind w:left="160"/>
              <w:spacing w:after="0" w:line="232" w:lineRule="exact"/>
              <w:rPr>
                <w:sz w:val="20"/>
                <w:szCs w:val="20"/>
                <w:color w:val="auto"/>
              </w:rPr>
            </w:pPr>
            <w:r>
              <w:rPr>
                <w:rFonts w:ascii="Arial" w:cs="Arial" w:eastAsia="Arial" w:hAnsi="Arial"/>
                <w:sz w:val="16"/>
                <w:szCs w:val="16"/>
                <w:color w:val="auto"/>
              </w:rPr>
              <w:t xml:space="preserve">issuance costs </w:t>
            </w:r>
            <w:r>
              <w:rPr>
                <w:rFonts w:ascii="Arial" w:cs="Arial" w:eastAsia="Arial" w:hAnsi="Arial"/>
                <w:sz w:val="26"/>
                <w:szCs w:val="26"/>
                <w:color w:val="auto"/>
                <w:vertAlign w:val="superscript"/>
              </w:rPr>
              <w:t>(2)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Arial" w:cs="Arial" w:eastAsia="Arial" w:hAnsi="Arial"/>
                <w:sz w:val="16"/>
                <w:szCs w:val="16"/>
                <w:color w:val="auto"/>
              </w:rPr>
              <w:t>Stock-based</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68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6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Paid-in-kind preferred</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w w:val="98"/>
              </w:rPr>
              <w:t>Balance, June 30, 2022</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68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101,228</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300,000</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31,417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47,681</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8,955</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56,636</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17,638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74,274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306" w:hanging="306"/>
        <w:spacing w:after="0"/>
        <w:tabs>
          <w:tab w:leader="none" w:pos="306" w:val="left"/>
        </w:tabs>
        <w:numPr>
          <w:ilvl w:val="0"/>
          <w:numId w:val="111"/>
        </w:numPr>
        <w:rPr>
          <w:rFonts w:ascii="Arial" w:cs="Arial" w:eastAsia="Arial" w:hAnsi="Arial"/>
          <w:sz w:val="25"/>
          <w:szCs w:val="25"/>
          <w:color w:val="auto"/>
          <w:vertAlign w:val="superscript"/>
        </w:rPr>
      </w:pPr>
      <w:r>
        <w:rPr>
          <w:rFonts w:ascii="Arial" w:cs="Arial" w:eastAsia="Arial" w:hAnsi="Arial"/>
          <w:sz w:val="15"/>
          <w:szCs w:val="15"/>
          <w:color w:val="auto"/>
        </w:rPr>
        <w:t xml:space="preserve">Represents partner’s contribution towards a newly formed joint venture Emerald RNG LLC. See Note.12 </w:t>
      </w:r>
      <w:r>
        <w:rPr>
          <w:rFonts w:ascii="Arial" w:cs="Arial" w:eastAsia="Arial" w:hAnsi="Arial"/>
          <w:sz w:val="15"/>
          <w:szCs w:val="15"/>
          <w:i w:val="1"/>
          <w:iCs w:val="1"/>
          <w:color w:val="auto"/>
        </w:rPr>
        <w:t>Variable Interest Entities</w:t>
      </w:r>
      <w:r>
        <w:rPr>
          <w:rFonts w:ascii="Arial" w:cs="Arial" w:eastAsia="Arial" w:hAnsi="Arial"/>
          <w:sz w:val="15"/>
          <w:szCs w:val="15"/>
          <w:color w:val="auto"/>
        </w:rPr>
        <w:t xml:space="preserve"> for additional information.</w:t>
      </w:r>
    </w:p>
    <w:p>
      <w:pPr>
        <w:spacing w:after="0" w:line="96" w:lineRule="exact"/>
        <w:rPr>
          <w:rFonts w:ascii="Arial" w:cs="Arial" w:eastAsia="Arial" w:hAnsi="Arial"/>
          <w:sz w:val="25"/>
          <w:szCs w:val="25"/>
          <w:color w:val="auto"/>
          <w:vertAlign w:val="superscript"/>
        </w:rPr>
      </w:pPr>
    </w:p>
    <w:p>
      <w:pPr>
        <w:ind w:left="306" w:right="20" w:hanging="306"/>
        <w:spacing w:after="0" w:line="186" w:lineRule="auto"/>
        <w:tabs>
          <w:tab w:leader="none" w:pos="306" w:val="left"/>
        </w:tabs>
        <w:numPr>
          <w:ilvl w:val="0"/>
          <w:numId w:val="111"/>
        </w:numPr>
        <w:rPr>
          <w:rFonts w:ascii="Arial" w:cs="Arial" w:eastAsia="Arial" w:hAnsi="Arial"/>
          <w:sz w:val="26"/>
          <w:szCs w:val="26"/>
          <w:color w:val="auto"/>
          <w:vertAlign w:val="superscript"/>
        </w:rPr>
      </w:pPr>
      <w:r>
        <w:rPr>
          <w:rFonts w:ascii="Arial" w:cs="Arial" w:eastAsia="Arial" w:hAnsi="Arial"/>
          <w:sz w:val="16"/>
          <w:szCs w:val="16"/>
          <w:color w:val="auto"/>
        </w:rPr>
        <w:t>The Company issued 1,000,000 redeemable preferred units to NextEra Energy(“</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xml:space="preserve">”) for aggregate proceeds of $100,000. The issuance costs of $267 were reduced from retained earnings. Please see Note.13 </w:t>
      </w:r>
      <w:r>
        <w:rPr>
          <w:rFonts w:ascii="Arial" w:cs="Arial" w:eastAsia="Arial" w:hAnsi="Arial"/>
          <w:sz w:val="16"/>
          <w:szCs w:val="16"/>
          <w:i w:val="1"/>
          <w:iCs w:val="1"/>
          <w:color w:val="auto"/>
        </w:rPr>
        <w:t>Redeemable preferred units</w:t>
      </w:r>
      <w:r>
        <w:rPr>
          <w:rFonts w:ascii="Arial" w:cs="Arial" w:eastAsia="Arial" w:hAnsi="Arial"/>
          <w:sz w:val="16"/>
          <w:szCs w:val="16"/>
          <w:color w:val="auto"/>
        </w:rPr>
        <w:t xml:space="preserve"> for additional information.</w:t>
      </w:r>
    </w:p>
    <w:p>
      <w:pPr>
        <w:spacing w:after="0" w:line="36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9" w:right="319" w:bottom="1440" w:gutter="0" w:footer="0" w:header="0"/>
        </w:sectPr>
      </w:pPr>
    </w:p>
    <w:bookmarkStart w:id="186" w:name="page187"/>
    <w:bookmarkEnd w:id="186"/>
    <w:tbl>
      <w:tblPr>
        <w:tblLayout w:type="fixed"/>
        <w:tblInd w:w="6" w:type="dxa"/>
        <w:tblCellMar>
          <w:top w:w="0" w:type="dxa"/>
          <w:left w:w="0" w:type="dxa"/>
          <w:bottom w:w="0" w:type="dxa"/>
          <w:right w:w="0" w:type="dxa"/>
        </w:tblCellMar>
      </w:tblPr>
      <w:tr>
        <w:trPr>
          <w:trHeight w:val="209"/>
        </w:trPr>
        <w:tc>
          <w:tcPr>
            <w:tcW w:w="3260" w:type="dxa"/>
            <w:vAlign w:val="bottom"/>
          </w:tcPr>
          <w:p>
            <w:pPr>
              <w:spacing w:after="0"/>
              <w:rPr>
                <w:sz w:val="18"/>
                <w:szCs w:val="18"/>
                <w:color w:val="auto"/>
              </w:rPr>
            </w:pPr>
          </w:p>
        </w:tc>
        <w:tc>
          <w:tcPr>
            <w:tcW w:w="2680" w:type="dxa"/>
            <w:vAlign w:val="bottom"/>
            <w:gridSpan w:val="7"/>
          </w:tcPr>
          <w:p>
            <w:pPr>
              <w:jc w:val="right"/>
              <w:ind w:right="900"/>
              <w:spacing w:after="0"/>
              <w:rPr>
                <w:sz w:val="20"/>
                <w:szCs w:val="20"/>
                <w:color w:val="auto"/>
              </w:rPr>
            </w:pPr>
            <w:r>
              <w:rPr>
                <w:rFonts w:ascii="Arial" w:cs="Arial" w:eastAsia="Arial" w:hAnsi="Arial"/>
                <w:sz w:val="16"/>
                <w:szCs w:val="16"/>
                <w:b w:val="1"/>
                <w:bCs w:val="1"/>
                <w:color w:val="auto"/>
              </w:rPr>
              <w:t>Common 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Total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60" w:type="dxa"/>
            <w:vAlign w:val="bottom"/>
          </w:tcPr>
          <w:p>
            <w:pPr>
              <w:spacing w:after="0"/>
              <w:rPr>
                <w:sz w:val="14"/>
                <w:szCs w:val="14"/>
                <w:color w:val="auto"/>
              </w:rPr>
            </w:pPr>
          </w:p>
        </w:tc>
        <w:tc>
          <w:tcPr>
            <w:tcW w:w="88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Number</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62"/>
              <w:spacing w:after="0" w:line="172" w:lineRule="exact"/>
              <w:rPr>
                <w:sz w:val="20"/>
                <w:szCs w:val="20"/>
                <w:color w:val="auto"/>
              </w:rPr>
            </w:pPr>
            <w:r>
              <w:rPr>
                <w:rFonts w:ascii="Arial" w:cs="Arial" w:eastAsia="Arial" w:hAnsi="Arial"/>
                <w:sz w:val="16"/>
                <w:szCs w:val="16"/>
                <w:b w:val="1"/>
                <w:bCs w:val="1"/>
                <w:color w:val="auto"/>
                <w:w w:val="99"/>
              </w:rPr>
              <w:t>Members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61"/>
              <w:spacing w:after="0" w:line="172" w:lineRule="exact"/>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4"/>
                <w:szCs w:val="14"/>
                <w:color w:val="auto"/>
              </w:rPr>
            </w:pPr>
          </w:p>
        </w:tc>
        <w:tc>
          <w:tcPr>
            <w:tcW w:w="1180" w:type="dxa"/>
            <w:vAlign w:val="bottom"/>
            <w:gridSpan w:val="2"/>
          </w:tcPr>
          <w:p>
            <w:pPr>
              <w:jc w:val="center"/>
              <w:ind w:right="360"/>
              <w:spacing w:after="0" w:line="172" w:lineRule="exact"/>
              <w:rPr>
                <w:sz w:val="20"/>
                <w:szCs w:val="20"/>
                <w:color w:val="auto"/>
              </w:rPr>
            </w:pPr>
            <w:r>
              <w:rPr>
                <w:rFonts w:ascii="Arial" w:cs="Arial" w:eastAsia="Arial" w:hAnsi="Arial"/>
                <w:sz w:val="16"/>
                <w:szCs w:val="16"/>
                <w:b w:val="1"/>
                <w:bCs w:val="1"/>
                <w:color w:val="auto"/>
                <w:w w:val="93"/>
              </w:rPr>
              <w:t>Members’</w:t>
            </w:r>
          </w:p>
        </w:tc>
        <w:tc>
          <w:tcPr>
            <w:tcW w:w="1320" w:type="dxa"/>
            <w:vAlign w:val="bottom"/>
            <w:gridSpan w:val="3"/>
          </w:tcPr>
          <w:p>
            <w:pPr>
              <w:spacing w:after="0" w:line="172" w:lineRule="exact"/>
              <w:rPr>
                <w:sz w:val="20"/>
                <w:szCs w:val="20"/>
                <w:color w:val="auto"/>
              </w:rPr>
            </w:pPr>
            <w:r>
              <w:rPr>
                <w:rFonts w:ascii="Arial" w:cs="Arial" w:eastAsia="Arial" w:hAnsi="Arial"/>
                <w:sz w:val="16"/>
                <w:szCs w:val="16"/>
                <w:b w:val="1"/>
                <w:bCs w:val="1"/>
                <w:color w:val="auto"/>
              </w:rPr>
              <w:t>Non-Controlling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360"/>
              <w:spacing w:after="0" w:line="172"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9"/>
        </w:trPr>
        <w:tc>
          <w:tcPr>
            <w:tcW w:w="3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of Units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1"/>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Equity</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Interest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88"/>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986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49,170</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(25,396)</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23,774</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6,685</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30,459</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18,375</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18,375</w:t>
            </w: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18,177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40" w:type="dxa"/>
            <w:vAlign w:val="bottom"/>
            <w:gridSpan w:val="2"/>
            <w:shd w:val="clear" w:color="auto" w:fill="CCEEFF"/>
          </w:tcPr>
          <w:p>
            <w:pPr>
              <w:spacing w:after="0" w:line="223" w:lineRule="exact"/>
              <w:rPr>
                <w:sz w:val="20"/>
                <w:szCs w:val="20"/>
                <w:color w:val="auto"/>
              </w:rPr>
            </w:pPr>
            <w:r>
              <w:rPr>
                <w:rFonts w:ascii="Arial" w:cs="Arial" w:eastAsia="Arial" w:hAnsi="Arial"/>
                <w:sz w:val="15"/>
                <w:szCs w:val="15"/>
                <w:color w:val="auto"/>
              </w:rPr>
              <w:t xml:space="preserve">Initial non-controlling interest </w:t>
            </w:r>
            <w:r>
              <w:rPr>
                <w:rFonts w:ascii="Arial" w:cs="Arial" w:eastAsia="Arial" w:hAnsi="Arial"/>
                <w:sz w:val="25"/>
                <w:szCs w:val="25"/>
                <w:color w:val="auto"/>
                <w:vertAlign w:val="superscript"/>
              </w:rPr>
              <w:t>(1)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3,857</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6,174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40" w:type="dxa"/>
            <w:vAlign w:val="bottom"/>
            <w:gridSpan w:val="2"/>
          </w:tcPr>
          <w:p>
            <w:pPr>
              <w:spacing w:after="0"/>
              <w:rPr>
                <w:sz w:val="20"/>
                <w:szCs w:val="20"/>
                <w:color w:val="auto"/>
              </w:rPr>
            </w:pPr>
            <w:r>
              <w:rPr>
                <w:rFonts w:ascii="Arial" w:cs="Arial" w:eastAsia="Arial" w:hAnsi="Arial"/>
                <w:sz w:val="16"/>
                <w:szCs w:val="16"/>
                <w:color w:val="auto"/>
              </w:rPr>
              <w:t>Contributions from non-controlling interest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5,171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5,171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7,522</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gridSpan w:val="2"/>
          </w:tcPr>
          <w:p>
            <w:pPr>
              <w:spacing w:after="0"/>
              <w:rPr>
                <w:sz w:val="20"/>
                <w:szCs w:val="20"/>
                <w:color w:val="auto"/>
              </w:rPr>
            </w:pPr>
            <w:r>
              <w:rPr>
                <w:rFonts w:ascii="Arial" w:cs="Arial" w:eastAsia="Arial" w:hAnsi="Arial"/>
                <w:sz w:val="16"/>
                <w:szCs w:val="16"/>
                <w:color w:val="auto"/>
              </w:rPr>
              <w:t>Distributions to members</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(3,695)</w:t>
            </w:r>
          </w:p>
        </w:tc>
        <w:tc>
          <w:tcPr>
            <w:tcW w:w="1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320</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June 30, 2021</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12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7"/>
              </w:rPr>
              <w:t>986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57,174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(7,021</w:t>
            </w:r>
          </w:p>
        </w:tc>
        <w:tc>
          <w:tcPr>
            <w:tcW w:w="20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50,153</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17,832</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67,985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306" w:hanging="306"/>
        <w:spacing w:after="0"/>
        <w:tabs>
          <w:tab w:leader="none" w:pos="306" w:val="left"/>
        </w:tabs>
        <w:numPr>
          <w:ilvl w:val="0"/>
          <w:numId w:val="112"/>
        </w:numPr>
        <w:rPr>
          <w:rFonts w:ascii="Arial" w:cs="Arial" w:eastAsia="Arial" w:hAnsi="Arial"/>
          <w:sz w:val="26"/>
          <w:szCs w:val="26"/>
          <w:color w:val="auto"/>
          <w:vertAlign w:val="superscript"/>
        </w:rPr>
      </w:pPr>
      <w:r>
        <w:rPr>
          <w:rFonts w:ascii="Arial" w:cs="Arial" w:eastAsia="Arial" w:hAnsi="Arial"/>
          <w:sz w:val="16"/>
          <w:szCs w:val="16"/>
          <w:color w:val="auto"/>
        </w:rPr>
        <w:t>Represents partner’s contribution from sale of non-controlling interest in an RNG facility.</w:t>
      </w:r>
    </w:p>
    <w:p>
      <w:pPr>
        <w:spacing w:after="0" w:line="27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00" w:right="319" w:bottom="1440" w:gutter="0" w:footer="0" w:header="0"/>
        </w:sectPr>
      </w:pPr>
    </w:p>
    <w:bookmarkStart w:id="187" w:name="page188"/>
    <w:bookmarkEnd w:id="187"/>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U.S. dollars)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77"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June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r>
      <w:tr>
        <w:trPr>
          <w:trHeight w:val="187"/>
        </w:trPr>
        <w:tc>
          <w:tcPr>
            <w:tcW w:w="794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(4,809)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18,177</w:t>
            </w:r>
          </w:p>
        </w:tc>
      </w:tr>
      <w:tr>
        <w:trPr>
          <w:trHeight w:val="188"/>
        </w:trPr>
        <w:tc>
          <w:tcPr>
            <w:tcW w:w="7940" w:type="dxa"/>
            <w:vAlign w:val="bottom"/>
          </w:tcPr>
          <w:p>
            <w:pPr>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from equity method investment</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(2,392)</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6,403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3,954</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of deferred financing costs</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898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477</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Amortization of PPA liability</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(129)</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Accretion expense related to asset retirement obligation</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320</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Paid-in-kind interest income</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(454)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Paid-in-kind interest expense</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2,110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888</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Unrealized (gain) loss on derivative financial instruments</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1,059</w:t>
            </w:r>
          </w:p>
        </w:tc>
      </w:tr>
      <w:tr>
        <w:trPr>
          <w:trHeight w:val="188"/>
        </w:trPr>
        <w:tc>
          <w:tcPr>
            <w:tcW w:w="7940" w:type="dxa"/>
            <w:vAlign w:val="bottom"/>
          </w:tcPr>
          <w:p>
            <w:pPr>
              <w:ind w:left="160"/>
              <w:spacing w:after="0"/>
              <w:rPr>
                <w:sz w:val="20"/>
                <w:szCs w:val="20"/>
                <w:color w:val="auto"/>
              </w:rPr>
            </w:pPr>
            <w:r>
              <w:rPr>
                <w:rFonts w:ascii="Arial" w:cs="Arial" w:eastAsia="Arial" w:hAnsi="Arial"/>
                <w:sz w:val="16"/>
                <w:szCs w:val="16"/>
                <w:color w:val="auto"/>
              </w:rPr>
              <w:t>Gain on equity method investment</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(19,818)</w:t>
            </w:r>
          </w:p>
        </w:tc>
      </w:tr>
      <w:tr>
        <w:trPr>
          <w:trHeight w:val="188"/>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610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8,437</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Fuel tax credits receivable</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1,257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Capital spares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65</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Parts inventory</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(3,255)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Environmental credits held for sale</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545</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 and other current assets</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946</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Contract assets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(7,111)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2,549</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(4,217)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(4,029)</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Accounts payable, related party</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780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511</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Fuel tax credits payable</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(1,295)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950</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Accrued payroll</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(3,242)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(612)</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expense and other current liabilities</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5,398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Other liabilities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6,551</w:t>
            </w:r>
          </w:p>
        </w:tc>
      </w:tr>
      <w:tr>
        <w:trPr>
          <w:trHeight w:val="220"/>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Contract liabilities</w:t>
            </w: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(2,626)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w:t>
            </w:r>
          </w:p>
        </w:tc>
      </w:tr>
      <w:tr>
        <w:trPr>
          <w:trHeight w:val="176"/>
        </w:trPr>
        <w:tc>
          <w:tcPr>
            <w:tcW w:w="794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Net cash (used in) provided by operating activities</w:t>
            </w:r>
          </w:p>
        </w:tc>
        <w:tc>
          <w:tcPr>
            <w:tcW w:w="7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(9,438</w:t>
            </w:r>
          </w:p>
        </w:tc>
        <w:tc>
          <w:tcPr>
            <w:tcW w:w="12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16,808</w:t>
            </w:r>
          </w:p>
        </w:tc>
        <w:tc>
          <w:tcPr>
            <w:tcW w:w="120" w:type="dxa"/>
            <w:vAlign w:val="bottom"/>
            <w:tcBorders>
              <w:top w:val="single" w:sz="8" w:color="CCEEFF"/>
              <w:bottom w:val="single" w:sz="8" w:color="CCEEFF"/>
            </w:tcBorders>
          </w:tcPr>
          <w:p>
            <w:pPr>
              <w:spacing w:after="0"/>
              <w:rPr>
                <w:sz w:val="15"/>
                <w:szCs w:val="15"/>
                <w:color w:val="auto"/>
              </w:rPr>
            </w:pPr>
          </w:p>
        </w:tc>
      </w:tr>
      <w:tr>
        <w:trPr>
          <w:trHeight w:val="188"/>
        </w:trPr>
        <w:tc>
          <w:tcPr>
            <w:tcW w:w="7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Purchase of property, plant, and equipment</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(54,298)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(34,422)</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acquired on acquisition of equity method investment</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1,975</w:t>
            </w:r>
          </w:p>
        </w:tc>
      </w:tr>
      <w:tr>
        <w:trPr>
          <w:trHeight w:val="204"/>
        </w:trPr>
        <w:tc>
          <w:tcPr>
            <w:tcW w:w="7940" w:type="dxa"/>
            <w:vAlign w:val="bottom"/>
          </w:tcPr>
          <w:p>
            <w:pPr>
              <w:ind w:left="100"/>
              <w:spacing w:after="0"/>
              <w:rPr>
                <w:sz w:val="20"/>
                <w:szCs w:val="20"/>
                <w:color w:val="auto"/>
              </w:rPr>
            </w:pPr>
            <w:r>
              <w:rPr>
                <w:rFonts w:ascii="Arial" w:cs="Arial" w:eastAsia="Arial" w:hAnsi="Arial"/>
                <w:sz w:val="16"/>
                <w:szCs w:val="16"/>
                <w:color w:val="auto"/>
              </w:rPr>
              <w:t>Distributions received from equity method investment</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3,695</w:t>
            </w:r>
          </w:p>
        </w:tc>
      </w:tr>
      <w:tr>
        <w:trPr>
          <w:trHeight w:val="208"/>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(54,298</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72"/>
        </w:trPr>
        <w:tc>
          <w:tcPr>
            <w:tcW w:w="7940" w:type="dxa"/>
            <w:vAlign w:val="bottom"/>
          </w:tcPr>
          <w:p>
            <w:pPr>
              <w:spacing w:after="0" w:line="172" w:lineRule="exact"/>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Sunoma loan</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1,046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11,809</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Proceeds from OPAL term loan</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Financing costs paid to other third parties</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(3,216)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Repayment of Senior secured credit facility</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(1,221)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(2,459)</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 of OPAL term loan</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(6,444)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Repayment of Municipality loan</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(101)</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sale of non-controlling interest</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16,901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15,202</w:t>
            </w:r>
          </w:p>
        </w:tc>
      </w:tr>
      <w:tr>
        <w:trPr>
          <w:trHeight w:val="188"/>
        </w:trPr>
        <w:tc>
          <w:tcPr>
            <w:tcW w:w="7940" w:type="dxa"/>
            <w:vAlign w:val="bottom"/>
          </w:tcPr>
          <w:p>
            <w:pPr>
              <w:ind w:left="100"/>
              <w:spacing w:after="0"/>
              <w:rPr>
                <w:sz w:val="20"/>
                <w:szCs w:val="20"/>
                <w:color w:val="auto"/>
              </w:rPr>
            </w:pPr>
            <w:r>
              <w:rPr>
                <w:rFonts w:ascii="Arial" w:cs="Arial" w:eastAsia="Arial" w:hAnsi="Arial"/>
                <w:sz w:val="16"/>
                <w:szCs w:val="16"/>
                <w:color w:val="auto"/>
              </w:rPr>
              <w:t>Proceeds from issuance of redeemable preferred units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Contributions from members</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7,522</w:t>
            </w:r>
          </w:p>
        </w:tc>
      </w:tr>
      <w:tr>
        <w:trPr>
          <w:trHeight w:val="204"/>
        </w:trPr>
        <w:tc>
          <w:tcPr>
            <w:tcW w:w="7940" w:type="dxa"/>
            <w:vAlign w:val="bottom"/>
          </w:tcPr>
          <w:p>
            <w:pPr>
              <w:ind w:left="100"/>
              <w:spacing w:after="0"/>
              <w:rPr>
                <w:sz w:val="20"/>
                <w:szCs w:val="20"/>
                <w:color w:val="auto"/>
              </w:rPr>
            </w:pPr>
            <w:r>
              <w:rPr>
                <w:rFonts w:ascii="Arial" w:cs="Arial" w:eastAsia="Arial" w:hAnsi="Arial"/>
                <w:sz w:val="16"/>
                <w:szCs w:val="16"/>
                <w:color w:val="auto"/>
              </w:rPr>
              <w:t>Distributions to members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(3,695)</w:t>
            </w:r>
          </w:p>
        </w:tc>
      </w:tr>
      <w:tr>
        <w:trPr>
          <w:trHeight w:val="208"/>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794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color w:val="auto"/>
              </w:rPr>
              <w:t>Net increase in cash, restricted cash, and cash equivalents</w:t>
            </w:r>
          </w:p>
        </w:tc>
        <w:tc>
          <w:tcPr>
            <w:tcW w:w="7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58,225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16,334</w:t>
            </w:r>
          </w:p>
        </w:tc>
        <w:tc>
          <w:tcPr>
            <w:tcW w:w="120" w:type="dxa"/>
            <w:vAlign w:val="bottom"/>
            <w:tcBorders>
              <w:bottom w:val="single" w:sz="8" w:color="CCEEFF"/>
            </w:tcBorders>
          </w:tcPr>
          <w:p>
            <w:pPr>
              <w:spacing w:after="0"/>
              <w:rPr>
                <w:sz w:val="15"/>
                <w:szCs w:val="15"/>
                <w:color w:val="auto"/>
              </w:rPr>
            </w:pPr>
          </w:p>
        </w:tc>
      </w:tr>
      <w:tr>
        <w:trPr>
          <w:trHeight w:val="208"/>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restricted cash, and cash equivalents, beginning of period</w:t>
            </w:r>
          </w:p>
        </w:tc>
        <w:tc>
          <w:tcPr>
            <w:tcW w:w="7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39"/>
        </w:trPr>
        <w:tc>
          <w:tcPr>
            <w:tcW w:w="7940" w:type="dxa"/>
            <w:vAlign w:val="bottom"/>
          </w:tcPr>
          <w:p>
            <w:pPr>
              <w:spacing w:after="0" w:line="180" w:lineRule="exact"/>
              <w:rPr>
                <w:sz w:val="20"/>
                <w:szCs w:val="20"/>
                <w:color w:val="auto"/>
              </w:rPr>
            </w:pPr>
            <w:r>
              <w:rPr>
                <w:rFonts w:ascii="Arial" w:cs="Arial" w:eastAsia="Arial" w:hAnsi="Arial"/>
                <w:sz w:val="16"/>
                <w:szCs w:val="16"/>
                <w:color w:val="auto"/>
              </w:rPr>
              <w:t>Cash, restricted cash, and cash equivalents, end of period</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100,279</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31,722</w:t>
            </w:r>
          </w:p>
        </w:tc>
      </w:tr>
      <w:tr>
        <w:trPr>
          <w:trHeight w:val="184"/>
        </w:trPr>
        <w:tc>
          <w:tcPr>
            <w:tcW w:w="79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7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88"/>
        </w:trPr>
        <w:tc>
          <w:tcPr>
            <w:tcW w:w="7940" w:type="dxa"/>
            <w:vAlign w:val="bottom"/>
          </w:tcPr>
          <w:p>
            <w:pPr>
              <w:spacing w:after="0"/>
              <w:rPr>
                <w:sz w:val="20"/>
                <w:szCs w:val="20"/>
                <w:color w:val="auto"/>
              </w:rPr>
            </w:pPr>
            <w:r>
              <w:rPr>
                <w:rFonts w:ascii="Arial" w:cs="Arial" w:eastAsia="Arial" w:hAnsi="Arial"/>
                <w:sz w:val="16"/>
                <w:szCs w:val="16"/>
                <w:color w:val="auto"/>
              </w:rPr>
              <w:t>Interest paid, net of $— and $168 capitalized, respectively</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2,860</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1,952</w:t>
            </w:r>
          </w:p>
        </w:tc>
      </w:tr>
      <w:tr>
        <w:trPr>
          <w:trHeight w:val="188"/>
        </w:trPr>
        <w:tc>
          <w:tcPr>
            <w:tcW w:w="7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7940" w:type="dxa"/>
            <w:vAlign w:val="bottom"/>
          </w:tcPr>
          <w:p>
            <w:pPr>
              <w:spacing w:after="0"/>
              <w:rPr>
                <w:sz w:val="20"/>
                <w:szCs w:val="20"/>
                <w:color w:val="auto"/>
              </w:rPr>
            </w:pPr>
            <w:r>
              <w:rPr>
                <w:rFonts w:ascii="Arial" w:cs="Arial" w:eastAsia="Arial" w:hAnsi="Arial"/>
                <w:sz w:val="16"/>
                <w:szCs w:val="16"/>
                <w:color w:val="auto"/>
                <w:w w:val="99"/>
              </w:rPr>
              <w:t>Fair value of contingent consideration to redeem the non-controlling interest included in other long-term liabilities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183</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Paid-in-kind dividend on redeemable preferred units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2,435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7940" w:type="dxa"/>
            <w:vAlign w:val="bottom"/>
          </w:tcPr>
          <w:p>
            <w:pPr>
              <w:spacing w:after="0"/>
              <w:rPr>
                <w:sz w:val="20"/>
                <w:szCs w:val="20"/>
                <w:color w:val="auto"/>
              </w:rPr>
            </w:pPr>
            <w:r>
              <w:rPr>
                <w:rFonts w:ascii="Arial" w:cs="Arial" w:eastAsia="Arial" w:hAnsi="Arial"/>
                <w:sz w:val="16"/>
                <w:szCs w:val="16"/>
                <w:color w:val="auto"/>
                <w:w w:val="97"/>
              </w:rPr>
              <w:t>Accrual for purchase of Property, plant and equipment included in Accounts payable and Accrued capital expenses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1"/>
              <w:spacing w:after="0"/>
              <w:rPr>
                <w:sz w:val="20"/>
                <w:szCs w:val="20"/>
                <w:color w:val="auto"/>
              </w:rPr>
            </w:pPr>
            <w:r>
              <w:rPr>
                <w:rFonts w:ascii="Arial" w:cs="Arial" w:eastAsia="Arial" w:hAnsi="Arial"/>
                <w:sz w:val="16"/>
                <w:szCs w:val="16"/>
                <w:color w:val="auto"/>
              </w:rPr>
              <w:t>20,096</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10,214</w:t>
            </w:r>
          </w:p>
        </w:tc>
      </w:tr>
      <w:tr>
        <w:trPr>
          <w:trHeight w:val="188"/>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Accrual for deferred financing costs included in Accrued expenses and other current liabilities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1,750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b w:val="1"/>
          <w:bCs w:val="1"/>
          <w:color w:val="auto"/>
        </w:rPr>
        <w:t>1. Description of Business</w:t>
      </w:r>
    </w:p>
    <w:p>
      <w:pPr>
        <w:spacing w:after="0" w:line="197"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OPAL Fuels LLC (including its subsidiaries,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w:t>
      </w:r>
      <w:r>
        <w:rPr>
          <w:rFonts w:ascii="Arial" w:cs="Arial" w:eastAsia="Arial" w:hAnsi="Arial"/>
          <w:sz w:val="13"/>
          <w:szCs w:val="13"/>
          <w:b w:val="1"/>
          <w:bCs w:val="1"/>
          <w:i w:val="1"/>
          <w:iCs w:val="1"/>
          <w:color w:val="auto"/>
        </w:rPr>
        <w:t>we</w:t>
      </w:r>
      <w:r>
        <w:rPr>
          <w:rFonts w:ascii="Arial" w:cs="Arial" w:eastAsia="Arial" w:hAnsi="Arial"/>
          <w:sz w:val="13"/>
          <w:szCs w:val="13"/>
          <w:color w:val="auto"/>
        </w:rPr>
        <w:t>,” “</w:t>
      </w:r>
      <w:r>
        <w:rPr>
          <w:rFonts w:ascii="Arial" w:cs="Arial" w:eastAsia="Arial" w:hAnsi="Arial"/>
          <w:sz w:val="13"/>
          <w:szCs w:val="13"/>
          <w:b w:val="1"/>
          <w:bCs w:val="1"/>
          <w:i w:val="1"/>
          <w:iCs w:val="1"/>
          <w:color w:val="auto"/>
        </w:rPr>
        <w:t>us</w:t>
      </w:r>
      <w:r>
        <w:rPr>
          <w:rFonts w:ascii="Arial" w:cs="Arial" w:eastAsia="Arial" w:hAnsi="Arial"/>
          <w:sz w:val="13"/>
          <w:szCs w:val="13"/>
          <w:color w:val="auto"/>
        </w:rPr>
        <w:t>” or “</w:t>
      </w:r>
      <w:r>
        <w:rPr>
          <w:rFonts w:ascii="Arial" w:cs="Arial" w:eastAsia="Arial" w:hAnsi="Arial"/>
          <w:sz w:val="13"/>
          <w:szCs w:val="13"/>
          <w:b w:val="1"/>
          <w:bCs w:val="1"/>
          <w:i w:val="1"/>
          <w:iCs w:val="1"/>
          <w:color w:val="auto"/>
        </w:rPr>
        <w:t>our</w:t>
      </w:r>
      <w:r>
        <w:rPr>
          <w:rFonts w:ascii="Arial" w:cs="Arial" w:eastAsia="Arial" w:hAnsi="Arial"/>
          <w:sz w:val="13"/>
          <w:szCs w:val="13"/>
          <w:color w:val="auto"/>
        </w:rPr>
        <w:t>”) is engaged in the business of producing and distributing renewable natural gas (“</w:t>
      </w:r>
      <w:r>
        <w:rPr>
          <w:rFonts w:ascii="Arial" w:cs="Arial" w:eastAsia="Arial" w:hAnsi="Arial"/>
          <w:sz w:val="13"/>
          <w:szCs w:val="13"/>
          <w:b w:val="1"/>
          <w:bCs w:val="1"/>
          <w:i w:val="1"/>
          <w:iCs w:val="1"/>
          <w:color w:val="auto"/>
        </w:rPr>
        <w:t>RNG</w:t>
      </w:r>
      <w:r>
        <w:rPr>
          <w:rFonts w:ascii="Arial" w:cs="Arial" w:eastAsia="Arial" w:hAnsi="Arial"/>
          <w:sz w:val="13"/>
          <w:szCs w:val="13"/>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Arial" w:cs="Arial" w:eastAsia="Arial" w:hAnsi="Arial"/>
          <w:sz w:val="13"/>
          <w:szCs w:val="13"/>
          <w:b w:val="1"/>
          <w:bCs w:val="1"/>
          <w:i w:val="1"/>
          <w:iCs w:val="1"/>
          <w:color w:val="auto"/>
        </w:rPr>
        <w:t>CNG</w:t>
      </w:r>
      <w:r>
        <w:rPr>
          <w:rFonts w:ascii="Arial" w:cs="Arial" w:eastAsia="Arial" w:hAnsi="Arial"/>
          <w:sz w:val="13"/>
          <w:szCs w:val="13"/>
          <w:color w:val="auto"/>
        </w:rPr>
        <w:t>”) for vehicle fleets across the country that use RNG and CNG to displace diesel as their transportation fuel. RNG is derived from landfill gas (“</w:t>
      </w:r>
      <w:r>
        <w:rPr>
          <w:rFonts w:ascii="Arial" w:cs="Arial" w:eastAsia="Arial" w:hAnsi="Arial"/>
          <w:sz w:val="13"/>
          <w:szCs w:val="13"/>
          <w:b w:val="1"/>
          <w:bCs w:val="1"/>
          <w:i w:val="1"/>
          <w:iCs w:val="1"/>
          <w:color w:val="auto"/>
        </w:rPr>
        <w:t>LFG</w:t>
      </w:r>
      <w:r>
        <w:rPr>
          <w:rFonts w:ascii="Arial" w:cs="Arial" w:eastAsia="Arial" w:hAnsi="Arial"/>
          <w:sz w:val="13"/>
          <w:szCs w:val="13"/>
          <w:color w:val="auto"/>
        </w:rPr>
        <w:t>”) and dairy digester gas. In addition, the Company owns LFG fueled power plants that sell renewable power to public utilities. The Company is a subsidiary of Opal Holdco LLC which, in turn, is an indirect subsidiary of Fortistar LLC (the “</w:t>
      </w:r>
      <w:r>
        <w:rPr>
          <w:rFonts w:ascii="Arial" w:cs="Arial" w:eastAsia="Arial" w:hAnsi="Arial"/>
          <w:sz w:val="13"/>
          <w:szCs w:val="13"/>
          <w:b w:val="1"/>
          <w:bCs w:val="1"/>
          <w:i w:val="1"/>
          <w:iCs w:val="1"/>
          <w:color w:val="auto"/>
        </w:rPr>
        <w:t>Ultimate Parent</w:t>
      </w:r>
      <w:r>
        <w:rPr>
          <w:rFonts w:ascii="Arial" w:cs="Arial" w:eastAsia="Arial" w:hAnsi="Arial"/>
          <w:sz w:val="13"/>
          <w:szCs w:val="13"/>
          <w:color w:val="auto"/>
        </w:rPr>
        <w:t>”).</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Unless otherwise expressly stated, all dollar amounts set forth in these notes are presented in thousands of dollars except per share data.</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Impact</w:t>
      </w:r>
    </w:p>
    <w:p>
      <w:pPr>
        <w:spacing w:after="0" w:line="197" w:lineRule="exact"/>
        <w:rPr>
          <w:sz w:val="20"/>
          <w:szCs w:val="20"/>
          <w:color w:val="auto"/>
        </w:rPr>
      </w:pPr>
    </w:p>
    <w:p>
      <w:pPr>
        <w:jc w:val="both"/>
        <w:ind w:right="20" w:firstLine="283"/>
        <w:spacing w:after="0" w:line="329" w:lineRule="auto"/>
        <w:rPr>
          <w:sz w:val="20"/>
          <w:szCs w:val="20"/>
          <w:color w:val="auto"/>
        </w:rPr>
      </w:pPr>
      <w:r>
        <w:rPr>
          <w:rFonts w:ascii="Arial" w:cs="Arial" w:eastAsia="Arial" w:hAnsi="Arial"/>
          <w:sz w:val="13"/>
          <w:szCs w:val="13"/>
          <w:color w:val="auto"/>
        </w:rPr>
        <w:t>In March 2020, the World Health Organization categorized the coronavirus disease 2019 (“</w:t>
      </w:r>
      <w:r>
        <w:rPr>
          <w:rFonts w:ascii="Arial" w:cs="Arial" w:eastAsia="Arial" w:hAnsi="Arial"/>
          <w:sz w:val="13"/>
          <w:szCs w:val="13"/>
          <w:b w:val="1"/>
          <w:bCs w:val="1"/>
          <w:i w:val="1"/>
          <w:iCs w:val="1"/>
          <w:color w:val="auto"/>
        </w:rPr>
        <w:t>COVID-19</w:t>
      </w:r>
      <w:r>
        <w:rPr>
          <w:rFonts w:ascii="Arial" w:cs="Arial" w:eastAsia="Arial" w:hAnsi="Arial"/>
          <w:sz w:val="13"/>
          <w:szCs w:val="13"/>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six months ended June 30, 2022.</w:t>
      </w:r>
    </w:p>
    <w:p>
      <w:pPr>
        <w:spacing w:after="0" w:line="122"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June 30, 2022, our liquidity consisted of cash and cash equivalents including restricted cash of $100,279.</w:t>
      </w:r>
    </w:p>
    <w:p>
      <w:pPr>
        <w:spacing w:after="0" w:line="193"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As of June 30, 2022, we had total indebtedness excluding the deferred financing costs of $244,113 in principal amount which primarily consists of $80,132 under the Senior secured credit facility, $60,820 under the Convertible note payable, $83,556 under the OPAL term loan, $174 under the Municipality loan, and $19,431 under the Sunoma loan. The outstanding debt under the Senior secured credit facility is due to be paid in December 2022 and therefore has been classified as a current liability.</w:t>
      </w:r>
    </w:p>
    <w:p>
      <w:pPr>
        <w:spacing w:after="0" w:line="148" w:lineRule="exact"/>
        <w:rPr>
          <w:sz w:val="20"/>
          <w:szCs w:val="20"/>
          <w:color w:val="auto"/>
        </w:rPr>
      </w:pPr>
    </w:p>
    <w:p>
      <w:pPr>
        <w:jc w:val="both"/>
        <w:ind w:right="20" w:firstLine="283"/>
        <w:spacing w:after="0" w:line="269" w:lineRule="auto"/>
        <w:rPr>
          <w:sz w:val="20"/>
          <w:szCs w:val="20"/>
          <w:color w:val="auto"/>
        </w:rPr>
      </w:pPr>
      <w:r>
        <w:rPr>
          <w:rFonts w:ascii="Arial" w:cs="Arial" w:eastAsia="Arial" w:hAnsi="Arial"/>
          <w:sz w:val="15"/>
          <w:szCs w:val="15"/>
          <w:color w:val="auto"/>
        </w:rPr>
        <w:t>We completed the Business Combination (further described in Note 16 below) in July 2022 which resulted in additional cash infusion of $123,363. The Company received the remaining $5,000 subscribed for pursuant to the PIPE Investment (defined below in Note 16) from one of the PIPE Investors (defined below in Note 16) subsequent to the Closing. Additionally, on August 4, 2022, we entered into a senior secured credit facility for $105,000 which will be used to fund a portfolio of RNG projects currently in, or going into, construction. In July 2022, we received a redemption notice from Biotown for the Note receivable and the Company subsequently received $11,555 including the payment of the principal balance of $10,915, prepayment penalty of $546 and accrued interest of $94. We would have an additional $35,000 available under the OPAL term loan in second half of 2022 upon the commencement of operations of three additional RNG facilities.</w:t>
      </w:r>
    </w:p>
    <w:p>
      <w:pPr>
        <w:spacing w:after="0" w:line="159"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We expect that our available cash following the consummation of the Business Combination and PIPE Investment, together with our other assets, expected cash flows from operations, and available lines of credit under various debt facilities will be sufficient to meet our existing commitments for a period of at least twelve months following the date of this prospectus.</w:t>
      </w:r>
    </w:p>
    <w:p>
      <w:pPr>
        <w:spacing w:after="0" w:line="165"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89" w:name="page190"/>
    <w:bookmarkEnd w:id="189"/>
    <w:p>
      <w:pPr>
        <w:jc w:val="both"/>
        <w:ind w:firstLine="283"/>
        <w:spacing w:after="0" w:line="252"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which contemplates the realization of assets and the satisfaction of liabilities in the normal course of business. The accompanying condensed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197"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These unaudited condensed consolidated financial statements are prepared in accordance with generally accepted accounting principles in the United States (“</w:t>
      </w:r>
      <w:r>
        <w:rPr>
          <w:rFonts w:ascii="Arial" w:cs="Arial" w:eastAsia="Arial" w:hAnsi="Arial"/>
          <w:sz w:val="15"/>
          <w:szCs w:val="15"/>
          <w:b w:val="1"/>
          <w:bCs w:val="1"/>
          <w:i w:val="1"/>
          <w:iCs w:val="1"/>
          <w:color w:val="auto"/>
        </w:rPr>
        <w:t>U.S. GAAP</w:t>
      </w:r>
      <w:r>
        <w:rPr>
          <w:rFonts w:ascii="Arial" w:cs="Arial" w:eastAsia="Arial" w:hAnsi="Arial"/>
          <w:sz w:val="15"/>
          <w:szCs w:val="15"/>
          <w:color w:val="auto"/>
        </w:rPr>
        <w:t>”). In the opinion of management, the accompanying unaudited condensed consolidated financial statements include all normal and recurring adjustments, which are necessary in order to make the financial statements not misleading and to provide a fair presentation of the Company’s financial position, operating results, and cash flows for the interim periods presented. The results of operations for the interim periods presented are not necessarily indicative of the results that may be expected for the entire year. The information herein should be read in conjunction with the Company’s audited consolidated financial statements and notes thereto.</w:t>
      </w:r>
    </w:p>
    <w:p>
      <w:pPr>
        <w:spacing w:after="0" w:line="157"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The unaudited condensed consolidated financial statements include the accounts of the Company and all other entities in which the Company has a controlling financial interest: Fortistar Methane 3 LLC (“</w:t>
      </w:r>
      <w:r>
        <w:rPr>
          <w:rFonts w:ascii="Arial" w:cs="Arial" w:eastAsia="Arial" w:hAnsi="Arial"/>
          <w:sz w:val="15"/>
          <w:szCs w:val="15"/>
          <w:b w:val="1"/>
          <w:bCs w:val="1"/>
          <w:i w:val="1"/>
          <w:iCs w:val="1"/>
          <w:color w:val="auto"/>
        </w:rPr>
        <w:t>FM3</w:t>
      </w:r>
      <w:r>
        <w:rPr>
          <w:rFonts w:ascii="Arial" w:cs="Arial" w:eastAsia="Arial" w:hAnsi="Arial"/>
          <w:sz w:val="15"/>
          <w:szCs w:val="15"/>
          <w:color w:val="auto"/>
        </w:rPr>
        <w:t>”), Fortistar Methane 4 LLC, Sunoma Holdings, LLC (“</w:t>
      </w:r>
      <w:r>
        <w:rPr>
          <w:rFonts w:ascii="Arial" w:cs="Arial" w:eastAsia="Arial" w:hAnsi="Arial"/>
          <w:sz w:val="15"/>
          <w:szCs w:val="15"/>
          <w:b w:val="1"/>
          <w:bCs w:val="1"/>
          <w:i w:val="1"/>
          <w:iCs w:val="1"/>
          <w:color w:val="auto"/>
        </w:rPr>
        <w:t>Sunoma</w:t>
      </w:r>
      <w:r>
        <w:rPr>
          <w:rFonts w:ascii="Arial" w:cs="Arial" w:eastAsia="Arial" w:hAnsi="Arial"/>
          <w:sz w:val="15"/>
          <w:szCs w:val="15"/>
          <w:color w:val="auto"/>
        </w:rPr>
        <w:t>”), Emerald RNG LLC (“</w:t>
      </w:r>
      <w:r>
        <w:rPr>
          <w:rFonts w:ascii="Arial" w:cs="Arial" w:eastAsia="Arial" w:hAnsi="Arial"/>
          <w:sz w:val="15"/>
          <w:szCs w:val="15"/>
          <w:b w:val="1"/>
          <w:bCs w:val="1"/>
          <w:i w:val="1"/>
          <w:iCs w:val="1"/>
          <w:color w:val="auto"/>
        </w:rPr>
        <w:t>Emerald</w:t>
      </w:r>
      <w:r>
        <w:rPr>
          <w:rFonts w:ascii="Arial" w:cs="Arial" w:eastAsia="Arial" w:hAnsi="Arial"/>
          <w:sz w:val="15"/>
          <w:szCs w:val="15"/>
          <w:color w:val="auto"/>
        </w:rPr>
        <w:t>”), Sapphire RNG LLC (“</w:t>
      </w:r>
      <w:r>
        <w:rPr>
          <w:rFonts w:ascii="Arial" w:cs="Arial" w:eastAsia="Arial" w:hAnsi="Arial"/>
          <w:sz w:val="15"/>
          <w:szCs w:val="15"/>
          <w:b w:val="1"/>
          <w:bCs w:val="1"/>
          <w:i w:val="1"/>
          <w:iCs w:val="1"/>
          <w:color w:val="auto"/>
        </w:rPr>
        <w:t>Sapphire</w:t>
      </w:r>
      <w:r>
        <w:rPr>
          <w:rFonts w:ascii="Arial" w:cs="Arial" w:eastAsia="Arial" w:hAnsi="Arial"/>
          <w:sz w:val="15"/>
          <w:szCs w:val="15"/>
          <w:color w:val="auto"/>
        </w:rPr>
        <w:t>”), New River LLC (“</w:t>
      </w:r>
      <w:r>
        <w:rPr>
          <w:rFonts w:ascii="Arial" w:cs="Arial" w:eastAsia="Arial" w:hAnsi="Arial"/>
          <w:sz w:val="15"/>
          <w:szCs w:val="15"/>
          <w:b w:val="1"/>
          <w:bCs w:val="1"/>
          <w:i w:val="1"/>
          <w:iCs w:val="1"/>
          <w:color w:val="auto"/>
        </w:rPr>
        <w:t>New River</w:t>
      </w:r>
      <w:r>
        <w:rPr>
          <w:rFonts w:ascii="Arial" w:cs="Arial" w:eastAsia="Arial" w:hAnsi="Arial"/>
          <w:sz w:val="15"/>
          <w:szCs w:val="15"/>
          <w:color w:val="auto"/>
        </w:rPr>
        <w:t>”), Reynolds NRG LLC (“</w:t>
      </w:r>
      <w:r>
        <w:rPr>
          <w:rFonts w:ascii="Arial" w:cs="Arial" w:eastAsia="Arial" w:hAnsi="Arial"/>
          <w:sz w:val="15"/>
          <w:szCs w:val="15"/>
          <w:b w:val="1"/>
          <w:bCs w:val="1"/>
          <w:i w:val="1"/>
          <w:iCs w:val="1"/>
          <w:color w:val="auto"/>
        </w:rPr>
        <w:t>Reynolds</w:t>
      </w:r>
      <w:r>
        <w:rPr>
          <w:rFonts w:ascii="Arial" w:cs="Arial" w:eastAsia="Arial" w:hAnsi="Arial"/>
          <w:sz w:val="15"/>
          <w:szCs w:val="15"/>
          <w:color w:val="auto"/>
        </w:rPr>
        <w:t>”), Beacon RNG LLC (“</w:t>
      </w:r>
      <w:r>
        <w:rPr>
          <w:rFonts w:ascii="Arial" w:cs="Arial" w:eastAsia="Arial" w:hAnsi="Arial"/>
          <w:sz w:val="15"/>
          <w:szCs w:val="15"/>
          <w:b w:val="1"/>
          <w:bCs w:val="1"/>
          <w:i w:val="1"/>
          <w:iCs w:val="1"/>
          <w:color w:val="auto"/>
        </w:rPr>
        <w:t>Beacon</w:t>
      </w:r>
      <w:r>
        <w:rPr>
          <w:rFonts w:ascii="Arial" w:cs="Arial" w:eastAsia="Arial" w:hAnsi="Arial"/>
          <w:sz w:val="15"/>
          <w:szCs w:val="15"/>
          <w:color w:val="auto"/>
        </w:rPr>
        <w:t>”), Central Valley LLC (“</w:t>
      </w:r>
      <w:r>
        <w:rPr>
          <w:rFonts w:ascii="Arial" w:cs="Arial" w:eastAsia="Arial" w:hAnsi="Arial"/>
          <w:sz w:val="15"/>
          <w:szCs w:val="15"/>
          <w:b w:val="1"/>
          <w:bCs w:val="1"/>
          <w:i w:val="1"/>
          <w:iCs w:val="1"/>
          <w:color w:val="auto"/>
        </w:rPr>
        <w:t>Central Valley</w:t>
      </w:r>
      <w:r>
        <w:rPr>
          <w:rFonts w:ascii="Arial" w:cs="Arial" w:eastAsia="Arial" w:hAnsi="Arial"/>
          <w:sz w:val="15"/>
          <w:szCs w:val="15"/>
          <w:color w:val="auto"/>
        </w:rPr>
        <w:t>”), Fortistar Contracting LLC, Fortistar RNG LLC, and TruStar Energy LLC (“</w:t>
      </w:r>
      <w:r>
        <w:rPr>
          <w:rFonts w:ascii="Arial" w:cs="Arial" w:eastAsia="Arial" w:hAnsi="Arial"/>
          <w:sz w:val="15"/>
          <w:szCs w:val="15"/>
          <w:b w:val="1"/>
          <w:bCs w:val="1"/>
          <w:i w:val="1"/>
          <w:iCs w:val="1"/>
          <w:color w:val="auto"/>
        </w:rPr>
        <w:t>TruStar</w:t>
      </w:r>
      <w:r>
        <w:rPr>
          <w:rFonts w:ascii="Arial" w:cs="Arial" w:eastAsia="Arial" w:hAnsi="Arial"/>
          <w:sz w:val="15"/>
          <w:szCs w:val="15"/>
          <w:color w:val="auto"/>
        </w:rPr>
        <w:t>”).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w:t>
      </w:r>
      <w:r>
        <w:rPr>
          <w:rFonts w:ascii="Arial" w:cs="Arial" w:eastAsia="Arial" w:hAnsi="Arial"/>
          <w:sz w:val="15"/>
          <w:szCs w:val="15"/>
          <w:b w:val="1"/>
          <w:bCs w:val="1"/>
          <w:i w:val="1"/>
          <w:iCs w:val="1"/>
          <w:color w:val="auto"/>
        </w:rPr>
        <w:t>VIE</w:t>
      </w:r>
      <w:r>
        <w:rPr>
          <w:rFonts w:ascii="Arial" w:cs="Arial" w:eastAsia="Arial" w:hAnsi="Arial"/>
          <w:sz w:val="15"/>
          <w:szCs w:val="15"/>
          <w:color w:val="auto"/>
        </w:rPr>
        <w:t>”) are presented as a separate component from OPAL Fuels LLC members’ equity in the condensed consolidated balance sheets and as a non-controlling interest in the condensed consolidated statements of changes in redeemable preferred units and members’ equity.</w:t>
      </w:r>
    </w:p>
    <w:p>
      <w:pPr>
        <w:spacing w:after="0" w:line="159" w:lineRule="exact"/>
        <w:rPr>
          <w:sz w:val="20"/>
          <w:szCs w:val="20"/>
          <w:color w:val="auto"/>
        </w:rPr>
      </w:pPr>
    </w:p>
    <w:p>
      <w:pPr>
        <w:jc w:val="both"/>
        <w:ind w:right="20" w:firstLine="283"/>
        <w:spacing w:after="0" w:line="269" w:lineRule="auto"/>
        <w:rPr>
          <w:sz w:val="20"/>
          <w:szCs w:val="20"/>
          <w:color w:val="auto"/>
        </w:rPr>
      </w:pPr>
      <w:r>
        <w:rPr>
          <w:rFonts w:ascii="Arial" w:cs="Arial" w:eastAsia="Arial" w:hAnsi="Arial"/>
          <w:sz w:val="15"/>
          <w:szCs w:val="15"/>
          <w:color w:val="auto"/>
        </w:rPr>
        <w:t>The accompanying condensed consolidated financial statements reflect the activities of the Company, its subsidiaries, and its equity method investments for the six months ended June 30, 2022 and 2021. Investments in unconsolidated entities in which the Company can influence the operating or financial decisions are accounted for under the equity method. As of June 30, 2022 and December 31, 2021, the Company accounted for its ownership interests in Pine Bend RNG LLC (“</w:t>
      </w:r>
      <w:r>
        <w:rPr>
          <w:rFonts w:ascii="Arial" w:cs="Arial" w:eastAsia="Arial" w:hAnsi="Arial"/>
          <w:sz w:val="15"/>
          <w:szCs w:val="15"/>
          <w:b w:val="1"/>
          <w:bCs w:val="1"/>
          <w:i w:val="1"/>
          <w:iCs w:val="1"/>
          <w:color w:val="auto"/>
        </w:rPr>
        <w:t>Pine Bend</w:t>
      </w:r>
      <w:r>
        <w:rPr>
          <w:rFonts w:ascii="Arial" w:cs="Arial" w:eastAsia="Arial" w:hAnsi="Arial"/>
          <w:sz w:val="15"/>
          <w:szCs w:val="15"/>
          <w:color w:val="auto"/>
        </w:rPr>
        <w:t>”), Noble Road RNG LLC (“</w:t>
      </w:r>
      <w:r>
        <w:rPr>
          <w:rFonts w:ascii="Arial" w:cs="Arial" w:eastAsia="Arial" w:hAnsi="Arial"/>
          <w:sz w:val="15"/>
          <w:szCs w:val="15"/>
          <w:b w:val="1"/>
          <w:bCs w:val="1"/>
          <w:i w:val="1"/>
          <w:iCs w:val="1"/>
          <w:color w:val="auto"/>
        </w:rPr>
        <w:t>Noble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Road</w:t>
      </w:r>
      <w:r>
        <w:rPr>
          <w:rFonts w:ascii="Arial" w:cs="Arial" w:eastAsia="Arial" w:hAnsi="Arial"/>
          <w:sz w:val="15"/>
          <w:szCs w:val="15"/>
          <w:color w:val="auto"/>
        </w:rPr>
        <w:t>”) and GREP BTB Holdings LLC (“</w:t>
      </w:r>
      <w:r>
        <w:rPr>
          <w:rFonts w:ascii="Arial" w:cs="Arial" w:eastAsia="Arial" w:hAnsi="Arial"/>
          <w:sz w:val="15"/>
          <w:szCs w:val="15"/>
          <w:b w:val="1"/>
          <w:bCs w:val="1"/>
          <w:i w:val="1"/>
          <w:iCs w:val="1"/>
          <w:color w:val="auto"/>
        </w:rPr>
        <w:t>GREP</w:t>
      </w:r>
      <w:r>
        <w:rPr>
          <w:rFonts w:ascii="Arial" w:cs="Arial" w:eastAsia="Arial" w:hAnsi="Arial"/>
          <w:sz w:val="15"/>
          <w:szCs w:val="15"/>
          <w:color w:val="auto"/>
        </w:rPr>
        <w:t>”) under the equity method. The Company’s interests in Beacon for the period between January 1, 2021 and April 30, 2021 were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accounted for under the equity method. Please see Note 3. </w:t>
      </w:r>
      <w:r>
        <w:rPr>
          <w:rFonts w:ascii="Arial" w:cs="Arial" w:eastAsia="Arial" w:hAnsi="Arial"/>
          <w:sz w:val="15"/>
          <w:szCs w:val="15"/>
          <w:i w:val="1"/>
          <w:iCs w:val="1"/>
          <w:color w:val="auto"/>
        </w:rPr>
        <w:t>Investment in other entities,</w:t>
      </w:r>
      <w:r>
        <w:rPr>
          <w:rFonts w:ascii="Arial" w:cs="Arial" w:eastAsia="Arial" w:hAnsi="Arial"/>
          <w:sz w:val="15"/>
          <w:szCs w:val="15"/>
          <w:color w:val="auto"/>
        </w:rPr>
        <w:t xml:space="preserve"> for additional information. Beacon was consolidated after acquisition of remaining ownership interests increasing the ownership interest from 44.3% to 100% on May 1, 2021.</w:t>
      </w:r>
    </w:p>
    <w:p>
      <w:pPr>
        <w:spacing w:after="0" w:line="159" w:lineRule="exact"/>
        <w:rPr>
          <w:sz w:val="20"/>
          <w:szCs w:val="20"/>
          <w:color w:val="auto"/>
        </w:rPr>
      </w:pPr>
    </w:p>
    <w:p>
      <w:pPr>
        <w:jc w:val="both"/>
        <w:ind w:right="20" w:firstLine="283"/>
        <w:spacing w:after="0" w:line="318" w:lineRule="auto"/>
        <w:rPr>
          <w:sz w:val="20"/>
          <w:szCs w:val="20"/>
          <w:color w:val="auto"/>
        </w:rPr>
      </w:pPr>
      <w:r>
        <w:rPr>
          <w:rFonts w:ascii="Arial" w:cs="Arial" w:eastAsia="Arial" w:hAnsi="Arial"/>
          <w:sz w:val="13"/>
          <w:szCs w:val="13"/>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the estimated losses on our trade receivables, the fair value of the Convertible note payable (as defined below), the impairment assessment of goodwill, and the fair value of derivatives. Actual results could differ from those estimates. The Company’s estimates and assumptions are subject to uncertainties, including those associated with market conditions, risks and trends and the ongoing COVID-19 pandemic.</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results of operations for the interim periods presented are not necessarily indicative of the results that may be expected for the entire year.</w:t>
      </w:r>
    </w:p>
    <w:p>
      <w:pPr>
        <w:spacing w:after="0" w:line="19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Certain financial information or footnote disclosures normally included in the annual financial statements prepared in accordance with U.S. GAAP have been condensed or omitted, pursuant to the rules and regulations of the Securities Exchange Commission for interim financial reporting. Accordingly, it does not include all the information and notes necessary for a complete presentation of financial position, results of operations, or cash flows.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3" w:right="31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b w:val="1"/>
          <w:bCs w:val="1"/>
          <w:color w:val="auto"/>
        </w:rPr>
        <w:t>Accounting Pronouncements</w:t>
      </w:r>
    </w:p>
    <w:p>
      <w:pPr>
        <w:spacing w:after="0" w:line="197"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In June 2022, the Financial Accounting Standards Board (“</w:t>
      </w:r>
      <w:r>
        <w:rPr>
          <w:rFonts w:ascii="Arial" w:cs="Arial" w:eastAsia="Arial" w:hAnsi="Arial"/>
          <w:sz w:val="15"/>
          <w:szCs w:val="15"/>
          <w:b w:val="1"/>
          <w:bCs w:val="1"/>
          <w:i w:val="1"/>
          <w:iCs w:val="1"/>
          <w:color w:val="auto"/>
        </w:rPr>
        <w:t>FASB</w:t>
      </w:r>
      <w:r>
        <w:rPr>
          <w:rFonts w:ascii="Arial" w:cs="Arial" w:eastAsia="Arial" w:hAnsi="Arial"/>
          <w:sz w:val="15"/>
          <w:szCs w:val="15"/>
          <w:color w:val="auto"/>
        </w:rPr>
        <w:t>”) issued Accounting Standards Update (“</w:t>
      </w:r>
      <w:r>
        <w:rPr>
          <w:rFonts w:ascii="Arial" w:cs="Arial" w:eastAsia="Arial" w:hAnsi="Arial"/>
          <w:sz w:val="15"/>
          <w:szCs w:val="15"/>
          <w:b w:val="1"/>
          <w:bCs w:val="1"/>
          <w:i w:val="1"/>
          <w:iCs w:val="1"/>
          <w:color w:val="auto"/>
        </w:rPr>
        <w:t>ASU</w:t>
      </w:r>
      <w:r>
        <w:rPr>
          <w:rFonts w:ascii="Arial" w:cs="Arial" w:eastAsia="Arial" w:hAnsi="Arial"/>
          <w:sz w:val="15"/>
          <w:szCs w:val="15"/>
          <w:color w:val="auto"/>
        </w:rPr>
        <w:t xml:space="preserve">”) 2022-03, </w:t>
      </w:r>
      <w:r>
        <w:rPr>
          <w:rFonts w:ascii="Arial" w:cs="Arial" w:eastAsia="Arial" w:hAnsi="Arial"/>
          <w:sz w:val="15"/>
          <w:szCs w:val="15"/>
          <w:i w:val="1"/>
          <w:iCs w:val="1"/>
          <w:color w:val="auto"/>
        </w:rPr>
        <w:t>Fair Value Measurement of Equity Securities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Subject to Contractual Sale Restrictions </w:t>
      </w:r>
      <w:r>
        <w:rPr>
          <w:rFonts w:ascii="Arial" w:cs="Arial" w:eastAsia="Arial" w:hAnsi="Arial"/>
          <w:sz w:val="15"/>
          <w:szCs w:val="15"/>
          <w:color w:val="auto"/>
        </w:rPr>
        <w:t>which states that a contractual restriction on the sale of an equity security is not considered part of the unit of account of the equity</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4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7"/>
        </w:trPr>
        <w:tc>
          <w:tcPr>
            <w:tcW w:w="8040" w:type="dxa"/>
            <w:vAlign w:val="bottom"/>
          </w:tcPr>
          <w:p>
            <w:pPr>
              <w:ind w:left="280"/>
              <w:spacing w:after="0"/>
              <w:rPr>
                <w:sz w:val="20"/>
                <w:szCs w:val="20"/>
                <w:color w:val="auto"/>
              </w:rPr>
            </w:pPr>
            <w:r>
              <w:rPr>
                <w:rFonts w:ascii="Arial" w:cs="Arial" w:eastAsia="Arial" w:hAnsi="Arial"/>
                <w:sz w:val="16"/>
                <w:szCs w:val="16"/>
                <w:color w:val="auto"/>
                <w:w w:val="95"/>
              </w:rPr>
              <w:t>Cash, cash equivalents, and restricted cash consisted of the following as of June 30, 2022 and December 31, 2021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1"/>
        </w:trPr>
        <w:tc>
          <w:tcPr>
            <w:tcW w:w="8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209"/>
        </w:trPr>
        <w:tc>
          <w:tcPr>
            <w:tcW w:w="8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r>
      <w:tr>
        <w:trPr>
          <w:trHeight w:val="187"/>
        </w:trPr>
        <w:tc>
          <w:tcPr>
            <w:tcW w:w="8040" w:type="dxa"/>
            <w:vAlign w:val="bottom"/>
          </w:tcPr>
          <w:p>
            <w:pPr>
              <w:spacing w:after="0"/>
              <w:rPr>
                <w:sz w:val="20"/>
                <w:szCs w:val="20"/>
                <w:color w:val="auto"/>
              </w:rPr>
            </w:pPr>
            <w:r>
              <w:rPr>
                <w:rFonts w:ascii="Arial" w:cs="Arial" w:eastAsia="Arial" w:hAnsi="Arial"/>
                <w:sz w:val="16"/>
                <w:szCs w:val="16"/>
                <w:color w:val="auto"/>
              </w:rPr>
              <w:t>Current assets:</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97,091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39,314</w:t>
            </w:r>
          </w:p>
        </w:tc>
        <w:tc>
          <w:tcPr>
            <w:tcW w:w="120" w:type="dxa"/>
            <w:vAlign w:val="bottom"/>
            <w:shd w:val="clear" w:color="auto" w:fill="CCEEFF"/>
          </w:tcPr>
          <w:p>
            <w:pPr>
              <w:spacing w:after="0"/>
              <w:rPr>
                <w:sz w:val="16"/>
                <w:szCs w:val="16"/>
                <w:color w:val="auto"/>
              </w:rPr>
            </w:pPr>
          </w:p>
        </w:tc>
      </w:tr>
      <w:tr>
        <w:trPr>
          <w:trHeight w:val="188"/>
        </w:trPr>
        <w:tc>
          <w:tcPr>
            <w:tcW w:w="8040" w:type="dxa"/>
            <w:vAlign w:val="bottom"/>
          </w:tcPr>
          <w:p>
            <w:pPr>
              <w:spacing w:after="0"/>
              <w:rPr>
                <w:sz w:val="20"/>
                <w:szCs w:val="20"/>
                <w:color w:val="auto"/>
              </w:rPr>
            </w:pPr>
            <w:r>
              <w:rPr>
                <w:rFonts w:ascii="Arial" w:cs="Arial" w:eastAsia="Arial" w:hAnsi="Arial"/>
                <w:sz w:val="16"/>
                <w:szCs w:val="16"/>
                <w:color w:val="auto"/>
              </w:rPr>
              <w:t>Long-term assets:</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0"/>
        </w:trPr>
        <w:tc>
          <w:tcPr>
            <w:tcW w:w="8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Restricted cash held as collateral</w:t>
            </w: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99"/>
        </w:trPr>
        <w:tc>
          <w:tcPr>
            <w:tcW w:w="8040" w:type="dxa"/>
            <w:vAlign w:val="bottom"/>
          </w:tcPr>
          <w:p>
            <w:pPr>
              <w:spacing w:after="0" w:line="180" w:lineRule="exact"/>
              <w:rPr>
                <w:sz w:val="20"/>
                <w:szCs w:val="20"/>
                <w:color w:val="auto"/>
              </w:rPr>
            </w:pPr>
            <w:r>
              <w:rPr>
                <w:rFonts w:ascii="Arial" w:cs="Arial" w:eastAsia="Arial" w:hAnsi="Arial"/>
                <w:sz w:val="16"/>
                <w:szCs w:val="16"/>
                <w:color w:val="auto"/>
              </w:rPr>
              <w:t>Total cash, cash equivalents, and restricted cash</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100,279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42,054</w:t>
            </w:r>
          </w:p>
        </w:tc>
        <w:tc>
          <w:tcPr>
            <w:tcW w:w="120" w:type="dxa"/>
            <w:vAlign w:val="bottom"/>
          </w:tcPr>
          <w:p>
            <w:pPr>
              <w:spacing w:after="0"/>
              <w:rPr>
                <w:sz w:val="17"/>
                <w:szCs w:val="17"/>
                <w:color w:val="auto"/>
              </w:rPr>
            </w:pPr>
          </w:p>
        </w:tc>
      </w:tr>
      <w:tr>
        <w:trPr>
          <w:trHeight w:val="20"/>
        </w:trPr>
        <w:tc>
          <w:tcPr>
            <w:tcW w:w="8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Restricted cash held as collateral represents the collateral requirements on our debt facilities.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Net</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allowance for doubtful accounts was $100 and $0 at June 30, 2022 and December 31, 2021,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w:t>
      </w:r>
    </w:p>
    <w:p>
      <w:pPr>
        <w:spacing w:after="0" w:line="197" w:lineRule="exact"/>
        <w:rPr>
          <w:sz w:val="20"/>
          <w:szCs w:val="20"/>
          <w:color w:val="auto"/>
        </w:rPr>
      </w:pPr>
    </w:p>
    <w:p>
      <w:pPr>
        <w:jc w:val="both"/>
        <w:ind w:right="20" w:firstLine="283"/>
        <w:spacing w:after="0" w:line="314" w:lineRule="auto"/>
        <w:rPr>
          <w:sz w:val="20"/>
          <w:szCs w:val="20"/>
          <w:color w:val="auto"/>
        </w:rPr>
      </w:pPr>
      <w:r>
        <w:rPr>
          <w:rFonts w:ascii="Arial" w:cs="Arial" w:eastAsia="Arial" w:hAnsi="Arial"/>
          <w:sz w:val="13"/>
          <w:szCs w:val="13"/>
          <w:color w:val="auto"/>
        </w:rPr>
        <w:t>The Company accounts for asset retirement obligations in accordance with FASB Accounting Standards Codification (“</w:t>
      </w:r>
      <w:r>
        <w:rPr>
          <w:rFonts w:ascii="Arial" w:cs="Arial" w:eastAsia="Arial" w:hAnsi="Arial"/>
          <w:sz w:val="13"/>
          <w:szCs w:val="13"/>
          <w:b w:val="1"/>
          <w:bCs w:val="1"/>
          <w:i w:val="1"/>
          <w:iCs w:val="1"/>
          <w:color w:val="auto"/>
        </w:rPr>
        <w:t>ASC</w:t>
      </w:r>
      <w:r>
        <w:rPr>
          <w:rFonts w:ascii="Arial" w:cs="Arial" w:eastAsia="Arial" w:hAnsi="Arial"/>
          <w:sz w:val="13"/>
          <w:szCs w:val="13"/>
          <w:color w:val="auto"/>
        </w:rPr>
        <w:t xml:space="preserve">”) 410, </w:t>
      </w:r>
      <w:r>
        <w:rPr>
          <w:rFonts w:ascii="Arial" w:cs="Arial" w:eastAsia="Arial" w:hAnsi="Arial"/>
          <w:sz w:val="13"/>
          <w:szCs w:val="13"/>
          <w:i w:val="1"/>
          <w:iCs w:val="1"/>
          <w:color w:val="auto"/>
        </w:rPr>
        <w:t>Asset Retirement and Environmental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Obligations, </w:t>
      </w:r>
      <w:r>
        <w:rPr>
          <w:rFonts w:ascii="Arial" w:cs="Arial" w:eastAsia="Arial" w:hAnsi="Arial"/>
          <w:sz w:val="13"/>
          <w:szCs w:val="13"/>
          <w:color w:val="auto"/>
        </w:rPr>
        <w:t>which requires entities to record the fair value of a liability for an asset retirement obligation in the period in which it is incurred and when a reasonable estimate of</w:t>
      </w:r>
      <w:r>
        <w:rPr>
          <w:rFonts w:ascii="Arial" w:cs="Arial" w:eastAsia="Arial" w:hAnsi="Arial"/>
          <w:sz w:val="13"/>
          <w:szCs w:val="13"/>
          <w:i w:val="1"/>
          <w:iCs w:val="1"/>
          <w:color w:val="auto"/>
        </w:rPr>
        <w:t xml:space="preserve"> </w:t>
      </w:r>
      <w:r>
        <w:rPr>
          <w:rFonts w:ascii="Arial" w:cs="Arial" w:eastAsia="Arial" w:hAnsi="Arial"/>
          <w:sz w:val="13"/>
          <w:szCs w:val="13"/>
          <w:color w:val="auto"/>
        </w:rPr>
        <w:t>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June 30, 2022 and December 31, 2021, the Company estimated the value of its total asset retirement obligations to be $5,887 and $5,738, respectively.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0"/>
        </w:trPr>
        <w:tc>
          <w:tcPr>
            <w:tcW w:w="10020" w:type="dxa"/>
            <w:vAlign w:val="bottom"/>
          </w:tcPr>
          <w:p>
            <w:pPr>
              <w:ind w:left="280"/>
              <w:spacing w:after="0"/>
              <w:rPr>
                <w:sz w:val="20"/>
                <w:szCs w:val="20"/>
                <w:color w:val="auto"/>
              </w:rPr>
            </w:pPr>
            <w:r>
              <w:rPr>
                <w:rFonts w:ascii="Arial" w:cs="Arial" w:eastAsia="Arial" w:hAnsi="Arial"/>
                <w:sz w:val="16"/>
                <w:szCs w:val="16"/>
                <w:color w:val="auto"/>
              </w:rPr>
              <w:t>The changes in the asset retirement obligations were as follows as of June 30, 2022: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1"/>
        </w:trPr>
        <w:tc>
          <w:tcPr>
            <w:tcW w:w="10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w w:val="99"/>
              </w:rPr>
              <w:t>June 30,</w:t>
            </w:r>
          </w:p>
        </w:tc>
      </w:tr>
      <w:tr>
        <w:trPr>
          <w:trHeight w:val="209"/>
        </w:trPr>
        <w:tc>
          <w:tcPr>
            <w:tcW w:w="10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6"/>
                <w:szCs w:val="16"/>
                <w:color w:val="auto"/>
              </w:rPr>
              <w:t>Write off of Asset retirement obligation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(6)</w:t>
            </w:r>
          </w:p>
        </w:tc>
      </w:tr>
      <w:tr>
        <w:trPr>
          <w:trHeight w:val="220"/>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Accretion expense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r>
      <w:tr>
        <w:trPr>
          <w:trHeight w:val="176"/>
        </w:trPr>
        <w:tc>
          <w:tcPr>
            <w:tcW w:w="10020" w:type="dxa"/>
            <w:vAlign w:val="bottom"/>
            <w:tcBorders>
              <w:top w:val="single" w:sz="8" w:color="CCEEFF"/>
              <w:bottom w:val="single" w:sz="8" w:color="CCEEFF"/>
            </w:tcBorders>
          </w:tcPr>
          <w:p>
            <w:pPr>
              <w:ind w:left="100"/>
              <w:spacing w:after="0" w:line="172" w:lineRule="exact"/>
              <w:rPr>
                <w:sz w:val="20"/>
                <w:szCs w:val="20"/>
                <w:color w:val="auto"/>
              </w:rPr>
            </w:pPr>
            <w:r>
              <w:rPr>
                <w:rFonts w:ascii="Arial" w:cs="Arial" w:eastAsia="Arial" w:hAnsi="Arial"/>
                <w:sz w:val="16"/>
                <w:szCs w:val="16"/>
                <w:color w:val="auto"/>
              </w:rPr>
              <w:t>Total asset retirement obligation</w:t>
            </w:r>
          </w:p>
        </w:tc>
        <w:tc>
          <w:tcPr>
            <w:tcW w:w="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5,887</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8"/>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199"/>
        </w:trPr>
        <w:tc>
          <w:tcPr>
            <w:tcW w:w="10020" w:type="dxa"/>
            <w:vAlign w:val="bottom"/>
          </w:tcPr>
          <w:p>
            <w:pPr>
              <w:ind w:left="100"/>
              <w:spacing w:after="0" w:line="180" w:lineRule="exact"/>
              <w:rPr>
                <w:sz w:val="20"/>
                <w:szCs w:val="20"/>
                <w:color w:val="auto"/>
              </w:rPr>
            </w:pPr>
            <w:r>
              <w:rPr>
                <w:rFonts w:ascii="Arial" w:cs="Arial" w:eastAsia="Arial" w:hAnsi="Arial"/>
                <w:sz w:val="16"/>
                <w:szCs w:val="16"/>
                <w:color w:val="auto"/>
              </w:rPr>
              <w:t>Total asset retirement obligation, net of current portion</w:t>
            </w:r>
          </w:p>
        </w:tc>
        <w:tc>
          <w:tcPr>
            <w:tcW w:w="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4,301</w:t>
            </w:r>
          </w:p>
        </w:tc>
        <w:tc>
          <w:tcPr>
            <w:tcW w:w="10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9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69"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65"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The Company has agreements with two natural gas producers (“</w:t>
      </w:r>
      <w:r>
        <w:rPr>
          <w:rFonts w:ascii="Arial" w:cs="Arial" w:eastAsia="Arial" w:hAnsi="Arial"/>
          <w:sz w:val="16"/>
          <w:szCs w:val="16"/>
          <w:b w:val="1"/>
          <w:bCs w:val="1"/>
          <w:i w:val="1"/>
          <w:iCs w:val="1"/>
          <w:color w:val="auto"/>
        </w:rPr>
        <w:t>Producers</w:t>
      </w:r>
      <w:r>
        <w:rPr>
          <w:rFonts w:ascii="Arial" w:cs="Arial" w:eastAsia="Arial" w:hAnsi="Arial"/>
          <w:sz w:val="16"/>
          <w:szCs w:val="16"/>
          <w:color w:val="auto"/>
        </w:rPr>
        <w:t>”) to transport Producers’ natural gas using the Company’s RNG gathering system (“</w:t>
      </w:r>
      <w:r>
        <w:rPr>
          <w:rFonts w:ascii="Arial" w:cs="Arial" w:eastAsia="Arial" w:hAnsi="Arial"/>
          <w:sz w:val="16"/>
          <w:szCs w:val="16"/>
          <w:b w:val="1"/>
          <w:bCs w:val="1"/>
          <w:i w:val="1"/>
          <w:iCs w:val="1"/>
          <w:color w:val="auto"/>
        </w:rPr>
        <w:t>System</w:t>
      </w:r>
      <w:r>
        <w:rPr>
          <w:rFonts w:ascii="Arial" w:cs="Arial" w:eastAsia="Arial" w:hAnsi="Arial"/>
          <w:sz w:val="16"/>
          <w:szCs w:val="16"/>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69" w:lineRule="exact"/>
        <w:rPr>
          <w:sz w:val="20"/>
          <w:szCs w:val="20"/>
          <w:color w:val="auto"/>
        </w:rPr>
      </w:pPr>
    </w:p>
    <w:p>
      <w:pPr>
        <w:jc w:val="both"/>
        <w:ind w:right="20" w:firstLine="283"/>
        <w:spacing w:after="0" w:line="329" w:lineRule="auto"/>
        <w:rPr>
          <w:sz w:val="20"/>
          <w:szCs w:val="20"/>
          <w:color w:val="auto"/>
        </w:rPr>
      </w:pPr>
      <w:r>
        <w:rPr>
          <w:rFonts w:ascii="Arial" w:cs="Arial" w:eastAsia="Arial" w:hAnsi="Arial"/>
          <w:sz w:val="13"/>
          <w:szCs w:val="13"/>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22"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first quarter of 2022. During the six months ended June 30, 2022, the Company earned net revenues after discount and fees of $29,688 under this contract which was recorded as part of Revenues - RNG fuel.</w:t>
      </w:r>
    </w:p>
    <w:p>
      <w:pPr>
        <w:spacing w:after="0" w:line="169"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169"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Management operating fees are earned for the operation, maintenance, and repair of the gas collection system of a landfill site. Revenue is calculated on the volume of per million British thermal units (“</w:t>
      </w:r>
      <w:r>
        <w:rPr>
          <w:rFonts w:ascii="Arial" w:cs="Arial" w:eastAsia="Arial" w:hAnsi="Arial"/>
          <w:sz w:val="16"/>
          <w:szCs w:val="16"/>
          <w:b w:val="1"/>
          <w:bCs w:val="1"/>
          <w:i w:val="1"/>
          <w:iCs w:val="1"/>
          <w:color w:val="auto"/>
        </w:rPr>
        <w:t>MMBtu</w:t>
      </w:r>
      <w:r>
        <w:rPr>
          <w:rFonts w:ascii="Arial" w:cs="Arial" w:eastAsia="Arial" w:hAnsi="Arial"/>
          <w:sz w:val="16"/>
          <w:szCs w:val="16"/>
          <w:color w:val="auto"/>
        </w:rPr>
        <w:t>”) of LFG collected and the megawatt hours (“</w:t>
      </w:r>
      <w:r>
        <w:rPr>
          <w:rFonts w:ascii="Arial" w:cs="Arial" w:eastAsia="Arial" w:hAnsi="Arial"/>
          <w:sz w:val="16"/>
          <w:szCs w:val="16"/>
          <w:b w:val="1"/>
          <w:bCs w:val="1"/>
          <w:i w:val="1"/>
          <w:iCs w:val="1"/>
          <w:color w:val="auto"/>
        </w:rPr>
        <w:t>MWhs</w:t>
      </w:r>
      <w:r>
        <w:rPr>
          <w:rFonts w:ascii="Arial" w:cs="Arial" w:eastAsia="Arial" w:hAnsi="Arial"/>
          <w:sz w:val="16"/>
          <w:szCs w:val="16"/>
          <w:color w:val="auto"/>
        </w:rPr>
        <w:t>”) produced at that site. This revenue is recognized when LFG is collected and renewable power is delivered.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92" w:name="page193"/>
    <w:bookmarkEnd w:id="192"/>
    <w:p>
      <w:pPr>
        <w:jc w:val="both"/>
        <w:ind w:firstLine="283"/>
        <w:spacing w:after="0" w:line="342" w:lineRule="auto"/>
        <w:rPr>
          <w:sz w:val="20"/>
          <w:szCs w:val="20"/>
          <w:color w:val="auto"/>
        </w:rPr>
      </w:pPr>
      <w:r>
        <w:rPr>
          <w:rFonts w:ascii="Arial" w:cs="Arial" w:eastAsia="Arial" w:hAnsi="Arial"/>
          <w:sz w:val="13"/>
          <w:szCs w:val="13"/>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1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65"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Arial" w:cs="Arial" w:eastAsia="Arial" w:hAnsi="Arial"/>
          <w:sz w:val="13"/>
          <w:szCs w:val="13"/>
          <w:i w:val="1"/>
          <w:iCs w:val="1"/>
          <w:color w:val="auto"/>
        </w:rPr>
        <w:t>Leases</w:t>
      </w:r>
      <w:r>
        <w:rPr>
          <w:rFonts w:ascii="Arial" w:cs="Arial" w:eastAsia="Arial" w:hAnsi="Arial"/>
          <w:sz w:val="13"/>
          <w:szCs w:val="13"/>
          <w:color w:val="auto"/>
        </w:rPr>
        <w:t>, the Company has concluded these agreements meet the criteria for a lease and are classified as operating leases. Typically, these agreements do not require any minimum consumption amounts and, therefore, no minimum payments. Included in “RNG fuel” revenues are $1,050 and $950 related to the lease portion of these agreements for the six months ended June 30, 2022 and 2021. In addition, the Company has assessed all PPAs and concluded that certain PPAs contain a lease element requiring lease accounting. Included in “Renewable power” revenues are $630 and $877 related to the lease element of these PPAs for the six months ended June 30, 2022 and 2021.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Disaggregation of Revenue</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shows the disaggregation of revenue according to product line:</w:t>
      </w:r>
    </w:p>
    <w:p>
      <w:pPr>
        <w:spacing w:after="0" w:line="189"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June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r>
      <w:tr>
        <w:trPr>
          <w:trHeight w:val="188"/>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sales</w:t>
            </w:r>
          </w:p>
        </w:tc>
        <w:tc>
          <w:tcPr>
            <w:tcW w:w="28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18,612</w:t>
            </w:r>
          </w:p>
        </w:tc>
        <w:tc>
          <w:tcPr>
            <w:tcW w:w="120" w:type="dxa"/>
            <w:vAlign w:val="bottom"/>
            <w:shd w:val="clear" w:color="auto" w:fill="CCEEFF"/>
          </w:tcPr>
          <w:p>
            <w:pPr>
              <w:spacing w:after="0"/>
              <w:rPr>
                <w:sz w:val="16"/>
                <w:szCs w:val="16"/>
                <w:color w:val="auto"/>
              </w:rPr>
            </w:pPr>
          </w:p>
        </w:tc>
      </w:tr>
      <w:tr>
        <w:trPr>
          <w:trHeight w:val="188"/>
        </w:trPr>
        <w:tc>
          <w:tcPr>
            <w:tcW w:w="5800" w:type="dxa"/>
            <w:vAlign w:val="bottom"/>
          </w:tcPr>
          <w:p>
            <w:pPr>
              <w:spacing w:after="0"/>
              <w:rPr>
                <w:sz w:val="20"/>
                <w:szCs w:val="20"/>
                <w:color w:val="auto"/>
              </w:rPr>
            </w:pPr>
            <w:r>
              <w:rPr>
                <w:rFonts w:ascii="Arial" w:cs="Arial" w:eastAsia="Arial" w:hAnsi="Arial"/>
                <w:sz w:val="16"/>
                <w:szCs w:val="16"/>
                <w:color w:val="auto"/>
              </w:rPr>
              <w:t>Third party construction</w:t>
            </w:r>
          </w:p>
        </w:tc>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22,816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9,270</w:t>
            </w:r>
          </w:p>
        </w:tc>
      </w:tr>
      <w:tr>
        <w:trPr>
          <w:trHeight w:val="188"/>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Service</w:t>
            </w:r>
          </w:p>
        </w:tc>
        <w:tc>
          <w:tcPr>
            <w:tcW w:w="2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8,004</w:t>
            </w:r>
          </w:p>
        </w:tc>
      </w:tr>
      <w:tr>
        <w:trPr>
          <w:trHeight w:val="188"/>
        </w:trPr>
        <w:tc>
          <w:tcPr>
            <w:tcW w:w="5800" w:type="dxa"/>
            <w:vAlign w:val="bottom"/>
          </w:tcPr>
          <w:p>
            <w:pPr>
              <w:spacing w:after="0"/>
              <w:rPr>
                <w:sz w:val="20"/>
                <w:szCs w:val="20"/>
                <w:color w:val="auto"/>
              </w:rPr>
            </w:pPr>
            <w:r>
              <w:rPr>
                <w:rFonts w:ascii="Arial" w:cs="Arial" w:eastAsia="Arial" w:hAnsi="Arial"/>
                <w:sz w:val="16"/>
                <w:szCs w:val="16"/>
                <w:color w:val="auto"/>
              </w:rPr>
              <w:t>Brown gas sales</w:t>
            </w:r>
          </w:p>
        </w:tc>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10,968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6,225</w:t>
            </w:r>
          </w:p>
        </w:tc>
      </w:tr>
      <w:tr>
        <w:trPr>
          <w:trHeight w:val="188"/>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Environmental credits</w:t>
            </w:r>
          </w:p>
        </w:tc>
        <w:tc>
          <w:tcPr>
            <w:tcW w:w="2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38,795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11,995</w:t>
            </w:r>
          </w:p>
        </w:tc>
      </w:tr>
      <w:tr>
        <w:trPr>
          <w:trHeight w:val="188"/>
        </w:trPr>
        <w:tc>
          <w:tcPr>
            <w:tcW w:w="5800" w:type="dxa"/>
            <w:vAlign w:val="bottom"/>
          </w:tcPr>
          <w:p>
            <w:pPr>
              <w:spacing w:after="0"/>
              <w:rPr>
                <w:sz w:val="20"/>
                <w:szCs w:val="20"/>
                <w:color w:val="auto"/>
              </w:rPr>
            </w:pPr>
            <w:r>
              <w:rPr>
                <w:rFonts w:ascii="Arial" w:cs="Arial" w:eastAsia="Arial" w:hAnsi="Arial"/>
                <w:sz w:val="16"/>
                <w:szCs w:val="16"/>
                <w:color w:val="auto"/>
              </w:rPr>
              <w:t>Parts sales</w:t>
            </w:r>
          </w:p>
        </w:tc>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r>
      <w:tr>
        <w:trPr>
          <w:trHeight w:val="188"/>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Operating agreements</w:t>
            </w:r>
          </w:p>
        </w:tc>
        <w:tc>
          <w:tcPr>
            <w:tcW w:w="2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1,726</w:t>
            </w:r>
          </w:p>
        </w:tc>
      </w:tr>
      <w:tr>
        <w:trPr>
          <w:trHeight w:val="204"/>
        </w:trPr>
        <w:tc>
          <w:tcPr>
            <w:tcW w:w="5800" w:type="dxa"/>
            <w:vAlign w:val="bottom"/>
          </w:tcPr>
          <w:p>
            <w:pPr>
              <w:spacing w:after="0"/>
              <w:rPr>
                <w:sz w:val="20"/>
                <w:szCs w:val="20"/>
                <w:color w:val="auto"/>
              </w:rPr>
            </w:pPr>
            <w:r>
              <w:rPr>
                <w:rFonts w:ascii="Arial" w:cs="Arial" w:eastAsia="Arial" w:hAnsi="Arial"/>
                <w:sz w:val="16"/>
                <w:szCs w:val="16"/>
                <w:color w:val="auto"/>
              </w:rPr>
              <w:t>Other</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226</w:t>
            </w:r>
          </w:p>
        </w:tc>
      </w:tr>
      <w:tr>
        <w:trPr>
          <w:trHeight w:val="208"/>
        </w:trPr>
        <w:tc>
          <w:tcPr>
            <w:tcW w:w="58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 from contracts with customers</w:t>
            </w:r>
          </w:p>
        </w:tc>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580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color w:val="auto"/>
              </w:rPr>
              <w:t>Lease revenue</w:t>
            </w:r>
          </w:p>
        </w:tc>
        <w:tc>
          <w:tcPr>
            <w:tcW w:w="28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1,680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1,827</w:t>
            </w:r>
          </w:p>
        </w:tc>
        <w:tc>
          <w:tcPr>
            <w:tcW w:w="120" w:type="dxa"/>
            <w:vAlign w:val="bottom"/>
            <w:tcBorders>
              <w:bottom w:val="single" w:sz="8" w:color="CCEEFF"/>
            </w:tcBorders>
          </w:tcPr>
          <w:p>
            <w:pPr>
              <w:spacing w:after="0"/>
              <w:rPr>
                <w:sz w:val="15"/>
                <w:szCs w:val="15"/>
                <w:color w:val="auto"/>
              </w:rPr>
            </w:pP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revenue</w:t>
            </w:r>
          </w:p>
        </w:tc>
        <w:tc>
          <w:tcPr>
            <w:tcW w:w="31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102,264</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57,784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For the six months ended June 30, 2022 and 2021, approximately 22.3% and 16.0%, respectively, of revenue was recognized over time, and the remainder was for products and services transferred at a point in time.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60" w:type="dxa"/>
            <w:vAlign w:val="bottom"/>
          </w:tcPr>
          <w:p>
            <w:pPr>
              <w:spacing w:after="0"/>
              <w:rPr>
                <w:sz w:val="20"/>
                <w:szCs w:val="20"/>
                <w:color w:val="auto"/>
              </w:rPr>
            </w:pPr>
            <w:r>
              <w:rPr>
                <w:rFonts w:ascii="Arial" w:cs="Arial" w:eastAsia="Arial" w:hAnsi="Arial"/>
                <w:sz w:val="16"/>
                <w:szCs w:val="16"/>
                <w:b w:val="1"/>
                <w:bCs w:val="1"/>
                <w:color w:val="auto"/>
              </w:rPr>
              <w:t>Contract Balances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8560" w:type="dxa"/>
            <w:vAlign w:val="bottom"/>
          </w:tcPr>
          <w:p>
            <w:pPr>
              <w:ind w:left="280"/>
              <w:spacing w:after="0"/>
              <w:rPr>
                <w:sz w:val="20"/>
                <w:szCs w:val="20"/>
                <w:color w:val="auto"/>
              </w:rPr>
            </w:pPr>
            <w:r>
              <w:rPr>
                <w:rFonts w:ascii="Arial" w:cs="Arial" w:eastAsia="Arial" w:hAnsi="Arial"/>
                <w:sz w:val="16"/>
                <w:szCs w:val="16"/>
                <w:color w:val="auto"/>
                <w:w w:val="90"/>
              </w:rPr>
              <w:t>The following table provides information about receivables, contract assets, and contract liabilities from contracts with customers: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Accounts receivable, net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25,391</w:t>
            </w:r>
          </w:p>
        </w:tc>
        <w:tc>
          <w:tcPr>
            <w:tcW w:w="1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60" w:type="dxa"/>
            <w:vAlign w:val="bottom"/>
          </w:tcPr>
          <w:p>
            <w:pPr>
              <w:spacing w:after="0"/>
              <w:rPr>
                <w:sz w:val="20"/>
                <w:szCs w:val="20"/>
                <w:color w:val="auto"/>
              </w:rPr>
            </w:pPr>
            <w:r>
              <w:rPr>
                <w:rFonts w:ascii="Arial" w:cs="Arial" w:eastAsia="Arial" w:hAnsi="Arial"/>
                <w:sz w:val="16"/>
                <w:szCs w:val="16"/>
                <w:b w:val="1"/>
                <w:bCs w:val="1"/>
                <w:color w:val="auto"/>
              </w:rPr>
              <w:t>Contract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Cost and estimated earnings in excess of billings</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13,430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5,989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5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Accounts receivable retainage, net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Contract assets total</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15,589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Contract liabilities:</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Billings in excess of costs and estimated earnings</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7,159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vMerge w:val="restart"/>
          </w:tcPr>
          <w:p>
            <w:pPr>
              <w:ind w:left="260"/>
              <w:spacing w:after="0"/>
              <w:rPr>
                <w:sz w:val="20"/>
                <w:szCs w:val="20"/>
                <w:color w:val="auto"/>
              </w:rPr>
            </w:pPr>
            <w:r>
              <w:rPr>
                <w:rFonts w:ascii="Arial" w:cs="Arial" w:eastAsia="Arial" w:hAnsi="Arial"/>
                <w:sz w:val="16"/>
                <w:szCs w:val="16"/>
                <w:color w:val="auto"/>
              </w:rPr>
              <w:t>Contract liabilities total</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60" w:type="dxa"/>
            <w:vAlign w:val="bottom"/>
            <w:vMerge w:val="continue"/>
          </w:tcPr>
          <w:p>
            <w:pPr>
              <w:spacing w:after="0"/>
              <w:rPr>
                <w:sz w:val="17"/>
                <w:szCs w:val="17"/>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7,159</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9,785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During the six months ended June 30, 2022, the Company recognized revenue of $9,785 that was included in “Contract liabilities” at December 31, 2021. During the six months ended June 30, 2021, the Company recognized revenue of $4,678 that was included in “Contract liabilities” at December 31, 2020.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b w:val="1"/>
          <w:bCs w:val="1"/>
          <w:color w:val="auto"/>
        </w:rPr>
        <w:t>Backlog</w:t>
      </w:r>
    </w:p>
    <w:p>
      <w:pPr>
        <w:spacing w:after="0" w:line="19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Company’s remaining performance obligations (“</w:t>
      </w:r>
      <w:r>
        <w:rPr>
          <w:rFonts w:ascii="Arial" w:cs="Arial" w:eastAsia="Arial" w:hAnsi="Arial"/>
          <w:sz w:val="16"/>
          <w:szCs w:val="16"/>
          <w:b w:val="1"/>
          <w:bCs w:val="1"/>
          <w:i w:val="1"/>
          <w:iCs w:val="1"/>
          <w:color w:val="auto"/>
        </w:rPr>
        <w:t>backlog</w:t>
      </w:r>
      <w:r>
        <w:rPr>
          <w:rFonts w:ascii="Arial" w:cs="Arial" w:eastAsia="Arial" w:hAnsi="Arial"/>
          <w:sz w:val="16"/>
          <w:szCs w:val="16"/>
          <w:color w:val="auto"/>
        </w:rPr>
        <w:t>”) represent the unrecognized revenue value of its contract commitments. The Company’s backlog may significantly vary each reporting period based on the timing of major new contract commitments. At June 30, 2022, the Company had a backlog of $46,028 with out of which $44,691 of its backlog is anticipated to be recognized as revenue in the next 12 months.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 and Concentration of Credit Risk</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For the six months ended June 30, 2022 and 2021, two customers accounted for 45% and 41% of revenue, respectively. At June 30, 2022, two customers accounted for 38% of accounts receivable. At December 31, 2021, one customer accounted for 11%, of accounts receivable.</w:t>
      </w:r>
    </w:p>
    <w:p>
      <w:pPr>
        <w:spacing w:after="0" w:line="158" w:lineRule="exact"/>
        <w:rPr>
          <w:sz w:val="20"/>
          <w:szCs w:val="20"/>
          <w:color w:val="auto"/>
        </w:rPr>
      </w:pPr>
    </w:p>
    <w:p>
      <w:pPr>
        <w:jc w:val="both"/>
        <w:ind w:firstLine="283"/>
        <w:spacing w:after="0" w:line="383" w:lineRule="auto"/>
        <w:rPr>
          <w:sz w:val="20"/>
          <w:szCs w:val="20"/>
          <w:color w:val="auto"/>
        </w:rPr>
      </w:pPr>
      <w:r>
        <w:rPr>
          <w:rFonts w:ascii="Arial" w:cs="Arial" w:eastAsia="Arial" w:hAnsi="Arial"/>
          <w:sz w:val="13"/>
          <w:szCs w:val="13"/>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Investment in Other Entities</w:t>
      </w:r>
    </w:p>
    <w:p>
      <w:pPr>
        <w:spacing w:after="0" w:line="197"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equity method investments were as follows as of June 30, 2022 and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Carrying Value</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80" w:type="dxa"/>
            <w:vAlign w:val="bottom"/>
            <w:gridSpan w:val="2"/>
          </w:tcPr>
          <w:p>
            <w:pPr>
              <w:jc w:val="center"/>
              <w:ind w:right="280"/>
              <w:spacing w:after="0" w:line="172" w:lineRule="exact"/>
              <w:rPr>
                <w:sz w:val="20"/>
                <w:szCs w:val="20"/>
                <w:color w:val="auto"/>
              </w:rPr>
            </w:pPr>
            <w:r>
              <w:rPr>
                <w:rFonts w:ascii="Arial" w:cs="Arial" w:eastAsia="Arial" w:hAnsi="Arial"/>
                <w:sz w:val="16"/>
                <w:szCs w:val="16"/>
                <w:b w:val="1"/>
                <w:bCs w:val="1"/>
                <w:color w:val="auto"/>
                <w:w w:val="85"/>
              </w:rPr>
              <w:t>Percentage of</w:t>
            </w: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ind w:left="100"/>
              <w:spacing w:after="0" w:line="172" w:lineRule="exact"/>
              <w:rPr>
                <w:sz w:val="20"/>
                <w:szCs w:val="20"/>
                <w:color w:val="auto"/>
              </w:rPr>
            </w:pPr>
            <w:r>
              <w:rPr>
                <w:rFonts w:ascii="Arial" w:cs="Arial" w:eastAsia="Arial" w:hAnsi="Arial"/>
                <w:sz w:val="16"/>
                <w:szCs w:val="16"/>
                <w:b w:val="1"/>
                <w:bCs w:val="1"/>
                <w:color w:val="auto"/>
              </w:rPr>
              <w:t>June 30,</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ownership</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Pine Bend</w:t>
            </w:r>
          </w:p>
        </w:tc>
        <w:tc>
          <w:tcPr>
            <w:tcW w:w="34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20"/>
                <w:szCs w:val="20"/>
                <w:color w:val="auto"/>
              </w:rPr>
            </w:pPr>
            <w:r>
              <w:rPr>
                <w:rFonts w:ascii="Arial" w:cs="Arial" w:eastAsia="Arial" w:hAnsi="Arial"/>
                <w:sz w:val="16"/>
                <w:szCs w:val="16"/>
                <w:color w:val="auto"/>
              </w:rPr>
              <w:t>Noble Road</w:t>
            </w:r>
          </w:p>
        </w:tc>
        <w:tc>
          <w:tcPr>
            <w:tcW w:w="4860" w:type="dxa"/>
            <w:vAlign w:val="bottom"/>
            <w:gridSpan w:val="3"/>
          </w:tcPr>
          <w:p>
            <w:pPr>
              <w:jc w:val="right"/>
              <w:ind w:right="120"/>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25,140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24,516</w:t>
            </w:r>
          </w:p>
        </w:tc>
        <w:tc>
          <w:tcPr>
            <w:tcW w:w="0" w:type="dxa"/>
            <w:vAlign w:val="bottom"/>
          </w:tcPr>
          <w:p>
            <w:pPr>
              <w:spacing w:after="0"/>
              <w:rPr>
                <w:sz w:val="1"/>
                <w:szCs w:val="1"/>
                <w:color w:val="auto"/>
              </w:rPr>
            </w:pPr>
          </w:p>
        </w:tc>
      </w:tr>
      <w:tr>
        <w:trPr>
          <w:trHeight w:val="200"/>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GREP</w:t>
            </w:r>
          </w:p>
        </w:tc>
        <w:tc>
          <w:tcPr>
            <w:tcW w:w="48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vMerge w:val="restart"/>
          </w:tcPr>
          <w:p>
            <w:pPr>
              <w:ind w:left="160"/>
              <w:spacing w:after="0"/>
              <w:rPr>
                <w:sz w:val="20"/>
                <w:szCs w:val="20"/>
                <w:color w:val="auto"/>
              </w:rPr>
            </w:pPr>
            <w:r>
              <w:rPr>
                <w:rFonts w:ascii="Arial" w:cs="Arial" w:eastAsia="Arial" w:hAnsi="Arial"/>
                <w:sz w:val="16"/>
                <w:szCs w:val="16"/>
                <w:color w:val="auto"/>
              </w:rPr>
              <w:t>Total investment in other entities</w:t>
            </w:r>
          </w:p>
        </w:tc>
        <w:tc>
          <w:tcPr>
            <w:tcW w:w="3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40" w:type="dxa"/>
            <w:vAlign w:val="bottom"/>
            <w:vMerge w:val="continue"/>
          </w:tcPr>
          <w:p>
            <w:pPr>
              <w:spacing w:after="0"/>
              <w:rPr>
                <w:sz w:val="17"/>
                <w:szCs w:val="17"/>
                <w:color w:val="auto"/>
              </w:rPr>
            </w:pPr>
          </w:p>
        </w:tc>
        <w:tc>
          <w:tcPr>
            <w:tcW w:w="3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47,113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47,150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860" w:type="dxa"/>
            <w:vAlign w:val="bottom"/>
            <w:gridSpan w:val="3"/>
            <w:vMerge w:val="restart"/>
          </w:tcPr>
          <w:p>
            <w:pPr>
              <w:jc w:val="right"/>
              <w:ind w:right="2920"/>
              <w:spacing w:after="0"/>
              <w:rPr>
                <w:sz w:val="20"/>
                <w:szCs w:val="20"/>
                <w:color w:val="auto"/>
              </w:rPr>
            </w:pPr>
            <w:r>
              <w:rPr>
                <w:rFonts w:ascii="Arial" w:cs="Arial" w:eastAsia="Arial" w:hAnsi="Arial"/>
                <w:sz w:val="16"/>
                <w:szCs w:val="16"/>
                <w:color w:val="auto"/>
              </w:rPr>
              <w:t>F-54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8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8" w:right="319" w:bottom="1440" w:gutter="0" w:footer="0" w:header="0"/>
        </w:sectPr>
      </w:pPr>
    </w:p>
    <w:bookmarkStart w:id="194" w:name="page195"/>
    <w:bookmarkEnd w:id="194"/>
    <w:p>
      <w:pPr>
        <w:ind w:left="6"/>
        <w:spacing w:after="0"/>
        <w:rPr>
          <w:sz w:val="20"/>
          <w:szCs w:val="20"/>
          <w:color w:val="auto"/>
        </w:rPr>
      </w:pPr>
      <w:r>
        <w:rPr>
          <w:rFonts w:ascii="Arial" w:cs="Arial" w:eastAsia="Arial" w:hAnsi="Arial"/>
          <w:sz w:val="16"/>
          <w:szCs w:val="16"/>
          <w:i w:val="1"/>
          <w:iCs w:val="1"/>
          <w:color w:val="auto"/>
        </w:rPr>
        <w:t>Note receivable</w:t>
      </w:r>
    </w:p>
    <w:p>
      <w:pPr>
        <w:spacing w:after="0" w:line="181" w:lineRule="exact"/>
        <w:rPr>
          <w:sz w:val="20"/>
          <w:szCs w:val="20"/>
          <w:color w:val="auto"/>
        </w:rPr>
      </w:pPr>
    </w:p>
    <w:p>
      <w:pPr>
        <w:jc w:val="both"/>
        <w:ind w:left="6" w:firstLine="283"/>
        <w:spacing w:after="0" w:line="268" w:lineRule="auto"/>
        <w:rPr>
          <w:sz w:val="20"/>
          <w:szCs w:val="20"/>
          <w:color w:val="auto"/>
        </w:rPr>
      </w:pPr>
      <w:r>
        <w:rPr>
          <w:rFonts w:ascii="Arial" w:cs="Arial" w:eastAsia="Arial" w:hAnsi="Arial"/>
          <w:sz w:val="15"/>
          <w:szCs w:val="15"/>
          <w:color w:val="auto"/>
        </w:rPr>
        <w:t>In August 2021, the Company acquired 100% ownership interests in Reynolds RNG LLC (“</w:t>
      </w:r>
      <w:r>
        <w:rPr>
          <w:rFonts w:ascii="Arial" w:cs="Arial" w:eastAsia="Arial" w:hAnsi="Arial"/>
          <w:sz w:val="15"/>
          <w:szCs w:val="15"/>
          <w:b w:val="1"/>
          <w:bCs w:val="1"/>
          <w:i w:val="1"/>
          <w:iCs w:val="1"/>
          <w:color w:val="auto"/>
        </w:rPr>
        <w:t>Reynolds</w:t>
      </w:r>
      <w:r>
        <w:rPr>
          <w:rFonts w:ascii="Arial" w:cs="Arial" w:eastAsia="Arial" w:hAnsi="Arial"/>
          <w:sz w:val="15"/>
          <w:szCs w:val="15"/>
          <w:color w:val="auto"/>
        </w:rPr>
        <w:t>”) which held a note receivable of $10,450 to Biotown Bio Gas LLC (“</w:t>
      </w:r>
      <w:r>
        <w:rPr>
          <w:rFonts w:ascii="Arial" w:cs="Arial" w:eastAsia="Arial" w:hAnsi="Arial"/>
          <w:sz w:val="15"/>
          <w:szCs w:val="15"/>
          <w:b w:val="1"/>
          <w:bCs w:val="1"/>
          <w:i w:val="1"/>
          <w:iCs w:val="1"/>
          <w:color w:val="auto"/>
        </w:rPr>
        <w:t>Biotown</w:t>
      </w:r>
      <w:r>
        <w:rPr>
          <w:rFonts w:ascii="Arial" w:cs="Arial" w:eastAsia="Arial" w:hAnsi="Arial"/>
          <w:sz w:val="15"/>
          <w:szCs w:val="15"/>
          <w:color w:val="auto"/>
        </w:rPr>
        <w:t>”). The Note receivable was set to mature on July 15, 2027 and carries an interest of 12.5% out of which 8% is payable in cash on a quarterly basis from the inception of the loan and 4.5% payment-in-kind interest adding to the outstanding debt balance until the facility becomes operational. The Company recorded $746 as a reduction to interest and financing expense, net in its condensed consolidated statement of operations for the six months ended June 30, 2022. The Note receivable also entitled Reynolds to receive 4.25% of any revenue based distributions made with a cap of $4,500 over the term of the debt. The Company recorded the fair value of the Note receivable — variable fee component of $1,538 as an allocation of the initial investment balance of $10,450 and recorded an payment-in-kind interest income of $136 as a reduction to interest and financing expense, net in the condensed consolidated statement of operations for the six months ended June 30, 2022.</w:t>
      </w:r>
    </w:p>
    <w:p>
      <w:pPr>
        <w:spacing w:after="0" w:line="148"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The Note receivable of $9,518 has been recorded as a current asset as the repayment was received in July 2022 and Note receivable - variable fee component of $1,792 have been recorded as long-term asset on its condensed consolidated balance sheet as of June 30, 2022.</w:t>
      </w:r>
    </w:p>
    <w:p>
      <w:pPr>
        <w:spacing w:after="0" w:line="146"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7200" w:type="dxa"/>
            <w:vAlign w:val="bottom"/>
          </w:tcPr>
          <w:p>
            <w:pPr>
              <w:ind w:left="260"/>
              <w:spacing w:after="0"/>
              <w:rPr>
                <w:sz w:val="20"/>
                <w:szCs w:val="20"/>
                <w:color w:val="auto"/>
              </w:rPr>
            </w:pPr>
            <w:r>
              <w:rPr>
                <w:rFonts w:ascii="Arial" w:cs="Arial" w:eastAsia="Arial" w:hAnsi="Arial"/>
                <w:sz w:val="16"/>
                <w:szCs w:val="16"/>
                <w:color w:val="auto"/>
              </w:rPr>
              <w:t>The following table summarizes the net (loss) income from equity method investments: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ind w:right="440"/>
              <w:spacing w:after="0" w:line="172" w:lineRule="exact"/>
              <w:rPr>
                <w:sz w:val="20"/>
                <w:szCs w:val="20"/>
                <w:color w:val="auto"/>
              </w:rPr>
            </w:pPr>
            <w:r>
              <w:rPr>
                <w:rFonts w:ascii="Arial" w:cs="Arial" w:eastAsia="Arial" w:hAnsi="Arial"/>
                <w:sz w:val="16"/>
                <w:szCs w:val="16"/>
                <w:b w:val="1"/>
                <w:bCs w:val="1"/>
                <w:color w:val="auto"/>
                <w:w w:val="96"/>
              </w:rPr>
              <w:t>June 30,</w:t>
            </w: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22"/>
              <w:spacing w:after="0" w:line="172" w:lineRule="exact"/>
              <w:rPr>
                <w:sz w:val="20"/>
                <w:szCs w:val="20"/>
                <w:color w:val="auto"/>
              </w:rPr>
            </w:pPr>
            <w:r>
              <w:rPr>
                <w:rFonts w:ascii="Arial" w:cs="Arial" w:eastAsia="Arial" w:hAnsi="Arial"/>
                <w:sz w:val="16"/>
                <w:szCs w:val="16"/>
                <w:b w:val="1"/>
                <w:bCs w:val="1"/>
                <w:color w:val="auto"/>
                <w:w w:val="96"/>
              </w:rPr>
              <w:t>June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Gross profit</w:t>
            </w: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1,612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6,459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(1,741)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5,400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720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 xml:space="preserve">Net (loss) income from equity method investments </w:t>
            </w:r>
            <w:r>
              <w:rPr>
                <w:rFonts w:ascii="Arial" w:cs="Arial" w:eastAsia="Arial" w:hAnsi="Arial"/>
                <w:sz w:val="25"/>
                <w:szCs w:val="25"/>
                <w:color w:val="auto"/>
                <w:vertAlign w:val="superscript"/>
              </w:rPr>
              <w:t>(1)</w:t>
            </w:r>
          </w:p>
        </w:tc>
        <w:tc>
          <w:tcPr>
            <w:tcW w:w="164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2,392</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06" w:hanging="306"/>
        <w:spacing w:after="0" w:line="192" w:lineRule="auto"/>
        <w:tabs>
          <w:tab w:leader="none" w:pos="306" w:val="left"/>
        </w:tabs>
        <w:numPr>
          <w:ilvl w:val="0"/>
          <w:numId w:val="113"/>
        </w:numPr>
        <w:rPr>
          <w:rFonts w:ascii="Arial" w:cs="Arial" w:eastAsia="Arial" w:hAnsi="Arial"/>
          <w:sz w:val="26"/>
          <w:szCs w:val="26"/>
          <w:color w:val="auto"/>
          <w:vertAlign w:val="superscript"/>
        </w:rPr>
      </w:pPr>
      <w:r>
        <w:rPr>
          <w:rFonts w:ascii="Arial" w:cs="Arial" w:eastAsia="Arial" w:hAnsi="Arial"/>
          <w:sz w:val="16"/>
          <w:szCs w:val="16"/>
          <w:color w:val="auto"/>
        </w:rPr>
        <w:t>Net income from equity method investments represents our portion of the net income from equity method investments in Pine Bend, Noble Road and GREP for the six months ended June 30, 2022 and Beacon for the six months ended June 30, 2021.</w:t>
      </w:r>
    </w:p>
    <w:p>
      <w:pPr>
        <w:spacing w:after="0" w:line="269"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7860" w:type="dxa"/>
            <w:vAlign w:val="bottom"/>
          </w:tcPr>
          <w:p>
            <w:pPr>
              <w:spacing w:after="0"/>
              <w:rPr>
                <w:sz w:val="20"/>
                <w:szCs w:val="20"/>
                <w:color w:val="auto"/>
              </w:rPr>
            </w:pPr>
            <w:r>
              <w:rPr>
                <w:rFonts w:ascii="Arial" w:cs="Arial" w:eastAsia="Arial" w:hAnsi="Arial"/>
                <w:sz w:val="16"/>
                <w:szCs w:val="16"/>
                <w:b w:val="1"/>
                <w:bCs w:val="1"/>
                <w:color w:val="auto"/>
              </w:rPr>
              <w:t>4. Property, Plant, and Equipment, Net</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7"/>
        </w:trPr>
        <w:tc>
          <w:tcPr>
            <w:tcW w:w="7860" w:type="dxa"/>
            <w:vAlign w:val="bottom"/>
          </w:tcPr>
          <w:p>
            <w:pPr>
              <w:ind w:left="280"/>
              <w:spacing w:after="0"/>
              <w:rPr>
                <w:sz w:val="20"/>
                <w:szCs w:val="20"/>
                <w:color w:val="auto"/>
              </w:rPr>
            </w:pPr>
            <w:r>
              <w:rPr>
                <w:rFonts w:ascii="Arial" w:cs="Arial" w:eastAsia="Arial" w:hAnsi="Arial"/>
                <w:sz w:val="16"/>
                <w:szCs w:val="16"/>
                <w:color w:val="auto"/>
                <w:w w:val="99"/>
              </w:rPr>
              <w:t>Property, plant, and equipment, net, consisted of the following as of June 30, 2022 and December 31, 2021:</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7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6"/>
              </w:rPr>
              <w:t>December 31,</w:t>
            </w:r>
          </w:p>
        </w:tc>
      </w:tr>
      <w:tr>
        <w:trPr>
          <w:trHeight w:val="209"/>
        </w:trPr>
        <w:tc>
          <w:tcPr>
            <w:tcW w:w="78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8"/>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Plant and equipment</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160,367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161,387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7860" w:type="dxa"/>
            <w:vAlign w:val="bottom"/>
          </w:tcPr>
          <w:p>
            <w:pPr>
              <w:spacing w:after="0"/>
              <w:rPr>
                <w:sz w:val="20"/>
                <w:szCs w:val="20"/>
                <w:color w:val="auto"/>
              </w:rPr>
            </w:pPr>
            <w:r>
              <w:rPr>
                <w:rFonts w:ascii="Arial" w:cs="Arial" w:eastAsia="Arial" w:hAnsi="Arial"/>
                <w:sz w:val="16"/>
                <w:szCs w:val="16"/>
                <w:color w:val="auto"/>
              </w:rPr>
              <w:t>CNG/RNG fueling stations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6"/>
                <w:szCs w:val="16"/>
                <w:color w:val="auto"/>
              </w:rPr>
              <w:t>32,491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27,892</w:t>
            </w:r>
          </w:p>
        </w:tc>
      </w:tr>
      <w:tr>
        <w:trPr>
          <w:trHeight w:val="188"/>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123,520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62,616</w:t>
            </w:r>
          </w:p>
        </w:tc>
      </w:tr>
      <w:tr>
        <w:trPr>
          <w:trHeight w:val="188"/>
        </w:trPr>
        <w:tc>
          <w:tcPr>
            <w:tcW w:w="7860" w:type="dxa"/>
            <w:vAlign w:val="bottom"/>
          </w:tcPr>
          <w:p>
            <w:pPr>
              <w:spacing w:after="0"/>
              <w:rPr>
                <w:sz w:val="20"/>
                <w:szCs w:val="20"/>
                <w:color w:val="auto"/>
              </w:rPr>
            </w:pPr>
            <w:r>
              <w:rPr>
                <w:rFonts w:ascii="Arial" w:cs="Arial" w:eastAsia="Arial" w:hAnsi="Arial"/>
                <w:sz w:val="16"/>
                <w:szCs w:val="16"/>
                <w:color w:val="auto"/>
              </w:rPr>
              <w:t>Buildings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6"/>
                <w:szCs w:val="16"/>
                <w:color w:val="auto"/>
              </w:rPr>
              <w:t>2,585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16"/>
                <w:szCs w:val="16"/>
                <w:color w:val="auto"/>
              </w:rPr>
            </w:pPr>
          </w:p>
        </w:tc>
      </w:tr>
      <w:tr>
        <w:trPr>
          <w:trHeight w:val="188"/>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1,303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6"/>
                <w:szCs w:val="16"/>
                <w:color w:val="auto"/>
              </w:rPr>
            </w:pPr>
          </w:p>
        </w:tc>
      </w:tr>
      <w:tr>
        <w:trPr>
          <w:trHeight w:val="188"/>
        </w:trPr>
        <w:tc>
          <w:tcPr>
            <w:tcW w:w="7860" w:type="dxa"/>
            <w:vAlign w:val="bottom"/>
          </w:tcPr>
          <w:p>
            <w:pPr>
              <w:spacing w:after="0"/>
              <w:rPr>
                <w:sz w:val="20"/>
                <w:szCs w:val="20"/>
                <w:color w:val="auto"/>
              </w:rPr>
            </w:pPr>
            <w:r>
              <w:rPr>
                <w:rFonts w:ascii="Arial" w:cs="Arial" w:eastAsia="Arial" w:hAnsi="Arial"/>
                <w:sz w:val="16"/>
                <w:szCs w:val="16"/>
                <w:color w:val="auto"/>
              </w:rPr>
              <w:t>Service equipment</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6"/>
                <w:szCs w:val="16"/>
                <w:color w:val="auto"/>
              </w:rPr>
              <w:t>1,568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6"/>
                <w:szCs w:val="16"/>
                <w:color w:val="auto"/>
              </w:rPr>
            </w:pPr>
          </w:p>
        </w:tc>
      </w:tr>
      <w:tr>
        <w:trPr>
          <w:trHeight w:val="188"/>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815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6"/>
                <w:szCs w:val="16"/>
                <w:color w:val="auto"/>
              </w:rPr>
            </w:pPr>
          </w:p>
        </w:tc>
      </w:tr>
      <w:tr>
        <w:trPr>
          <w:trHeight w:val="188"/>
        </w:trPr>
        <w:tc>
          <w:tcPr>
            <w:tcW w:w="7860" w:type="dxa"/>
            <w:vAlign w:val="bottom"/>
          </w:tcPr>
          <w:p>
            <w:pPr>
              <w:spacing w:after="0"/>
              <w:rPr>
                <w:sz w:val="20"/>
                <w:szCs w:val="20"/>
                <w:color w:val="auto"/>
              </w:rPr>
            </w:pPr>
            <w:r>
              <w:rPr>
                <w:rFonts w:ascii="Arial" w:cs="Arial" w:eastAsia="Arial" w:hAnsi="Arial"/>
                <w:sz w:val="16"/>
                <w:szCs w:val="16"/>
                <w:color w:val="auto"/>
              </w:rPr>
              <w:t>Vehicles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6"/>
                <w:szCs w:val="16"/>
                <w:color w:val="auto"/>
              </w:rPr>
              <w:t>313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6"/>
                <w:szCs w:val="16"/>
                <w:color w:val="auto"/>
              </w:rPr>
            </w:pPr>
          </w:p>
        </w:tc>
      </w:tr>
      <w:tr>
        <w:trPr>
          <w:trHeight w:val="188"/>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Office furniture and equipment</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307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6"/>
                <w:szCs w:val="16"/>
                <w:color w:val="auto"/>
              </w:rPr>
            </w:pPr>
          </w:p>
        </w:tc>
      </w:tr>
      <w:tr>
        <w:trPr>
          <w:trHeight w:val="188"/>
        </w:trPr>
        <w:tc>
          <w:tcPr>
            <w:tcW w:w="7860" w:type="dxa"/>
            <w:vAlign w:val="bottom"/>
          </w:tcPr>
          <w:p>
            <w:pPr>
              <w:spacing w:after="0"/>
              <w:rPr>
                <w:sz w:val="20"/>
                <w:szCs w:val="20"/>
                <w:color w:val="auto"/>
              </w:rPr>
            </w:pPr>
            <w:r>
              <w:rPr>
                <w:rFonts w:ascii="Arial" w:cs="Arial" w:eastAsia="Arial" w:hAnsi="Arial"/>
                <w:sz w:val="16"/>
                <w:szCs w:val="16"/>
                <w:color w:val="auto"/>
              </w:rPr>
              <w:t>Computer software</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6"/>
                <w:szCs w:val="16"/>
                <w:color w:val="auto"/>
              </w:rPr>
              <w:t>277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6"/>
                <w:szCs w:val="16"/>
                <w:color w:val="auto"/>
              </w:rPr>
            </w:pPr>
          </w:p>
        </w:tc>
      </w:tr>
      <w:tr>
        <w:trPr>
          <w:trHeight w:val="220"/>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458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9"/>
                <w:szCs w:val="19"/>
                <w:color w:val="auto"/>
              </w:rPr>
            </w:pPr>
          </w:p>
        </w:tc>
      </w:tr>
      <w:tr>
        <w:trPr>
          <w:trHeight w:val="176"/>
        </w:trPr>
        <w:tc>
          <w:tcPr>
            <w:tcW w:w="7860" w:type="dxa"/>
            <w:vAlign w:val="bottom"/>
            <w:tcBorders>
              <w:top w:val="single" w:sz="8" w:color="CCEEFF"/>
              <w:bottom w:val="single" w:sz="8" w:color="CCEEFF"/>
            </w:tcBorders>
          </w:tcPr>
          <w:p>
            <w:pPr>
              <w:spacing w:after="0"/>
              <w:rPr>
                <w:sz w:val="15"/>
                <w:szCs w:val="15"/>
                <w:color w:val="auto"/>
              </w:rPr>
            </w:pPr>
          </w:p>
        </w:tc>
        <w:tc>
          <w:tcPr>
            <w:tcW w:w="8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324,004</w:t>
            </w:r>
          </w:p>
        </w:tc>
        <w:tc>
          <w:tcPr>
            <w:tcW w:w="20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259,480</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8"/>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(94,593</w:t>
            </w:r>
          </w:p>
        </w:tc>
        <w:tc>
          <w:tcPr>
            <w:tcW w:w="2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(89,710</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199"/>
        </w:trPr>
        <w:tc>
          <w:tcPr>
            <w:tcW w:w="7860" w:type="dxa"/>
            <w:vAlign w:val="bottom"/>
          </w:tcPr>
          <w:p>
            <w:pPr>
              <w:ind w:left="100"/>
              <w:spacing w:after="0" w:line="180" w:lineRule="exact"/>
              <w:rPr>
                <w:sz w:val="20"/>
                <w:szCs w:val="20"/>
                <w:color w:val="auto"/>
              </w:rPr>
            </w:pPr>
            <w:r>
              <w:rPr>
                <w:rFonts w:ascii="Arial" w:cs="Arial" w:eastAsia="Arial" w:hAnsi="Arial"/>
                <w:sz w:val="16"/>
                <w:szCs w:val="16"/>
                <w:color w:val="auto"/>
              </w:rPr>
              <w:t>Property, plant, and equipment, net</w:t>
            </w:r>
          </w:p>
        </w:tc>
        <w:tc>
          <w:tcPr>
            <w:tcW w:w="100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1"/>
              <w:spacing w:after="0"/>
              <w:rPr>
                <w:sz w:val="20"/>
                <w:szCs w:val="20"/>
                <w:color w:val="auto"/>
              </w:rPr>
            </w:pPr>
            <w:r>
              <w:rPr>
                <w:rFonts w:ascii="Arial" w:cs="Arial" w:eastAsia="Arial" w:hAnsi="Arial"/>
                <w:sz w:val="16"/>
                <w:szCs w:val="16"/>
                <w:color w:val="auto"/>
              </w:rPr>
              <w:t>229,411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169,770</w:t>
            </w:r>
          </w:p>
        </w:tc>
        <w:tc>
          <w:tcPr>
            <w:tcW w:w="10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As of June 30, 2022, there has been an increase in property, plant, and equipment as a result of the increase in construction of RNG generation facilities including, but not limited to Central Valley, Emerald, New River, and RNG dispensing facilities. The majority of these facilities, for which costs are in construction-in-progress as of June 30, 2022, are expected to be operational within the next year.</w:t>
      </w:r>
    </w:p>
    <w:p>
      <w:pPr>
        <w:spacing w:after="0" w:line="165" w:lineRule="exact"/>
        <w:rPr>
          <w:sz w:val="20"/>
          <w:szCs w:val="20"/>
          <w:color w:val="auto"/>
        </w:rPr>
      </w:pPr>
    </w:p>
    <w:p>
      <w:pPr>
        <w:ind w:left="286"/>
        <w:spacing w:after="0"/>
        <w:rPr>
          <w:sz w:val="20"/>
          <w:szCs w:val="20"/>
          <w:color w:val="auto"/>
        </w:rPr>
      </w:pPr>
      <w:r>
        <w:rPr>
          <w:rFonts w:ascii="Arial" w:cs="Arial" w:eastAsia="Arial" w:hAnsi="Arial"/>
          <w:sz w:val="16"/>
          <w:szCs w:val="16"/>
          <w:color w:val="auto"/>
        </w:rPr>
        <w:t>Depreciation expense on property, plant, and equipment for the six months ended June 30, 2022 and June 30, 2021 was $6,005 and $3,723, respectively.</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92" w:right="31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20"/>
                <w:szCs w:val="20"/>
                <w:color w:val="auto"/>
              </w:rPr>
            </w:pPr>
            <w:r>
              <w:rPr>
                <w:rFonts w:ascii="Arial" w:cs="Arial" w:eastAsia="Arial" w:hAnsi="Arial"/>
                <w:sz w:val="16"/>
                <w:szCs w:val="16"/>
                <w:b w:val="1"/>
                <w:bCs w:val="1"/>
                <w:color w:val="auto"/>
              </w:rPr>
              <w:t>5. Intangible Assets, Net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6080" w:type="dxa"/>
            <w:vAlign w:val="bottom"/>
          </w:tcPr>
          <w:p>
            <w:pPr>
              <w:ind w:left="280"/>
              <w:spacing w:after="0"/>
              <w:rPr>
                <w:sz w:val="20"/>
                <w:szCs w:val="20"/>
                <w:color w:val="auto"/>
              </w:rPr>
            </w:pPr>
            <w:r>
              <w:rPr>
                <w:rFonts w:ascii="Arial" w:cs="Arial" w:eastAsia="Arial" w:hAnsi="Arial"/>
                <w:sz w:val="16"/>
                <w:szCs w:val="16"/>
                <w:color w:val="auto"/>
                <w:w w:val="89"/>
              </w:rPr>
              <w:t>Intangible assets, net, consisted of the following at June 30, 2022 and December 31, 2021: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6"/>
                <w:szCs w:val="16"/>
                <w:b w:val="1"/>
                <w:bCs w:val="1"/>
                <w:color w:val="auto"/>
                <w:w w:val="88"/>
              </w:rPr>
              <w:t>June 30, 2022</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Intangible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Amortization</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42"/>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Assets,</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Period</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1240" w:type="dxa"/>
            <w:vAlign w:val="bottom"/>
            <w:gridSpan w:val="2"/>
          </w:tcPr>
          <w:p>
            <w:pPr>
              <w:jc w:val="right"/>
              <w:ind w:right="242"/>
              <w:spacing w:after="0"/>
              <w:rPr>
                <w:sz w:val="20"/>
                <w:szCs w:val="20"/>
                <w:color w:val="auto"/>
              </w:rPr>
            </w:pPr>
            <w:r>
              <w:rPr>
                <w:rFonts w:ascii="Arial" w:cs="Arial" w:eastAsia="Arial" w:hAnsi="Arial"/>
                <w:sz w:val="16"/>
                <w:szCs w:val="16"/>
                <w:b w:val="1"/>
                <w:bCs w:val="1"/>
                <w:color w:val="auto"/>
                <w:w w:val="91"/>
              </w:rPr>
              <w:t>Amortization</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Net</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(Years)</w:t>
            </w:r>
          </w:p>
        </w:tc>
        <w:tc>
          <w:tcPr>
            <w:tcW w:w="0" w:type="dxa"/>
            <w:vAlign w:val="bottom"/>
          </w:tcPr>
          <w:p>
            <w:pPr>
              <w:spacing w:after="0"/>
              <w:rPr>
                <w:sz w:val="1"/>
                <w:szCs w:val="1"/>
                <w:color w:val="auto"/>
              </w:rPr>
            </w:pPr>
          </w:p>
        </w:tc>
      </w:tr>
      <w:tr>
        <w:trPr>
          <w:trHeight w:val="188"/>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Power purchase agreements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8,999</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(7,288)</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80" w:type="dxa"/>
            <w:vAlign w:val="bottom"/>
          </w:tcPr>
          <w:p>
            <w:pPr>
              <w:spacing w:after="0"/>
              <w:rPr>
                <w:sz w:val="20"/>
                <w:szCs w:val="20"/>
                <w:color w:val="auto"/>
              </w:rPr>
            </w:pPr>
            <w:r>
              <w:rPr>
                <w:rFonts w:ascii="Arial" w:cs="Arial" w:eastAsia="Arial" w:hAnsi="Arial"/>
                <w:sz w:val="16"/>
                <w:szCs w:val="16"/>
                <w:color w:val="auto"/>
              </w:rPr>
              <w:t>Transmission/distribution interconnection</w:t>
            </w: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6"/>
                <w:szCs w:val="16"/>
                <w:color w:val="auto"/>
              </w:rPr>
            </w:pPr>
          </w:p>
        </w:tc>
        <w:tc>
          <w:tcPr>
            <w:tcW w:w="1240" w:type="dxa"/>
            <w:vAlign w:val="bottom"/>
            <w:gridSpan w:val="2"/>
          </w:tcPr>
          <w:p>
            <w:pPr>
              <w:jc w:val="right"/>
              <w:ind w:right="82"/>
              <w:spacing w:after="0"/>
              <w:rPr>
                <w:sz w:val="20"/>
                <w:szCs w:val="20"/>
                <w:color w:val="auto"/>
              </w:rPr>
            </w:pPr>
            <w:r>
              <w:rPr>
                <w:rFonts w:ascii="Arial" w:cs="Arial" w:eastAsia="Arial" w:hAnsi="Arial"/>
                <w:sz w:val="16"/>
                <w:szCs w:val="16"/>
                <w:color w:val="auto"/>
              </w:rPr>
              <w:t>(918)</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CNG sales contract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(759)</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80" w:type="dxa"/>
            <w:vAlign w:val="bottom"/>
          </w:tcPr>
          <w:p>
            <w:pPr>
              <w:spacing w:after="0"/>
              <w:rPr>
                <w:sz w:val="20"/>
                <w:szCs w:val="20"/>
                <w:color w:val="auto"/>
              </w:rPr>
            </w:pPr>
            <w:r>
              <w:rPr>
                <w:rFonts w:ascii="Arial" w:cs="Arial" w:eastAsia="Arial" w:hAnsi="Arial"/>
                <w:sz w:val="16"/>
                <w:szCs w:val="16"/>
                <w:color w:val="auto"/>
              </w:rPr>
              <w:t>Intellectual property</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240" w:type="dxa"/>
            <w:vAlign w:val="bottom"/>
            <w:gridSpan w:val="2"/>
          </w:tcPr>
          <w:p>
            <w:pPr>
              <w:jc w:val="right"/>
              <w:ind w:right="82"/>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Total intangible assets</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center"/>
              <w:ind w:right="82"/>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(8,986</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2,463</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6"/>
                <w:szCs w:val="16"/>
                <w:b w:val="1"/>
                <w:bCs w:val="1"/>
                <w:color w:val="auto"/>
                <w:w w:val="87"/>
              </w:rPr>
              <w:t>December 31, 2021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Intangible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Amortization</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42"/>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0"/>
              </w:rPr>
              <w:t>Assets,</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Period</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1240" w:type="dxa"/>
            <w:vAlign w:val="bottom"/>
            <w:gridSpan w:val="2"/>
          </w:tcPr>
          <w:p>
            <w:pPr>
              <w:jc w:val="right"/>
              <w:ind w:right="242"/>
              <w:spacing w:after="0"/>
              <w:rPr>
                <w:sz w:val="20"/>
                <w:szCs w:val="20"/>
                <w:color w:val="auto"/>
              </w:rPr>
            </w:pPr>
            <w:r>
              <w:rPr>
                <w:rFonts w:ascii="Arial" w:cs="Arial" w:eastAsia="Arial" w:hAnsi="Arial"/>
                <w:sz w:val="16"/>
                <w:szCs w:val="16"/>
                <w:b w:val="1"/>
                <w:bCs w:val="1"/>
                <w:color w:val="auto"/>
                <w:w w:val="91"/>
              </w:rPr>
              <w:t>Amortization</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Net</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(Years)</w:t>
            </w:r>
          </w:p>
        </w:tc>
        <w:tc>
          <w:tcPr>
            <w:tcW w:w="0" w:type="dxa"/>
            <w:vAlign w:val="bottom"/>
          </w:tcPr>
          <w:p>
            <w:pPr>
              <w:spacing w:after="0"/>
              <w:rPr>
                <w:sz w:val="1"/>
                <w:szCs w:val="1"/>
                <w:color w:val="auto"/>
              </w:rPr>
            </w:pPr>
          </w:p>
        </w:tc>
      </w:tr>
      <w:tr>
        <w:trPr>
          <w:trHeight w:val="188"/>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Power purchase agreements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8,999</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(6,986)</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80" w:type="dxa"/>
            <w:vAlign w:val="bottom"/>
          </w:tcPr>
          <w:p>
            <w:pPr>
              <w:spacing w:after="0"/>
              <w:rPr>
                <w:sz w:val="20"/>
                <w:szCs w:val="20"/>
                <w:color w:val="auto"/>
              </w:rPr>
            </w:pPr>
            <w:r>
              <w:rPr>
                <w:rFonts w:ascii="Arial" w:cs="Arial" w:eastAsia="Arial" w:hAnsi="Arial"/>
                <w:sz w:val="16"/>
                <w:szCs w:val="16"/>
                <w:color w:val="auto"/>
              </w:rPr>
              <w:t>Transmission/distribution interconnection</w:t>
            </w: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6"/>
                <w:szCs w:val="16"/>
                <w:color w:val="auto"/>
              </w:rPr>
            </w:pPr>
          </w:p>
        </w:tc>
        <w:tc>
          <w:tcPr>
            <w:tcW w:w="1240" w:type="dxa"/>
            <w:vAlign w:val="bottom"/>
            <w:gridSpan w:val="2"/>
          </w:tcPr>
          <w:p>
            <w:pPr>
              <w:jc w:val="right"/>
              <w:ind w:right="82"/>
              <w:spacing w:after="0"/>
              <w:rPr>
                <w:sz w:val="20"/>
                <w:szCs w:val="20"/>
                <w:color w:val="auto"/>
              </w:rPr>
            </w:pPr>
            <w:r>
              <w:rPr>
                <w:rFonts w:ascii="Arial" w:cs="Arial" w:eastAsia="Arial" w:hAnsi="Arial"/>
                <w:sz w:val="16"/>
                <w:szCs w:val="16"/>
                <w:color w:val="auto"/>
              </w:rPr>
              <w:t>(865)</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735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CNG sales contract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(719)</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80" w:type="dxa"/>
            <w:vAlign w:val="bottom"/>
          </w:tcPr>
          <w:p>
            <w:pPr>
              <w:spacing w:after="0"/>
              <w:rPr>
                <w:sz w:val="20"/>
                <w:szCs w:val="20"/>
                <w:color w:val="auto"/>
              </w:rPr>
            </w:pPr>
            <w:r>
              <w:rPr>
                <w:rFonts w:ascii="Arial" w:cs="Arial" w:eastAsia="Arial" w:hAnsi="Arial"/>
                <w:sz w:val="16"/>
                <w:szCs w:val="16"/>
                <w:color w:val="auto"/>
              </w:rPr>
              <w:t>Intellectual property</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240" w:type="dxa"/>
            <w:vAlign w:val="bottom"/>
            <w:gridSpan w:val="2"/>
          </w:tcPr>
          <w:p>
            <w:pPr>
              <w:jc w:val="right"/>
              <w:ind w:right="82"/>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Total intangible assets</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center"/>
              <w:ind w:right="82"/>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(8,588</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2,861</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 xml:space="preserve">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 The remaining liability of $174 under the Municipality loan is shown as part of current liabilities on its condensed consolidated balance sheet as of June 30, 2022. Please see Note 7. </w:t>
      </w:r>
      <w:r>
        <w:rPr>
          <w:rFonts w:ascii="Arial" w:cs="Arial" w:eastAsia="Arial" w:hAnsi="Arial"/>
          <w:sz w:val="13"/>
          <w:szCs w:val="13"/>
          <w:i w:val="1"/>
          <w:iCs w:val="1"/>
          <w:color w:val="auto"/>
        </w:rPr>
        <w:t>Borrowings,</w:t>
      </w:r>
      <w:r>
        <w:rPr>
          <w:rFonts w:ascii="Arial" w:cs="Arial" w:eastAsia="Arial" w:hAnsi="Arial"/>
          <w:sz w:val="13"/>
          <w:szCs w:val="13"/>
          <w:color w:val="auto"/>
        </w:rPr>
        <w:t xml:space="preserve"> for additional information.</w:t>
      </w:r>
    </w:p>
    <w:p>
      <w:pPr>
        <w:spacing w:after="0" w:line="115"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Amortization expense for the six months ended June 30, 2022 and 2021 was $398 and $231, respectively. At June 30, 2022, estimated future amortization expense for intangible assets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Remaining six months ending December 31, 2022</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6"/>
                <w:szCs w:val="16"/>
                <w:color w:val="auto"/>
              </w:rPr>
              <w:t>Fiscal year:</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6"/>
                <w:szCs w:val="16"/>
                <w:color w:val="auto"/>
              </w:rPr>
              <w:t>2024</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6"/>
                <w:szCs w:val="16"/>
                <w:color w:val="auto"/>
              </w:rPr>
            </w:pP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6"/>
                <w:szCs w:val="16"/>
                <w:color w:val="auto"/>
              </w:rPr>
              <w:t>2026</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6"/>
                <w:szCs w:val="16"/>
                <w:color w:val="auto"/>
              </w:rPr>
            </w:pPr>
          </w:p>
        </w:tc>
      </w:tr>
      <w:tr>
        <w:trPr>
          <w:trHeight w:val="204"/>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Thereafter</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16"/>
        </w:trPr>
        <w:tc>
          <w:tcPr>
            <w:tcW w:w="10020" w:type="dxa"/>
            <w:vAlign w:val="bottom"/>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w:t>
            </w:r>
          </w:p>
        </w:tc>
        <w:tc>
          <w:tcPr>
            <w:tcW w:w="12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Goodwill</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the changes in goodwill, if any, by reporting segment from the beginning of the period to the end of the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Fuel Station</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RNG Fuel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208"/>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2021</w:t>
            </w:r>
          </w:p>
        </w:tc>
        <w:tc>
          <w:tcPr>
            <w:tcW w:w="36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w w:val="81"/>
              </w:rPr>
              <w:t>54,608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9"/>
        </w:trPr>
        <w:tc>
          <w:tcPr>
            <w:tcW w:w="3660" w:type="dxa"/>
            <w:vAlign w:val="bottom"/>
          </w:tcPr>
          <w:p>
            <w:pPr>
              <w:spacing w:after="0"/>
              <w:rPr>
                <w:sz w:val="20"/>
                <w:szCs w:val="20"/>
                <w:color w:val="auto"/>
              </w:rPr>
            </w:pPr>
            <w:r>
              <w:rPr>
                <w:rFonts w:ascii="Arial" w:cs="Arial" w:eastAsia="Arial" w:hAnsi="Arial"/>
                <w:sz w:val="16"/>
                <w:szCs w:val="16"/>
                <w:b w:val="1"/>
                <w:bCs w:val="1"/>
                <w:color w:val="auto"/>
              </w:rPr>
              <w:t>Balance June 30, 2022</w:t>
            </w:r>
          </w:p>
        </w:tc>
        <w:tc>
          <w:tcPr>
            <w:tcW w:w="382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51,155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3,453</w:t>
            </w:r>
          </w:p>
        </w:tc>
        <w:tc>
          <w:tcPr>
            <w:tcW w:w="34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460"/>
              <w:spacing w:after="0"/>
              <w:rPr>
                <w:sz w:val="20"/>
                <w:szCs w:val="20"/>
                <w:color w:val="auto"/>
              </w:rPr>
            </w:pPr>
            <w:r>
              <w:rPr>
                <w:rFonts w:ascii="Arial" w:cs="Arial" w:eastAsia="Arial" w:hAnsi="Arial"/>
                <w:sz w:val="16"/>
                <w:szCs w:val="16"/>
                <w:color w:val="auto"/>
              </w:rPr>
              <w:t>54,608</w:t>
            </w:r>
          </w:p>
        </w:tc>
      </w:tr>
      <w:tr>
        <w:trPr>
          <w:trHeight w:val="20"/>
        </w:trPr>
        <w:tc>
          <w:tcPr>
            <w:tcW w:w="3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0"/>
        </w:trPr>
        <w:tc>
          <w:tcPr>
            <w:tcW w:w="36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1627"/>
              <w:spacing w:after="0"/>
              <w:rPr>
                <w:sz w:val="20"/>
                <w:szCs w:val="20"/>
                <w:color w:val="auto"/>
              </w:rPr>
            </w:pPr>
            <w:r>
              <w:rPr>
                <w:rFonts w:ascii="Arial" w:cs="Arial" w:eastAsia="Arial" w:hAnsi="Arial"/>
                <w:sz w:val="16"/>
                <w:szCs w:val="16"/>
                <w:color w:val="auto"/>
              </w:rPr>
              <w:t>F-56</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Arial" w:cs="Arial" w:eastAsia="Arial" w:hAnsi="Arial"/>
                <w:sz w:val="16"/>
                <w:szCs w:val="16"/>
                <w:b w:val="1"/>
                <w:bCs w:val="1"/>
                <w:color w:val="auto"/>
              </w:rPr>
              <w:t>7. Borrowings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8580" w:type="dxa"/>
            <w:vAlign w:val="bottom"/>
            <w:gridSpan w:val="16"/>
          </w:tcPr>
          <w:p>
            <w:pPr>
              <w:ind w:left="280"/>
              <w:spacing w:after="0"/>
              <w:rPr>
                <w:sz w:val="20"/>
                <w:szCs w:val="20"/>
                <w:color w:val="auto"/>
              </w:rPr>
            </w:pPr>
            <w:r>
              <w:rPr>
                <w:rFonts w:ascii="Arial" w:cs="Arial" w:eastAsia="Arial" w:hAnsi="Arial"/>
                <w:sz w:val="16"/>
                <w:szCs w:val="16"/>
                <w:color w:val="auto"/>
                <w:w w:val="93"/>
              </w:rPr>
              <w:t>The following table summarizes the borrowings under the various debt facilities as of June 30, 2022 and December 31, 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facility, term loan</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72,632</w:t>
            </w: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73,869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Arial" w:cs="Arial" w:eastAsia="Arial" w:hAnsi="Arial"/>
                <w:sz w:val="16"/>
                <w:szCs w:val="16"/>
                <w:color w:val="auto"/>
              </w:rPr>
              <w:t>Less: unamortized debt issuance costs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(72,396)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(73,145)</w:t>
            </w:r>
          </w:p>
        </w:tc>
        <w:tc>
          <w:tcPr>
            <w:tcW w:w="0" w:type="dxa"/>
            <w:vAlign w:val="bottom"/>
          </w:tcPr>
          <w:p>
            <w:pPr>
              <w:spacing w:after="0"/>
              <w:rPr>
                <w:sz w:val="1"/>
                <w:szCs w:val="1"/>
                <w:color w:val="auto"/>
              </w:rPr>
            </w:pPr>
          </w:p>
        </w:tc>
      </w:tr>
      <w:tr>
        <w:trPr>
          <w:trHeight w:val="176"/>
        </w:trPr>
        <w:tc>
          <w:tcPr>
            <w:tcW w:w="4540" w:type="dxa"/>
            <w:vAlign w:val="bottom"/>
            <w:tcBorders>
              <w:top w:val="single" w:sz="8" w:color="CCEEFF"/>
              <w:bottom w:val="single" w:sz="8" w:color="CCEEFF"/>
            </w:tcBorders>
            <w:gridSpan w:val="5"/>
          </w:tcPr>
          <w:p>
            <w:pPr>
              <w:ind w:left="100"/>
              <w:spacing w:after="0" w:line="172" w:lineRule="exact"/>
              <w:rPr>
                <w:sz w:val="20"/>
                <w:szCs w:val="20"/>
                <w:color w:val="auto"/>
              </w:rPr>
            </w:pPr>
            <w:r>
              <w:rPr>
                <w:rFonts w:ascii="Arial" w:cs="Arial" w:eastAsia="Arial" w:hAnsi="Arial"/>
                <w:sz w:val="16"/>
                <w:szCs w:val="16"/>
                <w:color w:val="auto"/>
              </w:rPr>
              <w:t>Senior secured facility, term loan, net of debt issuance costs</w:t>
            </w:r>
          </w:p>
        </w:tc>
        <w:tc>
          <w:tcPr>
            <w:tcW w:w="12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0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2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w w:val="98"/>
              </w:rPr>
              <w:t>Senior secured facility, working capital facility</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60" w:type="dxa"/>
            <w:vAlign w:val="bottom"/>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(7,500)</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w w:val="94"/>
              </w:rPr>
              <w:t>Senior secured facility, working capital facility</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line="172" w:lineRule="exact"/>
              <w:rPr>
                <w:sz w:val="20"/>
                <w:szCs w:val="20"/>
                <w:color w:val="auto"/>
              </w:rPr>
            </w:pPr>
            <w:r>
              <w:rPr>
                <w:rFonts w:ascii="Arial" w:cs="Arial" w:eastAsia="Arial" w:hAnsi="Arial"/>
                <w:sz w:val="16"/>
                <w:szCs w:val="16"/>
                <w:color w:val="auto"/>
              </w:rPr>
              <w:t>OPAL term loan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83,556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6"/>
                <w:szCs w:val="16"/>
                <w:color w:val="auto"/>
              </w:rPr>
              <w:t>75,000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(2,211)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204"/>
        </w:trPr>
        <w:tc>
          <w:tcPr>
            <w:tcW w:w="3160" w:type="dxa"/>
            <w:vAlign w:val="bottom"/>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(19,332)</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(13,425)</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w w:val="98"/>
              </w:rPr>
              <w:t>OPAL term loan, net of debt issuance costs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62,013</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line="172" w:lineRule="exact"/>
              <w:rPr>
                <w:sz w:val="20"/>
                <w:szCs w:val="20"/>
                <w:color w:val="auto"/>
              </w:rPr>
            </w:pPr>
            <w:r>
              <w:rPr>
                <w:rFonts w:ascii="Arial" w:cs="Arial" w:eastAsia="Arial" w:hAnsi="Arial"/>
                <w:sz w:val="16"/>
                <w:szCs w:val="16"/>
                <w:color w:val="auto"/>
              </w:rPr>
              <w:t>Sunoma loan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19,431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6"/>
                <w:szCs w:val="16"/>
                <w:color w:val="auto"/>
              </w:rPr>
              <w:t>17,524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(544)</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04"/>
        </w:trPr>
        <w:tc>
          <w:tcPr>
            <w:tcW w:w="3160" w:type="dxa"/>
            <w:vAlign w:val="bottom"/>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(1,418)</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Sunoma loan, net of debt issuance costs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17,469</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60" w:type="dxa"/>
            <w:vAlign w:val="bottom"/>
            <w:tcBorders>
              <w:bottom w:val="single" w:sz="8" w:color="CCEEFF"/>
            </w:tcBorders>
          </w:tcPr>
          <w:p>
            <w:pPr>
              <w:ind w:left="100"/>
              <w:spacing w:after="0" w:line="172" w:lineRule="exact"/>
              <w:rPr>
                <w:sz w:val="20"/>
                <w:szCs w:val="20"/>
                <w:color w:val="auto"/>
              </w:rPr>
            </w:pPr>
            <w:r>
              <w:rPr>
                <w:rFonts w:ascii="Arial" w:cs="Arial" w:eastAsia="Arial" w:hAnsi="Arial"/>
                <w:sz w:val="16"/>
                <w:szCs w:val="16"/>
                <w:color w:val="auto"/>
              </w:rPr>
              <w:t>Convertible note payable</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60,820</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58,710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Municipality loan</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60" w:type="dxa"/>
            <w:vAlign w:val="bottom"/>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Municipality loan</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60" w:type="dxa"/>
            <w:vAlign w:val="bottom"/>
          </w:tcPr>
          <w:p>
            <w:pPr>
              <w:ind w:left="260"/>
              <w:spacing w:after="0" w:line="180" w:lineRule="exact"/>
              <w:rPr>
                <w:sz w:val="20"/>
                <w:szCs w:val="20"/>
                <w:color w:val="auto"/>
              </w:rPr>
            </w:pPr>
            <w:r>
              <w:rPr>
                <w:rFonts w:ascii="Arial" w:cs="Arial" w:eastAsia="Arial" w:hAnsi="Arial"/>
                <w:sz w:val="16"/>
                <w:szCs w:val="16"/>
                <w:color w:val="auto"/>
              </w:rPr>
              <w:t>Non-current borrowings total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140,302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134,083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gridSpan w:val="16"/>
            <w:vMerge w:val="restart"/>
          </w:tcPr>
          <w:p>
            <w:pPr>
              <w:ind w:left="280"/>
              <w:spacing w:after="0"/>
              <w:rPr>
                <w:sz w:val="20"/>
                <w:szCs w:val="20"/>
                <w:color w:val="auto"/>
              </w:rPr>
            </w:pPr>
            <w:r>
              <w:rPr>
                <w:rFonts w:ascii="Arial" w:cs="Arial" w:eastAsia="Arial" w:hAnsi="Arial"/>
                <w:sz w:val="16"/>
                <w:szCs w:val="16"/>
                <w:color w:val="auto"/>
                <w:w w:val="93"/>
              </w:rPr>
              <w:t>As of June 30, 2022, principal maturities of debt are expected as follows, excluding any subsequent refinancing transactions:</w:t>
            </w: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580" w:type="dxa"/>
            <w:vAlign w:val="bottom"/>
            <w:gridSpan w:val="16"/>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Senior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Secured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Convertible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Credit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OPAL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Note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Municipality</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Facility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5"/>
              </w:rPr>
              <w:t>Term Loan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Sunoma loan</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Payable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Loan</w:t>
            </w: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88"/>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Six months ending December 31, 2022</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80,132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90,617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Arial" w:cs="Arial" w:eastAsia="Arial" w:hAnsi="Arial"/>
                <w:sz w:val="16"/>
                <w:szCs w:val="16"/>
                <w:color w:val="auto"/>
              </w:rPr>
              <w:t>Fiscal year: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2,237</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21,633</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19,332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3,056</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22,388</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35,226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3,056</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38,282</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3,056</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60,820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63,876</w:t>
            </w:r>
          </w:p>
        </w:tc>
        <w:tc>
          <w:tcPr>
            <w:tcW w:w="0" w:type="dxa"/>
            <w:vAlign w:val="bottom"/>
          </w:tcPr>
          <w:p>
            <w:pPr>
              <w:spacing w:after="0"/>
              <w:rPr>
                <w:sz w:val="1"/>
                <w:szCs w:val="1"/>
                <w:color w:val="auto"/>
              </w:rPr>
            </w:pPr>
          </w:p>
        </w:tc>
      </w:tr>
      <w:tr>
        <w:trPr>
          <w:trHeight w:val="200"/>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7,317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gridSpan w:val="2"/>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80,132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83,556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19,431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60,820</w:t>
            </w:r>
          </w:p>
        </w:tc>
        <w:tc>
          <w:tcPr>
            <w:tcW w:w="220" w:type="dxa"/>
            <w:vAlign w:val="bottom"/>
            <w:gridSpan w:val="3"/>
          </w:tcPr>
          <w:p>
            <w:pPr>
              <w:ind w:left="120"/>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244,113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secured credit facility</w:t>
      </w:r>
    </w:p>
    <w:p>
      <w:pPr>
        <w:spacing w:after="0" w:line="197"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On September 21, 2015, FM3, entered into a senior secured credit facility as a borrower and Investec Bank PLC and MUFG Union Bank N.A., as joint lead arranger and book runners and CoBank ACB as documentation agent and LC issuing bank, which provides for an aggregate principal amount of $150,000, which consists of (i) a term loan of $125,000 ( “</w:t>
      </w:r>
      <w:r>
        <w:rPr>
          <w:rFonts w:ascii="Arial" w:cs="Arial" w:eastAsia="Arial" w:hAnsi="Arial"/>
          <w:sz w:val="15"/>
          <w:szCs w:val="15"/>
          <w:b w:val="1"/>
          <w:bCs w:val="1"/>
          <w:i w:val="1"/>
          <w:iCs w:val="1"/>
          <w:color w:val="auto"/>
        </w:rPr>
        <w:t>Term Loan Facility</w:t>
      </w:r>
      <w:r>
        <w:rPr>
          <w:rFonts w:ascii="Arial" w:cs="Arial" w:eastAsia="Arial" w:hAnsi="Arial"/>
          <w:sz w:val="15"/>
          <w:szCs w:val="15"/>
          <w:color w:val="auto"/>
        </w:rPr>
        <w:t>”) and a (ii) working capital letter of credit facility (“</w:t>
      </w:r>
      <w:r>
        <w:rPr>
          <w:rFonts w:ascii="Arial" w:cs="Arial" w:eastAsia="Arial" w:hAnsi="Arial"/>
          <w:sz w:val="15"/>
          <w:szCs w:val="15"/>
          <w:b w:val="1"/>
          <w:bCs w:val="1"/>
          <w:i w:val="1"/>
          <w:iCs w:val="1"/>
          <w:color w:val="auto"/>
        </w:rPr>
        <w:t>Working Capital Facility</w:t>
      </w:r>
      <w:r>
        <w:rPr>
          <w:rFonts w:ascii="Arial" w:cs="Arial" w:eastAsia="Arial" w:hAnsi="Arial"/>
          <w:sz w:val="15"/>
          <w:szCs w:val="15"/>
          <w:color w:val="auto"/>
        </w:rPr>
        <w:t>”) of up to $19,000 and a (iii) Debt service reserve and liquidity facility (“</w:t>
      </w:r>
      <w:r>
        <w:rPr>
          <w:rFonts w:ascii="Arial" w:cs="Arial" w:eastAsia="Arial" w:hAnsi="Arial"/>
          <w:sz w:val="15"/>
          <w:szCs w:val="15"/>
          <w:b w:val="1"/>
          <w:bCs w:val="1"/>
          <w:i w:val="1"/>
          <w:iCs w:val="1"/>
          <w:color w:val="auto"/>
        </w:rPr>
        <w:t>Debt Reserve and Liquidity Facility</w:t>
      </w:r>
      <w:r>
        <w:rPr>
          <w:rFonts w:ascii="Arial" w:cs="Arial" w:eastAsia="Arial" w:hAnsi="Arial"/>
          <w:sz w:val="15"/>
          <w:szCs w:val="15"/>
          <w:color w:val="auto"/>
        </w:rPr>
        <w:t>”) of up to $6,000. The Company paid $14,300 to the lenders in connection with the transaction. As of June 30, 2022 and December 31, 2021, $72,632 and $73,869, respectively, was outstanding under the Senior secured facility, term loan.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97" w:name="page198"/>
    <w:bookmarkEnd w:id="197"/>
    <w:p>
      <w:pPr>
        <w:jc w:val="both"/>
        <w:ind w:firstLine="283"/>
        <w:spacing w:after="0" w:line="249" w:lineRule="auto"/>
        <w:rPr>
          <w:sz w:val="20"/>
          <w:szCs w:val="20"/>
          <w:color w:val="auto"/>
        </w:rPr>
      </w:pPr>
      <w:r>
        <w:rPr>
          <w:rFonts w:ascii="Arial" w:cs="Arial" w:eastAsia="Arial" w:hAnsi="Arial"/>
          <w:sz w:val="16"/>
          <w:szCs w:val="16"/>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facility, FM3 is required to repay 1%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10 consecutive business days annually. As of June 30, 2022 and December 31, 2021, the total amount outstanding under the Working Capital Facility was $7,500. Additionally, the Company pays commitment fee of 0.75% on unused portion of the facility.</w:t>
      </w:r>
    </w:p>
    <w:p>
      <w:pPr>
        <w:spacing w:after="0" w:line="174"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On October 8, 2021, the Company entered into the Amendment to Second Amended and Restated Credit Agreement (the “</w:t>
      </w:r>
      <w:r>
        <w:rPr>
          <w:rFonts w:ascii="Arial" w:cs="Arial" w:eastAsia="Arial" w:hAnsi="Arial"/>
          <w:sz w:val="15"/>
          <w:szCs w:val="15"/>
          <w:b w:val="1"/>
          <w:bCs w:val="1"/>
          <w:i w:val="1"/>
          <w:iCs w:val="1"/>
          <w:color w:val="auto"/>
        </w:rPr>
        <w:t>Amendment</w:t>
      </w:r>
      <w:r>
        <w:rPr>
          <w:rFonts w:ascii="Arial" w:cs="Arial" w:eastAsia="Arial" w:hAnsi="Arial"/>
          <w:sz w:val="15"/>
          <w:szCs w:val="15"/>
          <w:color w:val="auto"/>
        </w:rPr>
        <w: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p>
    <w:p>
      <w:pPr>
        <w:spacing w:after="0" w:line="15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At June 30, 2022 and December 31, 2021, the Company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landfill gas rights agreements.</w:t>
      </w:r>
    </w:p>
    <w:p>
      <w:pPr>
        <w:spacing w:after="0" w:line="165"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The debt agreement contains certain warranties and financial covenants including but not limited to debt service coverage ratio to not be less than 1.0 and restrictions on distributions and additional indebtedness. The lenders only have recourse to the assets of FM3. For the six months ended June 30, 2022, FM3 was in compliance with all debt covenants. The Company received a waiver granting exemption from certain non-financial covenants as per the terms of the debt agreement.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Patronage dividends</w:t>
      </w:r>
    </w:p>
    <w:p>
      <w:pPr>
        <w:spacing w:after="0" w:line="193"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The Company is eligible to receive annual patronage dividends from one of its lenders, Cobank ACB under a profit sharing program made available to the borrowers. For the six months ended June 30, 2022 and 2021, the Company received cash dividend of $126 and $139, respectively, which was recorded as a credit to interest expense in its condensed consolidated statements of operations. Additionally, the Company recorded $489 as long-term asset on its condensed consolidated balance sheets at June 30, 2022 and December 31, 2021, which represents the Company’s equity interest in Cobank SCB which will be redeemed for cash beginning 2024.</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TruStar revolver credit facility</w:t>
      </w:r>
    </w:p>
    <w:p>
      <w:pPr>
        <w:spacing w:after="0" w:line="197"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On September 27, 2021, TruStar renewed the existing revolving credit arrangement with JP Morgan Chase Bank, N.A., for an aggregate amount of $10,000. This revolver credit facility was secured by marketable securities pledged by the Ultimate Parent. The amounts outstanding under this credit facility had an interest rate of 1.00% plus one month LIBOR. In the fourth quarter of 2021, the outstanding balance under this credit facility was fully repaid and the revolver credit facility was cancelled.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Sunoma loan</w:t>
      </w:r>
    </w:p>
    <w:p>
      <w:pPr>
        <w:spacing w:after="0" w:line="197"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On August 27, 2020, Sunoma entered into a debt agreement with Live Oak Banking Company (“</w:t>
      </w:r>
      <w:r>
        <w:rPr>
          <w:rFonts w:ascii="Arial" w:cs="Arial" w:eastAsia="Arial" w:hAnsi="Arial"/>
          <w:sz w:val="15"/>
          <w:szCs w:val="15"/>
          <w:b w:val="1"/>
          <w:bCs w:val="1"/>
          <w:i w:val="1"/>
          <w:iCs w:val="1"/>
          <w:color w:val="auto"/>
        </w:rPr>
        <w:t>Lender</w:t>
      </w:r>
      <w:r>
        <w:rPr>
          <w:rFonts w:ascii="Arial" w:cs="Arial" w:eastAsia="Arial" w:hAnsi="Arial"/>
          <w:sz w:val="15"/>
          <w:szCs w:val="15"/>
          <w:color w:val="auto"/>
        </w:rPr>
        <w:t>”) for an aggregate principal amount of $20,000. At June 30, 2022, the total amount outstanding under the Sunoma Loan Agreement, including accrued interest of $1,615, was $19,431 and the loan proceeds were used for the construction of the subsidiary’s dairy digester-to-RNG project. Sunoma paid $635 as financing fees. The loan bears interest at the greater of Prime plus 3.50%, or 7.75%.</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amounts outstanding under the Sunoma loan are secured by the assets of Sunoma.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98" w:name="page199"/>
    <w:bookmarkEnd w:id="198"/>
    <w:p>
      <w:pPr>
        <w:jc w:val="both"/>
        <w:ind w:firstLine="283"/>
        <w:spacing w:after="0" w:line="252" w:lineRule="auto"/>
        <w:rPr>
          <w:sz w:val="20"/>
          <w:szCs w:val="20"/>
          <w:color w:val="auto"/>
        </w:rPr>
      </w:pPr>
      <w:r>
        <w:rPr>
          <w:rFonts w:ascii="Arial" w:cs="Arial" w:eastAsia="Arial" w:hAnsi="Arial"/>
          <w:sz w:val="16"/>
          <w:szCs w:val="16"/>
          <w:color w:val="auto"/>
        </w:rPr>
        <w:t>The Sunoma loan agreement contains certain financial covenants which require Sunoma to maintain (i) maximum debt to worth ratio cannot exceed 5:1 (ii) the minimum current ratio cannot be less than 1.0 (iii) 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w:t>
      </w:r>
    </w:p>
    <w:p>
      <w:pPr>
        <w:spacing w:after="0" w:line="169"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The construction loan had an original maturity date of April 27, 2022. During the first quarter of 2022, the Company received an extension to the original maturity date until July 27, 2022. At maturity, the construction loan outstanding under the Sunoma loan is convertible to a permanent loan guaranteed by the United States Department of Agriculture (“</w:t>
      </w:r>
      <w:r>
        <w:rPr>
          <w:rFonts w:ascii="Arial" w:cs="Arial" w:eastAsia="Arial" w:hAnsi="Arial"/>
          <w:sz w:val="15"/>
          <w:szCs w:val="15"/>
          <w:b w:val="1"/>
          <w:bCs w:val="1"/>
          <w:i w:val="1"/>
          <w:iCs w:val="1"/>
          <w:color w:val="auto"/>
        </w:rPr>
        <w:t>USDA</w:t>
      </w:r>
      <w:r>
        <w:rPr>
          <w:rFonts w:ascii="Arial" w:cs="Arial" w:eastAsia="Arial" w:hAnsi="Arial"/>
          <w:sz w:val="15"/>
          <w:szCs w:val="15"/>
          <w:color w:val="auto"/>
        </w:rPr>
        <w:t>”). The loan was converted into a permanent loan in July 2022. The Permanent USDA loan will consist of an 11-year term and bear interest at the then-current 10-year LIBOR Swap rate plus 5.45%, fixed for the term of the loan. The floor rate of the USDA loan will be equal to 6.75%. The Permanent USDA loan will be secured by the assets of Sunoma. The accrued interest is payable after the conversion to a permanent loan.</w:t>
      </w:r>
    </w:p>
    <w:p>
      <w:pPr>
        <w:spacing w:after="0" w:line="15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 xml:space="preserve">The significant assets of Sunoma are parenthesized in the condensed consolidated balance sheets as June 30, 2022 and December 31, 2021. Refer to Note 12, </w:t>
      </w:r>
      <w:r>
        <w:rPr>
          <w:rFonts w:ascii="Arial" w:cs="Arial" w:eastAsia="Arial" w:hAnsi="Arial"/>
          <w:sz w:val="16"/>
          <w:szCs w:val="16"/>
          <w:i w:val="1"/>
          <w:iCs w:val="1"/>
          <w:color w:val="auto"/>
        </w:rPr>
        <w:t>Variable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w:t>
      </w:r>
      <w:r>
        <w:rPr>
          <w:rFonts w:ascii="Arial" w:cs="Arial" w:eastAsia="Arial" w:hAnsi="Arial"/>
          <w:sz w:val="16"/>
          <w:szCs w:val="16"/>
          <w:color w:val="auto"/>
        </w:rPr>
        <w:t>,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OPAL term loan</w:t>
      </w:r>
    </w:p>
    <w:p>
      <w:pPr>
        <w:spacing w:after="0" w:line="19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On October 22, 2021, the Company executed a term loan at a newly formed entity, OPAL Fuels Intermediate Holding Company LLC (“</w:t>
      </w:r>
      <w:r>
        <w:rPr>
          <w:rFonts w:ascii="Arial" w:cs="Arial" w:eastAsia="Arial" w:hAnsi="Arial"/>
          <w:sz w:val="15"/>
          <w:szCs w:val="15"/>
          <w:b w:val="1"/>
          <w:bCs w:val="1"/>
          <w:i w:val="1"/>
          <w:iCs w:val="1"/>
          <w:color w:val="auto"/>
        </w:rPr>
        <w:t>OPAL Intermediate Holdco</w:t>
      </w:r>
      <w:r>
        <w:rPr>
          <w:rFonts w:ascii="Arial" w:cs="Arial" w:eastAsia="Arial" w:hAnsi="Arial"/>
          <w:sz w:val="15"/>
          <w:szCs w:val="15"/>
          <w:color w:val="auto"/>
        </w:rPr>
        <w:t>”) as the borrower and Bank of America N.A., Customers Bank, Citi Bank N.A., Barclays Bank PLC as lenders (“</w:t>
      </w:r>
      <w:r>
        <w:rPr>
          <w:rFonts w:ascii="Arial" w:cs="Arial" w:eastAsia="Arial" w:hAnsi="Arial"/>
          <w:sz w:val="15"/>
          <w:szCs w:val="15"/>
          <w:b w:val="1"/>
          <w:bCs w:val="1"/>
          <w:i w:val="1"/>
          <w:iCs w:val="1"/>
          <w:color w:val="auto"/>
        </w:rPr>
        <w:t>Lenders</w:t>
      </w:r>
      <w:r>
        <w:rPr>
          <w:rFonts w:ascii="Arial" w:cs="Arial" w:eastAsia="Arial" w:hAnsi="Arial"/>
          <w:sz w:val="15"/>
          <w:szCs w:val="15"/>
          <w:color w:val="auto"/>
        </w:rPr>
        <w:t>”), Bank of 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in October 2021 and the remainder will be used for general corporate purposes, including investments in RNG projects being developed by the Company. As of June 30, 2022, the Company expects that the three additional RNG facilities will be operational in the third quarter of 2022 at which time the additional $35,000 would be made available to the Company.</w:t>
      </w:r>
    </w:p>
    <w:p>
      <w:pPr>
        <w:spacing w:after="0" w:line="164" w:lineRule="exact"/>
        <w:rPr>
          <w:sz w:val="20"/>
          <w:szCs w:val="20"/>
          <w:color w:val="auto"/>
        </w:rPr>
      </w:pPr>
    </w:p>
    <w:p>
      <w:pPr>
        <w:jc w:val="both"/>
        <w:ind w:right="20" w:firstLine="283"/>
        <w:spacing w:after="0" w:line="383" w:lineRule="auto"/>
        <w:rPr>
          <w:sz w:val="20"/>
          <w:szCs w:val="20"/>
          <w:color w:val="auto"/>
        </w:rPr>
      </w:pPr>
      <w:r>
        <w:rPr>
          <w:rFonts w:ascii="Arial" w:cs="Arial" w:eastAsia="Arial" w:hAnsi="Arial"/>
          <w:sz w:val="13"/>
          <w:szCs w:val="13"/>
          <w:color w:val="auto"/>
        </w:rPr>
        <w:t>Pursuant to the above, the Company borrowed $75,000 in October 2021 and an another $15,000 in February 2022 pursuant to an amendment allowing the Company to drawdown later than the original commitment date. As of June 30, 2022 and December 31, 2021, $83,556 and $75,000, respectively, were outstanding under this term loan.</w:t>
      </w:r>
    </w:p>
    <w:p>
      <w:pPr>
        <w:spacing w:after="0" w:line="88" w:lineRule="exact"/>
        <w:rPr>
          <w:sz w:val="20"/>
          <w:szCs w:val="20"/>
          <w:color w:val="auto"/>
        </w:rPr>
      </w:pPr>
    </w:p>
    <w:p>
      <w:pPr>
        <w:jc w:val="both"/>
        <w:ind w:right="20" w:firstLine="283"/>
        <w:spacing w:after="0" w:line="300" w:lineRule="auto"/>
        <w:rPr>
          <w:sz w:val="20"/>
          <w:szCs w:val="20"/>
          <w:color w:val="auto"/>
        </w:rPr>
      </w:pPr>
      <w:r>
        <w:rPr>
          <w:rFonts w:ascii="Arial" w:cs="Arial" w:eastAsia="Arial" w:hAnsi="Arial"/>
          <w:sz w:val="15"/>
          <w:szCs w:val="15"/>
          <w:color w:val="auto"/>
        </w:rPr>
        <w:t>The loan matures April 22, 2025 and bears interest at 3.0% plus LIBOR. In accordance to the terms of the facility, OPAL Intermediate Holdco is required to repay 1.79% or $1,611 per month beginning March 2022 and an additional $700 per month beginning after the additional drawdown of the $35.0 million in September 2022.</w:t>
      </w:r>
    </w:p>
    <w:p>
      <w:pPr>
        <w:spacing w:after="0" w:line="134"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The OPAL term loan contains certain financial covenants which require OPAL Intermediate Holdco to maintain a (i) minimum liquidity of $15,000 until March 31, 2022 and $10,000 thereafter and (ii) leverage ratio not to exceed 4:1. As of June 30, 2022,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 payable</w:t>
      </w:r>
    </w:p>
    <w:p>
      <w:pPr>
        <w:spacing w:after="0" w:line="19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On May 1, 2021, the Company acquired the remaining ownership interests in Beacon and signed an unsecured, contingently convertible note (the “</w:t>
      </w:r>
      <w:r>
        <w:rPr>
          <w:rFonts w:ascii="Arial" w:cs="Arial" w:eastAsia="Arial" w:hAnsi="Arial"/>
          <w:sz w:val="16"/>
          <w:szCs w:val="16"/>
          <w:b w:val="1"/>
          <w:bCs w:val="1"/>
          <w:i w:val="1"/>
          <w:iCs w:val="1"/>
          <w:color w:val="auto"/>
        </w:rPr>
        <w:t>Note</w:t>
      </w:r>
      <w:r>
        <w:rPr>
          <w:rFonts w:ascii="Arial" w:cs="Arial" w:eastAsia="Arial" w:hAnsi="Arial"/>
          <w:sz w:val="16"/>
          <w:szCs w:val="16"/>
          <w:color w:val="auto"/>
        </w:rPr>
        <w:t>”) for a total aggregate amount for $50,000 at an interest rate of 8.00% per annum. The Company has the option to pay the interest in cash on a quarterly basis or payment-in-kind interest. The Company chose the option of payment-in-kind interest.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99" w:name="page200"/>
    <w:bookmarkEnd w:id="199"/>
    <w:p>
      <w:pPr>
        <w:jc w:val="both"/>
        <w:ind w:right="20" w:firstLine="283"/>
        <w:spacing w:after="0" w:line="249" w:lineRule="auto"/>
        <w:rPr>
          <w:sz w:val="20"/>
          <w:szCs w:val="20"/>
          <w:color w:val="auto"/>
        </w:rPr>
      </w:pPr>
      <w:r>
        <w:rPr>
          <w:rFonts w:ascii="Arial" w:cs="Arial" w:eastAsia="Arial" w:hAnsi="Arial"/>
          <w:sz w:val="16"/>
          <w:szCs w:val="16"/>
          <w:color w:val="auto"/>
        </w:rPr>
        <w:t xml:space="preserve">The Convertible note payable matures the earlier of December 31, 2026 or the date on which a change in control occurs as defined in the terms of the Note. Upon the consummation of the BCA, the counterparty may choose to convert the total amount outstanding under the Note to common shares based on a certain pre-determined conversion formula. If the BCA is not complete by September 30, 2022, the Company can redeem the Note by repaying the amounts outstanding in full plus a 10.00% penalty. After September 30, 2022, there is no prepayment penalty. If the BCA is consummated prior to September 30, 2022, the counterparty may elect not to take common shares and require the Company to redeem the Note in cash. On July 21, 2022, 50% of the Convertible note payable was converted to equity upon consummation of the Business Combination. Please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additional information.</w:t>
      </w:r>
    </w:p>
    <w:p>
      <w:pPr>
        <w:spacing w:after="0" w:line="174"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 xml:space="preserve">The Company elected to account for the Note using the fair value option 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on May 1, 2021, which was determined to be $55,410. The fair value was subsequently remeasured on each reporting date and the change in fair value recorded as interest expense in the condensed consolidated statement of operations for each reporting period. At June 30, 2022 and December 31,2021, the Note was classified as non-current liability in the condensed consolidated balance sheets at a fair value of $60,820 and $58,710, respectively. The Company recorded $2,110 and $888 as payment-in-kind interest expense in the condensed consolidated statement of operations for the six months ended June 30, 2022 and 2021,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Municipality loan</w:t>
      </w:r>
    </w:p>
    <w:p>
      <w:pPr>
        <w:spacing w:after="0" w:line="19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 At June 30, 2022 and December 31, 2021, $174 and $278, respectively, were outstanding on the loan.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For the six months ended June 30, 2022, the weighted average effective interest rate including amortization of debt issuance costs on Senior secured facility was 4.25% including a margin plus LIBOR.</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the six months ended June 30, 2022, the weighted average effective interest rate including amortization of debt issuance costs on OPAL term loan was 4.93%.</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six months ended June 30, 2022, the interest rate on the Sunoma loan was 7.75%.</w:t>
      </w:r>
    </w:p>
    <w:p>
      <w:pPr>
        <w:spacing w:after="0" w:line="193"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For the six months ended June 30, 2022, the payment-in-kind interest rate on Convertible note payable was 8.00%. The change in fair value of the Note recorded as interest expense between May 1, 2021 and June 30, 2022 was $5,410.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200" w:name="page201"/>
    <w:bookmarkEnd w:id="200"/>
    <w:tbl>
      <w:tblPr>
        <w:tblLayout w:type="fixed"/>
        <w:tblInd w:w="6" w:type="dxa"/>
        <w:tblCellMar>
          <w:top w:w="0" w:type="dxa"/>
          <w:left w:w="0" w:type="dxa"/>
          <w:bottom w:w="0" w:type="dxa"/>
          <w:right w:w="0" w:type="dxa"/>
        </w:tblCellMar>
      </w:tblPr>
      <w:tr>
        <w:trPr>
          <w:trHeight w:val="200"/>
        </w:trPr>
        <w:tc>
          <w:tcPr>
            <w:tcW w:w="8240" w:type="dxa"/>
            <w:vAlign w:val="bottom"/>
          </w:tcPr>
          <w:p>
            <w:pPr>
              <w:ind w:left="280"/>
              <w:spacing w:after="0"/>
              <w:rPr>
                <w:sz w:val="20"/>
                <w:szCs w:val="20"/>
                <w:color w:val="auto"/>
              </w:rPr>
            </w:pPr>
            <w:r>
              <w:rPr>
                <w:rFonts w:ascii="Arial" w:cs="Arial" w:eastAsia="Arial" w:hAnsi="Arial"/>
                <w:sz w:val="16"/>
                <w:szCs w:val="16"/>
                <w:color w:val="auto"/>
              </w:rPr>
              <w:t>For the six months ended June 30, 2022, the weighted average interest rate on Municipality loan was 3.00%.</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8240" w:type="dxa"/>
            <w:vAlign w:val="bottom"/>
          </w:tcPr>
          <w:p>
            <w:pPr>
              <w:spacing w:after="0"/>
              <w:rPr>
                <w:sz w:val="20"/>
                <w:szCs w:val="20"/>
                <w:color w:val="auto"/>
              </w:rPr>
            </w:pPr>
            <w:r>
              <w:rPr>
                <w:rFonts w:ascii="Arial" w:cs="Arial" w:eastAsia="Arial" w:hAnsi="Arial"/>
                <w:sz w:val="16"/>
                <w:szCs w:val="16"/>
                <w:i w:val="1"/>
                <w:iCs w:val="1"/>
                <w:color w:val="auto"/>
              </w:rPr>
              <w:t>2021</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240" w:type="dxa"/>
            <w:vAlign w:val="bottom"/>
          </w:tcPr>
          <w:p>
            <w:pPr>
              <w:ind w:left="280"/>
              <w:spacing w:after="0"/>
              <w:rPr>
                <w:sz w:val="20"/>
                <w:szCs w:val="20"/>
                <w:color w:val="auto"/>
              </w:rPr>
            </w:pPr>
            <w:r>
              <w:rPr>
                <w:rFonts w:ascii="Arial" w:cs="Arial" w:eastAsia="Arial" w:hAnsi="Arial"/>
                <w:sz w:val="16"/>
                <w:szCs w:val="16"/>
                <w:color w:val="auto"/>
              </w:rPr>
              <w:t>For the six months ended June 30, 2021, the weighted average effective interest rate for this period was 4.23%.</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240" w:type="dxa"/>
            <w:vAlign w:val="bottom"/>
          </w:tcPr>
          <w:p>
            <w:pPr>
              <w:ind w:left="280"/>
              <w:spacing w:after="0"/>
              <w:rPr>
                <w:sz w:val="20"/>
                <w:szCs w:val="20"/>
                <w:color w:val="auto"/>
              </w:rPr>
            </w:pPr>
            <w:r>
              <w:rPr>
                <w:rFonts w:ascii="Arial" w:cs="Arial" w:eastAsia="Arial" w:hAnsi="Arial"/>
                <w:sz w:val="16"/>
                <w:szCs w:val="16"/>
                <w:color w:val="auto"/>
              </w:rPr>
              <w:t>For the six months ended June 30, 2021, the interest rate on TruStar revolver credit facility was 3.34%.</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240" w:type="dxa"/>
            <w:vAlign w:val="bottom"/>
          </w:tcPr>
          <w:p>
            <w:pPr>
              <w:ind w:left="280"/>
              <w:spacing w:after="0"/>
              <w:rPr>
                <w:sz w:val="20"/>
                <w:szCs w:val="20"/>
                <w:color w:val="auto"/>
              </w:rPr>
            </w:pPr>
            <w:r>
              <w:rPr>
                <w:rFonts w:ascii="Arial" w:cs="Arial" w:eastAsia="Arial" w:hAnsi="Arial"/>
                <w:sz w:val="16"/>
                <w:szCs w:val="16"/>
                <w:color w:val="auto"/>
              </w:rPr>
              <w:t>For the six months ended June 30, 2021, the weighted average interest rate on Municipality loan was 3.00%.</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240" w:type="dxa"/>
            <w:vAlign w:val="bottom"/>
          </w:tcPr>
          <w:p>
            <w:pPr>
              <w:ind w:left="280"/>
              <w:spacing w:after="0"/>
              <w:rPr>
                <w:sz w:val="20"/>
                <w:szCs w:val="20"/>
                <w:color w:val="auto"/>
              </w:rPr>
            </w:pPr>
            <w:r>
              <w:rPr>
                <w:rFonts w:ascii="Arial" w:cs="Arial" w:eastAsia="Arial" w:hAnsi="Arial"/>
                <w:sz w:val="16"/>
                <w:szCs w:val="16"/>
                <w:color w:val="auto"/>
                <w:w w:val="93"/>
              </w:rPr>
              <w:t>The following table summarizes the Company’s total interest expense for the six months ended June 30, 2022 and 2021:</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gridSpan w:val="5"/>
          </w:tcPr>
          <w:p>
            <w:pPr>
              <w:jc w:val="right"/>
              <w:ind w:right="210"/>
              <w:spacing w:after="0"/>
              <w:rPr>
                <w:sz w:val="20"/>
                <w:szCs w:val="20"/>
                <w:color w:val="auto"/>
              </w:rPr>
            </w:pPr>
            <w:r>
              <w:rPr>
                <w:rFonts w:ascii="Arial" w:cs="Arial" w:eastAsia="Arial" w:hAnsi="Arial"/>
                <w:sz w:val="16"/>
                <w:szCs w:val="16"/>
                <w:b w:val="1"/>
                <w:bCs w:val="1"/>
                <w:color w:val="auto"/>
              </w:rPr>
              <w:t>Six Months Ended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Senior secured credit facility</w:t>
            </w:r>
          </w:p>
        </w:tc>
        <w:tc>
          <w:tcPr>
            <w:tcW w:w="4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1,440</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1,334</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40" w:type="dxa"/>
            <w:vAlign w:val="bottom"/>
          </w:tcPr>
          <w:p>
            <w:pPr>
              <w:spacing w:after="0"/>
              <w:rPr>
                <w:sz w:val="20"/>
                <w:szCs w:val="20"/>
                <w:color w:val="auto"/>
              </w:rPr>
            </w:pPr>
            <w:r>
              <w:rPr>
                <w:rFonts w:ascii="Arial" w:cs="Arial" w:eastAsia="Arial" w:hAnsi="Arial"/>
                <w:sz w:val="16"/>
                <w:szCs w:val="16"/>
                <w:color w:val="auto"/>
              </w:rPr>
              <w:t>Municipality loan</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OPAL term loan</w:t>
            </w: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1,743</w:t>
            </w: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240" w:type="dxa"/>
            <w:vAlign w:val="bottom"/>
          </w:tcPr>
          <w:p>
            <w:pPr>
              <w:spacing w:after="0" w:line="223" w:lineRule="exact"/>
              <w:rPr>
                <w:sz w:val="20"/>
                <w:szCs w:val="20"/>
                <w:color w:val="auto"/>
              </w:rPr>
            </w:pPr>
            <w:r>
              <w:rPr>
                <w:rFonts w:ascii="Arial" w:cs="Arial" w:eastAsia="Arial" w:hAnsi="Arial"/>
                <w:sz w:val="15"/>
                <w:szCs w:val="15"/>
                <w:color w:val="auto"/>
              </w:rPr>
              <w:t xml:space="preserve">Sunoma loan </w:t>
            </w:r>
            <w:r>
              <w:rPr>
                <w:rFonts w:ascii="Arial" w:cs="Arial" w:eastAsia="Arial" w:hAnsi="Arial"/>
                <w:sz w:val="25"/>
                <w:szCs w:val="25"/>
                <w:color w:val="auto"/>
                <w:vertAlign w:val="superscript"/>
              </w:rPr>
              <w:t>(1)</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911</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TruStar revolver credit facility</w:t>
            </w: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40" w:type="dxa"/>
            <w:vAlign w:val="bottom"/>
          </w:tcPr>
          <w:p>
            <w:pPr>
              <w:spacing w:after="0"/>
              <w:rPr>
                <w:sz w:val="20"/>
                <w:szCs w:val="20"/>
                <w:color w:val="auto"/>
              </w:rPr>
            </w:pPr>
            <w:r>
              <w:rPr>
                <w:rFonts w:ascii="Arial" w:cs="Arial" w:eastAsia="Arial" w:hAnsi="Arial"/>
                <w:sz w:val="16"/>
                <w:szCs w:val="16"/>
                <w:color w:val="auto"/>
              </w:rPr>
              <w:t>Convertible note payable mark-to-market</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2,110</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Commitment fees and other finance fees</w:t>
            </w: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204</w:t>
            </w: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40" w:type="dxa"/>
            <w:vAlign w:val="bottom"/>
          </w:tcPr>
          <w:p>
            <w:pPr>
              <w:spacing w:after="0"/>
              <w:rPr>
                <w:sz w:val="20"/>
                <w:szCs w:val="20"/>
                <w:color w:val="auto"/>
              </w:rPr>
            </w:pPr>
            <w:r>
              <w:rPr>
                <w:rFonts w:ascii="Arial" w:cs="Arial" w:eastAsia="Arial" w:hAnsi="Arial"/>
                <w:sz w:val="16"/>
                <w:szCs w:val="16"/>
                <w:color w:val="auto"/>
              </w:rPr>
              <w:t>Amortization of deferred financing cost</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898</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on Note receivable</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Total interest expense</w:t>
            </w: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240" w:type="dxa"/>
            <w:vAlign w:val="bottom"/>
            <w:vMerge w:val="continue"/>
          </w:tcPr>
          <w:p>
            <w:pPr>
              <w:spacing w:after="0"/>
              <w:rPr>
                <w:sz w:val="17"/>
                <w:szCs w:val="17"/>
                <w:color w:val="auto"/>
              </w:rPr>
            </w:pPr>
          </w:p>
        </w:tc>
        <w:tc>
          <w:tcPr>
            <w:tcW w:w="1200" w:type="dxa"/>
            <w:vAlign w:val="bottom"/>
            <w:gridSpan w:val="2"/>
          </w:tcPr>
          <w:p>
            <w:pPr>
              <w:jc w:val="right"/>
              <w:ind w:right="603"/>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6,408</w:t>
            </w:r>
          </w:p>
        </w:tc>
        <w:tc>
          <w:tcPr>
            <w:tcW w:w="760" w:type="dxa"/>
            <w:vAlign w:val="bottom"/>
            <w:gridSpan w:val="2"/>
          </w:tcPr>
          <w:p>
            <w:pPr>
              <w:jc w:val="right"/>
              <w:ind w:right="63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w w:val="84"/>
              </w:rPr>
              <w:t>3,305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06" w:right="20" w:hanging="306"/>
        <w:spacing w:after="0" w:line="192" w:lineRule="auto"/>
        <w:tabs>
          <w:tab w:leader="none" w:pos="306" w:val="left"/>
        </w:tabs>
        <w:numPr>
          <w:ilvl w:val="0"/>
          <w:numId w:val="114"/>
        </w:numPr>
        <w:rPr>
          <w:rFonts w:ascii="Arial" w:cs="Arial" w:eastAsia="Arial" w:hAnsi="Arial"/>
          <w:sz w:val="26"/>
          <w:szCs w:val="26"/>
          <w:color w:val="auto"/>
          <w:vertAlign w:val="superscript"/>
        </w:rPr>
      </w:pPr>
      <w:r>
        <w:rPr>
          <w:rFonts w:ascii="Arial" w:cs="Arial" w:eastAsia="Arial" w:hAnsi="Arial"/>
          <w:sz w:val="16"/>
          <w:szCs w:val="16"/>
          <w:color w:val="auto"/>
        </w:rPr>
        <w:t>The interest on the Sunoma loan was capitalized during the construction phase of the RNG facility. Sunoma became operational in December 2021. Therefore, the interest for the six months ended June 30, 2022 has been expensed.</w:t>
      </w:r>
    </w:p>
    <w:p>
      <w:pPr>
        <w:spacing w:after="0" w:line="26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8. Leases</w:t>
      </w:r>
    </w:p>
    <w:p>
      <w:pPr>
        <w:spacing w:after="0" w:line="197" w:lineRule="exact"/>
        <w:rPr>
          <w:sz w:val="20"/>
          <w:szCs w:val="20"/>
          <w:color w:val="auto"/>
        </w:rPr>
      </w:pPr>
    </w:p>
    <w:p>
      <w:pPr>
        <w:jc w:val="both"/>
        <w:ind w:left="6" w:firstLine="283"/>
        <w:spacing w:after="0" w:line="274" w:lineRule="auto"/>
        <w:rPr>
          <w:sz w:val="20"/>
          <w:szCs w:val="20"/>
          <w:color w:val="auto"/>
        </w:rPr>
      </w:pPr>
      <w:r>
        <w:rPr>
          <w:rFonts w:ascii="Arial" w:cs="Arial" w:eastAsia="Arial" w:hAnsi="Arial"/>
          <w:sz w:val="15"/>
          <w:szCs w:val="15"/>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55"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640" w:type="dxa"/>
            <w:vAlign w:val="bottom"/>
          </w:tcPr>
          <w:p>
            <w:pPr>
              <w:ind w:left="260"/>
              <w:spacing w:after="0"/>
              <w:rPr>
                <w:sz w:val="20"/>
                <w:szCs w:val="20"/>
                <w:color w:val="auto"/>
              </w:rPr>
            </w:pPr>
            <w:r>
              <w:rPr>
                <w:rFonts w:ascii="Arial" w:cs="Arial" w:eastAsia="Arial" w:hAnsi="Arial"/>
                <w:sz w:val="16"/>
                <w:szCs w:val="16"/>
                <w:color w:val="auto"/>
              </w:rPr>
              <w:t>Future minimum lease payments are as follows:</w:t>
            </w:r>
          </w:p>
        </w:tc>
        <w:tc>
          <w:tcPr>
            <w:tcW w:w="3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6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Six months ending December 31, 2022</w:t>
            </w:r>
          </w:p>
        </w:tc>
        <w:tc>
          <w:tcPr>
            <w:tcW w:w="3800" w:type="dxa"/>
            <w:vAlign w:val="bottom"/>
            <w:gridSpan w:val="2"/>
            <w:shd w:val="clear" w:color="auto" w:fill="CCEEFF"/>
          </w:tcPr>
          <w:p>
            <w:pPr>
              <w:jc w:val="right"/>
              <w:ind w:right="287"/>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Fiscal year:</w:t>
            </w:r>
          </w:p>
        </w:tc>
        <w:tc>
          <w:tcPr>
            <w:tcW w:w="3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3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2024</w:t>
            </w:r>
          </w:p>
        </w:tc>
        <w:tc>
          <w:tcPr>
            <w:tcW w:w="3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3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2026</w:t>
            </w:r>
          </w:p>
        </w:tc>
        <w:tc>
          <w:tcPr>
            <w:tcW w:w="3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Company incurred rent expense of $690 and $403 for the six months ended June 30, 2022 and 2021, respectively.</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92" w:right="31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b w:val="1"/>
          <w:bCs w:val="1"/>
          <w:color w:val="auto"/>
        </w:rPr>
        <w:t>9. Derivative Financial Instruments and Fair Value Measurements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w:t>
      </w:r>
    </w:p>
    <w:p>
      <w:pPr>
        <w:spacing w:after="0" w:line="193"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condensed consolidated statements of operations.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location and amounts of derivatives fair values in the condensed consolidated balance sheets 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88"/>
              </w:rPr>
              <w:t>Location of</w:t>
            </w:r>
          </w:p>
        </w:tc>
      </w:tr>
      <w:tr>
        <w:trPr>
          <w:trHeight w:val="188"/>
        </w:trPr>
        <w:tc>
          <w:tcPr>
            <w:tcW w:w="5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1"/>
              </w:rPr>
              <w:t>Fair Value</w:t>
            </w:r>
          </w:p>
        </w:tc>
      </w:tr>
      <w:tr>
        <w:trPr>
          <w:trHeight w:val="188"/>
        </w:trPr>
        <w:tc>
          <w:tcPr>
            <w:tcW w:w="57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8"/>
              </w:rPr>
              <w:t>December 31,</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 in</w:t>
            </w:r>
          </w:p>
        </w:tc>
      </w:tr>
      <w:tr>
        <w:trPr>
          <w:trHeight w:val="209"/>
        </w:trPr>
        <w:tc>
          <w:tcPr>
            <w:tcW w:w="5760" w:type="dxa"/>
            <w:vAlign w:val="bottom"/>
          </w:tcPr>
          <w:p>
            <w:pPr>
              <w:spacing w:after="0"/>
              <w:rPr>
                <w:sz w:val="18"/>
                <w:szCs w:val="18"/>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Balance Sheet</w:t>
            </w:r>
          </w:p>
        </w:tc>
      </w:tr>
      <w:tr>
        <w:trPr>
          <w:trHeight w:val="188"/>
        </w:trPr>
        <w:tc>
          <w:tcPr>
            <w:tcW w:w="5760" w:type="dxa"/>
            <w:vAlign w:val="bottom"/>
          </w:tcPr>
          <w:p>
            <w:pPr>
              <w:spacing w:after="0"/>
              <w:rPr>
                <w:sz w:val="20"/>
                <w:szCs w:val="20"/>
                <w:color w:val="auto"/>
              </w:rPr>
            </w:pPr>
            <w:r>
              <w:rPr>
                <w:rFonts w:ascii="Arial" w:cs="Arial" w:eastAsia="Arial" w:hAnsi="Arial"/>
                <w:sz w:val="16"/>
                <w:szCs w:val="16"/>
                <w:color w:val="auto"/>
              </w:rPr>
              <w:t>Derivatives designated as economic hedges:</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76"/>
        </w:trPr>
        <w:tc>
          <w:tcPr>
            <w:tcW w:w="57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Derivative   financial   liability,   current</w:t>
            </w:r>
          </w:p>
        </w:tc>
      </w:tr>
      <w:tr>
        <w:trPr>
          <w:trHeight w:val="232"/>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interest swaps</w:t>
            </w:r>
          </w:p>
        </w:tc>
        <w:tc>
          <w:tcPr>
            <w:tcW w:w="88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w w:val="98"/>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(992)</w:t>
            </w:r>
          </w:p>
        </w:tc>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portion</w:t>
            </w:r>
          </w:p>
        </w:tc>
      </w:tr>
      <w:tr>
        <w:trPr>
          <w:trHeight w:val="200"/>
        </w:trPr>
        <w:tc>
          <w:tcPr>
            <w:tcW w:w="57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ind w:right="72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top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Borders>
              <w:top w:val="single" w:sz="8" w:color="CCEEFF"/>
            </w:tcBorders>
            <w:gridSpan w:val="2"/>
          </w:tcPr>
          <w:p>
            <w:pPr>
              <w:jc w:val="right"/>
              <w:ind w:right="160"/>
              <w:spacing w:after="0" w:line="180" w:lineRule="exact"/>
              <w:rPr>
                <w:sz w:val="20"/>
                <w:szCs w:val="20"/>
                <w:color w:val="auto"/>
              </w:rPr>
            </w:pPr>
            <w:r>
              <w:rPr>
                <w:rFonts w:ascii="Arial" w:cs="Arial" w:eastAsia="Arial" w:hAnsi="Arial"/>
                <w:sz w:val="16"/>
                <w:szCs w:val="16"/>
                <w:color w:val="auto"/>
                <w:w w:val="74"/>
              </w:rPr>
              <w:t>)</w:t>
            </w:r>
          </w:p>
        </w:tc>
        <w:tc>
          <w:tcPr>
            <w:tcW w:w="2820" w:type="dxa"/>
            <w:vAlign w:val="bottom"/>
            <w:tcBorders>
              <w:top w:val="single" w:sz="8" w:color="CCEEFF"/>
            </w:tcBorders>
          </w:tcPr>
          <w:p>
            <w:pPr>
              <w:spacing w:after="0"/>
              <w:rPr>
                <w:sz w:val="17"/>
                <w:szCs w:val="17"/>
                <w:color w:val="auto"/>
              </w:rPr>
            </w:pPr>
          </w:p>
        </w:tc>
      </w:tr>
      <w:tr>
        <w:trPr>
          <w:trHeight w:val="20"/>
        </w:trPr>
        <w:tc>
          <w:tcPr>
            <w:tcW w:w="5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effect of derivative instruments on the condensed consolidated statement of operations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88"/>
              </w:rPr>
              <w:t>Location of</w:t>
            </w:r>
          </w:p>
        </w:tc>
      </w:tr>
      <w:tr>
        <w:trPr>
          <w:trHeight w:val="188"/>
        </w:trPr>
        <w:tc>
          <w:tcPr>
            <w:tcW w:w="5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88"/>
              </w:rPr>
              <w:t>(Loss) Gain</w:t>
            </w:r>
          </w:p>
        </w:tc>
      </w:tr>
      <w:tr>
        <w:trPr>
          <w:trHeight w:val="188"/>
        </w:trPr>
        <w:tc>
          <w:tcPr>
            <w:tcW w:w="5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 in</w:t>
            </w:r>
          </w:p>
        </w:tc>
      </w:tr>
      <w:tr>
        <w:trPr>
          <w:trHeight w:val="188"/>
        </w:trPr>
        <w:tc>
          <w:tcPr>
            <w:tcW w:w="5760" w:type="dxa"/>
            <w:vAlign w:val="bottom"/>
          </w:tcPr>
          <w:p>
            <w:pPr>
              <w:spacing w:after="0"/>
              <w:rPr>
                <w:sz w:val="16"/>
                <w:szCs w:val="16"/>
                <w:color w:val="auto"/>
              </w:rPr>
            </w:pPr>
          </w:p>
        </w:tc>
        <w:tc>
          <w:tcPr>
            <w:tcW w:w="2120" w:type="dxa"/>
            <w:vAlign w:val="bottom"/>
            <w:gridSpan w:val="4"/>
          </w:tcPr>
          <w:p>
            <w:pPr>
              <w:jc w:val="right"/>
              <w:ind w:right="205"/>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87"/>
              </w:rPr>
              <w:t>Operations</w:t>
            </w:r>
          </w:p>
        </w:tc>
      </w:tr>
      <w:tr>
        <w:trPr>
          <w:trHeight w:val="209"/>
        </w:trPr>
        <w:tc>
          <w:tcPr>
            <w:tcW w:w="57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545"/>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from Derivatives</w:t>
            </w:r>
          </w:p>
        </w:tc>
      </w:tr>
      <w:tr>
        <w:trPr>
          <w:trHeight w:val="204"/>
        </w:trPr>
        <w:tc>
          <w:tcPr>
            <w:tcW w:w="57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88"/>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780" w:type="dxa"/>
            <w:vAlign w:val="bottom"/>
            <w:shd w:val="clear" w:color="auto" w:fill="CCEEFF"/>
          </w:tcPr>
          <w:p>
            <w:pPr>
              <w:jc w:val="right"/>
              <w:ind w:right="624"/>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204"/>
        </w:trPr>
        <w:tc>
          <w:tcPr>
            <w:tcW w:w="5760" w:type="dxa"/>
            <w:vAlign w:val="bottom"/>
          </w:tcPr>
          <w:p>
            <w:pPr>
              <w:spacing w:after="0"/>
              <w:rPr>
                <w:sz w:val="20"/>
                <w:szCs w:val="20"/>
                <w:color w:val="auto"/>
              </w:rPr>
            </w:pPr>
            <w:r>
              <w:rPr>
                <w:rFonts w:ascii="Arial" w:cs="Arial" w:eastAsia="Arial" w:hAnsi="Arial"/>
                <w:sz w:val="16"/>
                <w:szCs w:val="16"/>
                <w:color w:val="auto"/>
              </w:rPr>
              <w:t>Net periodic settlements</w:t>
            </w:r>
          </w:p>
        </w:tc>
        <w:tc>
          <w:tcPr>
            <w:tcW w:w="7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(954)</w:t>
            </w:r>
          </w:p>
        </w:tc>
        <w:tc>
          <w:tcPr>
            <w:tcW w:w="78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64"/>
        </w:trPr>
        <w:tc>
          <w:tcPr>
            <w:tcW w:w="57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920" w:type="dxa"/>
            <w:vAlign w:val="bottom"/>
            <w:tcBorders>
              <w:top w:val="single" w:sz="8" w:color="CCEEFF"/>
            </w:tcBorders>
            <w:gridSpan w:val="2"/>
            <w:shd w:val="clear" w:color="auto" w:fill="CCEEFF"/>
          </w:tcPr>
          <w:p>
            <w:pPr>
              <w:jc w:val="center"/>
              <w:spacing w:after="0" w:line="165" w:lineRule="exact"/>
              <w:rPr>
                <w:sz w:val="20"/>
                <w:szCs w:val="20"/>
                <w:color w:val="auto"/>
              </w:rPr>
            </w:pPr>
            <w:r>
              <w:rPr>
                <w:rFonts w:ascii="Arial" w:cs="Arial" w:eastAsia="Arial" w:hAnsi="Arial"/>
                <w:sz w:val="16"/>
                <w:szCs w:val="16"/>
                <w:color w:val="auto"/>
                <w:w w:val="87"/>
              </w:rPr>
              <w:t>Realized and unrealized gain on interest rate</w:t>
            </w:r>
          </w:p>
        </w:tc>
      </w:tr>
      <w:tr>
        <w:trPr>
          <w:trHeight w:val="240"/>
        </w:trPr>
        <w:tc>
          <w:tcPr>
            <w:tcW w:w="57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2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line="236" w:lineRule="exact"/>
              <w:rPr>
                <w:sz w:val="20"/>
                <w:szCs w:val="20"/>
                <w:color w:val="auto"/>
              </w:rPr>
            </w:pPr>
            <w:r>
              <w:rPr>
                <w:rFonts w:ascii="Arial" w:cs="Arial" w:eastAsia="Arial" w:hAnsi="Arial"/>
                <w:sz w:val="14"/>
                <w:szCs w:val="14"/>
                <w:color w:val="auto"/>
              </w:rPr>
              <w:t>(328</w:t>
            </w:r>
            <w:r>
              <w:rPr>
                <w:rFonts w:ascii="Arial" w:cs="Arial" w:eastAsia="Arial" w:hAnsi="Arial"/>
                <w:sz w:val="27"/>
                <w:szCs w:val="27"/>
                <w:color w:val="auto"/>
                <w:vertAlign w:val="superscript"/>
              </w:rPr>
              <w:t>)</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380" w:type="dxa"/>
            <w:vAlign w:val="bottom"/>
            <w:gridSpan w:val="4"/>
            <w:shd w:val="clear" w:color="auto" w:fill="CCEEFF"/>
          </w:tcPr>
          <w:p>
            <w:pPr>
              <w:ind w:left="140"/>
              <w:spacing w:after="0" w:line="236" w:lineRule="exact"/>
              <w:rPr>
                <w:sz w:val="20"/>
                <w:szCs w:val="20"/>
                <w:color w:val="auto"/>
              </w:rPr>
            </w:pPr>
            <w:r>
              <w:rPr>
                <w:rFonts w:ascii="Arial" w:cs="Arial" w:eastAsia="Arial" w:hAnsi="Arial"/>
                <w:sz w:val="27"/>
                <w:szCs w:val="27"/>
                <w:color w:val="auto"/>
                <w:vertAlign w:val="subscript"/>
              </w:rPr>
              <w:t>(17</w:t>
            </w:r>
            <w:r>
              <w:rPr>
                <w:rFonts w:ascii="Arial" w:cs="Arial" w:eastAsia="Arial" w:hAnsi="Arial"/>
                <w:sz w:val="14"/>
                <w:szCs w:val="14"/>
                <w:color w:val="auto"/>
              </w:rPr>
              <w:t>)  swaps, net</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 have been reflected in the fair value of financial derivative instruments. There are no credit-risk-related contingent features that could be triggered in derivative financial instruments that are in a liability position.</w:t>
      </w:r>
    </w:p>
    <w:p>
      <w:pPr>
        <w:spacing w:after="0" w:line="155" w:lineRule="exact"/>
        <w:rPr>
          <w:sz w:val="20"/>
          <w:szCs w:val="20"/>
          <w:color w:val="auto"/>
        </w:rPr>
      </w:pPr>
    </w:p>
    <w:p>
      <w:pPr>
        <w:jc w:val="both"/>
        <w:ind w:right="20" w:firstLine="283"/>
        <w:spacing w:after="0" w:line="300" w:lineRule="auto"/>
        <w:rPr>
          <w:sz w:val="20"/>
          <w:szCs w:val="20"/>
          <w:color w:val="auto"/>
        </w:rPr>
      </w:pPr>
      <w:r>
        <w:rPr>
          <w:rFonts w:ascii="Arial" w:cs="Arial" w:eastAsia="Arial" w:hAnsi="Arial"/>
          <w:sz w:val="15"/>
          <w:szCs w:val="15"/>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134"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The following tables summarize the fair value of derivative instruments on the Company’s condensed consolidated balance sheets and the effect of netting arrangements and collateral on its financial position: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Net Amounts</w:t>
            </w: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left="123"/>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of</w:t>
            </w: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2"/>
              </w:rPr>
              <w:t>Gross</w:t>
            </w:r>
          </w:p>
        </w:tc>
        <w:tc>
          <w:tcPr>
            <w:tcW w:w="920" w:type="dxa"/>
            <w:vAlign w:val="bottom"/>
          </w:tcPr>
          <w:p>
            <w:pPr>
              <w:jc w:val="center"/>
              <w:ind w:left="123"/>
              <w:spacing w:after="0"/>
              <w:rPr>
                <w:sz w:val="20"/>
                <w:szCs w:val="20"/>
                <w:color w:val="auto"/>
              </w:rPr>
            </w:pPr>
            <w:r>
              <w:rPr>
                <w:rFonts w:ascii="Arial" w:cs="Arial" w:eastAsia="Arial" w:hAnsi="Arial"/>
                <w:sz w:val="16"/>
                <w:szCs w:val="16"/>
                <w:b w:val="1"/>
                <w:bCs w:val="1"/>
                <w:color w:val="auto"/>
                <w:w w:val="86"/>
              </w:rPr>
              <w:t>Amounts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Assets/</w:t>
            </w: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Amounts</w:t>
            </w:r>
          </w:p>
        </w:tc>
        <w:tc>
          <w:tcPr>
            <w:tcW w:w="920" w:type="dxa"/>
            <w:vAlign w:val="bottom"/>
          </w:tcPr>
          <w:p>
            <w:pPr>
              <w:jc w:val="center"/>
              <w:ind w:left="63"/>
              <w:spacing w:after="0"/>
              <w:rPr>
                <w:sz w:val="20"/>
                <w:szCs w:val="20"/>
                <w:color w:val="auto"/>
              </w:rPr>
            </w:pPr>
            <w:r>
              <w:rPr>
                <w:rFonts w:ascii="Arial" w:cs="Arial" w:eastAsia="Arial" w:hAnsi="Arial"/>
                <w:sz w:val="16"/>
                <w:szCs w:val="16"/>
                <w:b w:val="1"/>
                <w:bCs w:val="1"/>
                <w:color w:val="auto"/>
                <w:w w:val="89"/>
              </w:rPr>
              <w:t>Offset in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(Liabilities)</w:t>
            </w: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of Recognized</w:t>
            </w:r>
          </w:p>
        </w:tc>
        <w:tc>
          <w:tcPr>
            <w:tcW w:w="920" w:type="dxa"/>
            <w:vAlign w:val="bottom"/>
          </w:tcPr>
          <w:p>
            <w:pPr>
              <w:jc w:val="center"/>
              <w:ind w:left="123"/>
              <w:spacing w:after="0"/>
              <w:rPr>
                <w:sz w:val="20"/>
                <w:szCs w:val="20"/>
                <w:color w:val="auto"/>
              </w:rPr>
            </w:pPr>
            <w:r>
              <w:rPr>
                <w:rFonts w:ascii="Arial" w:cs="Arial" w:eastAsia="Arial" w:hAnsi="Arial"/>
                <w:sz w:val="16"/>
                <w:szCs w:val="16"/>
                <w:b w:val="1"/>
                <w:bCs w:val="1"/>
                <w:color w:val="auto"/>
                <w:w w:val="83"/>
              </w:rPr>
              <w:t>the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in the</w:t>
            </w: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0"/>
              </w:rPr>
              <w:t>Assets/</w:t>
            </w:r>
          </w:p>
        </w:tc>
        <w:tc>
          <w:tcPr>
            <w:tcW w:w="920" w:type="dxa"/>
            <w:vAlign w:val="bottom"/>
          </w:tcPr>
          <w:p>
            <w:pPr>
              <w:jc w:val="center"/>
              <w:ind w:left="123"/>
              <w:spacing w:after="0"/>
              <w:rPr>
                <w:sz w:val="20"/>
                <w:szCs w:val="20"/>
                <w:color w:val="auto"/>
              </w:rPr>
            </w:pPr>
            <w:r>
              <w:rPr>
                <w:rFonts w:ascii="Arial" w:cs="Arial" w:eastAsia="Arial" w:hAnsi="Arial"/>
                <w:sz w:val="16"/>
                <w:szCs w:val="16"/>
                <w:b w:val="1"/>
                <w:bCs w:val="1"/>
                <w:color w:val="auto"/>
                <w:w w:val="84"/>
              </w:rPr>
              <w:t>Balance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Balance</w:t>
            </w:r>
          </w:p>
        </w:tc>
      </w:tr>
      <w:tr>
        <w:trPr>
          <w:trHeight w:val="209"/>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(Liabilities)</w:t>
            </w:r>
          </w:p>
        </w:tc>
        <w:tc>
          <w:tcPr>
            <w:tcW w:w="920" w:type="dxa"/>
            <w:vAlign w:val="bottom"/>
          </w:tcPr>
          <w:p>
            <w:pPr>
              <w:jc w:val="center"/>
              <w:ind w:left="123"/>
              <w:spacing w:after="0"/>
              <w:rPr>
                <w:sz w:val="20"/>
                <w:szCs w:val="20"/>
                <w:color w:val="auto"/>
              </w:rPr>
            </w:pPr>
            <w:r>
              <w:rPr>
                <w:rFonts w:ascii="Arial" w:cs="Arial" w:eastAsia="Arial" w:hAnsi="Arial"/>
                <w:sz w:val="16"/>
                <w:szCs w:val="16"/>
                <w:b w:val="1"/>
                <w:bCs w:val="1"/>
                <w:color w:val="auto"/>
                <w:w w:val="82"/>
              </w:rPr>
              <w:t>Sheet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Sheet</w:t>
            </w:r>
          </w:p>
        </w:tc>
      </w:tr>
      <w:tr>
        <w:trPr>
          <w:trHeight w:val="188"/>
        </w:trPr>
        <w:tc>
          <w:tcPr>
            <w:tcW w:w="7320" w:type="dxa"/>
            <w:vAlign w:val="bottom"/>
          </w:tcPr>
          <w:p>
            <w:pPr>
              <w:spacing w:after="0"/>
              <w:rPr>
                <w:sz w:val="20"/>
                <w:szCs w:val="20"/>
                <w:color w:val="auto"/>
              </w:rPr>
            </w:pPr>
            <w:r>
              <w:rPr>
                <w:rFonts w:ascii="Arial" w:cs="Arial" w:eastAsia="Arial" w:hAnsi="Arial"/>
                <w:sz w:val="16"/>
                <w:szCs w:val="16"/>
                <w:b w:val="1"/>
                <w:bCs w:val="1"/>
                <w:color w:val="auto"/>
              </w:rPr>
              <w:t>Balance, June 30, 2022:</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swap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w:t>
            </w:r>
          </w:p>
        </w:tc>
        <w:tc>
          <w:tcPr>
            <w:tcW w:w="92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r>
      <w:tr>
        <w:trPr>
          <w:trHeight w:val="188"/>
        </w:trPr>
        <w:tc>
          <w:tcPr>
            <w:tcW w:w="7320" w:type="dxa"/>
            <w:vAlign w:val="bottom"/>
          </w:tcPr>
          <w:p>
            <w:pPr>
              <w:spacing w:after="0"/>
              <w:rPr>
                <w:sz w:val="20"/>
                <w:szCs w:val="20"/>
                <w:color w:val="auto"/>
              </w:rPr>
            </w:pPr>
            <w:r>
              <w:rPr>
                <w:rFonts w:ascii="Arial" w:cs="Arial" w:eastAsia="Arial" w:hAnsi="Arial"/>
                <w:sz w:val="16"/>
                <w:szCs w:val="16"/>
                <w:b w:val="1"/>
                <w:bCs w:val="1"/>
                <w:color w:val="auto"/>
              </w:rPr>
              <w:t>Balance, December 31, 2021: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swap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(992)</w:t>
            </w:r>
          </w:p>
        </w:tc>
        <w:tc>
          <w:tcPr>
            <w:tcW w:w="92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(992)</w:t>
            </w:r>
          </w:p>
        </w:tc>
      </w:tr>
      <w:tr>
        <w:trPr>
          <w:trHeight w:val="376"/>
        </w:trPr>
        <w:tc>
          <w:tcPr>
            <w:tcW w:w="7320" w:type="dxa"/>
            <w:vAlign w:val="bottom"/>
          </w:tcPr>
          <w:p>
            <w:pPr>
              <w:ind w:left="280"/>
              <w:spacing w:after="0"/>
              <w:rPr>
                <w:sz w:val="20"/>
                <w:szCs w:val="20"/>
                <w:color w:val="auto"/>
              </w:rPr>
            </w:pPr>
            <w:r>
              <w:rPr>
                <w:rFonts w:ascii="Arial" w:cs="Arial" w:eastAsia="Arial" w:hAnsi="Arial"/>
                <w:sz w:val="16"/>
                <w:szCs w:val="16"/>
                <w:color w:val="auto"/>
              </w:rPr>
              <w:t>There were no collateral balances with counterparties outstanding as of the period-end dates.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6"/>
        </w:trPr>
        <w:tc>
          <w:tcPr>
            <w:tcW w:w="7320" w:type="dxa"/>
            <w:vAlign w:val="bottom"/>
            <w:tcBorders>
              <w:bottom w:val="single" w:sz="8" w:color="auto"/>
            </w:tcBorders>
          </w:tcPr>
          <w:p>
            <w:pPr>
              <w:ind w:left="5480"/>
              <w:spacing w:after="0"/>
              <w:rPr>
                <w:sz w:val="20"/>
                <w:szCs w:val="20"/>
                <w:color w:val="auto"/>
              </w:rPr>
            </w:pPr>
            <w:r>
              <w:rPr>
                <w:rFonts w:ascii="Arial" w:cs="Arial" w:eastAsia="Arial" w:hAnsi="Arial"/>
                <w:sz w:val="16"/>
                <w:szCs w:val="16"/>
                <w:color w:val="auto"/>
              </w:rPr>
              <w:t>F-62</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202" w:name="page203"/>
    <w:bookmarkEnd w:id="202"/>
    <w:p>
      <w:pPr>
        <w:spacing w:after="0"/>
        <w:rPr>
          <w:sz w:val="20"/>
          <w:szCs w:val="20"/>
          <w:color w:val="auto"/>
        </w:rPr>
      </w:pPr>
      <w:r>
        <w:rPr>
          <w:rFonts w:ascii="Arial" w:cs="Arial" w:eastAsia="Arial" w:hAnsi="Arial"/>
          <w:sz w:val="16"/>
          <w:szCs w:val="16"/>
          <w:b w:val="1"/>
          <w:bCs w:val="1"/>
          <w:i w:val="1"/>
          <w:iCs w:val="1"/>
          <w:color w:val="auto"/>
        </w:rPr>
        <w:t>Commodity swap contracts</w:t>
      </w:r>
    </w:p>
    <w:p>
      <w:pPr>
        <w:spacing w:after="0" w:line="193" w:lineRule="exact"/>
        <w:rPr>
          <w:sz w:val="20"/>
          <w:szCs w:val="20"/>
          <w:color w:val="auto"/>
        </w:rPr>
      </w:pPr>
    </w:p>
    <w:p>
      <w:pPr>
        <w:jc w:val="both"/>
        <w:ind w:firstLine="283"/>
        <w:spacing w:after="0" w:line="315" w:lineRule="auto"/>
        <w:rPr>
          <w:sz w:val="20"/>
          <w:szCs w:val="20"/>
          <w:color w:val="auto"/>
        </w:rPr>
      </w:pPr>
      <w:r>
        <w:rPr>
          <w:rFonts w:ascii="Arial" w:cs="Arial" w:eastAsia="Arial" w:hAnsi="Arial"/>
          <w:sz w:val="13"/>
          <w:szCs w:val="13"/>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the contract price causing loss of higher revenues.</w:t>
      </w:r>
    </w:p>
    <w:p>
      <w:pPr>
        <w:spacing w:after="0" w:line="32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In December 2018, the Company signed an amendment that converted an existing power purchase agreement (“</w:t>
      </w:r>
      <w:r>
        <w:rPr>
          <w:rFonts w:ascii="Arial" w:cs="Arial" w:eastAsia="Arial" w:hAnsi="Arial"/>
          <w:sz w:val="16"/>
          <w:szCs w:val="16"/>
          <w:b w:val="1"/>
          <w:bCs w:val="1"/>
          <w:i w:val="1"/>
          <w:iCs w:val="1"/>
          <w:color w:val="auto"/>
        </w:rPr>
        <w:t>PPA</w:t>
      </w:r>
      <w:r>
        <w:rPr>
          <w:rFonts w:ascii="Arial" w:cs="Arial" w:eastAsia="Arial" w:hAnsi="Arial"/>
          <w:sz w:val="16"/>
          <w:szCs w:val="16"/>
          <w:color w:val="auto"/>
        </w:rPr>
        <w:t>”)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69"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following table summarizes the commodity swaps in place as of June 30, 2022 and December 31, 2021. There were no new commodity swap contracts entered in the six months ended June 30,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Notional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Average</w:t>
            </w:r>
          </w:p>
        </w:tc>
      </w:tr>
      <w:tr>
        <w:trPr>
          <w:trHeight w:val="188"/>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Quantity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Contract</w:t>
            </w:r>
          </w:p>
        </w:tc>
      </w:tr>
      <w:tr>
        <w:trPr>
          <w:trHeight w:val="188"/>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Period</w:t>
            </w:r>
          </w:p>
        </w:tc>
        <w:tc>
          <w:tcPr>
            <w:tcW w:w="2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Period</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per Year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Price</w:t>
            </w:r>
          </w:p>
        </w:tc>
      </w:tr>
      <w:tr>
        <w:trPr>
          <w:trHeight w:val="209"/>
        </w:trPr>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Trade Date</w:t>
            </w:r>
          </w:p>
        </w:tc>
        <w:tc>
          <w:tcPr>
            <w:tcW w:w="2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From</w:t>
            </w: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To</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(“MWh”)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(per MWh)</w:t>
            </w:r>
          </w:p>
        </w:tc>
      </w:tr>
      <w:tr>
        <w:trPr>
          <w:trHeight w:val="188"/>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14, 2018</w:t>
            </w:r>
          </w:p>
        </w:tc>
        <w:tc>
          <w:tcPr>
            <w:tcW w:w="12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January 1, 2019</w:t>
            </w:r>
          </w:p>
        </w:tc>
        <w:tc>
          <w:tcPr>
            <w:tcW w:w="12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September 30, 2022</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79"/>
              </w:rPr>
              <w:t>66.12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3960" w:type="dxa"/>
            <w:vAlign w:val="bottom"/>
            <w:gridSpan w:val="2"/>
          </w:tcPr>
          <w:p>
            <w:pPr>
              <w:spacing w:after="0"/>
              <w:rPr>
                <w:sz w:val="20"/>
                <w:szCs w:val="20"/>
                <w:color w:val="auto"/>
              </w:rPr>
            </w:pPr>
            <w:r>
              <w:rPr>
                <w:rFonts w:ascii="Arial" w:cs="Arial" w:eastAsia="Arial" w:hAnsi="Arial"/>
                <w:sz w:val="16"/>
                <w:szCs w:val="16"/>
                <w:color w:val="auto"/>
              </w:rPr>
              <w:t>October 28, 2021</w:t>
            </w:r>
          </w:p>
        </w:tc>
        <w:tc>
          <w:tcPr>
            <w:tcW w:w="2380" w:type="dxa"/>
            <w:vAlign w:val="bottom"/>
            <w:gridSpan w:val="2"/>
          </w:tcPr>
          <w:p>
            <w:pPr>
              <w:ind w:left="40"/>
              <w:spacing w:after="0"/>
              <w:rPr>
                <w:sz w:val="20"/>
                <w:szCs w:val="20"/>
                <w:color w:val="auto"/>
              </w:rPr>
            </w:pPr>
            <w:r>
              <w:rPr>
                <w:rFonts w:ascii="Arial" w:cs="Arial" w:eastAsia="Arial" w:hAnsi="Arial"/>
                <w:sz w:val="16"/>
                <w:szCs w:val="16"/>
                <w:color w:val="auto"/>
              </w:rPr>
              <w:t>November 1, 2021</w:t>
            </w: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December 31, 2022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30,660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640"/>
              <w:spacing w:after="0"/>
              <w:rPr>
                <w:sz w:val="20"/>
                <w:szCs w:val="20"/>
                <w:color w:val="auto"/>
              </w:rPr>
            </w:pPr>
            <w:r>
              <w:rPr>
                <w:rFonts w:ascii="Arial" w:cs="Arial" w:eastAsia="Arial" w:hAnsi="Arial"/>
                <w:sz w:val="16"/>
                <w:szCs w:val="16"/>
                <w:color w:val="auto"/>
              </w:rPr>
              <w:t>48.75</w:t>
            </w:r>
          </w:p>
        </w:tc>
      </w:tr>
      <w:tr>
        <w:trPr>
          <w:trHeight w:val="188"/>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27, 2021</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1, 2022</w:t>
            </w:r>
          </w:p>
        </w:tc>
        <w:tc>
          <w:tcPr>
            <w:tcW w:w="2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31, 2022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50.75</w:t>
            </w: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following table summarizes the effect of commodity swaps on the condensed consolidated statements of operations for the six months ended June 30, 2022 and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7"/>
          </w:tcPr>
          <w:p>
            <w:pPr>
              <w:jc w:val="right"/>
              <w:ind w:right="66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85"/>
              </w:rPr>
              <w:t>Location of (loss) gain recognized</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Commodity swaps - realized loss</w:t>
            </w:r>
          </w:p>
        </w:tc>
        <w:tc>
          <w:tcPr>
            <w:tcW w:w="1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Revenues - Renewable power</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20"/>
                <w:szCs w:val="20"/>
                <w:color w:val="auto"/>
              </w:rPr>
            </w:pPr>
            <w:r>
              <w:rPr>
                <w:rFonts w:ascii="Arial" w:cs="Arial" w:eastAsia="Arial" w:hAnsi="Arial"/>
                <w:sz w:val="16"/>
                <w:szCs w:val="16"/>
                <w:color w:val="auto"/>
              </w:rPr>
              <w:t>Commodity swaps - unrealized loss</w:t>
            </w: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6"/>
                <w:szCs w:val="16"/>
                <w:color w:val="auto"/>
              </w:rPr>
              <w:t>Revenues - Renewable power</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6"/>
                <w:szCs w:val="16"/>
                <w:color w:val="auto"/>
              </w:rPr>
              <w:t>(936)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realized and unrealized loss</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 - Renewable power</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(1,123</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140" w:type="dxa"/>
            <w:vAlign w:val="bottom"/>
            <w:gridSpan w:val="3"/>
            <w:vMerge w:val="restart"/>
          </w:tcPr>
          <w:p>
            <w:pPr>
              <w:ind w:left="1060"/>
              <w:spacing w:after="0"/>
              <w:rPr>
                <w:sz w:val="20"/>
                <w:szCs w:val="20"/>
                <w:color w:val="auto"/>
              </w:rPr>
            </w:pPr>
            <w:r>
              <w:rPr>
                <w:rFonts w:ascii="Arial" w:cs="Arial" w:eastAsia="Arial" w:hAnsi="Arial"/>
                <w:sz w:val="16"/>
                <w:szCs w:val="16"/>
                <w:color w:val="auto"/>
              </w:rPr>
              <w:t>F-63</w:t>
            </w: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92" w:right="319"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540" w:type="dxa"/>
            <w:vAlign w:val="bottom"/>
            <w:gridSpan w:val="8"/>
          </w:tcPr>
          <w:p>
            <w:pPr>
              <w:ind w:left="260"/>
              <w:spacing w:after="0"/>
              <w:rPr>
                <w:sz w:val="20"/>
                <w:szCs w:val="20"/>
                <w:color w:val="auto"/>
              </w:rPr>
            </w:pPr>
            <w:r>
              <w:rPr>
                <w:rFonts w:ascii="Arial" w:cs="Arial" w:eastAsia="Arial" w:hAnsi="Arial"/>
                <w:sz w:val="16"/>
                <w:szCs w:val="16"/>
                <w:color w:val="auto"/>
                <w:w w:val="92"/>
              </w:rPr>
              <w:t>The following table summarizes the derivative assets and liabilities related to commodity swaps as of June 30, 2022 and December 31, 2021:</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Location of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Fair value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40" w:type="dxa"/>
            <w:vAlign w:val="bottom"/>
            <w:gridSpan w:val="6"/>
          </w:tcPr>
          <w:p>
            <w:pPr>
              <w:ind w:left="40"/>
              <w:spacing w:after="0"/>
              <w:rPr>
                <w:sz w:val="20"/>
                <w:szCs w:val="20"/>
                <w:color w:val="auto"/>
              </w:rPr>
            </w:pPr>
            <w:r>
              <w:rPr>
                <w:rFonts w:ascii="Arial" w:cs="Arial" w:eastAsia="Arial" w:hAnsi="Arial"/>
                <w:sz w:val="16"/>
                <w:szCs w:val="16"/>
                <w:b w:val="1"/>
                <w:bCs w:val="1"/>
                <w:color w:val="auto"/>
              </w:rPr>
              <w:t>Fair Value</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recognized in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4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June 30,</w:t>
            </w: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2"/>
              <w:spacing w:after="0" w:line="172" w:lineRule="exact"/>
              <w:rPr>
                <w:sz w:val="20"/>
                <w:szCs w:val="20"/>
                <w:color w:val="auto"/>
              </w:rPr>
            </w:pPr>
            <w:r>
              <w:rPr>
                <w:rFonts w:ascii="Arial" w:cs="Arial" w:eastAsia="Arial" w:hAnsi="Arial"/>
                <w:sz w:val="16"/>
                <w:szCs w:val="16"/>
                <w:b w:val="1"/>
                <w:bCs w:val="1"/>
                <w:color w:val="auto"/>
                <w:w w:val="88"/>
              </w:rPr>
              <w:t>December 31,</w:t>
            </w:r>
          </w:p>
        </w:tc>
        <w:tc>
          <w:tcPr>
            <w:tcW w:w="200" w:type="dxa"/>
            <w:vAlign w:val="bottom"/>
          </w:tcPr>
          <w:p>
            <w:pPr>
              <w:spacing w:after="0"/>
              <w:rPr>
                <w:sz w:val="14"/>
                <w:szCs w:val="14"/>
                <w:color w:val="auto"/>
              </w:rPr>
            </w:pPr>
          </w:p>
        </w:tc>
        <w:tc>
          <w:tcPr>
            <w:tcW w:w="170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7"/>
              </w:rPr>
              <w:t>Balance</w:t>
            </w:r>
          </w:p>
        </w:tc>
        <w:tc>
          <w:tcPr>
            <w:tcW w:w="0" w:type="dxa"/>
            <w:vAlign w:val="bottom"/>
          </w:tcPr>
          <w:p>
            <w:pPr>
              <w:spacing w:after="0"/>
              <w:rPr>
                <w:sz w:val="1"/>
                <w:szCs w:val="1"/>
                <w:color w:val="auto"/>
              </w:rPr>
            </w:pPr>
          </w:p>
        </w:tc>
      </w:tr>
      <w:tr>
        <w:trPr>
          <w:trHeight w:val="209"/>
        </w:trPr>
        <w:tc>
          <w:tcPr>
            <w:tcW w:w="7720" w:type="dxa"/>
            <w:vAlign w:val="bottom"/>
            <w:gridSpan w:val="3"/>
          </w:tcPr>
          <w:p>
            <w:pPr>
              <w:jc w:val="right"/>
              <w:ind w:right="42"/>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187"/>
        </w:trPr>
        <w:tc>
          <w:tcPr>
            <w:tcW w:w="6880" w:type="dxa"/>
            <w:vAlign w:val="bottom"/>
            <w:gridSpan w:val="2"/>
          </w:tcPr>
          <w:p>
            <w:pPr>
              <w:spacing w:after="0"/>
              <w:rPr>
                <w:sz w:val="20"/>
                <w:szCs w:val="20"/>
                <w:color w:val="auto"/>
              </w:rPr>
            </w:pPr>
            <w:r>
              <w:rPr>
                <w:rFonts w:ascii="Arial" w:cs="Arial" w:eastAsia="Arial" w:hAnsi="Arial"/>
                <w:sz w:val="16"/>
                <w:szCs w:val="16"/>
                <w:color w:val="auto"/>
              </w:rPr>
              <w:t>Derivatives designated as economic hedges</w:t>
            </w: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0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Current portion of unrealized gain on commodity swaps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77" w:lineRule="exact"/>
              <w:rPr>
                <w:sz w:val="20"/>
                <w:szCs w:val="20"/>
                <w:color w:val="auto"/>
              </w:rPr>
            </w:pPr>
            <w:r>
              <w:rPr>
                <w:rFonts w:ascii="Arial" w:cs="Arial" w:eastAsia="Arial" w:hAnsi="Arial"/>
                <w:sz w:val="16"/>
                <w:szCs w:val="16"/>
                <w:color w:val="auto"/>
                <w:w w:val="90"/>
              </w:rPr>
              <w:t>Derivative financial asset,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00" w:type="dxa"/>
            <w:vAlign w:val="bottom"/>
            <w:gridSpan w:val="2"/>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382</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Current portion of unrealized loss on commodity swaps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Derivative financial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00" w:type="dxa"/>
            <w:vAlign w:val="bottom"/>
            <w:gridSpan w:val="2"/>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5"/>
              </w:rPr>
              <w:t>(554)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liability, current portion</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9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65"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carrying value of the Company’s long-term debt of $140,302 and $134,083 as of June 30, 2022 and December 31, 2021, respectively, represents the total amount to be repaid if the debt has to be discharged in full and therefore approximates its fair value.</w:t>
      </w:r>
    </w:p>
    <w:p>
      <w:pPr>
        <w:spacing w:after="0" w:line="15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 xml:space="preserve">The Company follows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regarding fair value measurements which establishes a three-tier fair value hierarchy and prioritizes the inputs used in valuation techniques that measure fair value. These tiers include: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1 — defined as observable inputs such as quoted prices for identical instruments in active markets;</w:t>
      </w:r>
    </w:p>
    <w:p>
      <w:pPr>
        <w:spacing w:after="0" w:line="193" w:lineRule="exact"/>
        <w:rPr>
          <w:sz w:val="20"/>
          <w:szCs w:val="20"/>
          <w:color w:val="auto"/>
        </w:rPr>
      </w:pPr>
    </w:p>
    <w:p>
      <w:pPr>
        <w:ind w:left="280" w:right="20"/>
        <w:spacing w:after="0" w:line="266" w:lineRule="auto"/>
        <w:rPr>
          <w:sz w:val="20"/>
          <w:szCs w:val="20"/>
          <w:color w:val="auto"/>
        </w:rPr>
      </w:pPr>
      <w:r>
        <w:rPr>
          <w:rFonts w:ascii="Arial" w:cs="Arial" w:eastAsia="Arial" w:hAnsi="Arial"/>
          <w:sz w:val="16"/>
          <w:szCs w:val="16"/>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3 — defined as unobservable inputs in which little or no market data exists, therefore requiring an entity to develop its own assumptions.</w:t>
      </w:r>
    </w:p>
    <w:p>
      <w:pPr>
        <w:spacing w:after="0" w:line="193"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65"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204" w:name="page205"/>
    <w:bookmarkEnd w:id="204"/>
    <w:p>
      <w:pPr>
        <w:jc w:val="both"/>
        <w:ind w:firstLine="283"/>
        <w:spacing w:after="0" w:line="252" w:lineRule="auto"/>
        <w:rPr>
          <w:sz w:val="20"/>
          <w:szCs w:val="20"/>
          <w:color w:val="auto"/>
        </w:rPr>
      </w:pPr>
      <w:r>
        <w:rPr>
          <w:rFonts w:ascii="Arial" w:cs="Arial" w:eastAsia="Arial" w:hAnsi="Arial"/>
          <w:sz w:val="16"/>
          <w:szCs w:val="16"/>
          <w:color w:val="auto"/>
        </w:rPr>
        <w:t>The Company values its energy commodity swap contracts based on the applicable geographical market energy forward curve. The forward curves are derived based on the quotes provided by New York Mercantile Exchange (“</w:t>
      </w:r>
      <w:r>
        <w:rPr>
          <w:rFonts w:ascii="Arial" w:cs="Arial" w:eastAsia="Arial" w:hAnsi="Arial"/>
          <w:sz w:val="16"/>
          <w:szCs w:val="16"/>
          <w:b w:val="1"/>
          <w:bCs w:val="1"/>
          <w:i w:val="1"/>
          <w:iCs w:val="1"/>
          <w:color w:val="auto"/>
        </w:rPr>
        <w:t>NYMEX</w:t>
      </w:r>
      <w:r>
        <w:rPr>
          <w:rFonts w:ascii="Arial" w:cs="Arial" w:eastAsia="Arial" w:hAnsi="Arial"/>
          <w:sz w:val="16"/>
          <w:szCs w:val="16"/>
          <w:color w:val="auto"/>
        </w:rPr>
        <w:t>”), Amerex Energy Services (“</w:t>
      </w:r>
      <w:r>
        <w:rPr>
          <w:rFonts w:ascii="Arial" w:cs="Arial" w:eastAsia="Arial" w:hAnsi="Arial"/>
          <w:sz w:val="16"/>
          <w:szCs w:val="16"/>
          <w:b w:val="1"/>
          <w:bCs w:val="1"/>
          <w:i w:val="1"/>
          <w:iCs w:val="1"/>
          <w:color w:val="auto"/>
        </w:rPr>
        <w:t>Amerex</w:t>
      </w:r>
      <w:r>
        <w:rPr>
          <w:rFonts w:ascii="Arial" w:cs="Arial" w:eastAsia="Arial" w:hAnsi="Arial"/>
          <w:sz w:val="16"/>
          <w:szCs w:val="16"/>
          <w:color w:val="auto"/>
        </w:rPr>
        <w:t>”) and Tradition Energy (“</w:t>
      </w:r>
      <w:r>
        <w:rPr>
          <w:rFonts w:ascii="Arial" w:cs="Arial" w:eastAsia="Arial" w:hAnsi="Arial"/>
          <w:sz w:val="16"/>
          <w:szCs w:val="16"/>
          <w:b w:val="1"/>
          <w:bCs w:val="1"/>
          <w:i w:val="1"/>
          <w:iCs w:val="1"/>
          <w:color w:val="auto"/>
        </w:rPr>
        <w:t>Tradition</w:t>
      </w:r>
      <w:r>
        <w:rPr>
          <w:rFonts w:ascii="Arial" w:cs="Arial" w:eastAsia="Arial" w:hAnsi="Arial"/>
          <w:sz w:val="16"/>
          <w:szCs w:val="16"/>
          <w:color w:val="auto"/>
        </w:rPr>
        <w:t>”).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6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w:t>
      </w:r>
      <w:r>
        <w:rPr>
          <w:rFonts w:ascii="Arial" w:cs="Arial" w:eastAsia="Arial" w:hAnsi="Arial"/>
          <w:sz w:val="15"/>
          <w:szCs w:val="15"/>
          <w:b w:val="1"/>
          <w:bCs w:val="1"/>
          <w:i w:val="1"/>
          <w:iCs w:val="1"/>
          <w:color w:val="auto"/>
        </w:rPr>
        <w:t>DCF</w:t>
      </w:r>
      <w:r>
        <w:rPr>
          <w:rFonts w:ascii="Arial" w:cs="Arial" w:eastAsia="Arial" w:hAnsi="Arial"/>
          <w:sz w:val="15"/>
          <w:szCs w:val="15"/>
          <w:color w:val="auto"/>
        </w:rPr>
        <w:t>”)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64" w:lineRule="exact"/>
        <w:rPr>
          <w:sz w:val="20"/>
          <w:szCs w:val="20"/>
          <w:color w:val="auto"/>
        </w:rPr>
      </w:pPr>
    </w:p>
    <w:p>
      <w:pPr>
        <w:jc w:val="both"/>
        <w:ind w:firstLine="283"/>
        <w:spacing w:after="0" w:line="314" w:lineRule="auto"/>
        <w:rPr>
          <w:sz w:val="20"/>
          <w:szCs w:val="20"/>
          <w:color w:val="auto"/>
        </w:rPr>
      </w:pPr>
      <w:r>
        <w:rPr>
          <w:rFonts w:ascii="Arial" w:cs="Arial" w:eastAsia="Arial" w:hAnsi="Arial"/>
          <w:sz w:val="13"/>
          <w:szCs w:val="13"/>
          <w:color w:val="auto"/>
        </w:rPr>
        <w:t>The Company’s convertible note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based on discount rates ranging from 7.0% to 7.5%.</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were no transfers of assets between Level 1, Level 2, or Level 3 of the fair value hierarchy as of June 30, 2022 or December 31, 2021.</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Company’s assets and liabilities that are measured at fair value on a recurring basis include the following as of June 30, 2022 and December 31, 2021, set forth by level, within the fair value hierarchy: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w w:val="87"/>
              </w:rPr>
              <w:t>Fair value as of June 30, 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4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ind w:left="32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8"/>
        </w:trPr>
        <w:tc>
          <w:tcPr>
            <w:tcW w:w="4880" w:type="dxa"/>
            <w:vAlign w:val="bottom"/>
          </w:tcPr>
          <w:p>
            <w:pPr>
              <w:spacing w:after="0"/>
              <w:rPr>
                <w:sz w:val="20"/>
                <w:szCs w:val="20"/>
                <w:color w:val="auto"/>
              </w:rPr>
            </w:pPr>
            <w:r>
              <w:rPr>
                <w:rFonts w:ascii="Arial" w:cs="Arial" w:eastAsia="Arial" w:hAnsi="Arial"/>
                <w:sz w:val="16"/>
                <w:szCs w:val="16"/>
                <w:color w:val="auto"/>
              </w:rPr>
              <w:t>Liabilities:</w:t>
            </w:r>
          </w:p>
        </w:tc>
        <w:tc>
          <w:tcPr>
            <w:tcW w:w="1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Asset retirement obligation</w:t>
            </w:r>
          </w:p>
        </w:tc>
        <w:tc>
          <w:tcPr>
            <w:tcW w:w="2000" w:type="dxa"/>
            <w:vAlign w:val="bottom"/>
            <w:gridSpan w:val="2"/>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5,807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5,807</w:t>
            </w:r>
          </w:p>
        </w:tc>
      </w:tr>
      <w:tr>
        <w:trPr>
          <w:trHeight w:val="188"/>
        </w:trPr>
        <w:tc>
          <w:tcPr>
            <w:tcW w:w="4880" w:type="dxa"/>
            <w:vAlign w:val="bottom"/>
          </w:tcPr>
          <w:p>
            <w:pPr>
              <w:ind w:left="100"/>
              <w:spacing w:after="0"/>
              <w:rPr>
                <w:sz w:val="20"/>
                <w:szCs w:val="20"/>
                <w:color w:val="auto"/>
              </w:rPr>
            </w:pPr>
            <w:r>
              <w:rPr>
                <w:rFonts w:ascii="Arial" w:cs="Arial" w:eastAsia="Arial" w:hAnsi="Arial"/>
                <w:sz w:val="16"/>
                <w:szCs w:val="16"/>
                <w:color w:val="auto"/>
              </w:rPr>
              <w:t>Contingent consideration on acquisition of non-controlling interest</w:t>
            </w: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4,639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4,639</w:t>
            </w:r>
          </w:p>
        </w:tc>
      </w:tr>
      <w:tr>
        <w:trPr>
          <w:trHeight w:val="188"/>
        </w:trPr>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Convertible note payable</w:t>
            </w:r>
          </w:p>
        </w:tc>
        <w:tc>
          <w:tcPr>
            <w:tcW w:w="1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60,820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60,820</w:t>
            </w:r>
          </w:p>
        </w:tc>
      </w:tr>
      <w:tr>
        <w:trPr>
          <w:trHeight w:val="188"/>
        </w:trPr>
        <w:tc>
          <w:tcPr>
            <w:tcW w:w="4880" w:type="dxa"/>
            <w:vAlign w:val="bottom"/>
          </w:tcPr>
          <w:p>
            <w:pPr>
              <w:ind w:left="100"/>
              <w:spacing w:after="0"/>
              <w:rPr>
                <w:sz w:val="20"/>
                <w:szCs w:val="20"/>
                <w:color w:val="auto"/>
              </w:rPr>
            </w:pPr>
            <w:r>
              <w:rPr>
                <w:rFonts w:ascii="Arial" w:cs="Arial" w:eastAsia="Arial" w:hAnsi="Arial"/>
                <w:sz w:val="16"/>
                <w:szCs w:val="16"/>
                <w:color w:val="auto"/>
              </w:rPr>
              <w:t>Interest rate swap</w:t>
            </w: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r>
      <w:tr>
        <w:trPr>
          <w:trHeight w:val="188"/>
        </w:trPr>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Commodity swap contracts</w:t>
            </w:r>
          </w:p>
        </w:tc>
        <w:tc>
          <w:tcPr>
            <w:tcW w:w="1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554</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554</w:t>
            </w:r>
          </w:p>
        </w:tc>
      </w:tr>
      <w:tr>
        <w:trPr>
          <w:trHeight w:val="475"/>
        </w:trPr>
        <w:tc>
          <w:tcPr>
            <w:tcW w:w="48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022"/>
              <w:spacing w:after="0"/>
              <w:rPr>
                <w:sz w:val="20"/>
                <w:szCs w:val="20"/>
                <w:color w:val="auto"/>
              </w:rPr>
            </w:pPr>
            <w:r>
              <w:rPr>
                <w:rFonts w:ascii="Arial" w:cs="Arial" w:eastAsia="Arial" w:hAnsi="Arial"/>
                <w:sz w:val="16"/>
                <w:szCs w:val="16"/>
                <w:color w:val="auto"/>
              </w:rPr>
              <w:t>F-65</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92" w:right="319"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w w:val="88"/>
              </w:rPr>
              <w:t>Fair value as of December 31, 2021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ind w:left="32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8"/>
        </w:trPr>
        <w:tc>
          <w:tcPr>
            <w:tcW w:w="5980" w:type="dxa"/>
            <w:vAlign w:val="bottom"/>
          </w:tcPr>
          <w:p>
            <w:pPr>
              <w:spacing w:after="0"/>
              <w:rPr>
                <w:sz w:val="20"/>
                <w:szCs w:val="20"/>
                <w:color w:val="auto"/>
              </w:rPr>
            </w:pPr>
            <w:r>
              <w:rPr>
                <w:rFonts w:ascii="Arial" w:cs="Arial" w:eastAsia="Arial" w:hAnsi="Arial"/>
                <w:sz w:val="16"/>
                <w:szCs w:val="16"/>
                <w:color w:val="auto"/>
              </w:rPr>
              <w:t>Liabilities:</w:t>
            </w: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Asset retirement obligation</w:t>
            </w:r>
          </w:p>
        </w:tc>
        <w:tc>
          <w:tcPr>
            <w:tcW w:w="90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5,738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5,738</w:t>
            </w:r>
          </w:p>
        </w:tc>
      </w:tr>
      <w:tr>
        <w:trPr>
          <w:trHeight w:val="188"/>
        </w:trPr>
        <w:tc>
          <w:tcPr>
            <w:tcW w:w="5980" w:type="dxa"/>
            <w:vAlign w:val="bottom"/>
          </w:tcPr>
          <w:p>
            <w:pPr>
              <w:ind w:left="100"/>
              <w:spacing w:after="0"/>
              <w:rPr>
                <w:sz w:val="20"/>
                <w:szCs w:val="20"/>
                <w:color w:val="auto"/>
              </w:rPr>
            </w:pPr>
            <w:r>
              <w:rPr>
                <w:rFonts w:ascii="Arial" w:cs="Arial" w:eastAsia="Arial" w:hAnsi="Arial"/>
                <w:sz w:val="16"/>
                <w:szCs w:val="16"/>
                <w:color w:val="auto"/>
              </w:rPr>
              <w:t>Contingent consideration on acquisition of non-controlling interest</w:t>
            </w:r>
          </w:p>
        </w:tc>
        <w:tc>
          <w:tcPr>
            <w:tcW w:w="90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4,456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4,456</w:t>
            </w:r>
          </w:p>
        </w:tc>
      </w:tr>
      <w:tr>
        <w:trPr>
          <w:trHeight w:val="188"/>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Convertible note payable</w:t>
            </w:r>
          </w:p>
        </w:tc>
        <w:tc>
          <w:tcPr>
            <w:tcW w:w="9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58,710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58,710</w:t>
            </w:r>
          </w:p>
        </w:tc>
      </w:tr>
      <w:tr>
        <w:trPr>
          <w:trHeight w:val="188"/>
        </w:trPr>
        <w:tc>
          <w:tcPr>
            <w:tcW w:w="5980" w:type="dxa"/>
            <w:vAlign w:val="bottom"/>
          </w:tcPr>
          <w:p>
            <w:pPr>
              <w:ind w:left="100"/>
              <w:spacing w:after="0"/>
              <w:rPr>
                <w:sz w:val="20"/>
                <w:szCs w:val="20"/>
                <w:color w:val="auto"/>
              </w:rPr>
            </w:pPr>
            <w:r>
              <w:rPr>
                <w:rFonts w:ascii="Arial" w:cs="Arial" w:eastAsia="Arial" w:hAnsi="Arial"/>
                <w:sz w:val="16"/>
                <w:szCs w:val="16"/>
                <w:color w:val="auto"/>
              </w:rPr>
              <w:t>Interest rate swap</w:t>
            </w:r>
          </w:p>
        </w:tc>
        <w:tc>
          <w:tcPr>
            <w:tcW w:w="90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992</w:t>
            </w:r>
          </w:p>
        </w:tc>
        <w:tc>
          <w:tcPr>
            <w:tcW w:w="2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992</w:t>
            </w:r>
          </w:p>
        </w:tc>
      </w:tr>
      <w:tr>
        <w:trPr>
          <w:trHeight w:val="188"/>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0"/>
        </w:trPr>
        <w:tc>
          <w:tcPr>
            <w:tcW w:w="5980" w:type="dxa"/>
            <w:vAlign w:val="bottom"/>
          </w:tcPr>
          <w:p>
            <w:pPr>
              <w:ind w:left="100"/>
              <w:spacing w:after="0"/>
              <w:rPr>
                <w:sz w:val="20"/>
                <w:szCs w:val="20"/>
                <w:color w:val="auto"/>
              </w:rPr>
            </w:pPr>
            <w:r>
              <w:rPr>
                <w:rFonts w:ascii="Arial" w:cs="Arial" w:eastAsia="Arial" w:hAnsi="Arial"/>
                <w:sz w:val="16"/>
                <w:szCs w:val="16"/>
                <w:color w:val="auto"/>
              </w:rPr>
              <w:t>Commodity swap contracts</w:t>
            </w:r>
          </w:p>
        </w:tc>
        <w:tc>
          <w:tcPr>
            <w:tcW w:w="900" w:type="dxa"/>
            <w:vAlign w:val="bottom"/>
          </w:tcPr>
          <w:p>
            <w:pPr>
              <w:spacing w:after="0"/>
              <w:rPr>
                <w:sz w:val="17"/>
                <w:szCs w:val="17"/>
                <w:color w:val="auto"/>
              </w:rPr>
            </w:pPr>
          </w:p>
        </w:tc>
        <w:tc>
          <w:tcPr>
            <w:tcW w:w="13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382</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382</w:t>
            </w:r>
          </w:p>
        </w:tc>
      </w:tr>
    </w:tbl>
    <w:p>
      <w:pPr>
        <w:spacing w:after="0" w:line="16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 xml:space="preserve">A summary of changes in the fair values of the Company’s Level 3 instruments, attributable to asset retirement obligations, for the six months ended June 30, 2022 is included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Related Parties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Related parties are represented by our Ultimate Parent and other affiliates, subsidiaries and other entities under common control with the Ultimate Parent.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contributions and distribution from and to members</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During the six months ended June 30, 2022 and 2021, the Company received contributions from its Ultimate Parent of $0 and $7,522, respectively. Additionally, the Company made distributions to its Ultimate Parent of $0 and $3,695 for the six months ended June 30, 2022 and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non-controlling interests to Related Parties</w:t>
      </w:r>
    </w:p>
    <w:p>
      <w:pPr>
        <w:spacing w:after="0" w:line="193"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On November 29, 2021, as part of an exchange agreement (“</w:t>
      </w:r>
      <w:r>
        <w:rPr>
          <w:rFonts w:ascii="Arial" w:cs="Arial" w:eastAsia="Arial" w:hAnsi="Arial"/>
          <w:sz w:val="15"/>
          <w:szCs w:val="15"/>
          <w:b w:val="1"/>
          <w:bCs w:val="1"/>
          <w:i w:val="1"/>
          <w:iCs w:val="1"/>
          <w:color w:val="auto"/>
        </w:rPr>
        <w:t>Hillman exchange</w:t>
      </w:r>
      <w:r>
        <w:rPr>
          <w:rFonts w:ascii="Arial" w:cs="Arial" w:eastAsia="Arial" w:hAnsi="Arial"/>
          <w:sz w:val="15"/>
          <w:szCs w:val="15"/>
          <w:color w:val="auto"/>
        </w:rPr>
        <w:t xml:space="preserve">”), the Company issued 14 newly authorized common units and 300,000 Series A-1 preferred units to Hillman in return for Hillman’s non-controlling interest in four RNG project subsidiaries for total consideration of $30,000. The Company recorded paid-in-kind preferred dividend of $1,207 for the six months ended June 30, 2022. Please see Note 13, </w:t>
      </w:r>
      <w:r>
        <w:rPr>
          <w:rFonts w:ascii="Arial" w:cs="Arial" w:eastAsia="Arial" w:hAnsi="Arial"/>
          <w:sz w:val="15"/>
          <w:szCs w:val="15"/>
          <w:i w:val="1"/>
          <w:iCs w:val="1"/>
          <w:color w:val="auto"/>
        </w:rPr>
        <w:t>Redeemable Preferred Units and Equity,</w:t>
      </w:r>
      <w:r>
        <w:rPr>
          <w:rFonts w:ascii="Arial" w:cs="Arial" w:eastAsia="Arial" w:hAnsi="Arial"/>
          <w:sz w:val="15"/>
          <w:szCs w:val="15"/>
          <w:color w:val="auto"/>
        </w:rPr>
        <w:t xml:space="preserve"> for additional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of investments from Related Parties</w:t>
      </w:r>
    </w:p>
    <w:p>
      <w:pPr>
        <w:spacing w:after="0" w:line="193"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In August 2021, the Company acquired a 100% ownership interests in Reynolds RNG LLC (“</w:t>
      </w:r>
      <w:r>
        <w:rPr>
          <w:rFonts w:ascii="Arial" w:cs="Arial" w:eastAsia="Arial" w:hAnsi="Arial"/>
          <w:sz w:val="15"/>
          <w:szCs w:val="15"/>
          <w:b w:val="1"/>
          <w:bCs w:val="1"/>
          <w:i w:val="1"/>
          <w:iCs w:val="1"/>
          <w:color w:val="auto"/>
        </w:rPr>
        <w:t>Reynolds</w:t>
      </w:r>
      <w:r>
        <w:rPr>
          <w:rFonts w:ascii="Arial" w:cs="Arial" w:eastAsia="Arial" w:hAnsi="Arial"/>
          <w:sz w:val="15"/>
          <w:szCs w:val="15"/>
          <w:color w:val="auto"/>
        </w:rPr>
        <w:t>”), an RNG production facility for $12,020 which was funded with cash on hand. Reynolds held an equity investment of 1,570 Class B units in GREP BTB Holdings LLC (“</w:t>
      </w:r>
      <w:r>
        <w:rPr>
          <w:rFonts w:ascii="Arial" w:cs="Arial" w:eastAsia="Arial" w:hAnsi="Arial"/>
          <w:sz w:val="15"/>
          <w:szCs w:val="15"/>
          <w:b w:val="1"/>
          <w:bCs w:val="1"/>
          <w:i w:val="1"/>
          <w:iCs w:val="1"/>
          <w:color w:val="auto"/>
        </w:rPr>
        <w:t>GREP</w:t>
      </w:r>
      <w:r>
        <w:rPr>
          <w:rFonts w:ascii="Arial" w:cs="Arial" w:eastAsia="Arial" w:hAnsi="Arial"/>
          <w:sz w:val="15"/>
          <w:szCs w:val="15"/>
          <w:color w:val="auto"/>
        </w:rPr>
        <w:t>”) representing 20% interest for a cash consideration of $1,570 which owns 50% of BioTown Biogas LLC (“</w:t>
      </w:r>
      <w:r>
        <w:rPr>
          <w:rFonts w:ascii="Arial" w:cs="Arial" w:eastAsia="Arial" w:hAnsi="Arial"/>
          <w:sz w:val="15"/>
          <w:szCs w:val="15"/>
          <w:b w:val="1"/>
          <w:bCs w:val="1"/>
          <w:i w:val="1"/>
          <w:iCs w:val="1"/>
          <w:color w:val="auto"/>
        </w:rPr>
        <w:t>Biotown</w:t>
      </w:r>
      <w:r>
        <w:rPr>
          <w:rFonts w:ascii="Arial" w:cs="Arial" w:eastAsia="Arial" w:hAnsi="Arial"/>
          <w:sz w:val="15"/>
          <w:szCs w:val="15"/>
          <w:color w:val="auto"/>
        </w:rPr>
        <w:t>”), a power generation facility under development to convert to an RNG facility. The Reynolds transaction was an asset acquisition from an affiliate under common control. The Company accounts for its 20% equity investment in GREP under the equity method. The Company recorded a loss of $556 as its share of net loss for the six months ended June 30, 2022 and reduced its investment in GREP as of June 30, 2022.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00" w:right="31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i w:val="1"/>
          <w:iCs w:val="1"/>
          <w:color w:val="auto"/>
        </w:rPr>
        <w:t>Equity commitment letters</w:t>
      </w:r>
    </w:p>
    <w:p>
      <w:pPr>
        <w:spacing w:after="0" w:line="193"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During 2021, the Ultimate Parent entered into two equity commitment agreements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four equity commitment letters to the contractor hired to construct these RNG projects. As of June 30, 2022, the equity commitments for three RNG facilities have been fulfilled and only one equity commitment letter is outstanding which is shown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Distributed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Under the</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Equity</w:t>
            </w:r>
          </w:p>
        </w:tc>
        <w:tc>
          <w:tcPr>
            <w:tcW w:w="1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Equity</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Outstanding</w:t>
            </w: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Commitment</w:t>
            </w:r>
          </w:p>
        </w:tc>
        <w:tc>
          <w:tcPr>
            <w:tcW w:w="1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Commitment</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Yet to be</w:t>
            </w:r>
          </w:p>
        </w:tc>
      </w:tr>
      <w:tr>
        <w:trPr>
          <w:trHeight w:val="209"/>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Letters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Letters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Fulfilled</w:t>
            </w:r>
          </w:p>
        </w:tc>
      </w:tr>
      <w:tr>
        <w:trPr>
          <w:trHeight w:val="188"/>
        </w:trPr>
        <w:tc>
          <w:tcPr>
            <w:tcW w:w="7320" w:type="dxa"/>
            <w:vAlign w:val="bottom"/>
          </w:tcPr>
          <w:p>
            <w:pPr>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New River RNG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16,562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14,775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20" w:type="dxa"/>
            <w:vAlign w:val="bottom"/>
            <w:shd w:val="clear" w:color="auto" w:fill="CCEEFF"/>
          </w:tcPr>
          <w:p>
            <w:pPr>
              <w:spacing w:after="0"/>
              <w:rPr>
                <w:sz w:val="17"/>
                <w:szCs w:val="17"/>
                <w:color w:val="auto"/>
              </w:rPr>
            </w:pPr>
          </w:p>
        </w:tc>
      </w:tr>
      <w:tr>
        <w:trPr>
          <w:trHeight w:val="24"/>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16,562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14,775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contracts with Related Parties</w:t>
      </w:r>
    </w:p>
    <w:p>
      <w:pPr>
        <w:spacing w:after="0" w:line="193" w:lineRule="exact"/>
        <w:rPr>
          <w:sz w:val="20"/>
          <w:szCs w:val="20"/>
          <w:color w:val="auto"/>
        </w:rPr>
      </w:pPr>
    </w:p>
    <w:p>
      <w:pPr>
        <w:jc w:val="both"/>
        <w:ind w:firstLine="283"/>
        <w:spacing w:after="0" w:line="316" w:lineRule="auto"/>
        <w:rPr>
          <w:sz w:val="20"/>
          <w:szCs w:val="20"/>
          <w:color w:val="auto"/>
        </w:rPr>
      </w:pPr>
      <w:r>
        <w:rPr>
          <w:rFonts w:ascii="Arial" w:cs="Arial" w:eastAsia="Arial" w:hAnsi="Arial"/>
          <w:sz w:val="13"/>
          <w:szCs w:val="13"/>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is eliminated in the condensed consolidated statements of operations for the six months ended June 30, 2022. During 2021, the Company accounted Beacon under equity method for the period between January 1, 2021 and April 30, 2021 and consolidated Beacon for the remaining part of the year. Therefore, all environmental fees earned after May 1, 2021 is eliminated in the condensed consolidated statement of operations. For the period between January 1, 2021 and April 30, 2021, the company earned environmental processing fees of $632, net of intersegment elimination.</w:t>
      </w:r>
    </w:p>
    <w:p>
      <w:pPr>
        <w:spacing w:after="0" w:line="130"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In March 2021, TruStar, a wholly-owned subsidiary of the Company, contracted with Noble Road to dispense Noble Road’s RNG, generate and market the resulting RINs created on behalf of Noble Road The term of this contract is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first quarter of 2022. For the six months ended June 30, 2022 and 2021, the Company earned environmental processing fees of $242 and $0, net of intersegment elimination, under this agreement which are included in Fuel Station Services revenues in the condensed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agreements with Related Parties</w:t>
      </w:r>
    </w:p>
    <w:p>
      <w:pPr>
        <w:spacing w:after="0" w:line="193"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On December 31, 2020, the Company signed a management, operations, and maintenance services agreement (“</w:t>
      </w:r>
      <w:r>
        <w:rPr>
          <w:rFonts w:ascii="Arial" w:cs="Arial" w:eastAsia="Arial" w:hAnsi="Arial"/>
          <w:sz w:val="13"/>
          <w:szCs w:val="13"/>
          <w:b w:val="1"/>
          <w:bCs w:val="1"/>
          <w:i w:val="1"/>
          <w:iCs w:val="1"/>
          <w:color w:val="auto"/>
        </w:rPr>
        <w:t>Administrative services agreement</w:t>
      </w:r>
      <w:r>
        <w:rPr>
          <w:rFonts w:ascii="Arial" w:cs="Arial" w:eastAsia="Arial" w:hAnsi="Arial"/>
          <w:sz w:val="13"/>
          <w:szCs w:val="13"/>
          <w:color w:val="auto"/>
        </w:rPr>
        <w: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payment of service fees based on actual time incurred at contractually agreed rates provided for in the Administrative services agreement and a fixed annual payment of $580,000 per year adjusted annually for inflation. Additionally, the agreement provides for the Company to receive credits for any services provided by the Company’s employees to its Ultimate Parent. For the six months ended June 30, 2022 and 2021, there have been no material services by the Company’s employees to its Ultimate Parent.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207" w:name="page208"/>
    <w:bookmarkEnd w:id="207"/>
    <w:p>
      <w:pPr>
        <w:jc w:val="both"/>
        <w:ind w:firstLine="283"/>
        <w:spacing w:after="0" w:line="251" w:lineRule="auto"/>
        <w:rPr>
          <w:sz w:val="20"/>
          <w:szCs w:val="20"/>
          <w:color w:val="auto"/>
        </w:rPr>
      </w:pPr>
      <w:r>
        <w:rPr>
          <w:rFonts w:ascii="Arial" w:cs="Arial" w:eastAsia="Arial" w:hAnsi="Arial"/>
          <w:sz w:val="16"/>
          <w:szCs w:val="16"/>
          <w:color w:val="auto"/>
        </w:rPr>
        <w:t>In June 2021, the company entered into an management services agreement with Costar Partners LLC (“</w:t>
      </w:r>
      <w:r>
        <w:rPr>
          <w:rFonts w:ascii="Arial" w:cs="Arial" w:eastAsia="Arial" w:hAnsi="Arial"/>
          <w:sz w:val="16"/>
          <w:szCs w:val="16"/>
          <w:b w:val="1"/>
          <w:bCs w:val="1"/>
          <w:i w:val="1"/>
          <w:iCs w:val="1"/>
          <w:color w:val="auto"/>
        </w:rPr>
        <w:t>Costar</w:t>
      </w:r>
      <w:r>
        <w:rPr>
          <w:rFonts w:ascii="Arial" w:cs="Arial" w:eastAsia="Arial" w:hAnsi="Arial"/>
          <w:sz w:val="16"/>
          <w:szCs w:val="16"/>
          <w:color w:val="auto"/>
        </w:rPr>
        <w:t>”), an affiliate of the Ultimate Parent. As per the agreement, Costar provides information technology (“</w:t>
      </w:r>
      <w:r>
        <w:rPr>
          <w:rFonts w:ascii="Arial" w:cs="Arial" w:eastAsia="Arial" w:hAnsi="Arial"/>
          <w:sz w:val="16"/>
          <w:szCs w:val="16"/>
          <w:b w:val="1"/>
          <w:bCs w:val="1"/>
          <w:i w:val="1"/>
          <w:iCs w:val="1"/>
          <w:color w:val="auto"/>
        </w:rPr>
        <w:t>IT’</w:t>
      </w:r>
      <w:r>
        <w:rPr>
          <w:rFonts w:ascii="Arial" w:cs="Arial" w:eastAsia="Arial" w:hAnsi="Arial"/>
          <w:sz w:val="16"/>
          <w:szCs w:val="16"/>
          <w:color w:val="auto"/>
        </w:rPr>
        <w: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169"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following table summarizes the various fees recorded under the agreements described above which are included in “Selling, general, and administrative” expenses except for $1,516 which was recorded as part of “Deferred financing costs” as of June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7"/>
          </w:tcPr>
          <w:p>
            <w:pPr>
              <w:ind w:left="5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4"/>
        </w:trPr>
        <w:tc>
          <w:tcPr>
            <w:tcW w:w="54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30, 2022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86"/>
              </w:rPr>
              <w:t>June 30, 2021</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Staffing and management services</w:t>
            </w:r>
          </w:p>
        </w:tc>
        <w:tc>
          <w:tcPr>
            <w:tcW w:w="3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20" w:type="dxa"/>
            <w:vAlign w:val="bottom"/>
          </w:tcPr>
          <w:p>
            <w:pPr>
              <w:spacing w:after="0"/>
              <w:rPr>
                <w:sz w:val="20"/>
                <w:szCs w:val="20"/>
                <w:color w:val="auto"/>
              </w:rPr>
            </w:pPr>
            <w:r>
              <w:rPr>
                <w:rFonts w:ascii="Arial" w:cs="Arial" w:eastAsia="Arial" w:hAnsi="Arial"/>
                <w:sz w:val="16"/>
                <w:szCs w:val="16"/>
                <w:color w:val="auto"/>
              </w:rPr>
              <w:t>Rent - fixed compensation</w:t>
            </w:r>
          </w:p>
        </w:tc>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IT services</w:t>
            </w: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Total</w:t>
            </w: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420" w:type="dxa"/>
            <w:vAlign w:val="bottom"/>
            <w:vMerge w:val="continue"/>
          </w:tcPr>
          <w:p>
            <w:pPr>
              <w:spacing w:after="0"/>
              <w:rPr>
                <w:sz w:val="17"/>
                <w:szCs w:val="17"/>
                <w:color w:val="auto"/>
              </w:rPr>
            </w:pPr>
          </w:p>
        </w:tc>
        <w:tc>
          <w:tcPr>
            <w:tcW w:w="3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2,464</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June 30, 2022 and December 31, 2021, the Company had Accounts payable, related party in the amounts of $1,141 and $166,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Reportable Segments and Geographic Information</w:t>
      </w:r>
    </w:p>
    <w:p>
      <w:pPr>
        <w:spacing w:after="0" w:line="197"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65" w:lineRule="exact"/>
        <w:rPr>
          <w:sz w:val="20"/>
          <w:szCs w:val="20"/>
          <w:color w:val="auto"/>
        </w:rPr>
      </w:pPr>
    </w:p>
    <w:p>
      <w:pPr>
        <w:jc w:val="both"/>
        <w:ind w:left="560" w:hanging="283"/>
        <w:spacing w:after="0" w:line="346" w:lineRule="auto"/>
        <w:tabs>
          <w:tab w:leader="none" w:pos="560" w:val="left"/>
        </w:tabs>
        <w:numPr>
          <w:ilvl w:val="0"/>
          <w:numId w:val="115"/>
        </w:numPr>
        <w:rPr>
          <w:rFonts w:ascii="Arial" w:cs="Arial" w:eastAsia="Arial" w:hAnsi="Arial"/>
          <w:sz w:val="13"/>
          <w:szCs w:val="13"/>
          <w:color w:val="auto"/>
        </w:rPr>
      </w:pPr>
      <w:r>
        <w:rPr>
          <w:rFonts w:ascii="Arial" w:cs="Arial" w:eastAsia="Arial" w:hAnsi="Arial"/>
          <w:sz w:val="13"/>
          <w:szCs w:val="13"/>
          <w:b w:val="1"/>
          <w:bCs w:val="1"/>
          <w:color w:val="auto"/>
        </w:rPr>
        <w:t xml:space="preserve">Renewable Power Portfolio. </w:t>
      </w:r>
      <w:r>
        <w:rPr>
          <w:rFonts w:ascii="Arial" w:cs="Arial" w:eastAsia="Arial" w:hAnsi="Arial"/>
          <w:sz w:val="13"/>
          <w:szCs w:val="13"/>
          <w:color w:val="auto"/>
        </w:rPr>
        <w:t>The Renewable Power 3 (“</w:t>
      </w:r>
      <w:r>
        <w:rPr>
          <w:rFonts w:ascii="Arial" w:cs="Arial" w:eastAsia="Arial" w:hAnsi="Arial"/>
          <w:sz w:val="13"/>
          <w:szCs w:val="13"/>
          <w:b w:val="1"/>
          <w:bCs w:val="1"/>
          <w:i w:val="1"/>
          <w:iCs w:val="1"/>
          <w:color w:val="auto"/>
        </w:rPr>
        <w:t>RP3</w:t>
      </w:r>
      <w:r>
        <w:rPr>
          <w:rFonts w:ascii="Arial" w:cs="Arial" w:eastAsia="Arial" w:hAnsi="Arial"/>
          <w:sz w:val="13"/>
          <w:szCs w:val="13"/>
          <w:color w:val="auto"/>
        </w:rPr>
        <w:t>”) portfolio generates renewable power through methane-rich landfills and digester gas collection systems</w:t>
      </w:r>
      <w:r>
        <w:rPr>
          <w:rFonts w:ascii="Arial" w:cs="Arial" w:eastAsia="Arial" w:hAnsi="Arial"/>
          <w:sz w:val="13"/>
          <w:szCs w:val="13"/>
          <w:b w:val="1"/>
          <w:bCs w:val="1"/>
          <w:color w:val="auto"/>
        </w:rPr>
        <w:t xml:space="preserve"> </w:t>
      </w:r>
      <w:r>
        <w:rPr>
          <w:rFonts w:ascii="Arial" w:cs="Arial" w:eastAsia="Arial" w:hAnsi="Arial"/>
          <w:sz w:val="13"/>
          <w:szCs w:val="13"/>
          <w:color w:val="auto"/>
        </w:rPr>
        <w:t>primarily located in Southern California. RP3 sells renewable power to public utilities throughout the United States. The Renewable Power 4 (“</w:t>
      </w:r>
      <w:r>
        <w:rPr>
          <w:rFonts w:ascii="Arial" w:cs="Arial" w:eastAsia="Arial" w:hAnsi="Arial"/>
          <w:sz w:val="13"/>
          <w:szCs w:val="13"/>
          <w:b w:val="1"/>
          <w:bCs w:val="1"/>
          <w:i w:val="1"/>
          <w:iCs w:val="1"/>
          <w:color w:val="auto"/>
        </w:rPr>
        <w:t>RP4</w:t>
      </w:r>
      <w:r>
        <w:rPr>
          <w:rFonts w:ascii="Arial" w:cs="Arial" w:eastAsia="Arial" w:hAnsi="Arial"/>
          <w:sz w:val="13"/>
          <w:szCs w:val="13"/>
          <w:color w:val="auto"/>
        </w:rPr>
        <w:t>”) portfolio generates renewable power through methane-rich landfills and digester gas collection systems. RP4 sells renewable power to public utilities throughout the United States.</w:t>
      </w:r>
    </w:p>
    <w:p>
      <w:pPr>
        <w:spacing w:after="0" w:line="107" w:lineRule="exact"/>
        <w:rPr>
          <w:rFonts w:ascii="Arial" w:cs="Arial" w:eastAsia="Arial" w:hAnsi="Arial"/>
          <w:sz w:val="13"/>
          <w:szCs w:val="13"/>
          <w:color w:val="auto"/>
        </w:rPr>
      </w:pPr>
    </w:p>
    <w:p>
      <w:pPr>
        <w:ind w:left="560" w:hanging="283"/>
        <w:spacing w:after="0"/>
        <w:tabs>
          <w:tab w:leader="none" w:pos="560" w:val="left"/>
        </w:tabs>
        <w:numPr>
          <w:ilvl w:val="0"/>
          <w:numId w:val="115"/>
        </w:numPr>
        <w:rPr>
          <w:rFonts w:ascii="Arial" w:cs="Arial" w:eastAsia="Arial" w:hAnsi="Arial"/>
          <w:sz w:val="13"/>
          <w:szCs w:val="13"/>
          <w:color w:val="auto"/>
        </w:rPr>
      </w:pPr>
      <w:r>
        <w:rPr>
          <w:rFonts w:ascii="Arial" w:cs="Arial" w:eastAsia="Arial" w:hAnsi="Arial"/>
          <w:sz w:val="13"/>
          <w:szCs w:val="13"/>
          <w:b w:val="1"/>
          <w:bCs w:val="1"/>
          <w:color w:val="auto"/>
        </w:rPr>
        <w:t xml:space="preserve">RNG Fuel. </w:t>
      </w:r>
      <w:r>
        <w:rPr>
          <w:rFonts w:ascii="Arial" w:cs="Arial" w:eastAsia="Arial" w:hAnsi="Arial"/>
          <w:sz w:val="13"/>
          <w:szCs w:val="13"/>
          <w:color w:val="auto"/>
        </w:rPr>
        <w:t>This division relates to all RNG supply and dispensing related activities directly related to the generation and sale of brown gas and environmental credits.</w:t>
      </w:r>
    </w:p>
    <w:p>
      <w:pPr>
        <w:spacing w:after="0" w:line="231" w:lineRule="exact"/>
        <w:rPr>
          <w:rFonts w:ascii="Arial" w:cs="Arial" w:eastAsia="Arial" w:hAnsi="Arial"/>
          <w:sz w:val="13"/>
          <w:szCs w:val="13"/>
          <w:color w:val="auto"/>
        </w:rPr>
      </w:pPr>
    </w:p>
    <w:p>
      <w:pPr>
        <w:ind w:left="840" w:hanging="280"/>
        <w:spacing w:after="0" w:line="266" w:lineRule="auto"/>
        <w:tabs>
          <w:tab w:leader="none" w:pos="8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Development and construction – RNG facilities in which long term gas right contracts have been or in the process of being ratified and the building of RNG generation facilities.</w:t>
      </w:r>
    </w:p>
    <w:p>
      <w:pPr>
        <w:spacing w:after="0" w:line="157" w:lineRule="exact"/>
        <w:rPr>
          <w:rFonts w:ascii="Arial" w:cs="Arial" w:eastAsia="Arial" w:hAnsi="Arial"/>
          <w:sz w:val="16"/>
          <w:szCs w:val="16"/>
          <w:color w:val="auto"/>
        </w:rPr>
      </w:pPr>
    </w:p>
    <w:p>
      <w:pPr>
        <w:ind w:left="840" w:right="20" w:hanging="280"/>
        <w:spacing w:after="0" w:line="266" w:lineRule="auto"/>
        <w:tabs>
          <w:tab w:leader="none" w:pos="8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RNG supply operating facilities – This includes the generation, extraction, and sale of RNG - (plus associated RINs and LCFSs from landfills (includes Beacon, Emerald, Reynolds, Sapphire, Noble Road, Central Valley New River, and Pine Bend) and dairy farms (Sunoma).</w:t>
      </w:r>
    </w:p>
    <w:p>
      <w:pPr>
        <w:spacing w:after="0" w:line="157" w:lineRule="exact"/>
        <w:rPr>
          <w:rFonts w:ascii="Arial" w:cs="Arial" w:eastAsia="Arial" w:hAnsi="Arial"/>
          <w:sz w:val="16"/>
          <w:szCs w:val="16"/>
          <w:color w:val="auto"/>
        </w:rPr>
      </w:pPr>
    </w:p>
    <w:p>
      <w:pPr>
        <w:jc w:val="both"/>
        <w:ind w:left="840" w:right="20" w:hanging="280"/>
        <w:spacing w:after="0" w:line="256" w:lineRule="auto"/>
        <w:tabs>
          <w:tab w:leader="none" w:pos="8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RNG and CNG fuel dispensing stations for vehicle fleets - This includes both dispensing/sale of brown gas and the environmental credit generation and monetization. This company operates fueling stations that dispense gas into transportation vehicles. Also includes the development and construction of these facilities.</w:t>
      </w:r>
    </w:p>
    <w:p>
      <w:pPr>
        <w:spacing w:after="0" w:line="165"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The RNG Fuel portfolio consists of the Company’s interests in Beacon, Noble Road, Pine Bend, New River, Central Valley, Emerald, Reynolds, Sapphire, and Sunoma. For the six months ended June 30,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The Company has accounted for its interest in Beacon under the equity method of accounting for the period between January 1, 2021 and April 30, 2021 and had consolidated for the period May 1, 2021 and June 30, 2021. The results of operations of Noble Road, Pine Bend and Sunoma for the period between January 1, 2021 and June 30, 2021 were consolidated in its condensed consolidated statement of operations. As of June 30, 2022, Pine Bend, Central Valley, Emerald, and Sapphire are not operational. Sunoma became operational in December 2021, Noble Road in January 2022 and New river in April 2022.</w:t>
      </w:r>
    </w:p>
    <w:p>
      <w:pPr>
        <w:spacing w:after="0" w:line="155" w:lineRule="exact"/>
        <w:rPr>
          <w:sz w:val="20"/>
          <w:szCs w:val="20"/>
          <w:color w:val="auto"/>
        </w:rPr>
      </w:pPr>
    </w:p>
    <w:p>
      <w:pPr>
        <w:ind w:left="560" w:hanging="283"/>
        <w:spacing w:after="0"/>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Fuel Station Services. </w:t>
      </w:r>
      <w:r>
        <w:rPr>
          <w:rFonts w:ascii="Arial" w:cs="Arial" w:eastAsia="Arial" w:hAnsi="Arial"/>
          <w:sz w:val="16"/>
          <w:szCs w:val="16"/>
          <w:color w:val="auto"/>
        </w:rPr>
        <w:t>The Company also provides maintenance services to third-party owners of vehicle fueling stations. It includes</w:t>
      </w:r>
    </w:p>
    <w:p>
      <w:pPr>
        <w:spacing w:after="0" w:line="196" w:lineRule="exact"/>
        <w:rPr>
          <w:rFonts w:ascii="Arial" w:cs="Arial" w:eastAsia="Arial" w:hAnsi="Arial"/>
          <w:sz w:val="16"/>
          <w:szCs w:val="16"/>
          <w:color w:val="auto"/>
        </w:rPr>
      </w:pPr>
    </w:p>
    <w:p>
      <w:pPr>
        <w:ind w:left="840" w:hanging="280"/>
        <w:spacing w:after="0" w:line="266" w:lineRule="auto"/>
        <w:tabs>
          <w:tab w:leader="none" w:pos="8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Service and maintenance contracts for RNG/CNG fueling sites across the US. Includes a manufacturing division that builds Compact Fueling Systems (CFS) and Defueling systems.</w:t>
      </w:r>
    </w:p>
    <w:p>
      <w:pPr>
        <w:spacing w:after="0" w:line="157" w:lineRule="exact"/>
        <w:rPr>
          <w:rFonts w:ascii="Arial" w:cs="Arial" w:eastAsia="Arial" w:hAnsi="Arial"/>
          <w:sz w:val="16"/>
          <w:szCs w:val="16"/>
          <w:color w:val="auto"/>
        </w:rPr>
      </w:pPr>
    </w:p>
    <w:p>
      <w:pPr>
        <w:ind w:left="840" w:hanging="280"/>
        <w:spacing w:after="0" w:line="266" w:lineRule="auto"/>
        <w:tabs>
          <w:tab w:leader="none" w:pos="8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Third Party CNG Construction of Fueling Stations. Design/build and serve as general contractor for typically Guarantee Maxim Price (GMP) or fixed priced contracts for customers typically lasting less than one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208" w:name="page209"/>
    <w:bookmarkEnd w:id="208"/>
    <w:p>
      <w:pPr>
        <w:ind w:left="636" w:hanging="283"/>
        <w:spacing w:after="0"/>
        <w:tabs>
          <w:tab w:leader="none" w:pos="636"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 xml:space="preserve">Corporate. </w:t>
      </w:r>
      <w:r>
        <w:rPr>
          <w:rFonts w:ascii="Arial" w:cs="Arial" w:eastAsia="Arial" w:hAnsi="Arial"/>
          <w:sz w:val="16"/>
          <w:szCs w:val="16"/>
          <w:color w:val="auto"/>
        </w:rPr>
        <w:t>Consists of a multitude of activities managed and maintained at a corporate level primarily including but not limited to:</w:t>
      </w:r>
    </w:p>
    <w:p>
      <w:pPr>
        <w:spacing w:after="0" w:line="196" w:lineRule="exact"/>
        <w:rPr>
          <w:rFonts w:ascii="Arial" w:cs="Arial" w:eastAsia="Arial" w:hAnsi="Arial"/>
          <w:sz w:val="16"/>
          <w:szCs w:val="16"/>
          <w:color w:val="auto"/>
        </w:rPr>
      </w:pPr>
    </w:p>
    <w:p>
      <w:pPr>
        <w:ind w:left="916" w:hanging="280"/>
        <w:spacing w:after="0"/>
        <w:tabs>
          <w:tab w:leader="none" w:pos="91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Executive, accounting, finance, sales activities such as: payroll, stock compensation expense, travel and other related costs</w:t>
      </w:r>
    </w:p>
    <w:p>
      <w:pPr>
        <w:spacing w:after="0" w:line="192" w:lineRule="exact"/>
        <w:rPr>
          <w:rFonts w:ascii="Arial" w:cs="Arial" w:eastAsia="Arial" w:hAnsi="Arial"/>
          <w:sz w:val="16"/>
          <w:szCs w:val="16"/>
          <w:color w:val="auto"/>
        </w:rPr>
      </w:pPr>
    </w:p>
    <w:p>
      <w:pPr>
        <w:ind w:left="916" w:hanging="280"/>
        <w:spacing w:after="0"/>
        <w:tabs>
          <w:tab w:leader="none" w:pos="91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Insurance, professional fees (Audit, tax, legal etc.)</w:t>
      </w:r>
    </w:p>
    <w:p>
      <w:pPr>
        <w:spacing w:after="0" w:line="193" w:lineRule="exact"/>
        <w:rPr>
          <w:sz w:val="20"/>
          <w:szCs w:val="20"/>
          <w:color w:val="auto"/>
        </w:rPr>
      </w:pPr>
    </w:p>
    <w:p>
      <w:pPr>
        <w:jc w:val="both"/>
        <w:ind w:left="76" w:firstLine="283"/>
        <w:spacing w:after="0" w:line="256" w:lineRule="auto"/>
        <w:rPr>
          <w:sz w:val="20"/>
          <w:szCs w:val="20"/>
          <w:color w:val="auto"/>
        </w:rPr>
      </w:pPr>
      <w:r>
        <w:rPr>
          <w:rFonts w:ascii="Arial" w:cs="Arial" w:eastAsia="Arial" w:hAnsi="Arial"/>
          <w:sz w:val="16"/>
          <w:szCs w:val="16"/>
          <w:color w:val="auto"/>
        </w:rPr>
        <w:t>The Company determined that each of the four operating segments meets the characteristics of a reportable segment in U.S. GAAP. The Company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61" w:lineRule="exact"/>
        <w:rPr>
          <w:sz w:val="20"/>
          <w:szCs w:val="20"/>
          <w:color w:val="auto"/>
        </w:rPr>
      </w:pPr>
    </w:p>
    <w:tbl>
      <w:tblPr>
        <w:tblLayout w:type="fixed"/>
        <w:tblInd w:w="76"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r>
      <w:tr>
        <w:trPr>
          <w:trHeight w:val="188"/>
        </w:trPr>
        <w:tc>
          <w:tcPr>
            <w:tcW w:w="5320" w:type="dxa"/>
            <w:vAlign w:val="bottom"/>
          </w:tcPr>
          <w:p>
            <w:pPr>
              <w:spacing w:after="0"/>
              <w:rPr>
                <w:sz w:val="20"/>
                <w:szCs w:val="20"/>
                <w:color w:val="auto"/>
              </w:rPr>
            </w:pPr>
            <w:r>
              <w:rPr>
                <w:rFonts w:ascii="Arial" w:cs="Arial" w:eastAsia="Arial" w:hAnsi="Arial"/>
                <w:sz w:val="16"/>
                <w:szCs w:val="16"/>
                <w:color w:val="auto"/>
              </w:rPr>
              <w:t>Revenues:</w:t>
            </w: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Renewable Power</w:t>
            </w:r>
          </w:p>
        </w:tc>
        <w:tc>
          <w:tcPr>
            <w:tcW w:w="3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20,088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22,321</w:t>
            </w:r>
          </w:p>
        </w:tc>
      </w:tr>
      <w:tr>
        <w:trPr>
          <w:trHeight w:val="188"/>
        </w:trPr>
        <w:tc>
          <w:tcPr>
            <w:tcW w:w="5320" w:type="dxa"/>
            <w:vAlign w:val="bottom"/>
          </w:tcPr>
          <w:p>
            <w:pPr>
              <w:ind w:left="140"/>
              <w:spacing w:after="0"/>
              <w:rPr>
                <w:sz w:val="20"/>
                <w:szCs w:val="20"/>
                <w:color w:val="auto"/>
              </w:rPr>
            </w:pPr>
            <w:r>
              <w:rPr>
                <w:rFonts w:ascii="Arial" w:cs="Arial" w:eastAsia="Arial" w:hAnsi="Arial"/>
                <w:sz w:val="16"/>
                <w:szCs w:val="16"/>
                <w:color w:val="auto"/>
              </w:rPr>
              <w:t>RNG Fuel</w:t>
            </w: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59,475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34,903</w:t>
            </w:r>
          </w:p>
        </w:tc>
      </w:tr>
      <w:tr>
        <w:trPr>
          <w:trHeight w:val="188"/>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Station Services</w:t>
            </w:r>
          </w:p>
        </w:tc>
        <w:tc>
          <w:tcPr>
            <w:tcW w:w="3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32,685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17,177</w:t>
            </w:r>
          </w:p>
        </w:tc>
      </w:tr>
      <w:tr>
        <w:trPr>
          <w:trHeight w:val="224"/>
        </w:trPr>
        <w:tc>
          <w:tcPr>
            <w:tcW w:w="5320" w:type="dxa"/>
            <w:vAlign w:val="bottom"/>
          </w:tcPr>
          <w:p>
            <w:pPr>
              <w:ind w:left="140"/>
              <w:spacing w:after="0" w:line="223"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(1)</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49</w:t>
            </w:r>
          </w:p>
        </w:tc>
      </w:tr>
      <w:tr>
        <w:trPr>
          <w:trHeight w:val="188"/>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w:t>
            </w:r>
          </w:p>
        </w:tc>
        <w:tc>
          <w:tcPr>
            <w:tcW w:w="3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(5,022)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(2,485)</w:t>
            </w:r>
          </w:p>
        </w:tc>
      </w:tr>
      <w:tr>
        <w:trPr>
          <w:trHeight w:val="200"/>
        </w:trPr>
        <w:tc>
          <w:tcPr>
            <w:tcW w:w="5320" w:type="dxa"/>
            <w:vAlign w:val="bottom"/>
          </w:tcPr>
          <w:p>
            <w:pPr>
              <w:ind w:left="140"/>
              <w:spacing w:after="0"/>
              <w:rPr>
                <w:sz w:val="20"/>
                <w:szCs w:val="20"/>
                <w:color w:val="auto"/>
              </w:rPr>
            </w:pPr>
            <w:r>
              <w:rPr>
                <w:rFonts w:ascii="Arial" w:cs="Arial" w:eastAsia="Arial" w:hAnsi="Arial"/>
                <w:sz w:val="16"/>
                <w:szCs w:val="16"/>
                <w:color w:val="auto"/>
              </w:rPr>
              <w:t>Equity Method Investment(s)</w:t>
            </w:r>
          </w:p>
        </w:tc>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(5,089)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(14,181)</w:t>
            </w:r>
          </w:p>
        </w:tc>
      </w:tr>
      <w:tr>
        <w:trPr>
          <w:trHeight w:val="24"/>
        </w:trPr>
        <w:tc>
          <w:tcPr>
            <w:tcW w:w="53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3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102,264</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57,784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35" w:lineRule="exact"/>
        <w:rPr>
          <w:sz w:val="20"/>
          <w:szCs w:val="20"/>
          <w:color w:val="auto"/>
        </w:rPr>
      </w:pPr>
    </w:p>
    <w:p>
      <w:pPr>
        <w:ind w:left="196" w:hanging="196"/>
        <w:spacing w:after="0"/>
        <w:tabs>
          <w:tab w:leader="none" w:pos="196" w:val="left"/>
        </w:tabs>
        <w:numPr>
          <w:ilvl w:val="0"/>
          <w:numId w:val="118"/>
        </w:numPr>
        <w:rPr>
          <w:rFonts w:ascii="Arial" w:cs="Arial" w:eastAsia="Arial" w:hAnsi="Arial"/>
          <w:sz w:val="24"/>
          <w:szCs w:val="24"/>
          <w:color w:val="auto"/>
          <w:vertAlign w:val="superscript"/>
        </w:rPr>
      </w:pPr>
      <w:r>
        <w:rPr>
          <w:rFonts w:ascii="Arial" w:cs="Arial" w:eastAsia="Arial" w:hAnsi="Arial"/>
          <w:sz w:val="15"/>
          <w:szCs w:val="15"/>
          <w:color w:val="auto"/>
        </w:rPr>
        <w:t>Other includes revenues of Fortistar Contracting LLC.</w:t>
      </w:r>
    </w:p>
    <w:p>
      <w:pPr>
        <w:spacing w:after="0" w:line="173"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June 30,</w:t>
      </w:r>
    </w:p>
    <w:p>
      <w:pPr>
        <w:spacing w:after="0" w:line="4" w:lineRule="exact"/>
        <w:rPr>
          <w:sz w:val="20"/>
          <w:szCs w:val="20"/>
          <w:color w:val="auto"/>
        </w:rPr>
      </w:pPr>
    </w:p>
    <w:tbl>
      <w:tblPr>
        <w:tblLayout w:type="fixed"/>
        <w:tblInd w:w="76" w:type="dxa"/>
        <w:tblCellMar>
          <w:top w:w="0" w:type="dxa"/>
          <w:left w:w="0" w:type="dxa"/>
          <w:bottom w:w="0" w:type="dxa"/>
          <w:right w:w="0" w:type="dxa"/>
        </w:tblCellMar>
      </w:tblPr>
      <w:tr>
        <w:trPr>
          <w:trHeight w:val="208"/>
        </w:trPr>
        <w:tc>
          <w:tcPr>
            <w:tcW w:w="5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500" w:type="dxa"/>
            <w:vAlign w:val="bottom"/>
          </w:tcPr>
          <w:p>
            <w:pPr>
              <w:spacing w:after="0"/>
              <w:rPr>
                <w:sz w:val="20"/>
                <w:szCs w:val="20"/>
                <w:color w:val="auto"/>
              </w:rPr>
            </w:pPr>
            <w:r>
              <w:rPr>
                <w:rFonts w:ascii="Arial" w:cs="Arial" w:eastAsia="Arial" w:hAnsi="Arial"/>
                <w:sz w:val="16"/>
                <w:szCs w:val="16"/>
                <w:color w:val="auto"/>
              </w:rPr>
              <w:t>Interest and Financing Expense, Net:</w:t>
            </w:r>
          </w:p>
        </w:tc>
        <w:tc>
          <w:tcPr>
            <w:tcW w:w="3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Renewable Power</w:t>
            </w:r>
          </w:p>
        </w:tc>
        <w:tc>
          <w:tcPr>
            <w:tcW w:w="3900" w:type="dxa"/>
            <w:vAlign w:val="bottom"/>
            <w:gridSpan w:val="2"/>
            <w:shd w:val="clear" w:color="auto" w:fill="CCEEFF"/>
          </w:tcPr>
          <w:p>
            <w:pPr>
              <w:jc w:val="right"/>
              <w:ind w:right="562"/>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w w:val="86"/>
              </w:rPr>
              <w:t>(2,119)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188"/>
        </w:trPr>
        <w:tc>
          <w:tcPr>
            <w:tcW w:w="5500" w:type="dxa"/>
            <w:vAlign w:val="bottom"/>
          </w:tcPr>
          <w:p>
            <w:pPr>
              <w:ind w:left="80"/>
              <w:spacing w:after="0"/>
              <w:rPr>
                <w:sz w:val="20"/>
                <w:szCs w:val="20"/>
                <w:color w:val="auto"/>
              </w:rPr>
            </w:pPr>
            <w:r>
              <w:rPr>
                <w:rFonts w:ascii="Arial" w:cs="Arial" w:eastAsia="Arial" w:hAnsi="Arial"/>
                <w:sz w:val="16"/>
                <w:szCs w:val="16"/>
                <w:color w:val="auto"/>
              </w:rPr>
              <w:t>RNG Fuel</w:t>
            </w:r>
          </w:p>
        </w:tc>
        <w:tc>
          <w:tcPr>
            <w:tcW w:w="3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0"/>
        </w:trPr>
        <w:tc>
          <w:tcPr>
            <w:tcW w:w="5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Corporate</w:t>
            </w:r>
          </w:p>
        </w:tc>
        <w:tc>
          <w:tcPr>
            <w:tcW w:w="3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w w:val="86"/>
              </w:rPr>
              <w:t>(4,238)</w:t>
            </w:r>
          </w:p>
        </w:tc>
        <w:tc>
          <w:tcPr>
            <w:tcW w:w="2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121"/>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9"/>
        </w:trPr>
        <w:tc>
          <w:tcPr>
            <w:tcW w:w="5500" w:type="dxa"/>
            <w:vAlign w:val="bottom"/>
          </w:tcPr>
          <w:p>
            <w:pPr>
              <w:spacing w:after="0"/>
              <w:rPr>
                <w:sz w:val="17"/>
                <w:szCs w:val="17"/>
                <w:color w:val="auto"/>
              </w:rPr>
            </w:pPr>
          </w:p>
        </w:tc>
        <w:tc>
          <w:tcPr>
            <w:tcW w:w="3900" w:type="dxa"/>
            <w:vAlign w:val="bottom"/>
            <w:gridSpan w:val="2"/>
          </w:tcPr>
          <w:p>
            <w:pPr>
              <w:jc w:val="right"/>
              <w:ind w:right="56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8"/>
              </w:rPr>
              <w:t>(6,408</w:t>
            </w:r>
          </w:p>
        </w:tc>
        <w:tc>
          <w:tcPr>
            <w:tcW w:w="200" w:type="dxa"/>
            <w:vAlign w:val="bottom"/>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(2,417</w:t>
            </w:r>
          </w:p>
        </w:tc>
        <w:tc>
          <w:tcPr>
            <w:tcW w:w="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76" w:type="dxa"/>
        <w:tblCellMar>
          <w:top w:w="0" w:type="dxa"/>
          <w:left w:w="0" w:type="dxa"/>
          <w:bottom w:w="0" w:type="dxa"/>
          <w:right w:w="0" w:type="dxa"/>
        </w:tblCellMar>
      </w:tblPr>
      <w:tr>
        <w:trPr>
          <w:trHeight w:val="188"/>
        </w:trPr>
        <w:tc>
          <w:tcPr>
            <w:tcW w:w="57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58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7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r>
      <w:tr>
        <w:trPr>
          <w:trHeight w:val="188"/>
        </w:trPr>
        <w:tc>
          <w:tcPr>
            <w:tcW w:w="5700" w:type="dxa"/>
            <w:vAlign w:val="bottom"/>
          </w:tcPr>
          <w:p>
            <w:pPr>
              <w:spacing w:after="0"/>
              <w:rPr>
                <w:sz w:val="20"/>
                <w:szCs w:val="20"/>
                <w:color w:val="auto"/>
              </w:rPr>
            </w:pPr>
            <w:r>
              <w:rPr>
                <w:rFonts w:ascii="Arial" w:cs="Arial" w:eastAsia="Arial" w:hAnsi="Arial"/>
                <w:sz w:val="16"/>
                <w:szCs w:val="16"/>
                <w:color w:val="auto"/>
              </w:rPr>
              <w:t>Depreciation, Amortization, and Accretion:</w:t>
            </w:r>
          </w:p>
        </w:tc>
        <w:tc>
          <w:tcPr>
            <w:tcW w:w="2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Renewable Power</w:t>
            </w:r>
          </w:p>
        </w:tc>
        <w:tc>
          <w:tcPr>
            <w:tcW w:w="3740" w:type="dxa"/>
            <w:vAlign w:val="bottom"/>
            <w:gridSpan w:val="2"/>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3,107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20" w:type="dxa"/>
            <w:vAlign w:val="bottom"/>
            <w:shd w:val="clear" w:color="auto" w:fill="CCEEFF"/>
          </w:tcPr>
          <w:p>
            <w:pPr>
              <w:spacing w:after="0"/>
              <w:rPr>
                <w:sz w:val="16"/>
                <w:szCs w:val="16"/>
                <w:color w:val="auto"/>
              </w:rPr>
            </w:pPr>
          </w:p>
        </w:tc>
      </w:tr>
      <w:tr>
        <w:trPr>
          <w:trHeight w:val="188"/>
        </w:trPr>
        <w:tc>
          <w:tcPr>
            <w:tcW w:w="5700" w:type="dxa"/>
            <w:vAlign w:val="bottom"/>
          </w:tcPr>
          <w:p>
            <w:pPr>
              <w:ind w:left="140"/>
              <w:spacing w:after="0"/>
              <w:rPr>
                <w:sz w:val="20"/>
                <w:szCs w:val="20"/>
                <w:color w:val="auto"/>
              </w:rPr>
            </w:pPr>
            <w:r>
              <w:rPr>
                <w:rFonts w:ascii="Arial" w:cs="Arial" w:eastAsia="Arial" w:hAnsi="Arial"/>
                <w:sz w:val="16"/>
                <w:szCs w:val="16"/>
                <w:color w:val="auto"/>
              </w:rPr>
              <w:t>RNG Fuel</w:t>
            </w:r>
          </w:p>
        </w:tc>
        <w:tc>
          <w:tcPr>
            <w:tcW w:w="2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3,758</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2,378</w:t>
            </w:r>
          </w:p>
        </w:tc>
        <w:tc>
          <w:tcPr>
            <w:tcW w:w="120" w:type="dxa"/>
            <w:vAlign w:val="bottom"/>
          </w:tcPr>
          <w:p>
            <w:pPr>
              <w:spacing w:after="0"/>
              <w:rPr>
                <w:sz w:val="16"/>
                <w:szCs w:val="16"/>
                <w:color w:val="auto"/>
              </w:rPr>
            </w:pPr>
          </w:p>
        </w:tc>
      </w:tr>
      <w:tr>
        <w:trPr>
          <w:trHeight w:val="188"/>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Station Services</w:t>
            </w:r>
          </w:p>
        </w:tc>
        <w:tc>
          <w:tcPr>
            <w:tcW w:w="29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202</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6"/>
                <w:szCs w:val="16"/>
                <w:color w:val="auto"/>
              </w:rPr>
            </w:pPr>
          </w:p>
        </w:tc>
      </w:tr>
      <w:tr>
        <w:trPr>
          <w:trHeight w:val="224"/>
        </w:trPr>
        <w:tc>
          <w:tcPr>
            <w:tcW w:w="5700" w:type="dxa"/>
            <w:vAlign w:val="bottom"/>
          </w:tcPr>
          <w:p>
            <w:pPr>
              <w:ind w:left="140"/>
              <w:spacing w:after="0" w:line="223"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(1)</w:t>
            </w:r>
          </w:p>
        </w:tc>
        <w:tc>
          <w:tcPr>
            <w:tcW w:w="2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r>
      <w:tr>
        <w:trPr>
          <w:trHeight w:val="200"/>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Method Investment(s)</w:t>
            </w:r>
          </w:p>
        </w:tc>
        <w:tc>
          <w:tcPr>
            <w:tcW w:w="2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(573)</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(1,059)</w:t>
            </w:r>
          </w:p>
        </w:tc>
      </w:tr>
      <w:tr>
        <w:trPr>
          <w:trHeight w:val="24"/>
        </w:trPr>
        <w:tc>
          <w:tcPr>
            <w:tcW w:w="570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700" w:type="dxa"/>
            <w:vAlign w:val="bottom"/>
          </w:tcPr>
          <w:p>
            <w:pPr>
              <w:spacing w:after="0"/>
              <w:rPr>
                <w:sz w:val="18"/>
                <w:szCs w:val="18"/>
                <w:color w:val="auto"/>
              </w:rPr>
            </w:pPr>
          </w:p>
        </w:tc>
        <w:tc>
          <w:tcPr>
            <w:tcW w:w="3740" w:type="dxa"/>
            <w:vAlign w:val="bottom"/>
            <w:gridSpan w:val="2"/>
          </w:tcPr>
          <w:p>
            <w:pPr>
              <w:jc w:val="right"/>
              <w:ind w:right="602"/>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6,558</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4,059</w:t>
            </w:r>
          </w:p>
        </w:tc>
        <w:tc>
          <w:tcPr>
            <w:tcW w:w="12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left="5556" w:right="4400" w:hanging="5392"/>
        <w:spacing w:after="0" w:line="635" w:lineRule="auto"/>
        <w:tabs>
          <w:tab w:leader="none" w:pos="45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Other includes amortization of intangible assets and depreciation expense not allocated to any segment. 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-190500</wp:posOffset>
            </wp:positionV>
            <wp:extent cx="715010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336"/>
          </w:cols>
          <w:pgMar w:left="244" w:top="688" w:right="319" w:bottom="1440" w:gutter="0" w:footer="0" w:header="0"/>
        </w:sectPr>
      </w:pPr>
    </w:p>
    <w:bookmarkStart w:id="209" w:name="page210"/>
    <w:bookmarkEnd w:id="209"/>
    <w:tbl>
      <w:tblPr>
        <w:tblLayout w:type="fixed"/>
        <w:tblInd w:w="6"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320" w:type="dxa"/>
            <w:vAlign w:val="bottom"/>
          </w:tcPr>
          <w:p>
            <w:pPr>
              <w:spacing w:after="0"/>
              <w:rPr>
                <w:sz w:val="20"/>
                <w:szCs w:val="20"/>
                <w:color w:val="auto"/>
              </w:rPr>
            </w:pPr>
            <w:r>
              <w:rPr>
                <w:rFonts w:ascii="Arial" w:cs="Arial" w:eastAsia="Arial" w:hAnsi="Arial"/>
                <w:sz w:val="16"/>
                <w:szCs w:val="16"/>
                <w:color w:val="auto"/>
              </w:rPr>
              <w:t>Net (Loss) Income:</w:t>
            </w: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140"/>
              <w:spacing w:after="0" w:line="225" w:lineRule="exact"/>
              <w:rPr>
                <w:sz w:val="20"/>
                <w:szCs w:val="20"/>
                <w:color w:val="auto"/>
              </w:rPr>
            </w:pPr>
            <w:r>
              <w:rPr>
                <w:rFonts w:ascii="Arial" w:cs="Arial" w:eastAsia="Arial" w:hAnsi="Arial"/>
                <w:sz w:val="16"/>
                <w:szCs w:val="16"/>
                <w:color w:val="auto"/>
              </w:rPr>
              <w:t xml:space="preserve">Renewable Power </w:t>
            </w:r>
            <w:r>
              <w:rPr>
                <w:rFonts w:ascii="Arial" w:cs="Arial" w:eastAsia="Arial" w:hAnsi="Arial"/>
                <w:sz w:val="26"/>
                <w:szCs w:val="26"/>
                <w:color w:val="auto"/>
                <w:vertAlign w:val="superscript"/>
              </w:rPr>
              <w:t>(2)</w:t>
            </w:r>
          </w:p>
        </w:tc>
        <w:tc>
          <w:tcPr>
            <w:tcW w:w="3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(2,169)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(4,850)</w:t>
            </w:r>
          </w:p>
        </w:tc>
        <w:tc>
          <w:tcPr>
            <w:tcW w:w="0" w:type="dxa"/>
            <w:vAlign w:val="bottom"/>
          </w:tcPr>
          <w:p>
            <w:pPr>
              <w:spacing w:after="0"/>
              <w:rPr>
                <w:sz w:val="1"/>
                <w:szCs w:val="1"/>
                <w:color w:val="auto"/>
              </w:rPr>
            </w:pPr>
          </w:p>
        </w:tc>
      </w:tr>
      <w:tr>
        <w:trPr>
          <w:trHeight w:val="188"/>
        </w:trPr>
        <w:tc>
          <w:tcPr>
            <w:tcW w:w="5320" w:type="dxa"/>
            <w:vAlign w:val="bottom"/>
          </w:tcPr>
          <w:p>
            <w:pPr>
              <w:ind w:left="140"/>
              <w:spacing w:after="0"/>
              <w:rPr>
                <w:sz w:val="20"/>
                <w:szCs w:val="20"/>
                <w:color w:val="auto"/>
              </w:rPr>
            </w:pPr>
            <w:r>
              <w:rPr>
                <w:rFonts w:ascii="Arial" w:cs="Arial" w:eastAsia="Arial" w:hAnsi="Arial"/>
                <w:sz w:val="16"/>
                <w:szCs w:val="16"/>
                <w:color w:val="auto"/>
              </w:rPr>
              <w:t>RNG Fuel</w:t>
            </w: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6"/>
                <w:szCs w:val="16"/>
                <w:color w:val="auto"/>
              </w:rPr>
              <w:t>13,642</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140"/>
              <w:spacing w:after="0" w:line="223" w:lineRule="exact"/>
              <w:rPr>
                <w:sz w:val="20"/>
                <w:szCs w:val="20"/>
                <w:color w:val="auto"/>
              </w:rPr>
            </w:pPr>
            <w:r>
              <w:rPr>
                <w:rFonts w:ascii="Arial" w:cs="Arial" w:eastAsia="Arial" w:hAnsi="Arial"/>
                <w:sz w:val="15"/>
                <w:szCs w:val="15"/>
                <w:color w:val="auto"/>
              </w:rPr>
              <w:t xml:space="preserve">Fuel Station Services </w:t>
            </w:r>
            <w:r>
              <w:rPr>
                <w:rFonts w:ascii="Arial" w:cs="Arial" w:eastAsia="Arial" w:hAnsi="Arial"/>
                <w:sz w:val="25"/>
                <w:szCs w:val="25"/>
                <w:color w:val="auto"/>
                <w:vertAlign w:val="superscript"/>
              </w:rPr>
              <w:t>(2)</w:t>
            </w:r>
          </w:p>
        </w:tc>
        <w:tc>
          <w:tcPr>
            <w:tcW w:w="3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3,414</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140"/>
              <w:spacing w:after="0" w:line="223" w:lineRule="exact"/>
              <w:rPr>
                <w:sz w:val="20"/>
                <w:szCs w:val="20"/>
                <w:color w:val="auto"/>
              </w:rPr>
            </w:pPr>
            <w:r>
              <w:rPr>
                <w:rFonts w:ascii="Arial" w:cs="Arial" w:eastAsia="Arial" w:hAnsi="Arial"/>
                <w:sz w:val="15"/>
                <w:szCs w:val="15"/>
                <w:color w:val="auto"/>
              </w:rPr>
              <w:t xml:space="preserve">Corporate </w:t>
            </w:r>
            <w:r>
              <w:rPr>
                <w:rFonts w:ascii="Arial" w:cs="Arial" w:eastAsia="Arial" w:hAnsi="Arial"/>
                <w:sz w:val="25"/>
                <w:szCs w:val="25"/>
                <w:color w:val="auto"/>
                <w:vertAlign w:val="superscript"/>
              </w:rPr>
              <w:t>(1) (2)</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6"/>
                <w:szCs w:val="16"/>
                <w:color w:val="auto"/>
              </w:rPr>
              <w:t>(19,660)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Method Investment(s)</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121"/>
              <w:spacing w:after="0"/>
              <w:rPr>
                <w:sz w:val="20"/>
                <w:szCs w:val="20"/>
                <w:color w:val="auto"/>
              </w:rPr>
            </w:pPr>
            <w:r>
              <w:rPr>
                <w:rFonts w:ascii="Arial" w:cs="Arial" w:eastAsia="Arial" w:hAnsi="Arial"/>
                <w:sz w:val="8"/>
                <w:szCs w:val="8"/>
                <w:color w:val="auto"/>
                <w:w w:val="73"/>
              </w:rPr>
              <w:t>)</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20" w:type="dxa"/>
            <w:vAlign w:val="bottom"/>
          </w:tcPr>
          <w:p>
            <w:pPr>
              <w:spacing w:after="0"/>
              <w:rPr>
                <w:sz w:val="17"/>
                <w:szCs w:val="17"/>
                <w:color w:val="auto"/>
              </w:rPr>
            </w:pPr>
          </w:p>
        </w:tc>
        <w:tc>
          <w:tcPr>
            <w:tcW w:w="3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(4,809</w:t>
            </w:r>
          </w:p>
        </w:tc>
        <w:tc>
          <w:tcPr>
            <w:tcW w:w="200" w:type="dxa"/>
            <w:vAlign w:val="bottom"/>
            <w:vMerge w:val="continue"/>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18,177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6" w:hanging="286"/>
        <w:spacing w:after="0"/>
        <w:tabs>
          <w:tab w:leader="none" w:pos="28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Net Income for Corporate segment includes $19,818 gain on acquisition of equity method investment for the six months ended June 30, 2021.</w:t>
      </w:r>
    </w:p>
    <w:p>
      <w:pPr>
        <w:spacing w:after="0" w:line="192" w:lineRule="exact"/>
        <w:rPr>
          <w:rFonts w:ascii="Arial" w:cs="Arial" w:eastAsia="Arial" w:hAnsi="Arial"/>
          <w:sz w:val="16"/>
          <w:szCs w:val="16"/>
          <w:color w:val="auto"/>
        </w:rPr>
      </w:pPr>
    </w:p>
    <w:p>
      <w:pPr>
        <w:ind w:left="286" w:hanging="286"/>
        <w:spacing w:after="0" w:line="266" w:lineRule="auto"/>
        <w:tabs>
          <w:tab w:leader="none" w:pos="28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Net Income for Corporate segment for the six months ended June 30, 2021, includes certain payroll expenses for employees who were transferred from Renewable Power and Fuel Station Services segment for the six months ended June 30, 2022.</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6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6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6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r>
      <w:tr>
        <w:trPr>
          <w:trHeight w:val="188"/>
        </w:trPr>
        <w:tc>
          <w:tcPr>
            <w:tcW w:w="6200" w:type="dxa"/>
            <w:vAlign w:val="bottom"/>
          </w:tcPr>
          <w:p>
            <w:pPr>
              <w:spacing w:after="0"/>
              <w:rPr>
                <w:sz w:val="20"/>
                <w:szCs w:val="20"/>
                <w:color w:val="auto"/>
              </w:rPr>
            </w:pPr>
            <w:r>
              <w:rPr>
                <w:rFonts w:ascii="Arial" w:cs="Arial" w:eastAsia="Arial" w:hAnsi="Arial"/>
                <w:sz w:val="16"/>
                <w:szCs w:val="16"/>
                <w:color w:val="auto"/>
              </w:rPr>
              <w:t>Cash paid for Purchases of Property, Plant, and Equipment:</w:t>
            </w: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Renewable Power</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6200" w:type="dxa"/>
            <w:vAlign w:val="bottom"/>
          </w:tcPr>
          <w:p>
            <w:pPr>
              <w:ind w:left="140"/>
              <w:spacing w:after="0"/>
              <w:rPr>
                <w:sz w:val="20"/>
                <w:szCs w:val="20"/>
                <w:color w:val="auto"/>
              </w:rPr>
            </w:pPr>
            <w:r>
              <w:rPr>
                <w:rFonts w:ascii="Arial" w:cs="Arial" w:eastAsia="Arial" w:hAnsi="Arial"/>
                <w:sz w:val="16"/>
                <w:szCs w:val="16"/>
                <w:color w:val="auto"/>
              </w:rPr>
              <w:t>Fuel Station Services</w:t>
            </w:r>
          </w:p>
        </w:tc>
        <w:tc>
          <w:tcPr>
            <w:tcW w:w="2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3,300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0"/>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RNG Fuel</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50,559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34,422</w:t>
            </w:r>
          </w:p>
        </w:tc>
        <w:tc>
          <w:tcPr>
            <w:tcW w:w="120" w:type="dxa"/>
            <w:vAlign w:val="bottom"/>
            <w:shd w:val="clear" w:color="auto" w:fill="CCEEFF"/>
          </w:tcPr>
          <w:p>
            <w:pPr>
              <w:spacing w:after="0"/>
              <w:rPr>
                <w:sz w:val="17"/>
                <w:szCs w:val="17"/>
                <w:color w:val="auto"/>
              </w:rPr>
            </w:pPr>
          </w:p>
        </w:tc>
      </w:tr>
      <w:tr>
        <w:trPr>
          <w:trHeight w:val="24"/>
        </w:trPr>
        <w:tc>
          <w:tcPr>
            <w:tcW w:w="62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6200" w:type="dxa"/>
            <w:vAlign w:val="bottom"/>
          </w:tcPr>
          <w:p>
            <w:pPr>
              <w:spacing w:after="0"/>
              <w:rPr>
                <w:sz w:val="18"/>
                <w:szCs w:val="18"/>
                <w:color w:val="auto"/>
              </w:rPr>
            </w:pPr>
          </w:p>
        </w:tc>
        <w:tc>
          <w:tcPr>
            <w:tcW w:w="2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55,159</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34,422</w:t>
            </w:r>
          </w:p>
        </w:tc>
        <w:tc>
          <w:tcPr>
            <w:tcW w:w="12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December 31,</w:t>
            </w:r>
          </w:p>
        </w:tc>
      </w:tr>
      <w:tr>
        <w:trPr>
          <w:trHeight w:val="209"/>
        </w:trPr>
        <w:tc>
          <w:tcPr>
            <w:tcW w:w="5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r>
      <w:tr>
        <w:trPr>
          <w:trHeight w:val="188"/>
        </w:trPr>
        <w:tc>
          <w:tcPr>
            <w:tcW w:w="5320" w:type="dxa"/>
            <w:vAlign w:val="bottom"/>
          </w:tcPr>
          <w:p>
            <w:pPr>
              <w:spacing w:after="0"/>
              <w:rPr>
                <w:sz w:val="20"/>
                <w:szCs w:val="20"/>
                <w:color w:val="auto"/>
              </w:rPr>
            </w:pPr>
            <w:r>
              <w:rPr>
                <w:rFonts w:ascii="Arial" w:cs="Arial" w:eastAsia="Arial" w:hAnsi="Arial"/>
                <w:sz w:val="16"/>
                <w:szCs w:val="16"/>
                <w:color w:val="auto"/>
              </w:rPr>
              <w:t>Total Assets:</w:t>
            </w:r>
          </w:p>
        </w:tc>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Renewable Power</w:t>
            </w:r>
          </w:p>
        </w:tc>
        <w:tc>
          <w:tcPr>
            <w:tcW w:w="3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44,828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43,728</w:t>
            </w:r>
          </w:p>
        </w:tc>
      </w:tr>
      <w:tr>
        <w:trPr>
          <w:trHeight w:val="188"/>
        </w:trPr>
        <w:tc>
          <w:tcPr>
            <w:tcW w:w="5320" w:type="dxa"/>
            <w:vAlign w:val="bottom"/>
          </w:tcPr>
          <w:p>
            <w:pPr>
              <w:ind w:left="140"/>
              <w:spacing w:after="0"/>
              <w:rPr>
                <w:sz w:val="20"/>
                <w:szCs w:val="20"/>
                <w:color w:val="auto"/>
              </w:rPr>
            </w:pPr>
            <w:r>
              <w:rPr>
                <w:rFonts w:ascii="Arial" w:cs="Arial" w:eastAsia="Arial" w:hAnsi="Arial"/>
                <w:sz w:val="16"/>
                <w:szCs w:val="16"/>
                <w:color w:val="auto"/>
              </w:rPr>
              <w:t>RNG Fuel</w:t>
            </w:r>
          </w:p>
        </w:tc>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303,520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215,512</w:t>
            </w:r>
          </w:p>
        </w:tc>
      </w:tr>
      <w:tr>
        <w:trPr>
          <w:trHeight w:val="188"/>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Station Services</w:t>
            </w:r>
          </w:p>
        </w:tc>
        <w:tc>
          <w:tcPr>
            <w:tcW w:w="3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60,700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56,567</w:t>
            </w:r>
          </w:p>
        </w:tc>
      </w:tr>
      <w:tr>
        <w:trPr>
          <w:trHeight w:val="188"/>
        </w:trPr>
        <w:tc>
          <w:tcPr>
            <w:tcW w:w="5320" w:type="dxa"/>
            <w:vAlign w:val="bottom"/>
          </w:tcPr>
          <w:p>
            <w:pPr>
              <w:ind w:left="140"/>
              <w:spacing w:after="0"/>
              <w:rPr>
                <w:sz w:val="20"/>
                <w:szCs w:val="20"/>
                <w:color w:val="auto"/>
              </w:rPr>
            </w:pPr>
            <w:r>
              <w:rPr>
                <w:rFonts w:ascii="Arial" w:cs="Arial" w:eastAsia="Arial" w:hAnsi="Arial"/>
                <w:sz w:val="16"/>
                <w:szCs w:val="16"/>
                <w:color w:val="auto"/>
              </w:rPr>
              <w:t>Corporate</w:t>
            </w:r>
          </w:p>
        </w:tc>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56,083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17,528</w:t>
            </w:r>
          </w:p>
        </w:tc>
      </w:tr>
      <w:tr>
        <w:trPr>
          <w:trHeight w:val="224"/>
        </w:trPr>
        <w:tc>
          <w:tcPr>
            <w:tcW w:w="5320" w:type="dxa"/>
            <w:vAlign w:val="bottom"/>
            <w:shd w:val="clear" w:color="auto" w:fill="CCEEFF"/>
          </w:tcPr>
          <w:p>
            <w:pPr>
              <w:ind w:left="140"/>
              <w:spacing w:after="0" w:line="223"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(1)</w:t>
            </w:r>
          </w:p>
        </w:tc>
        <w:tc>
          <w:tcPr>
            <w:tcW w:w="3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359</w:t>
            </w:r>
          </w:p>
        </w:tc>
      </w:tr>
      <w:tr>
        <w:trPr>
          <w:trHeight w:val="200"/>
        </w:trPr>
        <w:tc>
          <w:tcPr>
            <w:tcW w:w="5320" w:type="dxa"/>
            <w:vAlign w:val="bottom"/>
          </w:tcPr>
          <w:p>
            <w:pPr>
              <w:ind w:left="140"/>
              <w:spacing w:after="0"/>
              <w:rPr>
                <w:sz w:val="20"/>
                <w:szCs w:val="20"/>
                <w:color w:val="auto"/>
              </w:rPr>
            </w:pPr>
            <w:r>
              <w:rPr>
                <w:rFonts w:ascii="Arial" w:cs="Arial" w:eastAsia="Arial" w:hAnsi="Arial"/>
                <w:sz w:val="16"/>
                <w:szCs w:val="16"/>
                <w:color w:val="auto"/>
              </w:rPr>
              <w:t>Equity Method Investment(s)</w:t>
            </w:r>
          </w:p>
        </w:tc>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47,113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47,150</w:t>
            </w:r>
          </w:p>
        </w:tc>
      </w:tr>
      <w:tr>
        <w:trPr>
          <w:trHeight w:val="24"/>
        </w:trPr>
        <w:tc>
          <w:tcPr>
            <w:tcW w:w="53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3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512,242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380,844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ind w:left="286" w:right="1820" w:hanging="286"/>
        <w:spacing w:after="0" w:line="521" w:lineRule="auto"/>
        <w:tabs>
          <w:tab w:leader="none" w:pos="286" w:val="left"/>
        </w:tabs>
        <w:numPr>
          <w:ilvl w:val="0"/>
          <w:numId w:val="121"/>
        </w:numPr>
        <w:rPr>
          <w:rFonts w:ascii="Arial" w:cs="Arial" w:eastAsia="Arial" w:hAnsi="Arial"/>
          <w:sz w:val="15"/>
          <w:szCs w:val="15"/>
          <w:color w:val="auto"/>
        </w:rPr>
      </w:pPr>
      <w:r>
        <w:rPr>
          <w:rFonts w:ascii="Arial" w:cs="Arial" w:eastAsia="Arial" w:hAnsi="Arial"/>
          <w:sz w:val="15"/>
          <w:szCs w:val="15"/>
          <w:color w:val="auto"/>
        </w:rPr>
        <w:t>Other includes total assets associated with Fortistar Contracting LLC as the Company does not maintain segment-level records for these balances. Geographic Information: The Company’s assets and revenue generating activities are domiciled in the United States.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12. Variable Interest Entities</w:t>
      </w:r>
    </w:p>
    <w:p>
      <w:pPr>
        <w:spacing w:after="0" w:line="197" w:lineRule="exact"/>
        <w:rPr>
          <w:sz w:val="20"/>
          <w:szCs w:val="20"/>
          <w:color w:val="auto"/>
        </w:rPr>
      </w:pPr>
    </w:p>
    <w:p>
      <w:pPr>
        <w:jc w:val="both"/>
        <w:ind w:left="6" w:firstLine="283"/>
        <w:spacing w:after="0" w:line="249" w:lineRule="auto"/>
        <w:rPr>
          <w:sz w:val="20"/>
          <w:szCs w:val="20"/>
          <w:color w:val="auto"/>
        </w:rPr>
      </w:pPr>
      <w:r>
        <w:rPr>
          <w:rFonts w:ascii="Arial" w:cs="Arial" w:eastAsia="Arial" w:hAnsi="Arial"/>
          <w:sz w:val="16"/>
          <w:szCs w:val="16"/>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26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10" w:name="page211"/>
    <w:bookmarkEnd w:id="210"/>
    <w:p>
      <w:pPr>
        <w:jc w:val="both"/>
        <w:ind w:firstLine="283"/>
        <w:spacing w:after="0" w:line="252" w:lineRule="auto"/>
        <w:rPr>
          <w:sz w:val="20"/>
          <w:szCs w:val="20"/>
          <w:color w:val="auto"/>
        </w:rPr>
      </w:pPr>
      <w:r>
        <w:rPr>
          <w:rFonts w:ascii="Arial" w:cs="Arial" w:eastAsia="Arial" w:hAnsi="Arial"/>
          <w:sz w:val="16"/>
          <w:szCs w:val="16"/>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June 30, 2022 and December 31, 2021, the Company held equity interests in five VIEs — Sunoma, GREP, Emerald, Sapphire, and Central Valley.</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GREP has been presented as an equity method investment and the remaining four VIEs Sunoma, Emerald, Sapphire, and Central Valley are consolidated by the Company.</w:t>
      </w:r>
    </w:p>
    <w:p>
      <w:pPr>
        <w:spacing w:after="0" w:line="22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condensed consolidated balance sheets as of June 30, 2022 and December 31, 2021.</w:t>
      </w:r>
    </w:p>
    <w:p>
      <w:pPr>
        <w:spacing w:after="0" w:line="169"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157" w:lineRule="exact"/>
        <w:rPr>
          <w:sz w:val="20"/>
          <w:szCs w:val="20"/>
          <w:color w:val="auto"/>
        </w:rPr>
      </w:pPr>
    </w:p>
    <w:p>
      <w:pPr>
        <w:ind w:left="560" w:hanging="283"/>
        <w:spacing w:after="0" w:line="266" w:lineRule="auto"/>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has the obligation to absorb the potential losses for the right to receive potential benefits, which could be significant to the VIE;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 xml:space="preserve">As a primary beneficiary, the Company consolidates these entities in accordance with the variable interest entity model guidance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w:t>
      </w:r>
    </w:p>
    <w:p>
      <w:pPr>
        <w:spacing w:after="0" w:line="204"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155"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57" w:lineRule="exact"/>
        <w:rPr>
          <w:sz w:val="20"/>
          <w:szCs w:val="20"/>
          <w:color w:val="auto"/>
        </w:rPr>
      </w:pPr>
    </w:p>
    <w:p>
      <w:pPr>
        <w:jc w:val="both"/>
        <w:ind w:firstLine="283"/>
        <w:spacing w:after="0" w:line="300" w:lineRule="auto"/>
        <w:rPr>
          <w:sz w:val="20"/>
          <w:szCs w:val="20"/>
          <w:color w:val="auto"/>
        </w:rPr>
      </w:pPr>
      <w:r>
        <w:rPr>
          <w:rFonts w:ascii="Arial" w:cs="Arial" w:eastAsia="Arial" w:hAnsi="Arial"/>
          <w:sz w:val="15"/>
          <w:szCs w:val="15"/>
          <w:color w:val="auto"/>
        </w:rPr>
        <w:t>The following table summarizes the major condensed consolidated balance sheet items for consolidated VIEs as of June 30, 2022 and December 31, 2021. The VIE information below is presented on an aggregate basis based on similar risk and reward characteristics and the nature of our involvement with the VIEs, such as:</w:t>
      </w:r>
    </w:p>
    <w:p>
      <w:pPr>
        <w:spacing w:after="0" w:line="134" w:lineRule="exact"/>
        <w:rPr>
          <w:sz w:val="20"/>
          <w:szCs w:val="20"/>
          <w:color w:val="auto"/>
        </w:rPr>
      </w:pPr>
    </w:p>
    <w:p>
      <w:pPr>
        <w:ind w:left="560" w:hanging="283"/>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All of the VIEs are RNG facilities and they are reported under the RNG Fuel Supply segment;</w:t>
      </w:r>
    </w:p>
    <w:p>
      <w:pPr>
        <w:spacing w:after="0" w:line="192" w:lineRule="exact"/>
        <w:rPr>
          <w:rFonts w:ascii="Arial" w:cs="Arial" w:eastAsia="Arial" w:hAnsi="Arial"/>
          <w:sz w:val="16"/>
          <w:szCs w:val="16"/>
          <w:color w:val="auto"/>
        </w:rPr>
      </w:pPr>
    </w:p>
    <w:p>
      <w:pPr>
        <w:ind w:left="560" w:hanging="283"/>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nature of our interest in these entities is primarily equity based and therefore carry similar risk and reward characteristics;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211" w:name="page212"/>
    <w:bookmarkEnd w:id="211"/>
    <w:p>
      <w:pPr>
        <w:ind w:right="20" w:firstLine="283"/>
        <w:spacing w:after="0" w:line="266" w:lineRule="auto"/>
        <w:rPr>
          <w:sz w:val="20"/>
          <w:szCs w:val="20"/>
          <w:color w:val="auto"/>
        </w:rPr>
      </w:pPr>
      <w:r>
        <w:rPr>
          <w:rFonts w:ascii="Arial" w:cs="Arial" w:eastAsia="Arial" w:hAnsi="Arial"/>
          <w:sz w:val="16"/>
          <w:szCs w:val="16"/>
          <w:color w:val="auto"/>
        </w:rPr>
        <w:t>The amount of assets that can only be used to settle obligations of the VIEs are parenthesized in the condensed consolidated balance sheets and are included in the asset totals listed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As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Assets</w:t>
            </w:r>
          </w:p>
        </w:tc>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23,864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4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Borders>
              <w:top w:val="single" w:sz="8" w:color="CCEEFF"/>
              <w:bottom w:val="single" w:sz="8" w:color="CCEEFF"/>
            </w:tcBorders>
          </w:tcPr>
          <w:p>
            <w:pPr>
              <w:ind w:left="260"/>
              <w:spacing w:after="0" w:line="172" w:lineRule="exact"/>
              <w:rPr>
                <w:sz w:val="20"/>
                <w:szCs w:val="20"/>
                <w:color w:val="auto"/>
              </w:rPr>
            </w:pPr>
            <w:r>
              <w:rPr>
                <w:rFonts w:ascii="Arial" w:cs="Arial" w:eastAsia="Arial" w:hAnsi="Arial"/>
                <w:sz w:val="16"/>
                <w:szCs w:val="16"/>
                <w:color w:val="auto"/>
              </w:rPr>
              <w:t>Total current assets</w:t>
            </w:r>
          </w:p>
        </w:tc>
        <w:tc>
          <w:tcPr>
            <w:tcW w:w="44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24,460</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2,144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plant and equipment, net</w:t>
            </w:r>
          </w:p>
        </w:tc>
        <w:tc>
          <w:tcPr>
            <w:tcW w:w="4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20" w:type="dxa"/>
            <w:vAlign w:val="bottom"/>
          </w:tcPr>
          <w:p>
            <w:pPr>
              <w:ind w:left="120"/>
              <w:spacing w:after="0"/>
              <w:rPr>
                <w:sz w:val="20"/>
                <w:szCs w:val="20"/>
                <w:color w:val="auto"/>
              </w:rPr>
            </w:pPr>
            <w:r>
              <w:rPr>
                <w:rFonts w:ascii="Arial" w:cs="Arial" w:eastAsia="Arial" w:hAnsi="Arial"/>
                <w:sz w:val="16"/>
                <w:szCs w:val="16"/>
                <w:color w:val="auto"/>
              </w:rPr>
              <w:t>Restricted cash, non-current</w:t>
            </w: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2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44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62,277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restart"/>
          </w:tcPr>
          <w:p>
            <w:pPr>
              <w:spacing w:after="0"/>
              <w:rPr>
                <w:sz w:val="15"/>
                <w:szCs w:val="15"/>
                <w:color w:val="auto"/>
              </w:rPr>
            </w:pPr>
          </w:p>
        </w:tc>
        <w:tc>
          <w:tcPr>
            <w:tcW w:w="42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4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Current liabilities:</w:t>
            </w: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Arial" w:cs="Arial" w:eastAsia="Arial" w:hAnsi="Arial"/>
                <w:sz w:val="16"/>
                <w:szCs w:val="16"/>
                <w:color w:val="auto"/>
              </w:rPr>
              <w:t>Accounts payable, related party</w:t>
            </w: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capital expenses</w:t>
            </w:r>
          </w:p>
        </w:tc>
        <w:tc>
          <w:tcPr>
            <w:tcW w:w="4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Arial" w:cs="Arial" w:eastAsia="Arial" w:hAnsi="Arial"/>
                <w:sz w:val="16"/>
                <w:szCs w:val="16"/>
                <w:color w:val="auto"/>
              </w:rPr>
              <w:t>Sunoma loan - current portion</w:t>
            </w: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4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Borders>
              <w:top w:val="single" w:sz="8" w:color="CCEEFF"/>
              <w:bottom w:val="single" w:sz="8" w:color="CCEEFF"/>
            </w:tcBorders>
          </w:tcPr>
          <w:p>
            <w:pPr>
              <w:ind w:left="260"/>
              <w:spacing w:after="0" w:line="172" w:lineRule="exact"/>
              <w:rPr>
                <w:sz w:val="20"/>
                <w:szCs w:val="20"/>
                <w:color w:val="auto"/>
              </w:rPr>
            </w:pPr>
            <w:r>
              <w:rPr>
                <w:rFonts w:ascii="Arial" w:cs="Arial" w:eastAsia="Arial" w:hAnsi="Arial"/>
                <w:sz w:val="16"/>
                <w:szCs w:val="16"/>
                <w:color w:val="auto"/>
              </w:rPr>
              <w:t>Total current liabilities</w:t>
            </w:r>
          </w:p>
        </w:tc>
        <w:tc>
          <w:tcPr>
            <w:tcW w:w="44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2,758</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3,022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Sunoma loan, net of debt issuance costs</w:t>
            </w:r>
          </w:p>
        </w:tc>
        <w:tc>
          <w:tcPr>
            <w:tcW w:w="4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Borders>
              <w:bottom w:val="single" w:sz="8" w:color="CCEEFF"/>
            </w:tcBorders>
          </w:tcPr>
          <w:p>
            <w:pPr>
              <w:ind w:left="260"/>
              <w:spacing w:after="0" w:line="172" w:lineRule="exact"/>
              <w:rPr>
                <w:sz w:val="20"/>
                <w:szCs w:val="20"/>
                <w:color w:val="auto"/>
              </w:rPr>
            </w:pPr>
            <w:r>
              <w:rPr>
                <w:rFonts w:ascii="Arial" w:cs="Arial" w:eastAsia="Arial" w:hAnsi="Arial"/>
                <w:sz w:val="16"/>
                <w:szCs w:val="16"/>
                <w:color w:val="auto"/>
              </w:rPr>
              <w:t>Total liabilities</w:t>
            </w:r>
          </w:p>
        </w:tc>
        <w:tc>
          <w:tcPr>
            <w:tcW w:w="44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20,227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19,221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4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OPAL Fuels LLC equity</w:t>
            </w: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24,412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10,692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4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17,638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Total equity</w:t>
            </w:r>
          </w:p>
        </w:tc>
        <w:tc>
          <w:tcPr>
            <w:tcW w:w="44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42,050</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11,880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Equity</w:t>
            </w: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62,277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right"/>
              <w:ind w:right="3080"/>
              <w:spacing w:after="0"/>
              <w:rPr>
                <w:sz w:val="20"/>
                <w:szCs w:val="20"/>
                <w:color w:val="auto"/>
              </w:rPr>
            </w:pPr>
            <w:r>
              <w:rPr>
                <w:rFonts w:ascii="Arial" w:cs="Arial" w:eastAsia="Arial" w:hAnsi="Arial"/>
                <w:sz w:val="16"/>
                <w:szCs w:val="16"/>
                <w:color w:val="auto"/>
              </w:rPr>
              <w:t>F-72</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92" w:right="319" w:bottom="1440" w:gutter="0" w:footer="0" w:header="0"/>
        </w:sectPr>
      </w:pPr>
    </w:p>
    <w:bookmarkStart w:id="212" w:name="page213"/>
    <w:bookmarkEnd w:id="212"/>
    <w:p>
      <w:pPr>
        <w:spacing w:after="0"/>
        <w:rPr>
          <w:sz w:val="20"/>
          <w:szCs w:val="20"/>
          <w:color w:val="auto"/>
        </w:rPr>
      </w:pPr>
      <w:r>
        <w:rPr>
          <w:rFonts w:ascii="Arial" w:cs="Arial" w:eastAsia="Arial" w:hAnsi="Arial"/>
          <w:sz w:val="16"/>
          <w:szCs w:val="16"/>
          <w:b w:val="1"/>
          <w:bCs w:val="1"/>
          <w:color w:val="auto"/>
        </w:rPr>
        <w:t>13. Redeemable Preferred Units and Equity</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On November 29, 2021, as part of an exchange agreement (“</w:t>
      </w:r>
      <w:r>
        <w:rPr>
          <w:rFonts w:ascii="Arial" w:cs="Arial" w:eastAsia="Arial" w:hAnsi="Arial"/>
          <w:sz w:val="16"/>
          <w:szCs w:val="16"/>
          <w:b w:val="1"/>
          <w:bCs w:val="1"/>
          <w:i w:val="1"/>
          <w:iCs w:val="1"/>
          <w:color w:val="auto"/>
        </w:rPr>
        <w:t>Hillman exchange</w:t>
      </w:r>
      <w:r>
        <w:rPr>
          <w:rFonts w:ascii="Arial" w:cs="Arial" w:eastAsia="Arial" w:hAnsi="Arial"/>
          <w:sz w:val="16"/>
          <w:szCs w:val="16"/>
          <w:color w:val="auto"/>
        </w:rPr>
        <w:t>”), the Company issued the 14 newly authorized common units and 300,000 Series A-1 preferred units to Hillman in return for Hillman’s non-controlling interest in four RNG project subsidiaries.</w:t>
      </w:r>
    </w:p>
    <w:p>
      <w:pPr>
        <w:spacing w:after="0" w:line="15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On November 29, 2021, Mendocino Capital LLC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subscribed for up to 1,000,000 Series A preferred units, which are issuable (in whole or in increments) at the Company’s discretion prior to June 30, 2022. As of June 30, 2022, the Company issued 1,000,000 units for total proceeds of $100,000. The Company incurred issuance costs of $267 in third-party legal fees in the fourth quarter of 2021, which was presented as Deferred financing costs in the condensed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June 30, 2022.</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the changes in the redeemable preferred units from December 31, 2021 to June 30,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80" w:type="dxa"/>
            <w:vAlign w:val="bottom"/>
          </w:tcPr>
          <w:p>
            <w:pPr>
              <w:spacing w:after="0"/>
              <w:rPr>
                <w:sz w:val="18"/>
                <w:szCs w:val="18"/>
                <w:color w:val="auto"/>
              </w:rPr>
            </w:pPr>
          </w:p>
        </w:tc>
        <w:tc>
          <w:tcPr>
            <w:tcW w:w="2820" w:type="dxa"/>
            <w:vAlign w:val="bottom"/>
            <w:gridSpan w:val="6"/>
          </w:tcPr>
          <w:p>
            <w:pPr>
              <w:ind w:left="360"/>
              <w:spacing w:after="0"/>
              <w:rPr>
                <w:sz w:val="20"/>
                <w:szCs w:val="20"/>
                <w:color w:val="auto"/>
              </w:rPr>
            </w:pPr>
            <w:r>
              <w:rPr>
                <w:rFonts w:ascii="Arial" w:cs="Arial" w:eastAsia="Arial" w:hAnsi="Arial"/>
                <w:sz w:val="16"/>
                <w:szCs w:val="16"/>
                <w:b w:val="1"/>
                <w:bCs w:val="1"/>
                <w:color w:val="auto"/>
              </w:rPr>
              <w:t>Series A-1 Preferred Units</w:t>
            </w:r>
          </w:p>
        </w:tc>
        <w:tc>
          <w:tcPr>
            <w:tcW w:w="2460" w:type="dxa"/>
            <w:vAlign w:val="bottom"/>
            <w:gridSpan w:val="7"/>
          </w:tcPr>
          <w:p>
            <w:pPr>
              <w:ind w:left="300"/>
              <w:spacing w:after="0"/>
              <w:rPr>
                <w:sz w:val="20"/>
                <w:szCs w:val="20"/>
                <w:color w:val="auto"/>
              </w:rPr>
            </w:pPr>
            <w:r>
              <w:rPr>
                <w:rFonts w:ascii="Arial" w:cs="Arial" w:eastAsia="Arial" w:hAnsi="Arial"/>
                <w:sz w:val="16"/>
                <w:szCs w:val="16"/>
                <w:b w:val="1"/>
                <w:bCs w:val="1"/>
                <w:color w:val="auto"/>
              </w:rPr>
              <w:t>Series A Preferred Units</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1380" w:type="dxa"/>
            <w:vAlign w:val="bottom"/>
            <w:tcBorders>
              <w:top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Units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Units</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Amount</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30,210</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Arial" w:cs="Arial" w:eastAsia="Arial" w:hAnsi="Arial"/>
                <w:sz w:val="16"/>
                <w:szCs w:val="16"/>
                <w:color w:val="auto"/>
              </w:rPr>
              <w:t>Series A units issued</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1,000,000</w:t>
            </w:r>
          </w:p>
        </w:tc>
        <w:tc>
          <w:tcPr>
            <w:tcW w:w="200" w:type="dxa"/>
            <w:vAlign w:val="bottom"/>
          </w:tcPr>
          <w:p>
            <w:pPr>
              <w:spacing w:after="0"/>
              <w:rPr>
                <w:sz w:val="16"/>
                <w:szCs w:val="16"/>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Paid-in kind dividends on issued and outstanding units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1,207</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b w:val="1"/>
                <w:bCs w:val="1"/>
                <w:color w:val="auto"/>
              </w:rPr>
              <w:t>Balance, June 30, 2022</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80" w:type="dxa"/>
            <w:vAlign w:val="bottom"/>
            <w:vMerge w:val="continue"/>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300,000</w:t>
            </w:r>
          </w:p>
        </w:tc>
        <w:tc>
          <w:tcPr>
            <w:tcW w:w="24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31,417</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1,000,000</w:t>
            </w:r>
          </w:p>
        </w:tc>
        <w:tc>
          <w:tcPr>
            <w:tcW w:w="200" w:type="dxa"/>
            <w:vAlign w:val="bottom"/>
          </w:tcPr>
          <w:p>
            <w:pPr>
              <w:spacing w:after="0"/>
              <w:rPr>
                <w:sz w:val="17"/>
                <w:szCs w:val="17"/>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101,228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Net (Loss) Income Per Unit</w:t>
      </w:r>
    </w:p>
    <w:p>
      <w:pPr>
        <w:spacing w:after="0" w:line="19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The Basic loss per unit attributable to members of OPAL Fuels LLC for the six months ended June 30, 2022 and 2021 is computed by dividing the net loss attributable to OPAL Fuels LLC by the weighted-average number of common units outstanding during the period. Diluted net loss for the six months ended June 30, 2022 and 2021 does not include 1,000,000 Series A redeemable preferred units and 300,000 Series A-1 redeemable preferred units because the substantive contingency for conversion has not been met as of June 30, 2022.</w:t>
      </w:r>
    </w:p>
    <w:p>
      <w:pPr>
        <w:spacing w:after="0" w:line="165"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June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2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r>
      <w:tr>
        <w:trPr>
          <w:trHeight w:val="188"/>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 attributable to OPAL Fuels LLC</w:t>
            </w:r>
          </w:p>
        </w:tc>
        <w:tc>
          <w:tcPr>
            <w:tcW w:w="27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8"/>
              </w:rPr>
              <w:t>(6,745)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18,375</w:t>
            </w:r>
          </w:p>
        </w:tc>
        <w:tc>
          <w:tcPr>
            <w:tcW w:w="120" w:type="dxa"/>
            <w:vAlign w:val="bottom"/>
            <w:shd w:val="clear" w:color="auto" w:fill="CCEEFF"/>
          </w:tcPr>
          <w:p>
            <w:pPr>
              <w:spacing w:after="0"/>
              <w:rPr>
                <w:sz w:val="16"/>
                <w:szCs w:val="16"/>
                <w:color w:val="auto"/>
              </w:rPr>
            </w:pPr>
          </w:p>
        </w:tc>
      </w:tr>
      <w:tr>
        <w:trPr>
          <w:trHeight w:val="188"/>
        </w:trPr>
        <w:tc>
          <w:tcPr>
            <w:tcW w:w="5920" w:type="dxa"/>
            <w:vAlign w:val="bottom"/>
          </w:tcPr>
          <w:p>
            <w:pPr>
              <w:spacing w:after="0"/>
              <w:rPr>
                <w:sz w:val="20"/>
                <w:szCs w:val="20"/>
                <w:color w:val="auto"/>
              </w:rPr>
            </w:pPr>
            <w:r>
              <w:rPr>
                <w:rFonts w:ascii="Arial" w:cs="Arial" w:eastAsia="Arial" w:hAnsi="Arial"/>
                <w:sz w:val="16"/>
                <w:szCs w:val="16"/>
                <w:color w:val="auto"/>
              </w:rPr>
              <w:t>Weighted average units - Basic</w:t>
            </w:r>
          </w:p>
        </w:tc>
        <w:tc>
          <w:tcPr>
            <w:tcW w:w="2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1,000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986</w:t>
            </w:r>
          </w:p>
        </w:tc>
      </w:tr>
      <w:tr>
        <w:trPr>
          <w:trHeight w:val="220"/>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units - Diluted</w:t>
            </w:r>
          </w:p>
        </w:tc>
        <w:tc>
          <w:tcPr>
            <w:tcW w:w="2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1,000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986</w:t>
            </w:r>
          </w:p>
        </w:tc>
      </w:tr>
      <w:tr>
        <w:trPr>
          <w:trHeight w:val="172"/>
        </w:trPr>
        <w:tc>
          <w:tcPr>
            <w:tcW w:w="5920" w:type="dxa"/>
            <w:vAlign w:val="bottom"/>
            <w:tcBorders>
              <w:top w:val="single" w:sz="8" w:color="CCEEFF"/>
            </w:tcBorders>
          </w:tcPr>
          <w:p>
            <w:pPr>
              <w:spacing w:after="0" w:line="172" w:lineRule="exact"/>
              <w:rPr>
                <w:sz w:val="20"/>
                <w:szCs w:val="20"/>
                <w:color w:val="auto"/>
              </w:rPr>
            </w:pPr>
            <w:r>
              <w:rPr>
                <w:rFonts w:ascii="Arial" w:cs="Arial" w:eastAsia="Arial" w:hAnsi="Arial"/>
                <w:sz w:val="16"/>
                <w:szCs w:val="16"/>
                <w:color w:val="auto"/>
              </w:rPr>
              <w:t>Basic net (loss) income per unit</w:t>
            </w:r>
          </w:p>
        </w:tc>
        <w:tc>
          <w:tcPr>
            <w:tcW w:w="276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w w:val="78"/>
              </w:rPr>
              <w:t>(6,745)</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18,636</w:t>
            </w:r>
          </w:p>
        </w:tc>
        <w:tc>
          <w:tcPr>
            <w:tcW w:w="120" w:type="dxa"/>
            <w:vAlign w:val="bottom"/>
            <w:tcBorders>
              <w:top w:val="single" w:sz="8" w:color="CCEEFF"/>
            </w:tcBorders>
          </w:tcPr>
          <w:p>
            <w:pPr>
              <w:spacing w:after="0"/>
              <w:rPr>
                <w:sz w:val="14"/>
                <w:szCs w:val="14"/>
                <w:color w:val="auto"/>
              </w:rPr>
            </w:pPr>
          </w:p>
        </w:tc>
      </w:tr>
      <w:tr>
        <w:trPr>
          <w:trHeight w:val="188"/>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Diluted (net loss) income per unit</w:t>
            </w:r>
          </w:p>
        </w:tc>
        <w:tc>
          <w:tcPr>
            <w:tcW w:w="3480" w:type="dxa"/>
            <w:vAlign w:val="bottom"/>
            <w:gridSpan w:val="2"/>
            <w:shd w:val="clear" w:color="auto" w:fill="CCEEFF"/>
          </w:tcPr>
          <w:p>
            <w:pPr>
              <w:jc w:val="right"/>
              <w:ind w:right="565"/>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(6,745)</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18,636</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w:t>
      </w:r>
    </w:p>
    <w:p>
      <w:pPr>
        <w:spacing w:after="0" w:line="197" w:lineRule="exact"/>
        <w:rPr>
          <w:sz w:val="20"/>
          <w:szCs w:val="20"/>
          <w:color w:val="auto"/>
        </w:rPr>
      </w:pPr>
    </w:p>
    <w:p>
      <w:pPr>
        <w:jc w:val="both"/>
        <w:ind w:right="20" w:firstLine="283"/>
        <w:spacing w:after="0" w:line="281" w:lineRule="auto"/>
        <w:rPr>
          <w:sz w:val="20"/>
          <w:szCs w:val="20"/>
          <w:color w:val="auto"/>
        </w:rPr>
      </w:pPr>
      <w:r>
        <w:rPr>
          <w:rFonts w:ascii="Arial" w:cs="Arial" w:eastAsia="Arial" w:hAnsi="Arial"/>
          <w:sz w:val="15"/>
          <w:szCs w:val="15"/>
          <w:color w:val="auto"/>
        </w:rPr>
        <w:t>As of June 30, 2022 and December 31, 2021, the Company was required to maintain eight standby letters of credit totaling $9,348 and $9,023,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213" w:name="page214"/>
    <w:bookmarkEnd w:id="213"/>
    <w:p>
      <w:pPr>
        <w:spacing w:after="0"/>
        <w:rPr>
          <w:sz w:val="20"/>
          <w:szCs w:val="20"/>
          <w:color w:val="auto"/>
        </w:rPr>
      </w:pPr>
      <w:r>
        <w:rPr>
          <w:rFonts w:ascii="Arial" w:cs="Arial" w:eastAsia="Arial" w:hAnsi="Arial"/>
          <w:sz w:val="16"/>
          <w:szCs w:val="16"/>
          <w:b w:val="1"/>
          <w:bCs w:val="1"/>
          <w:color w:val="auto"/>
        </w:rPr>
        <w:t>Purchase Options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5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197" w:lineRule="exact"/>
        <w:rPr>
          <w:sz w:val="20"/>
          <w:szCs w:val="20"/>
          <w:color w:val="auto"/>
        </w:rPr>
      </w:pPr>
    </w:p>
    <w:p>
      <w:pPr>
        <w:jc w:val="both"/>
        <w:ind w:right="20" w:firstLine="283"/>
        <w:spacing w:after="0" w:line="383" w:lineRule="auto"/>
        <w:rPr>
          <w:sz w:val="20"/>
          <w:szCs w:val="20"/>
          <w:color w:val="auto"/>
        </w:rPr>
      </w:pPr>
      <w:r>
        <w:rPr>
          <w:rFonts w:ascii="Arial" w:cs="Arial" w:eastAsia="Arial" w:hAnsi="Arial"/>
          <w:sz w:val="13"/>
          <w:szCs w:val="13"/>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88" w:lineRule="exact"/>
        <w:rPr>
          <w:sz w:val="20"/>
          <w:szCs w:val="20"/>
          <w:color w:val="auto"/>
        </w:rPr>
      </w:pPr>
    </w:p>
    <w:p>
      <w:pPr>
        <w:jc w:val="both"/>
        <w:ind w:right="20" w:firstLine="283"/>
        <w:spacing w:after="0" w:line="315" w:lineRule="auto"/>
        <w:rPr>
          <w:sz w:val="20"/>
          <w:szCs w:val="20"/>
          <w:color w:val="auto"/>
        </w:rPr>
      </w:pPr>
      <w:r>
        <w:rPr>
          <w:rFonts w:ascii="Arial" w:cs="Arial" w:eastAsia="Arial" w:hAnsi="Arial"/>
          <w:sz w:val="13"/>
          <w:szCs w:val="13"/>
          <w:color w:val="auto"/>
        </w:rPr>
        <w:t>On June 26, 2020, Richmond Energy LLC (“</w:t>
      </w:r>
      <w:r>
        <w:rPr>
          <w:rFonts w:ascii="Arial" w:cs="Arial" w:eastAsia="Arial" w:hAnsi="Arial"/>
          <w:sz w:val="13"/>
          <w:szCs w:val="13"/>
          <w:b w:val="1"/>
          <w:bCs w:val="1"/>
          <w:i w:val="1"/>
          <w:iCs w:val="1"/>
          <w:color w:val="auto"/>
        </w:rPr>
        <w:t>Richmond</w:t>
      </w:r>
      <w:r>
        <w:rPr>
          <w:rFonts w:ascii="Arial" w:cs="Arial" w:eastAsia="Arial" w:hAnsi="Arial"/>
          <w:sz w:val="13"/>
          <w:szCs w:val="13"/>
          <w:color w:val="auto"/>
        </w:rPr>
        <w:t>”) declared a Force Majeure event under its PPA with Old Dominion Electric Cooperative (“</w:t>
      </w:r>
      <w:r>
        <w:rPr>
          <w:rFonts w:ascii="Arial" w:cs="Arial" w:eastAsia="Arial" w:hAnsi="Arial"/>
          <w:sz w:val="13"/>
          <w:szCs w:val="13"/>
          <w:b w:val="1"/>
          <w:bCs w:val="1"/>
          <w:i w:val="1"/>
          <w:iCs w:val="1"/>
          <w:color w:val="auto"/>
        </w:rPr>
        <w:t>ODEC</w:t>
      </w:r>
      <w:r>
        <w:rPr>
          <w:rFonts w:ascii="Arial" w:cs="Arial" w:eastAsia="Arial" w:hAnsi="Arial"/>
          <w:sz w:val="13"/>
          <w:szCs w:val="13"/>
          <w:color w:val="auto"/>
        </w:rPr>
        <w:t>”), dated as of November 3, 2010. The Force Majeure declaration stated that inspections of its Old Dominion landfill gas-to-electric facility (the “</w:t>
      </w:r>
      <w:r>
        <w:rPr>
          <w:rFonts w:ascii="Arial" w:cs="Arial" w:eastAsia="Arial" w:hAnsi="Arial"/>
          <w:sz w:val="13"/>
          <w:szCs w:val="13"/>
          <w:b w:val="1"/>
          <w:bCs w:val="1"/>
          <w:i w:val="1"/>
          <w:iCs w:val="1"/>
          <w:color w:val="auto"/>
        </w:rPr>
        <w:t>OD Facility</w:t>
      </w:r>
      <w:r>
        <w:rPr>
          <w:rFonts w:ascii="Arial" w:cs="Arial" w:eastAsia="Arial" w:hAnsi="Arial"/>
          <w:sz w:val="13"/>
          <w:szCs w:val="13"/>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 Richmond and ODEC entered into a settlement agreement whereby Richmond would pay ODEC the specified damages for calendar years 2020 and 2021, as well as those to be assessed for calendar year 2022 (“</w:t>
      </w:r>
      <w:r>
        <w:rPr>
          <w:rFonts w:ascii="Arial" w:cs="Arial" w:eastAsia="Arial" w:hAnsi="Arial"/>
          <w:sz w:val="13"/>
          <w:szCs w:val="13"/>
          <w:b w:val="1"/>
          <w:bCs w:val="1"/>
          <w:i w:val="1"/>
          <w:iCs w:val="1"/>
          <w:color w:val="auto"/>
        </w:rPr>
        <w:t>Settlement Agreement</w:t>
      </w:r>
      <w:r>
        <w:rPr>
          <w:rFonts w:ascii="Arial" w:cs="Arial" w:eastAsia="Arial" w:hAnsi="Arial"/>
          <w:sz w:val="13"/>
          <w:szCs w:val="13"/>
          <w:color w:val="auto"/>
        </w:rPr>
        <w:t>”). On February 8, 2022, Richmond paid ODEC $467 pursuant to the Settlement Agreement; liquidated damages for calendar year 2022, if any, will be assessed by ODEC during the first quarter of 2023.</w:t>
      </w:r>
    </w:p>
    <w:p>
      <w:pPr>
        <w:spacing w:after="0" w:line="32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Events</w:t>
      </w:r>
    </w:p>
    <w:p>
      <w:pPr>
        <w:spacing w:after="0" w:line="19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As previously announced, ArcLight Clean Transition Corp. II (“</w:t>
      </w:r>
      <w:r>
        <w:rPr>
          <w:rFonts w:ascii="Arial" w:cs="Arial" w:eastAsia="Arial" w:hAnsi="Arial"/>
          <w:sz w:val="16"/>
          <w:szCs w:val="16"/>
          <w:b w:val="1"/>
          <w:bCs w:val="1"/>
          <w:i w:val="1"/>
          <w:iCs w:val="1"/>
          <w:color w:val="auto"/>
        </w:rPr>
        <w:t>ArcLight</w:t>
      </w:r>
      <w:r>
        <w:rPr>
          <w:rFonts w:ascii="Arial" w:cs="Arial" w:eastAsia="Arial" w:hAnsi="Arial"/>
          <w:sz w:val="16"/>
          <w:szCs w:val="16"/>
          <w:color w:val="auto"/>
        </w:rPr>
        <w:t>” and, after the Domestication as described below, (“</w:t>
      </w:r>
      <w:r>
        <w:rPr>
          <w:rFonts w:ascii="Arial" w:cs="Arial" w:eastAsia="Arial" w:hAnsi="Arial"/>
          <w:sz w:val="16"/>
          <w:szCs w:val="16"/>
          <w:b w:val="1"/>
          <w:bCs w:val="1"/>
          <w:i w:val="1"/>
          <w:iCs w:val="1"/>
          <w:color w:val="auto"/>
        </w:rPr>
        <w:t>OPAL</w:t>
      </w:r>
      <w:r>
        <w:rPr>
          <w:rFonts w:ascii="Arial" w:cs="Arial" w:eastAsia="Arial" w:hAnsi="Arial"/>
          <w:sz w:val="16"/>
          <w:szCs w:val="16"/>
          <w:color w:val="auto"/>
        </w:rPr>
        <w:t>”), a Cayman Islands exempted company, entered into that certain Business Combination Agreement, dated December 2, 2021 (the “Business Combination Agreement”), by and among ArcLight, Opal Holdco LLC (“</w:t>
      </w:r>
      <w:r>
        <w:rPr>
          <w:rFonts w:ascii="Arial" w:cs="Arial" w:eastAsia="Arial" w:hAnsi="Arial"/>
          <w:sz w:val="16"/>
          <w:szCs w:val="16"/>
          <w:b w:val="1"/>
          <w:bCs w:val="1"/>
          <w:i w:val="1"/>
          <w:iCs w:val="1"/>
          <w:color w:val="auto"/>
        </w:rPr>
        <w:t>OPAL Holdco</w:t>
      </w:r>
      <w:r>
        <w:rPr>
          <w:rFonts w:ascii="Arial" w:cs="Arial" w:eastAsia="Arial" w:hAnsi="Arial"/>
          <w:sz w:val="16"/>
          <w:szCs w:val="16"/>
          <w:color w:val="auto"/>
        </w:rPr>
        <w:t>”), and OPAL Fuels LLC, a Delaware limited liability company (“</w:t>
      </w:r>
      <w:r>
        <w:rPr>
          <w:rFonts w:ascii="Arial" w:cs="Arial" w:eastAsia="Arial" w:hAnsi="Arial"/>
          <w:sz w:val="16"/>
          <w:szCs w:val="16"/>
          <w:b w:val="1"/>
          <w:bCs w:val="1"/>
          <w:i w:val="1"/>
          <w:iCs w:val="1"/>
          <w:color w:val="auto"/>
        </w:rPr>
        <w:t>Opco</w:t>
      </w:r>
      <w:r>
        <w:rPr>
          <w:rFonts w:ascii="Arial" w:cs="Arial" w:eastAsia="Arial" w:hAnsi="Arial"/>
          <w:sz w:val="16"/>
          <w:szCs w:val="16"/>
          <w:color w:val="auto"/>
        </w:rPr>
        <w:t>”).</w:t>
      </w:r>
    </w:p>
    <w:p>
      <w:pPr>
        <w:spacing w:after="0" w:line="165" w:lineRule="exact"/>
        <w:rPr>
          <w:sz w:val="20"/>
          <w:szCs w:val="20"/>
          <w:color w:val="auto"/>
        </w:rPr>
      </w:pPr>
    </w:p>
    <w:p>
      <w:pPr>
        <w:jc w:val="both"/>
        <w:ind w:firstLine="283"/>
        <w:spacing w:after="0" w:line="311" w:lineRule="auto"/>
        <w:rPr>
          <w:sz w:val="20"/>
          <w:szCs w:val="20"/>
          <w:color w:val="auto"/>
        </w:rPr>
      </w:pPr>
      <w:r>
        <w:rPr>
          <w:rFonts w:ascii="Arial" w:cs="Arial" w:eastAsia="Arial" w:hAnsi="Arial"/>
          <w:sz w:val="13"/>
          <w:szCs w:val="13"/>
          <w:color w:val="auto"/>
        </w:rPr>
        <w:t>On July 21, 2022 (the “</w:t>
      </w:r>
      <w:r>
        <w:rPr>
          <w:rFonts w:ascii="Arial" w:cs="Arial" w:eastAsia="Arial" w:hAnsi="Arial"/>
          <w:sz w:val="13"/>
          <w:szCs w:val="13"/>
          <w:b w:val="1"/>
          <w:bCs w:val="1"/>
          <w:i w:val="1"/>
          <w:iCs w:val="1"/>
          <w:color w:val="auto"/>
        </w:rPr>
        <w:t>Domestication Date</w:t>
      </w:r>
      <w:r>
        <w:rPr>
          <w:rFonts w:ascii="Arial" w:cs="Arial" w:eastAsia="Arial" w:hAnsi="Arial"/>
          <w:sz w:val="13"/>
          <w:szCs w:val="13"/>
          <w:color w:val="auto"/>
        </w:rPr>
        <w:t>”), Arclight completed the Business Combination as contemplated by the Business Combination Agreement. In connection therewith,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w:t>
      </w:r>
      <w:r>
        <w:rPr>
          <w:rFonts w:ascii="Arial" w:cs="Arial" w:eastAsia="Arial" w:hAnsi="Arial"/>
          <w:sz w:val="13"/>
          <w:szCs w:val="13"/>
          <w:b w:val="1"/>
          <w:bCs w:val="1"/>
          <w:i w:val="1"/>
          <w:iCs w:val="1"/>
          <w:color w:val="auto"/>
        </w:rPr>
        <w:t>Domestication</w:t>
      </w:r>
      <w:r>
        <w:rPr>
          <w:rFonts w:ascii="Arial" w:cs="Arial" w:eastAsia="Arial" w:hAnsi="Arial"/>
          <w:sz w:val="13"/>
          <w:szCs w:val="13"/>
          <w:color w:val="auto"/>
        </w:rPr>
        <w:t>”). Pursuant to the Domestication, (i) each outstanding Class B ordinary share, par value $0.0001 per share (the “</w:t>
      </w:r>
      <w:r>
        <w:rPr>
          <w:rFonts w:ascii="Arial" w:cs="Arial" w:eastAsia="Arial" w:hAnsi="Arial"/>
          <w:sz w:val="13"/>
          <w:szCs w:val="13"/>
          <w:b w:val="1"/>
          <w:bCs w:val="1"/>
          <w:i w:val="1"/>
          <w:iCs w:val="1"/>
          <w:color w:val="auto"/>
        </w:rPr>
        <w:t>Class B ordinary</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of ArcLight was automatically converted, on a one-for-one basis, into a Class A ordinary share, par value $0.0001 per share (the “</w:t>
      </w:r>
      <w:r>
        <w:rPr>
          <w:rFonts w:ascii="Arial" w:cs="Arial" w:eastAsia="Arial" w:hAnsi="Arial"/>
          <w:sz w:val="13"/>
          <w:szCs w:val="13"/>
          <w:b w:val="1"/>
          <w:bCs w:val="1"/>
          <w:i w:val="1"/>
          <w:iCs w:val="1"/>
          <w:color w:val="auto"/>
        </w:rPr>
        <w:t>Class A ordinary shares</w:t>
      </w:r>
      <w:r>
        <w:rPr>
          <w:rFonts w:ascii="Arial" w:cs="Arial" w:eastAsia="Arial" w:hAnsi="Arial"/>
          <w:sz w:val="13"/>
          <w:szCs w:val="13"/>
          <w:color w:val="auto"/>
        </w:rPr>
        <w: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ArcLight; (ii) each issued and outstanding Class A ordinary share (including Class A ordinary shares resulting from the conversion of Class B ordinary shares into Class A ordinary shares) was automatically converted, on a one-for-one basis, into a share of Class A common stock, par value $0.0001 per share (the “</w:t>
      </w:r>
      <w:r>
        <w:rPr>
          <w:rFonts w:ascii="Arial" w:cs="Arial" w:eastAsia="Arial" w:hAnsi="Arial"/>
          <w:sz w:val="13"/>
          <w:szCs w:val="13"/>
          <w:b w:val="1"/>
          <w:bCs w:val="1"/>
          <w:i w:val="1"/>
          <w:iCs w:val="1"/>
          <w:color w:val="auto"/>
        </w:rPr>
        <w:t>Class A common stock</w:t>
      </w:r>
      <w:r>
        <w:rPr>
          <w:rFonts w:ascii="Arial" w:cs="Arial" w:eastAsia="Arial" w:hAnsi="Arial"/>
          <w:sz w:val="13"/>
          <w:szCs w:val="13"/>
          <w:color w:val="auto"/>
        </w:rPr>
        <w:t>”); (iii) each issued and outstanding whole warrant to purchase Class A ordinary shares of ArcLight automatically converted into a warrant to acquire one share of Class A common stock at an exercise price of $11.50 per share (each an “</w:t>
      </w:r>
      <w:r>
        <w:rPr>
          <w:rFonts w:ascii="Arial" w:cs="Arial" w:eastAsia="Arial" w:hAnsi="Arial"/>
          <w:sz w:val="13"/>
          <w:szCs w:val="13"/>
          <w:b w:val="1"/>
          <w:bCs w:val="1"/>
          <w:i w:val="1"/>
          <w:iCs w:val="1"/>
          <w:color w:val="auto"/>
        </w:rPr>
        <w:t>OPAL warrant</w:t>
      </w:r>
      <w:r>
        <w:rPr>
          <w:rFonts w:ascii="Arial" w:cs="Arial" w:eastAsia="Arial" w:hAnsi="Arial"/>
          <w:sz w:val="13"/>
          <w:szCs w:val="13"/>
          <w:color w:val="auto"/>
        </w:rPr>
        <w: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Class A common stock and one-fifth of one OPAL warrant.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14" w:name="page215"/>
    <w:bookmarkEnd w:id="214"/>
    <w:p>
      <w:pPr>
        <w:ind w:left="280"/>
        <w:spacing w:after="0"/>
        <w:rPr>
          <w:sz w:val="20"/>
          <w:szCs w:val="20"/>
          <w:color w:val="auto"/>
        </w:rPr>
      </w:pPr>
      <w:r>
        <w:rPr>
          <w:rFonts w:ascii="Arial" w:cs="Arial" w:eastAsia="Arial" w:hAnsi="Arial"/>
          <w:sz w:val="16"/>
          <w:szCs w:val="16"/>
          <w:color w:val="auto"/>
        </w:rPr>
        <w:t>On July 21, 2022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as contemplated by the Business Combination Agreement:</w:t>
      </w:r>
    </w:p>
    <w:p>
      <w:pPr>
        <w:spacing w:after="0" w:line="193" w:lineRule="exact"/>
        <w:rPr>
          <w:sz w:val="20"/>
          <w:szCs w:val="20"/>
          <w:color w:val="auto"/>
        </w:rPr>
      </w:pPr>
    </w:p>
    <w:p>
      <w:pPr>
        <w:jc w:val="both"/>
        <w:ind w:left="700" w:hanging="423"/>
        <w:spacing w:after="0" w:line="256" w:lineRule="auto"/>
        <w:tabs>
          <w:tab w:leader="none" w:pos="7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Opco and its existing members caused Opco’s existing limited liability company agreement to be amended and restated and in connection therewith, all of the common units of Opco issued and outstanding immediately prior to the closing were re-classified into 144,399,037 Class B common units of Opco (collectively, the “</w:t>
      </w:r>
      <w:r>
        <w:rPr>
          <w:rFonts w:ascii="Arial" w:cs="Arial" w:eastAsia="Arial" w:hAnsi="Arial"/>
          <w:sz w:val="16"/>
          <w:szCs w:val="16"/>
          <w:b w:val="1"/>
          <w:bCs w:val="1"/>
          <w:i w:val="1"/>
          <w:iCs w:val="1"/>
          <w:color w:val="auto"/>
        </w:rPr>
        <w:t>Opco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Common Units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left="700" w:hanging="423"/>
        <w:spacing w:after="0" w:line="342" w:lineRule="auto"/>
        <w:tabs>
          <w:tab w:leader="none" w:pos="70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OPAL contributed to Opco $123,363 (representing (x) the amount of cash in the trust account established by ArcLight with the proceeds from its initial public offering as of immediately prior to the Closing, after giving effect to the exercise of redemption rights by any ArcLight shareholders and the set aside of funds in escrow to support a forward purchase agreement (described further below), plus (y) the aggregate cash proceeds received in respect of the PIPE Investment (as defined below);</w:t>
      </w:r>
    </w:p>
    <w:p>
      <w:pPr>
        <w:spacing w:after="0" w:line="114" w:lineRule="exact"/>
        <w:rPr>
          <w:rFonts w:ascii="Arial" w:cs="Arial" w:eastAsia="Arial" w:hAnsi="Arial"/>
          <w:sz w:val="13"/>
          <w:szCs w:val="13"/>
          <w:color w:val="auto"/>
        </w:rPr>
      </w:pPr>
    </w:p>
    <w:p>
      <w:pPr>
        <w:jc w:val="both"/>
        <w:ind w:left="700" w:hanging="423"/>
        <w:spacing w:after="0" w:line="342" w:lineRule="auto"/>
        <w:tabs>
          <w:tab w:leader="none" w:pos="70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OPAL contributed to Opco, and Opco in turn distributed to pre-closing members of Opco, 144,399,037 shares of Class D common stock, par value $0.0001 per share, of OPAL (the “</w:t>
      </w:r>
      <w:r>
        <w:rPr>
          <w:rFonts w:ascii="Arial" w:cs="Arial" w:eastAsia="Arial" w:hAnsi="Arial"/>
          <w:sz w:val="13"/>
          <w:szCs w:val="13"/>
          <w:b w:val="1"/>
          <w:bCs w:val="1"/>
          <w:i w:val="1"/>
          <w:iCs w:val="1"/>
          <w:color w:val="auto"/>
        </w:rPr>
        <w:t>Class D common stock</w:t>
      </w:r>
      <w:r>
        <w:rPr>
          <w:rFonts w:ascii="Arial" w:cs="Arial" w:eastAsia="Arial" w:hAnsi="Arial"/>
          <w:sz w:val="13"/>
          <w:szCs w:val="13"/>
          <w:color w:val="auto"/>
        </w:rPr>
        <w:t>”) (such shares of Class D common stock do not have any economic value but entitle the holder thereof to five votes per share) with the number of such shares of Class D common stock equal to the number of Opco Common Units held by each pre-closing member of Opco;</w:t>
      </w:r>
    </w:p>
    <w:p>
      <w:pPr>
        <w:spacing w:after="0" w:line="114" w:lineRule="exact"/>
        <w:rPr>
          <w:rFonts w:ascii="Arial" w:cs="Arial" w:eastAsia="Arial" w:hAnsi="Arial"/>
          <w:sz w:val="13"/>
          <w:szCs w:val="13"/>
          <w:color w:val="auto"/>
        </w:rPr>
      </w:pPr>
    </w:p>
    <w:p>
      <w:pPr>
        <w:ind w:left="700" w:hanging="423"/>
        <w:spacing w:after="0"/>
        <w:tabs>
          <w:tab w:leader="none" w:pos="7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OPAL issued directly to ARCC Beacon LLC, a Delaware limited liability company (“</w:t>
      </w:r>
      <w:r>
        <w:rPr>
          <w:rFonts w:ascii="Arial" w:cs="Arial" w:eastAsia="Arial" w:hAnsi="Arial"/>
          <w:sz w:val="16"/>
          <w:szCs w:val="16"/>
          <w:b w:val="1"/>
          <w:bCs w:val="1"/>
          <w:i w:val="1"/>
          <w:iCs w:val="1"/>
          <w:color w:val="auto"/>
        </w:rPr>
        <w:t>Ares</w:t>
      </w:r>
      <w:r>
        <w:rPr>
          <w:rFonts w:ascii="Arial" w:cs="Arial" w:eastAsia="Arial" w:hAnsi="Arial"/>
          <w:sz w:val="16"/>
          <w:szCs w:val="16"/>
          <w:color w:val="auto"/>
        </w:rPr>
        <w:t>”), 3,059,533 shares of Class A common stock; and</w:t>
      </w:r>
    </w:p>
    <w:p>
      <w:pPr>
        <w:spacing w:after="0" w:line="192" w:lineRule="exact"/>
        <w:rPr>
          <w:rFonts w:ascii="Arial" w:cs="Arial" w:eastAsia="Arial" w:hAnsi="Arial"/>
          <w:sz w:val="16"/>
          <w:szCs w:val="16"/>
          <w:color w:val="auto"/>
        </w:rPr>
      </w:pPr>
    </w:p>
    <w:p>
      <w:pPr>
        <w:ind w:left="700" w:hanging="423"/>
        <w:spacing w:after="0"/>
        <w:tabs>
          <w:tab w:leader="none" w:pos="7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Opco issued to OPAL 25,171,390 Class A Units of Opco (the foregoing transactions being referred to as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In addition, pursuant to subscription agreements entered into with certain investors (the “</w:t>
      </w:r>
      <w:r>
        <w:rPr>
          <w:rFonts w:ascii="Arial" w:cs="Arial" w:eastAsia="Arial" w:hAnsi="Arial"/>
          <w:sz w:val="16"/>
          <w:szCs w:val="16"/>
          <w:b w:val="1"/>
          <w:bCs w:val="1"/>
          <w:i w:val="1"/>
          <w:iCs w:val="1"/>
          <w:color w:val="auto"/>
        </w:rPr>
        <w:t>PIPE Investors</w:t>
      </w:r>
      <w:r>
        <w:rPr>
          <w:rFonts w:ascii="Arial" w:cs="Arial" w:eastAsia="Arial" w:hAnsi="Arial"/>
          <w:sz w:val="16"/>
          <w:szCs w:val="16"/>
          <w:color w:val="auto"/>
        </w:rPr>
        <w:t>”) in connection with the Business Combination (the “</w:t>
      </w:r>
      <w:r>
        <w:rPr>
          <w:rFonts w:ascii="Arial" w:cs="Arial" w:eastAsia="Arial" w:hAnsi="Arial"/>
          <w:sz w:val="16"/>
          <w:szCs w:val="16"/>
          <w:b w:val="1"/>
          <w:bCs w:val="1"/>
          <w:i w:val="1"/>
          <w:iCs w:val="1"/>
          <w:color w:val="auto"/>
        </w:rPr>
        <w:t>PIPE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Investment</w:t>
      </w:r>
      <w:r>
        <w:rPr>
          <w:rFonts w:ascii="Arial" w:cs="Arial" w:eastAsia="Arial" w:hAnsi="Arial"/>
          <w:sz w:val="16"/>
          <w:szCs w:val="16"/>
          <w:color w:val="auto"/>
        </w:rPr>
        <w:t>”), concurrently with the closing of the Business Combination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OPAL received $105,806 in proceeds from the PIPE Investors, in exchange for which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10,580,600 shares of Class A common stock to the PIPE Investors. OPAL received the remaining $5,000 subscribed for pursuant to the PIPE Investment from one of the PIPE Investors subsequent to the Closing and issued 500,000 shares of Class A common stock.</w:t>
      </w:r>
    </w:p>
    <w:p>
      <w:pPr>
        <w:spacing w:after="0" w:line="169"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$274,187 in the aggregate.</w:t>
      </w:r>
    </w:p>
    <w:p>
      <w:pPr>
        <w:spacing w:after="0" w:line="165" w:lineRule="exact"/>
        <w:rPr>
          <w:sz w:val="20"/>
          <w:szCs w:val="20"/>
          <w:color w:val="auto"/>
        </w:rPr>
      </w:pPr>
    </w:p>
    <w:p>
      <w:pPr>
        <w:jc w:val="both"/>
        <w:ind w:right="20" w:firstLine="283"/>
        <w:spacing w:after="0" w:line="271" w:lineRule="auto"/>
        <w:rPr>
          <w:sz w:val="20"/>
          <w:szCs w:val="20"/>
          <w:color w:val="auto"/>
        </w:rPr>
      </w:pPr>
      <w:r>
        <w:rPr>
          <w:rFonts w:ascii="Arial" w:cs="Arial" w:eastAsia="Arial" w:hAnsi="Arial"/>
          <w:sz w:val="15"/>
          <w:szCs w:val="15"/>
          <w:color w:val="auto"/>
        </w:rPr>
        <w:t>Pursuant to a forward share purchase agreement (the “</w:t>
      </w:r>
      <w:r>
        <w:rPr>
          <w:rFonts w:ascii="Arial" w:cs="Arial" w:eastAsia="Arial" w:hAnsi="Arial"/>
          <w:sz w:val="15"/>
          <w:szCs w:val="15"/>
          <w:b w:val="1"/>
          <w:bCs w:val="1"/>
          <w:i w:val="1"/>
          <w:iCs w:val="1"/>
          <w:color w:val="auto"/>
        </w:rPr>
        <w:t>Forward Purchase Agreement</w:t>
      </w:r>
      <w:r>
        <w:rPr>
          <w:rFonts w:ascii="Arial" w:cs="Arial" w:eastAsia="Arial" w:hAnsi="Arial"/>
          <w:sz w:val="15"/>
          <w:szCs w:val="15"/>
          <w:color w:val="auto"/>
        </w:rPr>
        <w:t>”) entered into between ArcLight and Meteora Capital Partners and its affiliates (collectively, “</w:t>
      </w:r>
      <w:r>
        <w:rPr>
          <w:rFonts w:ascii="Arial" w:cs="Arial" w:eastAsia="Arial" w:hAnsi="Arial"/>
          <w:sz w:val="15"/>
          <w:szCs w:val="15"/>
          <w:b w:val="1"/>
          <w:bCs w:val="1"/>
          <w:i w:val="1"/>
          <w:iCs w:val="1"/>
          <w:color w:val="auto"/>
        </w:rPr>
        <w:t>Meteora</w:t>
      </w:r>
      <w:r>
        <w:rPr>
          <w:rFonts w:ascii="Arial" w:cs="Arial" w:eastAsia="Arial" w:hAnsi="Arial"/>
          <w:sz w:val="15"/>
          <w:szCs w:val="15"/>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 in escrow at the closing of the Business Combination to secure its purchase obligations to Meteora under the Forward Purchase Agreement.</w:t>
      </w:r>
    </w:p>
    <w:p>
      <w:pPr>
        <w:spacing w:after="0" w:line="157" w:lineRule="exact"/>
        <w:rPr>
          <w:sz w:val="20"/>
          <w:szCs w:val="20"/>
          <w:color w:val="auto"/>
        </w:rPr>
      </w:pPr>
    </w:p>
    <w:p>
      <w:pPr>
        <w:jc w:val="both"/>
        <w:ind w:right="20" w:firstLine="283"/>
        <w:spacing w:after="0" w:line="271" w:lineRule="auto"/>
        <w:rPr>
          <w:sz w:val="20"/>
          <w:szCs w:val="20"/>
          <w:color w:val="auto"/>
        </w:rPr>
      </w:pPr>
      <w:r>
        <w:rPr>
          <w:rFonts w:ascii="Arial" w:cs="Arial" w:eastAsia="Arial" w:hAnsi="Arial"/>
          <w:sz w:val="15"/>
          <w:szCs w:val="15"/>
          <w:color w:val="auto"/>
        </w:rPr>
        <w:t>After giving effect to the Business Combination, the redemption of public shares as described above, the consummation of the PIPE Investment, and the separation of the former ArcLight units, there are currently (i) 25,171,390 shares of Class A common stock issued and outstanding, (ii) 144,399,037 shares of Class D common stock issued and outstanding, (iii) no shares of Class B common stock, par value $0.0001 per share, of OPAL (“</w:t>
      </w:r>
      <w:r>
        <w:rPr>
          <w:rFonts w:ascii="Arial" w:cs="Arial" w:eastAsia="Arial" w:hAnsi="Arial"/>
          <w:sz w:val="15"/>
          <w:szCs w:val="15"/>
          <w:b w:val="1"/>
          <w:bCs w:val="1"/>
          <w:i w:val="1"/>
          <w:iCs w:val="1"/>
          <w:color w:val="auto"/>
        </w:rPr>
        <w:t>Class B common stock</w:t>
      </w:r>
      <w:r>
        <w:rPr>
          <w:rFonts w:ascii="Arial" w:cs="Arial" w:eastAsia="Arial" w:hAnsi="Arial"/>
          <w:sz w:val="15"/>
          <w:szCs w:val="15"/>
          <w:color w:val="auto"/>
        </w:rPr>
        <w:t>”) issued and outstanding (shares of Class B common stock do not have any economic value but entitle the holder thereof to one vote per share) and (iv) no shares of Class C common stock, par value $0.0001 per share, of OPAL (“</w:t>
      </w:r>
      <w:r>
        <w:rPr>
          <w:rFonts w:ascii="Arial" w:cs="Arial" w:eastAsia="Arial" w:hAnsi="Arial"/>
          <w:sz w:val="15"/>
          <w:szCs w:val="15"/>
          <w:b w:val="1"/>
          <w:bCs w:val="1"/>
          <w:i w:val="1"/>
          <w:iCs w:val="1"/>
          <w:color w:val="auto"/>
        </w:rPr>
        <w:t>Class C</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issued and outstanding (shares of Class C common stock entitle the holder thereof to five votes per share).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215" w:name="page216"/>
    <w:bookmarkEnd w:id="215"/>
    <w:p>
      <w:pPr>
        <w:jc w:val="both"/>
        <w:ind w:right="20" w:firstLine="283"/>
        <w:spacing w:after="0" w:line="266" w:lineRule="auto"/>
        <w:rPr>
          <w:sz w:val="20"/>
          <w:szCs w:val="20"/>
          <w:color w:val="auto"/>
        </w:rPr>
      </w:pPr>
      <w:r>
        <w:rPr>
          <w:rFonts w:ascii="Arial" w:cs="Arial" w:eastAsia="Arial" w:hAnsi="Arial"/>
          <w:sz w:val="16"/>
          <w:szCs w:val="16"/>
          <w:color w:val="auto"/>
        </w:rPr>
        <w:t>The Class A common stock and OPAL warrants commenced trading on Nasdaq under the symbols “OPAL” and “OPALW,” respectively, on July 22, 2022, subject to ongoing review of OPAL’s satisfaction of all listing criteria following the Business Combination.</w:t>
      </w:r>
    </w:p>
    <w:p>
      <w:pPr>
        <w:spacing w:after="0" w:line="157"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As noted above, an aggregate of $274,187 was paid from the trust account to holders that properly exercised their right to have their public shares redeemed, and the remaining balance immediately prior to the Closing of $37,597 remained in the trust account. The remaining amount in the trust account, together with the proceeds from the PIPE Investment, were contributed by OPAL to Opco after the set aside of funds in escrow to support the Forward Purchase Agreement.</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On July 19, 2022, Sunoma completed the conversion of the construction loan into a permanent loan and increased the commitment from $20,000 to $23,000.</w:t>
      </w:r>
    </w:p>
    <w:p>
      <w:pPr>
        <w:spacing w:after="0" w:line="204"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On July 15, 2022, the Company received a redemption notice from Biotown for the Note receivable and the Company subsequently received $11,555 including the prepayment penalty of $546 and accrued interest.</w:t>
      </w:r>
    </w:p>
    <w:p>
      <w:pPr>
        <w:spacing w:after="0" w:line="15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On August 4, 2022, OPAL Fuels Intermediate Holdco 2 LLC (“</w:t>
      </w:r>
      <w:r>
        <w:rPr>
          <w:rFonts w:ascii="Arial" w:cs="Arial" w:eastAsia="Arial" w:hAnsi="Arial"/>
          <w:sz w:val="16"/>
          <w:szCs w:val="16"/>
          <w:b w:val="1"/>
          <w:bCs w:val="1"/>
          <w:i w:val="1"/>
          <w:iCs w:val="1"/>
          <w:color w:val="auto"/>
        </w:rPr>
        <w:t>OPAL Intermediate Holdco 2</w:t>
      </w:r>
      <w:r>
        <w:rPr>
          <w:rFonts w:ascii="Arial" w:cs="Arial" w:eastAsia="Arial" w:hAnsi="Arial"/>
          <w:sz w:val="16"/>
          <w:szCs w:val="16"/>
          <w:color w:val="auto"/>
        </w:rPr>
        <w:t>”), a wholly-owned subsidiary of the Company, as borrower, together with its direct and indirect subsidiaries, as guarantors, entered into a new senior secured credit facility (the “</w:t>
      </w: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 with Bank of Montreal, as the administration agent, Wilmington Trust, as collateral and depositary agent, and the other lenders a party thereto. The Credit Agreement provides for an approximately two year delayed term loan facility (the “DDTL Facility”) of up to a maximum aggregate principal amount of $100.0 million and Debt Service Reserve facility (the “</w:t>
      </w:r>
      <w:r>
        <w:rPr>
          <w:rFonts w:ascii="Arial" w:cs="Arial" w:eastAsia="Arial" w:hAnsi="Arial"/>
          <w:sz w:val="16"/>
          <w:szCs w:val="16"/>
          <w:b w:val="1"/>
          <w:bCs w:val="1"/>
          <w:i w:val="1"/>
          <w:iCs w:val="1"/>
          <w:color w:val="auto"/>
        </w:rPr>
        <w:t>DSR Facility</w:t>
      </w:r>
      <w:r>
        <w:rPr>
          <w:rFonts w:ascii="Arial" w:cs="Arial" w:eastAsia="Arial" w:hAnsi="Arial"/>
          <w:sz w:val="16"/>
          <w:szCs w:val="16"/>
          <w:color w:val="auto"/>
        </w:rPr>
        <w:t>”)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w:t>
      </w:r>
    </w:p>
    <w:p>
      <w:pPr>
        <w:spacing w:after="0" w:line="171"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The outstanding borrowings under the Credit Agreement bear interest at the benchmark rate of adjusted Term SOFR plus (i) for the period from closing to the earlier of the date of conversion of the construction loan to a term loan (the “</w:t>
      </w:r>
      <w:r>
        <w:rPr>
          <w:rFonts w:ascii="Arial" w:cs="Arial" w:eastAsia="Arial" w:hAnsi="Arial"/>
          <w:sz w:val="16"/>
          <w:szCs w:val="16"/>
          <w:b w:val="1"/>
          <w:bCs w:val="1"/>
          <w:i w:val="1"/>
          <w:iCs w:val="1"/>
          <w:color w:val="auto"/>
        </w:rPr>
        <w:t>Conversion Date</w:t>
      </w:r>
      <w:r>
        <w:rPr>
          <w:rFonts w:ascii="Arial" w:cs="Arial" w:eastAsia="Arial" w:hAnsi="Arial"/>
          <w:sz w:val="16"/>
          <w:szCs w:val="16"/>
          <w:color w:val="auto"/>
        </w:rPr>
        <w:t>”)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OPAL Fuels LLC</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White Plains, NY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197"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We have audited the accompanying consolidated balance sheets of OPAL Fuels LLC (the “Company”) as of December 31, 2021 and 2020, the related consolidated statements of operations, changes in members’(deficit)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Restatement of 2020 and 2019 Consolidated Financial Statements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As discussed in Note 2 to the consolidated financial statements, the accompanying consolidated financial statements as of December 31, 2020 and for each of the two years in the period ended December 31, 2020 have been restated to correct a misstatement.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Parties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As discussed in Note 10 “Related Parties” to the consolidated financial statements, OPAL Fuels LLC and its subsidiaries have entered into significant transactions with Fortistar, LLC, which is a related party. Our opinion is not modified with respect to this matter.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9"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Stamford, CT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April 15, 2022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17" w:name="page218"/>
    <w:bookmarkEnd w:id="217"/>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4"/>
        </w:trPr>
        <w:tc>
          <w:tcPr>
            <w:tcW w:w="8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85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b w:val="1"/>
                <w:bCs w:val="1"/>
                <w:color w:val="auto"/>
                <w:w w:val="84"/>
              </w:rPr>
              <w:t>(Restated)</w:t>
            </w:r>
            <w:r>
              <w:rPr>
                <w:rFonts w:ascii="Arial" w:cs="Arial" w:eastAsia="Arial" w:hAnsi="Arial"/>
                <w:sz w:val="26"/>
                <w:szCs w:val="26"/>
                <w:b w:val="1"/>
                <w:bCs w:val="1"/>
                <w:color w:val="auto"/>
                <w:w w:val="84"/>
                <w:vertAlign w:val="superscript"/>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5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58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1"/>
              </w:rPr>
              <w:t>Cash and cash equivalents (includes $1,991 and $5,088 at December 31, 2021 and December 31, 2020, respectively, related to</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consolidated VIEs)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39,314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12,823</w:t>
            </w:r>
          </w:p>
        </w:tc>
        <w:tc>
          <w:tcPr>
            <w:tcW w:w="0" w:type="dxa"/>
            <w:vAlign w:val="bottom"/>
          </w:tcPr>
          <w:p>
            <w:pPr>
              <w:spacing w:after="0"/>
              <w:rPr>
                <w:sz w:val="1"/>
                <w:szCs w:val="1"/>
                <w:color w:val="auto"/>
              </w:rPr>
            </w:pPr>
          </w:p>
        </w:tc>
      </w:tr>
      <w:tr>
        <w:trPr>
          <w:trHeight w:val="176"/>
        </w:trPr>
        <w:tc>
          <w:tcPr>
            <w:tcW w:w="8580" w:type="dxa"/>
            <w:vAlign w:val="bottom"/>
          </w:tcPr>
          <w:p>
            <w:pPr>
              <w:ind w:left="280"/>
              <w:spacing w:after="0" w:line="176" w:lineRule="exact"/>
              <w:rPr>
                <w:sz w:val="20"/>
                <w:szCs w:val="20"/>
                <w:color w:val="auto"/>
              </w:rPr>
            </w:pPr>
            <w:r>
              <w:rPr>
                <w:rFonts w:ascii="Arial" w:cs="Arial" w:eastAsia="Arial" w:hAnsi="Arial"/>
                <w:sz w:val="16"/>
                <w:szCs w:val="16"/>
                <w:color w:val="auto"/>
                <w:w w:val="89"/>
              </w:rPr>
              <w:t>Accounts receivable, net (includes $40 and $– at December 31, 2021 and December 31, 2020, respectively, related to consolidated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580" w:type="dxa"/>
            <w:vAlign w:val="bottom"/>
          </w:tcPr>
          <w:p>
            <w:pPr>
              <w:ind w:left="420"/>
              <w:spacing w:after="0"/>
              <w:rPr>
                <w:sz w:val="20"/>
                <w:szCs w:val="20"/>
                <w:color w:val="auto"/>
              </w:rPr>
            </w:pPr>
            <w:r>
              <w:rPr>
                <w:rFonts w:ascii="Arial" w:cs="Arial" w:eastAsia="Arial" w:hAnsi="Arial"/>
                <w:sz w:val="16"/>
                <w:szCs w:val="16"/>
                <w:color w:val="auto"/>
              </w:rPr>
              <w:t>VIEs)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25,391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22,002</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Fuel tax credits receivable</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6"/>
                <w:szCs w:val="16"/>
                <w:color w:val="auto"/>
              </w:rPr>
              <w:t>Contract assets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8,484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5,524</w:t>
            </w: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Parts inventory</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4,244</w:t>
            </w: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6"/>
                <w:szCs w:val="16"/>
                <w:color w:val="auto"/>
              </w:rPr>
              <w:t>Environmental credits held for sale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80"/>
              <w:spacing w:after="0" w:line="176" w:lineRule="exact"/>
              <w:rPr>
                <w:sz w:val="20"/>
                <w:szCs w:val="20"/>
                <w:color w:val="auto"/>
              </w:rPr>
            </w:pPr>
            <w:r>
              <w:rPr>
                <w:rFonts w:ascii="Arial" w:cs="Arial" w:eastAsia="Arial" w:hAnsi="Arial"/>
                <w:sz w:val="16"/>
                <w:szCs w:val="16"/>
                <w:color w:val="auto"/>
                <w:w w:val="91"/>
              </w:rPr>
              <w:t>Prepaid expense and other current assets (includes $113 and $— at December 31, 2021 and December 31, 2020, respectively,</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related to consolidated VIEs)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2,981</w:t>
            </w:r>
          </w:p>
        </w:tc>
        <w:tc>
          <w:tcPr>
            <w:tcW w:w="0" w:type="dxa"/>
            <w:vAlign w:val="bottom"/>
          </w:tcPr>
          <w:p>
            <w:pPr>
              <w:spacing w:after="0"/>
              <w:rPr>
                <w:sz w:val="1"/>
                <w:szCs w:val="1"/>
                <w:color w:val="auto"/>
              </w:rPr>
            </w:pPr>
          </w:p>
        </w:tc>
      </w:tr>
      <w:tr>
        <w:trPr>
          <w:trHeight w:val="204"/>
        </w:trPr>
        <w:tc>
          <w:tcPr>
            <w:tcW w:w="8580" w:type="dxa"/>
            <w:vAlign w:val="bottom"/>
          </w:tcPr>
          <w:p>
            <w:pPr>
              <w:ind w:left="280"/>
              <w:spacing w:after="0"/>
              <w:rPr>
                <w:sz w:val="20"/>
                <w:szCs w:val="20"/>
                <w:color w:val="auto"/>
              </w:rPr>
            </w:pPr>
            <w:r>
              <w:rPr>
                <w:rFonts w:ascii="Arial" w:cs="Arial" w:eastAsia="Arial" w:hAnsi="Arial"/>
                <w:sz w:val="16"/>
                <w:szCs w:val="16"/>
                <w:color w:val="auto"/>
              </w:rPr>
              <w:t>Derivative financial asset, current portion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188"/>
        </w:trPr>
        <w:tc>
          <w:tcPr>
            <w:tcW w:w="85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86,975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51,205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6"/>
                <w:szCs w:val="16"/>
                <w:color w:val="auto"/>
              </w:rPr>
              <w:t>Capital spares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80"/>
              <w:spacing w:after="0" w:line="176" w:lineRule="exact"/>
              <w:rPr>
                <w:sz w:val="20"/>
                <w:szCs w:val="20"/>
                <w:color w:val="auto"/>
              </w:rPr>
            </w:pPr>
            <w:r>
              <w:rPr>
                <w:rFonts w:ascii="Arial" w:cs="Arial" w:eastAsia="Arial" w:hAnsi="Arial"/>
                <w:sz w:val="16"/>
                <w:szCs w:val="16"/>
                <w:color w:val="auto"/>
                <w:w w:val="90"/>
              </w:rPr>
              <w:t>Property, plant, and equipment, net (includes $27,359 and $18,834 at December 31, 2021 and December 31, 2020, respectively,</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related to consolidated VIEs)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169,770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79,492</w:t>
            </w: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6"/>
                <w:szCs w:val="16"/>
                <w:color w:val="auto"/>
              </w:rPr>
              <w:t>Investment in other entities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47,150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25,573</w:t>
            </w: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 receivable</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6"/>
                <w:szCs w:val="16"/>
                <w:color w:val="auto"/>
              </w:rPr>
              <w:t>Note receivable – variable fee component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financing costs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6"/>
                <w:szCs w:val="16"/>
                <w:color w:val="auto"/>
              </w:rPr>
              <w:t>Other long-term asset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Intangible assets, net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3,437</w:t>
            </w: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6"/>
                <w:szCs w:val="16"/>
                <w:color w:val="auto"/>
              </w:rPr>
              <w:t>Derivative financial asset, non-current portion</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80"/>
              <w:spacing w:after="0" w:line="176" w:lineRule="exact"/>
              <w:rPr>
                <w:sz w:val="20"/>
                <w:szCs w:val="20"/>
                <w:color w:val="auto"/>
              </w:rPr>
            </w:pPr>
            <w:r>
              <w:rPr>
                <w:rFonts w:ascii="Arial" w:cs="Arial" w:eastAsia="Arial" w:hAnsi="Arial"/>
                <w:sz w:val="16"/>
                <w:szCs w:val="16"/>
                <w:color w:val="auto"/>
                <w:w w:val="90"/>
              </w:rPr>
              <w:t>Restricted cash (includes $1,163 and $2,199 at December 31, 2021 and December 31, 2020, respectively, related to consolidated</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VIEs)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200"/>
        </w:trPr>
        <w:tc>
          <w:tcPr>
            <w:tcW w:w="85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54,608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4"/>
        </w:trPr>
        <w:tc>
          <w:tcPr>
            <w:tcW w:w="8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assets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380,844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169,458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 Redeemable Preferred Units, and Members’ Equity</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280"/>
              <w:spacing w:after="0" w:line="176" w:lineRule="exact"/>
              <w:rPr>
                <w:sz w:val="20"/>
                <w:szCs w:val="20"/>
                <w:color w:val="auto"/>
              </w:rPr>
            </w:pPr>
            <w:r>
              <w:rPr>
                <w:rFonts w:ascii="Arial" w:cs="Arial" w:eastAsia="Arial" w:hAnsi="Arial"/>
                <w:sz w:val="16"/>
                <w:szCs w:val="16"/>
                <w:color w:val="auto"/>
                <w:w w:val="91"/>
              </w:rPr>
              <w:t>Accounts payable (includes $544 and $864 at December 31, 2021 and December 31, 2020, respectively, related to consolidated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580" w:type="dxa"/>
            <w:vAlign w:val="bottom"/>
          </w:tcPr>
          <w:p>
            <w:pPr>
              <w:ind w:left="420"/>
              <w:spacing w:after="0"/>
              <w:rPr>
                <w:sz w:val="20"/>
                <w:szCs w:val="20"/>
                <w:color w:val="auto"/>
              </w:rPr>
            </w:pPr>
            <w:r>
              <w:rPr>
                <w:rFonts w:ascii="Arial" w:cs="Arial" w:eastAsia="Arial" w:hAnsi="Arial"/>
                <w:sz w:val="16"/>
                <w:szCs w:val="16"/>
                <w:color w:val="auto"/>
              </w:rPr>
              <w:t>VIEs)</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12,581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8,683</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related party</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6"/>
                <w:szCs w:val="16"/>
                <w:color w:val="auto"/>
              </w:rPr>
              <w:t>Fuel tax credits payable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payroll</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2,781</w:t>
            </w:r>
          </w:p>
        </w:tc>
        <w:tc>
          <w:tcPr>
            <w:tcW w:w="0" w:type="dxa"/>
            <w:vAlign w:val="bottom"/>
          </w:tcPr>
          <w:p>
            <w:pPr>
              <w:spacing w:after="0"/>
              <w:rPr>
                <w:sz w:val="1"/>
                <w:szCs w:val="1"/>
                <w:color w:val="auto"/>
              </w:rPr>
            </w:pPr>
          </w:p>
        </w:tc>
      </w:tr>
      <w:tr>
        <w:trPr>
          <w:trHeight w:val="176"/>
        </w:trPr>
        <w:tc>
          <w:tcPr>
            <w:tcW w:w="8580" w:type="dxa"/>
            <w:vAlign w:val="bottom"/>
          </w:tcPr>
          <w:p>
            <w:pPr>
              <w:ind w:left="280"/>
              <w:spacing w:after="0" w:line="176" w:lineRule="exact"/>
              <w:rPr>
                <w:sz w:val="20"/>
                <w:szCs w:val="20"/>
                <w:color w:val="auto"/>
              </w:rPr>
            </w:pPr>
            <w:r>
              <w:rPr>
                <w:rFonts w:ascii="Arial" w:cs="Arial" w:eastAsia="Arial" w:hAnsi="Arial"/>
                <w:sz w:val="16"/>
                <w:szCs w:val="16"/>
                <w:color w:val="auto"/>
                <w:w w:val="89"/>
              </w:rPr>
              <w:t>Accrued capital expenses (includes $1,722 $— and $3,300 at December 31, 2021 and December 31, 2020, respectively, related to</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580" w:type="dxa"/>
            <w:vAlign w:val="bottom"/>
          </w:tcPr>
          <w:p>
            <w:pPr>
              <w:ind w:left="420"/>
              <w:spacing w:after="0"/>
              <w:rPr>
                <w:sz w:val="20"/>
                <w:szCs w:val="20"/>
                <w:color w:val="auto"/>
              </w:rPr>
            </w:pPr>
            <w:r>
              <w:rPr>
                <w:rFonts w:ascii="Arial" w:cs="Arial" w:eastAsia="Arial" w:hAnsi="Arial"/>
                <w:sz w:val="16"/>
                <w:szCs w:val="16"/>
                <w:color w:val="auto"/>
              </w:rPr>
              <w:t>consolidated VIEs)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5,517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89"/>
              </w:rPr>
              <w:t>Accrued expenses and other current liabilities (includes $— and $776 at December 31, 2021 and December 31, 2020, respectively</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related to consolidated VIEs)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7,323</w:t>
            </w: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6"/>
                <w:szCs w:val="16"/>
                <w:color w:val="auto"/>
              </w:rPr>
              <w:t>Contract liabilities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9,785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4,678</w:t>
            </w: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Liability under power sales agreement, current portion</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6"/>
                <w:szCs w:val="16"/>
                <w:color w:val="auto"/>
              </w:rPr>
              <w:t>Senior secured credit facility – term loan, current portion</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73,145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4,900</w:t>
            </w: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Senior secured credit facility – working capital facility, current portion</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5,182</w:t>
            </w:r>
          </w:p>
        </w:tc>
        <w:tc>
          <w:tcPr>
            <w:tcW w:w="0" w:type="dxa"/>
            <w:vAlign w:val="bottom"/>
          </w:tcPr>
          <w:p>
            <w:pPr>
              <w:spacing w:after="0"/>
              <w:rPr>
                <w:sz w:val="1"/>
                <w:szCs w:val="1"/>
                <w:color w:val="auto"/>
              </w:rPr>
            </w:pPr>
          </w:p>
        </w:tc>
      </w:tr>
      <w:tr>
        <w:trPr>
          <w:trHeight w:val="200"/>
        </w:trPr>
        <w:tc>
          <w:tcPr>
            <w:tcW w:w="8580" w:type="dxa"/>
            <w:vAlign w:val="bottom"/>
          </w:tcPr>
          <w:p>
            <w:pPr>
              <w:ind w:left="280"/>
              <w:spacing w:after="0"/>
              <w:rPr>
                <w:sz w:val="20"/>
                <w:szCs w:val="20"/>
                <w:color w:val="auto"/>
              </w:rPr>
            </w:pPr>
            <w:r>
              <w:rPr>
                <w:rFonts w:ascii="Arial" w:cs="Arial" w:eastAsia="Arial" w:hAnsi="Arial"/>
                <w:sz w:val="16"/>
                <w:szCs w:val="16"/>
                <w:color w:val="auto"/>
              </w:rPr>
              <w:t>OPAL term loan, current portion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13,425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3"/>
        </w:trPr>
        <w:tc>
          <w:tcPr>
            <w:tcW w:w="8580" w:type="dxa"/>
            <w:vAlign w:val="bottom"/>
            <w:tcBorders>
              <w:bottom w:val="single" w:sz="8" w:color="auto"/>
            </w:tcBorders>
          </w:tcPr>
          <w:p>
            <w:pPr>
              <w:ind w:left="5480"/>
              <w:spacing w:after="0"/>
              <w:rPr>
                <w:sz w:val="20"/>
                <w:szCs w:val="20"/>
                <w:color w:val="auto"/>
              </w:rPr>
            </w:pPr>
            <w:r>
              <w:rPr>
                <w:rFonts w:ascii="Arial" w:cs="Arial" w:eastAsia="Arial" w:hAnsi="Arial"/>
                <w:sz w:val="16"/>
                <w:szCs w:val="16"/>
                <w:color w:val="auto"/>
              </w:rPr>
              <w:t>F-78</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8" w:right="319" w:bottom="1440" w:gutter="0" w:footer="0" w:header="0"/>
        </w:sectPr>
      </w:pPr>
    </w:p>
    <w:bookmarkStart w:id="218" w:name="page219"/>
    <w:bookmarkEnd w:id="218"/>
    <w:p>
      <w:pPr>
        <w:jc w:val="center"/>
        <w:ind w:right="14"/>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CONSOLIDATED BALANCE SHEETS — (Continued)</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4"/>
        </w:trPr>
        <w:tc>
          <w:tcPr>
            <w:tcW w:w="8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63"/>
              <w:spacing w:after="0" w:line="223" w:lineRule="exact"/>
              <w:rPr>
                <w:sz w:val="20"/>
                <w:szCs w:val="20"/>
                <w:color w:val="auto"/>
              </w:rPr>
            </w:pPr>
            <w:r>
              <w:rPr>
                <w:rFonts w:ascii="Arial" w:cs="Arial" w:eastAsia="Arial" w:hAnsi="Arial"/>
                <w:sz w:val="15"/>
                <w:szCs w:val="15"/>
                <w:b w:val="1"/>
                <w:bCs w:val="1"/>
                <w:color w:val="auto"/>
                <w:w w:val="89"/>
              </w:rPr>
              <w:t>(Restated)</w:t>
            </w:r>
            <w:r>
              <w:rPr>
                <w:rFonts w:ascii="Arial" w:cs="Arial" w:eastAsia="Arial" w:hAnsi="Arial"/>
                <w:sz w:val="25"/>
                <w:szCs w:val="25"/>
                <w:b w:val="1"/>
                <w:bCs w:val="1"/>
                <w:color w:val="auto"/>
                <w:w w:val="89"/>
                <w:vertAlign w:val="superscript"/>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0" w:type="dxa"/>
            <w:vAlign w:val="bottom"/>
            <w:shd w:val="clear" w:color="auto" w:fill="CCEEFF"/>
          </w:tcPr>
          <w:p>
            <w:pPr>
              <w:ind w:left="280"/>
              <w:spacing w:after="0" w:line="176" w:lineRule="exact"/>
              <w:rPr>
                <w:sz w:val="20"/>
                <w:szCs w:val="20"/>
                <w:color w:val="auto"/>
              </w:rPr>
            </w:pPr>
            <w:r>
              <w:rPr>
                <w:rFonts w:ascii="Arial" w:cs="Arial" w:eastAsia="Arial" w:hAnsi="Arial"/>
                <w:sz w:val="16"/>
                <w:szCs w:val="16"/>
                <w:color w:val="auto"/>
                <w:w w:val="93"/>
              </w:rPr>
              <w:t>Sunoma loan, current portion (includes $756 and $— at December 31, 2021 and December 31, 2020, respectively, related to</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consolidated VIEs)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600" w:type="dxa"/>
            <w:vAlign w:val="bottom"/>
          </w:tcPr>
          <w:p>
            <w:pPr>
              <w:ind w:left="280"/>
              <w:spacing w:after="0"/>
              <w:rPr>
                <w:sz w:val="20"/>
                <w:szCs w:val="20"/>
                <w:color w:val="auto"/>
              </w:rPr>
            </w:pPr>
            <w:r>
              <w:rPr>
                <w:rFonts w:ascii="Arial" w:cs="Arial" w:eastAsia="Arial" w:hAnsi="Arial"/>
                <w:sz w:val="16"/>
                <w:szCs w:val="16"/>
                <w:color w:val="auto"/>
              </w:rPr>
              <w:t>Municipality loan, current portion</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Derivative financial liability, current portion</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188"/>
        </w:trPr>
        <w:tc>
          <w:tcPr>
            <w:tcW w:w="860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 retirement obligation, current portion</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76"/>
        </w:trPr>
        <w:tc>
          <w:tcPr>
            <w:tcW w:w="8600" w:type="dxa"/>
            <w:vAlign w:val="bottom"/>
            <w:tcBorders>
              <w:top w:val="single" w:sz="8" w:color="CCEEFF"/>
              <w:bottom w:val="single" w:sz="8" w:color="CCEEFF"/>
            </w:tcBorders>
          </w:tcPr>
          <w:p>
            <w:pPr>
              <w:ind w:left="280"/>
              <w:spacing w:after="0" w:line="172" w:lineRule="exact"/>
              <w:rPr>
                <w:sz w:val="20"/>
                <w:szCs w:val="20"/>
                <w:color w:val="auto"/>
              </w:rPr>
            </w:pPr>
            <w:r>
              <w:rPr>
                <w:rFonts w:ascii="Arial" w:cs="Arial" w:eastAsia="Arial" w:hAnsi="Arial"/>
                <w:sz w:val="16"/>
                <w:szCs w:val="16"/>
                <w:color w:val="auto"/>
              </w:rPr>
              <w:t>Total current liabilities</w:t>
            </w: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142,116</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42,862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 retirement obligation, non-current portion</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tcPr>
          <w:p>
            <w:pPr>
              <w:ind w:left="280"/>
              <w:spacing w:after="0"/>
              <w:rPr>
                <w:sz w:val="20"/>
                <w:szCs w:val="20"/>
                <w:color w:val="auto"/>
              </w:rPr>
            </w:pPr>
            <w:r>
              <w:rPr>
                <w:rFonts w:ascii="Arial" w:cs="Arial" w:eastAsia="Arial" w:hAnsi="Arial"/>
                <w:sz w:val="16"/>
                <w:szCs w:val="16"/>
                <w:color w:val="auto"/>
              </w:rPr>
              <w:t>TruStar revolver credit facility</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Senior secured credit facility – term loan, net of debt issuance costs</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72,256</w:t>
            </w:r>
          </w:p>
        </w:tc>
        <w:tc>
          <w:tcPr>
            <w:tcW w:w="0" w:type="dxa"/>
            <w:vAlign w:val="bottom"/>
          </w:tcPr>
          <w:p>
            <w:pPr>
              <w:spacing w:after="0"/>
              <w:rPr>
                <w:sz w:val="1"/>
                <w:szCs w:val="1"/>
                <w:color w:val="auto"/>
              </w:rPr>
            </w:pPr>
          </w:p>
        </w:tc>
      </w:tr>
      <w:tr>
        <w:trPr>
          <w:trHeight w:val="188"/>
        </w:trPr>
        <w:tc>
          <w:tcPr>
            <w:tcW w:w="8600" w:type="dxa"/>
            <w:vAlign w:val="bottom"/>
          </w:tcPr>
          <w:p>
            <w:pPr>
              <w:ind w:left="280"/>
              <w:spacing w:after="0"/>
              <w:rPr>
                <w:sz w:val="20"/>
                <w:szCs w:val="20"/>
                <w:color w:val="auto"/>
              </w:rPr>
            </w:pPr>
            <w:r>
              <w:rPr>
                <w:rFonts w:ascii="Arial" w:cs="Arial" w:eastAsia="Arial" w:hAnsi="Arial"/>
                <w:sz w:val="16"/>
                <w:szCs w:val="16"/>
                <w:color w:val="auto"/>
              </w:rPr>
              <w:t>Senior secured credit facility – working capital facility</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OPAL term loan</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59,090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600" w:type="dxa"/>
            <w:vAlign w:val="bottom"/>
          </w:tcPr>
          <w:p>
            <w:pPr>
              <w:ind w:left="280"/>
              <w:spacing w:after="0"/>
              <w:rPr>
                <w:sz w:val="20"/>
                <w:szCs w:val="20"/>
                <w:color w:val="auto"/>
              </w:rPr>
            </w:pPr>
            <w:r>
              <w:rPr>
                <w:rFonts w:ascii="Arial" w:cs="Arial" w:eastAsia="Arial" w:hAnsi="Arial"/>
                <w:sz w:val="16"/>
                <w:szCs w:val="16"/>
                <w:color w:val="auto"/>
              </w:rPr>
              <w:t>Convertible note payable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58,710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Municipality loan</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76"/>
        </w:trPr>
        <w:tc>
          <w:tcPr>
            <w:tcW w:w="8600" w:type="dxa"/>
            <w:vAlign w:val="bottom"/>
          </w:tcPr>
          <w:p>
            <w:pPr>
              <w:ind w:left="280"/>
              <w:spacing w:after="0" w:line="176" w:lineRule="exact"/>
              <w:rPr>
                <w:sz w:val="20"/>
                <w:szCs w:val="20"/>
                <w:color w:val="auto"/>
              </w:rPr>
            </w:pPr>
            <w:r>
              <w:rPr>
                <w:rFonts w:ascii="Arial" w:cs="Arial" w:eastAsia="Arial" w:hAnsi="Arial"/>
                <w:sz w:val="16"/>
                <w:szCs w:val="16"/>
                <w:color w:val="auto"/>
                <w:w w:val="89"/>
              </w:rPr>
              <w:t>Sunoma loan, net of debt issuance costs (includes $16,199 and $470 at December 31, 2021 and December 31, 2020, respectively,</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00" w:type="dxa"/>
            <w:vAlign w:val="bottom"/>
          </w:tcPr>
          <w:p>
            <w:pPr>
              <w:ind w:left="420"/>
              <w:spacing w:after="0"/>
              <w:rPr>
                <w:sz w:val="20"/>
                <w:szCs w:val="20"/>
                <w:color w:val="auto"/>
              </w:rPr>
            </w:pPr>
            <w:r>
              <w:rPr>
                <w:rFonts w:ascii="Arial" w:cs="Arial" w:eastAsia="Arial" w:hAnsi="Arial"/>
                <w:sz w:val="16"/>
                <w:szCs w:val="16"/>
                <w:color w:val="auto"/>
              </w:rPr>
              <w:t>related to consolidated VIEs)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16,199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600" w:type="dxa"/>
            <w:vAlign w:val="bottom"/>
          </w:tcPr>
          <w:p>
            <w:pPr>
              <w:ind w:left="280"/>
              <w:spacing w:after="0"/>
              <w:rPr>
                <w:sz w:val="20"/>
                <w:szCs w:val="20"/>
                <w:color w:val="auto"/>
              </w:rPr>
            </w:pPr>
            <w:r>
              <w:rPr>
                <w:rFonts w:ascii="Arial" w:cs="Arial" w:eastAsia="Arial" w:hAnsi="Arial"/>
                <w:sz w:val="16"/>
                <w:szCs w:val="16"/>
                <w:color w:val="auto"/>
              </w:rPr>
              <w:t>Derivative financial liability, non-current portion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08"/>
        </w:trPr>
        <w:tc>
          <w:tcPr>
            <w:tcW w:w="86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liabilities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600" w:type="dxa"/>
            <w:vAlign w:val="bottom"/>
          </w:tcPr>
          <w:p>
            <w:pPr>
              <w:ind w:left="280"/>
              <w:spacing w:after="0" w:line="171" w:lineRule="exact"/>
              <w:rPr>
                <w:sz w:val="20"/>
                <w:szCs w:val="20"/>
                <w:color w:val="auto"/>
              </w:rPr>
            </w:pPr>
            <w:r>
              <w:rPr>
                <w:rFonts w:ascii="Arial" w:cs="Arial" w:eastAsia="Arial" w:hAnsi="Arial"/>
                <w:sz w:val="16"/>
                <w:szCs w:val="16"/>
                <w:color w:val="auto"/>
              </w:rPr>
              <w:t>Commitments and contingencies (Note 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Redeemable preferred units:</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280"/>
              <w:spacing w:after="0" w:line="176" w:lineRule="exact"/>
              <w:rPr>
                <w:sz w:val="20"/>
                <w:szCs w:val="20"/>
                <w:color w:val="auto"/>
              </w:rPr>
            </w:pPr>
            <w:r>
              <w:rPr>
                <w:rFonts w:ascii="Arial" w:cs="Arial" w:eastAsia="Arial" w:hAnsi="Arial"/>
                <w:sz w:val="16"/>
                <w:szCs w:val="16"/>
                <w:color w:val="auto"/>
                <w:w w:val="90"/>
              </w:rPr>
              <w:t>Series A-1 preferred units, subject to redemption, $100 par value, 600,000 and 0 units authorized, and 300,000 and 0 units issued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00" w:type="dxa"/>
            <w:vAlign w:val="bottom"/>
          </w:tcPr>
          <w:p>
            <w:pPr>
              <w:ind w:left="420"/>
              <w:spacing w:after="0"/>
              <w:rPr>
                <w:sz w:val="20"/>
                <w:szCs w:val="20"/>
                <w:color w:val="auto"/>
              </w:rPr>
            </w:pPr>
            <w:r>
              <w:rPr>
                <w:rFonts w:ascii="Arial" w:cs="Arial" w:eastAsia="Arial" w:hAnsi="Arial"/>
                <w:sz w:val="16"/>
                <w:szCs w:val="16"/>
                <w:color w:val="auto"/>
              </w:rPr>
              <w:t>and outstanding at December 31, 2021 and 2020, respectively</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30,210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60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2"/>
              </w:rPr>
              <w:t>Series A preferred units, subject to redemption, $100 par value, 2,000,000 and 0 units authorized, and 0 and 0 units issued and</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outstanding at December 31, 2021 and 2020, respectively, $100,000 subscription for units unissued</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6"/>
                <w:szCs w:val="16"/>
                <w:color w:val="auto"/>
              </w:rPr>
              <w:t>Members’ equity</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0" w:type="dxa"/>
            <w:vAlign w:val="bottom"/>
            <w:shd w:val="clear" w:color="auto" w:fill="CCEEFF"/>
          </w:tcPr>
          <w:p>
            <w:pPr>
              <w:ind w:left="280"/>
              <w:spacing w:after="0" w:line="176" w:lineRule="exact"/>
              <w:rPr>
                <w:sz w:val="20"/>
                <w:szCs w:val="20"/>
                <w:color w:val="auto"/>
              </w:rPr>
            </w:pPr>
            <w:r>
              <w:rPr>
                <w:rFonts w:ascii="Arial" w:cs="Arial" w:eastAsia="Arial" w:hAnsi="Arial"/>
                <w:sz w:val="16"/>
                <w:szCs w:val="16"/>
                <w:color w:val="auto"/>
                <w:w w:val="88"/>
              </w:rPr>
              <w:t>Common units, without par value, 1,000 and 986 units authorized, and 1,000 and 986 units issued and outstanding at December 31,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2021 and 2020, respectively</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47,592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49,170</w:t>
            </w:r>
          </w:p>
        </w:tc>
        <w:tc>
          <w:tcPr>
            <w:tcW w:w="0" w:type="dxa"/>
            <w:vAlign w:val="bottom"/>
          </w:tcPr>
          <w:p>
            <w:pPr>
              <w:spacing w:after="0"/>
              <w:rPr>
                <w:sz w:val="1"/>
                <w:szCs w:val="1"/>
                <w:color w:val="auto"/>
              </w:rPr>
            </w:pPr>
          </w:p>
        </w:tc>
      </w:tr>
      <w:tr>
        <w:trPr>
          <w:trHeight w:val="141"/>
        </w:trPr>
        <w:tc>
          <w:tcPr>
            <w:tcW w:w="8600" w:type="dxa"/>
            <w:vAlign w:val="bottom"/>
            <w:vMerge w:val="restart"/>
          </w:tcPr>
          <w:p>
            <w:pPr>
              <w:ind w:left="280"/>
              <w:spacing w:after="0"/>
              <w:rPr>
                <w:sz w:val="20"/>
                <w:szCs w:val="20"/>
                <w:color w:val="auto"/>
              </w:rPr>
            </w:pPr>
            <w:r>
              <w:rPr>
                <w:rFonts w:ascii="Arial" w:cs="Arial" w:eastAsia="Arial" w:hAnsi="Arial"/>
                <w:sz w:val="16"/>
                <w:szCs w:val="16"/>
                <w:color w:val="auto"/>
              </w:rPr>
              <w:t>Retained earnings (accumulated deficit)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15,967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2"/>
        </w:trPr>
        <w:tc>
          <w:tcPr>
            <w:tcW w:w="8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tcPr>
          <w:p>
            <w:pPr>
              <w:jc w:val="right"/>
              <w:ind w:right="120"/>
              <w:spacing w:after="0" w:line="59" w:lineRule="exact"/>
              <w:rPr>
                <w:sz w:val="20"/>
                <w:szCs w:val="20"/>
                <w:color w:val="auto"/>
              </w:rPr>
            </w:pPr>
            <w:r>
              <w:rPr>
                <w:rFonts w:ascii="Arial" w:cs="Arial" w:eastAsia="Arial" w:hAnsi="Arial"/>
                <w:sz w:val="6"/>
                <w:szCs w:val="6"/>
                <w:color w:val="auto"/>
              </w:rPr>
              <w:t>(25,396</w:t>
            </w:r>
          </w:p>
        </w:tc>
        <w:tc>
          <w:tcPr>
            <w:tcW w:w="0" w:type="dxa"/>
            <w:vAlign w:val="bottom"/>
          </w:tcPr>
          <w:p>
            <w:pPr>
              <w:spacing w:after="0"/>
              <w:rPr>
                <w:sz w:val="1"/>
                <w:szCs w:val="1"/>
                <w:color w:val="auto"/>
              </w:rPr>
            </w:pPr>
          </w:p>
        </w:tc>
      </w:tr>
      <w:tr>
        <w:trPr>
          <w:trHeight w:val="208"/>
        </w:trPr>
        <w:tc>
          <w:tcPr>
            <w:tcW w:w="86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OPAL Fuels LLC members’ equity</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0" w:type="dxa"/>
            <w:vAlign w:val="bottom"/>
            <w:tcBorders>
              <w:bottom w:val="single" w:sz="8" w:color="CCEEFF"/>
            </w:tcBorders>
          </w:tcPr>
          <w:p>
            <w:pPr>
              <w:ind w:left="280"/>
              <w:spacing w:after="0" w:line="172" w:lineRule="exact"/>
              <w:rPr>
                <w:sz w:val="20"/>
                <w:szCs w:val="20"/>
                <w:color w:val="auto"/>
              </w:rPr>
            </w:pPr>
            <w:r>
              <w:rPr>
                <w:rFonts w:ascii="Arial" w:cs="Arial" w:eastAsia="Arial" w:hAnsi="Arial"/>
                <w:sz w:val="16"/>
                <w:szCs w:val="16"/>
                <w:color w:val="auto"/>
              </w:rPr>
              <w:t>Non-controlling interest in subsidiaries</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1,188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6,685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members’ equity</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64,747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30,459</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420"/>
              <w:spacing w:after="0"/>
              <w:rPr>
                <w:sz w:val="20"/>
                <w:szCs w:val="20"/>
                <w:color w:val="auto"/>
              </w:rPr>
            </w:pPr>
            <w:r>
              <w:rPr>
                <w:rFonts w:ascii="Arial" w:cs="Arial" w:eastAsia="Arial" w:hAnsi="Arial"/>
                <w:sz w:val="16"/>
                <w:szCs w:val="16"/>
                <w:color w:val="auto"/>
              </w:rPr>
              <w:t>Total liabilities, redeemable preferred units and members’ equity</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380,844</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169,458</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5160"/>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86" w:right="20" w:hanging="286"/>
        <w:spacing w:after="0" w:line="251" w:lineRule="auto"/>
        <w:tabs>
          <w:tab w:leader="none" w:pos="28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 ended December 31, 2020 and 2019.</w:t>
      </w:r>
    </w:p>
    <w:p>
      <w:pPr>
        <w:spacing w:after="0" w:line="16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19" w:name="page220"/>
    <w:bookmarkEnd w:id="219"/>
    <w:p>
      <w:pPr>
        <w:jc w:val="center"/>
        <w:ind w:right="14"/>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14"/>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4" w:lineRule="exact"/>
        <w:rPr>
          <w:sz w:val="20"/>
          <w:szCs w:val="20"/>
          <w:color w:val="auto"/>
        </w:rPr>
      </w:pPr>
    </w:p>
    <w:p>
      <w:pPr>
        <w:jc w:val="center"/>
        <w:ind w:right="14"/>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89"/>
              </w:rPr>
              <w:t>Fiscal Years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b w:val="1"/>
                <w:bCs w:val="1"/>
                <w:color w:val="auto"/>
                <w:w w:val="86"/>
              </w:rPr>
              <w:t>December 31,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732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64"/>
              <w:spacing w:after="0"/>
              <w:rPr>
                <w:sz w:val="20"/>
                <w:szCs w:val="20"/>
                <w:color w:val="auto"/>
              </w:rPr>
            </w:pPr>
            <w:r>
              <w:rPr>
                <w:rFonts w:ascii="Arial" w:cs="Arial" w:eastAsia="Arial" w:hAnsi="Arial"/>
                <w:sz w:val="16"/>
                <w:szCs w:val="16"/>
                <w:b w:val="1"/>
                <w:bCs w:val="1"/>
                <w:color w:val="auto"/>
                <w:w w:val="88"/>
              </w:rPr>
              <w:t>(Restated)</w:t>
            </w:r>
            <w:r>
              <w:rPr>
                <w:rFonts w:ascii="Arial" w:cs="Arial" w:eastAsia="Arial" w:hAnsi="Arial"/>
                <w:sz w:val="26"/>
                <w:szCs w:val="26"/>
                <w:b w:val="1"/>
                <w:bCs w:val="1"/>
                <w:color w:val="auto"/>
                <w:w w:val="88"/>
                <w:vertAlign w:val="superscript"/>
              </w:rPr>
              <w:t>(1)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b w:val="1"/>
                <w:bCs w:val="1"/>
                <w:color w:val="auto"/>
                <w:w w:val="84"/>
              </w:rPr>
              <w:t>(Restated)</w:t>
            </w:r>
            <w:r>
              <w:rPr>
                <w:rFonts w:ascii="Arial" w:cs="Arial" w:eastAsia="Arial" w:hAnsi="Arial"/>
                <w:sz w:val="26"/>
                <w:szCs w:val="26"/>
                <w:b w:val="1"/>
                <w:bCs w:val="1"/>
                <w:color w:val="auto"/>
                <w:w w:val="84"/>
                <w:vertAlign w:val="superscript"/>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RNG fuel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11,545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8,977</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Renewable power</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45,324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51,250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55,682</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Fuel station service</w:t>
            </w:r>
          </w:p>
        </w:tc>
        <w:tc>
          <w:tcPr>
            <w:tcW w:w="24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50,440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54,911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55,043</w:t>
            </w:r>
          </w:p>
        </w:tc>
        <w:tc>
          <w:tcPr>
            <w:tcW w:w="0" w:type="dxa"/>
            <w:vAlign w:val="bottom"/>
          </w:tcPr>
          <w:p>
            <w:pPr>
              <w:spacing w:after="0"/>
              <w:rPr>
                <w:sz w:val="1"/>
                <w:szCs w:val="1"/>
                <w:color w:val="auto"/>
              </w:rPr>
            </w:pPr>
          </w:p>
        </w:tc>
      </w:tr>
      <w:tr>
        <w:trPr>
          <w:trHeight w:val="176"/>
        </w:trPr>
        <w:tc>
          <w:tcPr>
            <w:tcW w:w="732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Total revenues, net</w:t>
            </w: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166,124</w:t>
            </w:r>
          </w:p>
        </w:tc>
        <w:tc>
          <w:tcPr>
            <w:tcW w:w="1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117,706</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119,702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41,075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7,376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5,156</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Renewable power</w:t>
            </w:r>
          </w:p>
        </w:tc>
        <w:tc>
          <w:tcPr>
            <w:tcW w:w="2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37,755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38,714</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Cost of sales – Fuel station service</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42,838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45,037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47,102</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29,380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20,474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17,795</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10,653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8,338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8,031</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Impairment of assets</w:t>
            </w:r>
          </w:p>
        </w:tc>
        <w:tc>
          <w:tcPr>
            <w:tcW w:w="2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17,689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Gain on termination of PPA</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6"/>
                <w:szCs w:val="16"/>
                <w:color w:val="auto"/>
              </w:rPr>
              <w:t>(1,292)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Loss on sale/disposal of assets</w:t>
            </w:r>
          </w:p>
        </w:tc>
        <w:tc>
          <w:tcPr>
            <w:tcW w:w="24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176"/>
        </w:trPr>
        <w:tc>
          <w:tcPr>
            <w:tcW w:w="732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155,098</w:t>
            </w:r>
          </w:p>
        </w:tc>
        <w:tc>
          <w:tcPr>
            <w:tcW w:w="1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135,542</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114,747</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CCEEFF"/>
          </w:tcPr>
          <w:p>
            <w:pPr>
              <w:spacing w:after="0"/>
              <w:rPr>
                <w:sz w:val="11"/>
                <w:szCs w:val="11"/>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11,026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4,955</w:t>
            </w:r>
          </w:p>
        </w:tc>
        <w:tc>
          <w:tcPr>
            <w:tcW w:w="0" w:type="dxa"/>
            <w:vAlign w:val="bottom"/>
          </w:tcPr>
          <w:p>
            <w:pPr>
              <w:spacing w:after="0"/>
              <w:rPr>
                <w:sz w:val="1"/>
                <w:szCs w:val="1"/>
                <w:color w:val="auto"/>
              </w:rPr>
            </w:pPr>
          </w:p>
        </w:tc>
      </w:tr>
      <w:tr>
        <w:trPr>
          <w:trHeight w:val="59"/>
        </w:trPr>
        <w:tc>
          <w:tcPr>
            <w:tcW w:w="732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jc w:val="right"/>
              <w:spacing w:after="0" w:line="59" w:lineRule="exact"/>
              <w:rPr>
                <w:sz w:val="20"/>
                <w:szCs w:val="20"/>
                <w:color w:val="auto"/>
              </w:rPr>
            </w:pPr>
            <w:r>
              <w:rPr>
                <w:rFonts w:ascii="Arial" w:cs="Arial" w:eastAsia="Arial" w:hAnsi="Arial"/>
                <w:sz w:val="6"/>
                <w:szCs w:val="6"/>
                <w:color w:val="auto"/>
              </w:rPr>
              <w:t>(17,836</w:t>
            </w: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66"/>
          </w:cols>
          <w:pgMar w:left="314" w:top="688" w:right="319" w:bottom="1440" w:gutter="0" w:footer="0" w:header="0"/>
        </w:sectPr>
      </w:pPr>
    </w:p>
    <w:p>
      <w:pPr>
        <w:ind w:left="6"/>
        <w:spacing w:after="0"/>
        <w:rPr>
          <w:sz w:val="20"/>
          <w:szCs w:val="20"/>
          <w:color w:val="auto"/>
        </w:rPr>
      </w:pPr>
      <w:r>
        <w:rPr>
          <w:rFonts w:ascii="Arial" w:cs="Arial" w:eastAsia="Arial" w:hAnsi="Arial"/>
          <w:sz w:val="16"/>
          <w:szCs w:val="16"/>
          <w:color w:val="auto"/>
        </w:rPr>
        <w:t>Other income (expenses):</w:t>
      </w:r>
    </w:p>
    <w:p>
      <w:pPr>
        <w:spacing w:after="0" w:line="3" w:lineRule="exact"/>
        <w:rPr>
          <w:sz w:val="20"/>
          <w:szCs w:val="20"/>
          <w:color w:val="auto"/>
        </w:rPr>
      </w:pPr>
    </w:p>
    <w:p>
      <w:pPr>
        <w:ind w:left="6"/>
        <w:spacing w:after="0"/>
        <w:rPr>
          <w:sz w:val="20"/>
          <w:szCs w:val="20"/>
          <w:color w:val="auto"/>
        </w:rPr>
      </w:pPr>
      <w:r>
        <w:rPr>
          <w:rFonts w:ascii="Arial" w:cs="Arial" w:eastAsia="Arial" w:hAnsi="Arial"/>
          <w:sz w:val="16"/>
          <w:szCs w:val="16"/>
          <w:color w:val="auto"/>
        </w:rPr>
        <w:t>Interest and financing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50100" cy="1193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6" w:right="1900"/>
        <w:spacing w:after="0" w:line="248" w:lineRule="auto"/>
        <w:rPr>
          <w:sz w:val="20"/>
          <w:szCs w:val="20"/>
          <w:color w:val="auto"/>
        </w:rPr>
      </w:pPr>
      <w:r>
        <w:rPr>
          <w:rFonts w:ascii="Arial" w:cs="Arial" w:eastAsia="Arial" w:hAnsi="Arial"/>
          <w:sz w:val="16"/>
          <w:szCs w:val="16"/>
          <w:color w:val="auto"/>
        </w:rPr>
        <w:t>Realized and unrealized gain (loss) on derivative financial instruments, net Gain on acquisition of equity method investment Gain on deconsolidation of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50100" cy="1193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7150100" cy="134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Gain on PPP loan forgiveness</w:t>
      </w:r>
    </w:p>
    <w:p>
      <w:pPr>
        <w:spacing w:after="0" w:line="28" w:lineRule="exact"/>
        <w:rPr>
          <w:sz w:val="20"/>
          <w:szCs w:val="20"/>
          <w:color w:val="auto"/>
        </w:rPr>
      </w:pPr>
    </w:p>
    <w:p>
      <w:pPr>
        <w:ind w:left="6"/>
        <w:spacing w:after="0"/>
        <w:rPr>
          <w:sz w:val="20"/>
          <w:szCs w:val="20"/>
          <w:color w:val="auto"/>
        </w:rPr>
      </w:pPr>
      <w:r>
        <w:rPr>
          <w:rFonts w:ascii="Arial" w:cs="Arial" w:eastAsia="Arial" w:hAnsi="Arial"/>
          <w:sz w:val="16"/>
          <w:szCs w:val="16"/>
          <w:color w:val="auto"/>
        </w:rPr>
        <w:t>Income (loss) from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34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8" w:lineRule="exact"/>
        <w:rPr>
          <w:sz w:val="20"/>
          <w:szCs w:val="20"/>
          <w:color w:val="auto"/>
        </w:rPr>
      </w:pPr>
    </w:p>
    <w:p>
      <w:pPr>
        <w:ind w:left="6"/>
        <w:spacing w:after="0"/>
        <w:rPr>
          <w:sz w:val="20"/>
          <w:szCs w:val="20"/>
          <w:color w:val="auto"/>
        </w:rPr>
      </w:pPr>
      <w:r>
        <w:rPr>
          <w:rFonts w:ascii="Arial" w:cs="Arial" w:eastAsia="Arial" w:hAnsi="Arial"/>
          <w:sz w:val="16"/>
          <w:szCs w:val="16"/>
          <w:color w:val="auto"/>
        </w:rPr>
        <w:t>Net income (loss)</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Paid-in-kind preferred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34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8" w:lineRule="exact"/>
        <w:rPr>
          <w:sz w:val="20"/>
          <w:szCs w:val="20"/>
          <w:color w:val="auto"/>
        </w:rPr>
      </w:pPr>
    </w:p>
    <w:p>
      <w:pPr>
        <w:ind w:left="6"/>
        <w:spacing w:after="0"/>
        <w:rPr>
          <w:sz w:val="20"/>
          <w:szCs w:val="20"/>
          <w:color w:val="auto"/>
        </w:rPr>
      </w:pPr>
      <w:r>
        <w:rPr>
          <w:rFonts w:ascii="Arial" w:cs="Arial" w:eastAsia="Arial" w:hAnsi="Arial"/>
          <w:sz w:val="16"/>
          <w:szCs w:val="16"/>
          <w:color w:val="auto"/>
        </w:rPr>
        <w:t>Net loss attributable to non-controlling interests</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6"/>
          <w:szCs w:val="16"/>
          <w:color w:val="auto"/>
        </w:rPr>
        <w:t>Net income (loss) attributable to OPAL Fuels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42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100" cy="142240"/>
                    </a:xfrm>
                    <a:prstGeom prst="rect">
                      <a:avLst/>
                    </a:prstGeom>
                    <a:noFill/>
                  </pic:spPr>
                </pic:pic>
              </a:graphicData>
            </a:graphic>
          </wp:anchor>
        </w:drawing>
      </w:r>
    </w:p>
    <w:p>
      <w:pPr>
        <w:spacing w:after="0" w:line="20" w:lineRule="exact"/>
        <w:rPr>
          <w:sz w:val="20"/>
          <w:szCs w:val="20"/>
          <w:color w:val="auto"/>
        </w:rPr>
      </w:pPr>
    </w:p>
    <w:p>
      <w:pPr>
        <w:ind w:left="6"/>
        <w:spacing w:after="0"/>
        <w:rPr>
          <w:sz w:val="20"/>
          <w:szCs w:val="20"/>
          <w:color w:val="auto"/>
        </w:rPr>
      </w:pPr>
      <w:r>
        <w:rPr>
          <w:rFonts w:ascii="Arial" w:cs="Arial" w:eastAsia="Arial" w:hAnsi="Arial"/>
          <w:sz w:val="16"/>
          <w:szCs w:val="16"/>
          <w:color w:val="auto"/>
        </w:rPr>
        <w:t>Weighted average units outstanding: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(7,467)</w:t>
            </w:r>
          </w:p>
        </w:tc>
        <w:tc>
          <w:tcPr>
            <w:tcW w:w="360" w:type="dxa"/>
            <w:vAlign w:val="bottom"/>
          </w:tcPr>
          <w:p>
            <w:pPr>
              <w:spacing w:after="0"/>
              <w:rPr>
                <w:sz w:val="16"/>
                <w:szCs w:val="16"/>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6"/>
                <w:szCs w:val="16"/>
                <w:color w:val="auto"/>
              </w:rPr>
              <w:t>(6,655)</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(8,026)</w:t>
            </w: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6"/>
                <w:szCs w:val="16"/>
                <w:color w:val="auto"/>
              </w:rPr>
              <w:t>(2,197)</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19,818</w:t>
            </w:r>
          </w:p>
        </w:tc>
        <w:tc>
          <w:tcPr>
            <w:tcW w:w="360" w:type="dxa"/>
            <w:vAlign w:val="bottom"/>
          </w:tcPr>
          <w:p>
            <w:pPr>
              <w:spacing w:after="0"/>
              <w:rPr>
                <w:sz w:val="16"/>
                <w:szCs w:val="16"/>
                <w:color w:val="auto"/>
              </w:rPr>
            </w:pPr>
          </w:p>
        </w:tc>
        <w:tc>
          <w:tcPr>
            <w:tcW w:w="1360" w:type="dxa"/>
            <w:vAlign w:val="bottom"/>
            <w:gridSpan w:val="4"/>
          </w:tcPr>
          <w:p>
            <w:pPr>
              <w:jc w:val="right"/>
              <w:ind w:right="55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15,025</w:t>
            </w:r>
          </w:p>
        </w:tc>
        <w:tc>
          <w:tcPr>
            <w:tcW w:w="360" w:type="dxa"/>
            <w:vAlign w:val="bottom"/>
          </w:tcPr>
          <w:p>
            <w:pPr>
              <w:spacing w:after="0"/>
              <w:rPr>
                <w:sz w:val="17"/>
                <w:szCs w:val="17"/>
                <w:color w:val="auto"/>
              </w:rPr>
            </w:pPr>
          </w:p>
        </w:tc>
        <w:tc>
          <w:tcPr>
            <w:tcW w:w="1360" w:type="dxa"/>
            <w:vAlign w:val="bottom"/>
            <w:gridSpan w:val="4"/>
          </w:tcPr>
          <w:p>
            <w:pPr>
              <w:jc w:val="right"/>
              <w:ind w:right="55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6"/>
                <w:szCs w:val="16"/>
                <w:color w:val="auto"/>
              </w:rPr>
              <w:t>1,792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4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2,268</w:t>
            </w:r>
          </w:p>
        </w:tc>
        <w:tc>
          <w:tcPr>
            <w:tcW w:w="24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60" w:type="dxa"/>
            <w:vAlign w:val="bottom"/>
          </w:tcPr>
          <w:p>
            <w:pPr>
              <w:jc w:val="right"/>
              <w:spacing w:after="0" w:line="176"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2"/>
        </w:trPr>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40,769</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(25,371</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(5,249</w:t>
            </w:r>
          </w:p>
        </w:tc>
        <w:tc>
          <w:tcPr>
            <w:tcW w:w="60" w:type="dxa"/>
            <w:vAlign w:val="bottom"/>
          </w:tcPr>
          <w:p>
            <w:pPr>
              <w:jc w:val="right"/>
              <w:spacing w:after="0" w:line="177"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210</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(804)</w:t>
            </w:r>
          </w:p>
        </w:tc>
        <w:tc>
          <w:tcPr>
            <w:tcW w:w="36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gridSpan w:val="2"/>
            <w:vMerge w:val="restart"/>
          </w:tcPr>
          <w:p>
            <w:pPr>
              <w:jc w:val="right"/>
              <w:ind w:right="180"/>
              <w:spacing w:after="0"/>
              <w:rPr>
                <w:sz w:val="20"/>
                <w:szCs w:val="20"/>
                <w:color w:val="auto"/>
              </w:rPr>
            </w:pPr>
            <w:r>
              <w:rPr>
                <w:rFonts w:ascii="Arial" w:cs="Arial" w:eastAsia="Arial" w:hAnsi="Arial"/>
                <w:sz w:val="8"/>
                <w:szCs w:val="8"/>
                <w:color w:val="auto"/>
                <w:w w:val="73"/>
              </w:rPr>
              <w:t>)</w:t>
            </w: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6"/>
        </w:trPr>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41,363</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(25,358</w:t>
            </w:r>
          </w:p>
        </w:tc>
        <w:tc>
          <w:tcPr>
            <w:tcW w:w="220" w:type="dxa"/>
            <w:vAlign w:val="bottom"/>
            <w:gridSpan w:val="2"/>
            <w:vMerge w:val="continue"/>
          </w:tcPr>
          <w:p>
            <w:pPr>
              <w:spacing w:after="0"/>
              <w:rPr>
                <w:sz w:val="18"/>
                <w:szCs w:val="18"/>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(5,249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2">
            <w:col w:w="6606" w:space="720"/>
            <w:col w:w="3940"/>
          </w:cols>
          <w:pgMar w:left="314" w:top="688" w:right="319" w:bottom="1440" w:gutter="0" w:footer="0" w:header="0"/>
          <w:type w:val="continuous"/>
        </w:sectPr>
      </w:pPr>
    </w:p>
    <w:tbl>
      <w:tblPr>
        <w:tblLayout w:type="fixed"/>
        <w:tblInd w:w="6" w:type="dxa"/>
        <w:tblCellMar>
          <w:top w:w="0" w:type="dxa"/>
          <w:left w:w="0" w:type="dxa"/>
          <w:bottom w:w="0" w:type="dxa"/>
          <w:right w:w="0" w:type="dxa"/>
        </w:tblCellMar>
      </w:tblPr>
      <w:tr>
        <w:trPr>
          <w:trHeight w:val="241"/>
        </w:trPr>
        <w:tc>
          <w:tcPr>
            <w:tcW w:w="3120" w:type="dxa"/>
            <w:vAlign w:val="bottom"/>
          </w:tcPr>
          <w:p>
            <w:pPr>
              <w:spacing w:after="0" w:line="241" w:lineRule="exact"/>
              <w:rPr>
                <w:sz w:val="20"/>
                <w:szCs w:val="20"/>
                <w:color w:val="auto"/>
              </w:rPr>
            </w:pPr>
            <w:r>
              <w:rPr>
                <w:rFonts w:ascii="Arial" w:cs="Arial" w:eastAsia="Arial" w:hAnsi="Arial"/>
                <w:sz w:val="16"/>
                <w:szCs w:val="16"/>
                <w:color w:val="auto"/>
              </w:rPr>
              <w:t>Basic</w:t>
            </w:r>
            <w:r>
              <w:rPr>
                <w:rFonts w:ascii="Arial" w:cs="Arial" w:eastAsia="Arial" w:hAnsi="Arial"/>
                <w:sz w:val="26"/>
                <w:szCs w:val="26"/>
                <w:color w:val="auto"/>
                <w:vertAlign w:val="superscript"/>
              </w:rPr>
              <w:t>(2)</w:t>
            </w:r>
          </w:p>
        </w:tc>
        <w:tc>
          <w:tcPr>
            <w:tcW w:w="460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987</w:t>
            </w:r>
          </w:p>
        </w:tc>
        <w:tc>
          <w:tcPr>
            <w:tcW w:w="48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986</w:t>
            </w:r>
          </w:p>
        </w:tc>
        <w:tc>
          <w:tcPr>
            <w:tcW w:w="48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986</w:t>
            </w:r>
          </w:p>
        </w:tc>
      </w:tr>
      <w:tr>
        <w:trPr>
          <w:trHeight w:val="224"/>
        </w:trPr>
        <w:tc>
          <w:tcPr>
            <w:tcW w:w="312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Diluted</w:t>
            </w:r>
            <w:r>
              <w:rPr>
                <w:rFonts w:ascii="Arial" w:cs="Arial" w:eastAsia="Arial" w:hAnsi="Arial"/>
                <w:sz w:val="25"/>
                <w:szCs w:val="25"/>
                <w:color w:val="auto"/>
                <w:vertAlign w:val="superscript"/>
              </w:rPr>
              <w:t>(2)</w:t>
            </w:r>
          </w:p>
        </w:tc>
        <w:tc>
          <w:tcPr>
            <w:tcW w:w="46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987</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986</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986</w:t>
            </w:r>
          </w:p>
        </w:tc>
      </w:tr>
      <w:tr>
        <w:trPr>
          <w:trHeight w:val="188"/>
        </w:trPr>
        <w:tc>
          <w:tcPr>
            <w:tcW w:w="3120" w:type="dxa"/>
            <w:vAlign w:val="bottom"/>
          </w:tcPr>
          <w:p>
            <w:pPr>
              <w:spacing w:after="0"/>
              <w:rPr>
                <w:sz w:val="20"/>
                <w:szCs w:val="20"/>
                <w:color w:val="auto"/>
              </w:rPr>
            </w:pPr>
            <w:r>
              <w:rPr>
                <w:rFonts w:ascii="Arial" w:cs="Arial" w:eastAsia="Arial" w:hAnsi="Arial"/>
                <w:sz w:val="16"/>
                <w:szCs w:val="16"/>
                <w:color w:val="auto"/>
              </w:rPr>
              <w:t>Per unit amounts:</w:t>
            </w:r>
          </w:p>
        </w:tc>
        <w:tc>
          <w:tcPr>
            <w:tcW w:w="4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46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41,908</w:t>
            </w:r>
          </w:p>
        </w:tc>
        <w:tc>
          <w:tcPr>
            <w:tcW w:w="4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(25,718)</w:t>
            </w:r>
          </w:p>
        </w:tc>
        <w:tc>
          <w:tcPr>
            <w:tcW w:w="4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w:t>
            </w:r>
          </w:p>
        </w:tc>
      </w:tr>
      <w:tr>
        <w:trPr>
          <w:trHeight w:val="176"/>
        </w:trPr>
        <w:tc>
          <w:tcPr>
            <w:tcW w:w="3120" w:type="dxa"/>
            <w:vAlign w:val="bottom"/>
          </w:tcPr>
          <w:p>
            <w:pPr>
              <w:spacing w:after="0" w:line="176" w:lineRule="exact"/>
              <w:rPr>
                <w:sz w:val="20"/>
                <w:szCs w:val="20"/>
                <w:color w:val="auto"/>
              </w:rPr>
            </w:pPr>
            <w:r>
              <w:rPr>
                <w:rFonts w:ascii="Arial" w:cs="Arial" w:eastAsia="Arial" w:hAnsi="Arial"/>
                <w:sz w:val="16"/>
                <w:szCs w:val="16"/>
                <w:color w:val="auto"/>
              </w:rPr>
              <w:t>Diluted</w:t>
            </w:r>
          </w:p>
        </w:tc>
        <w:tc>
          <w:tcPr>
            <w:tcW w:w="4600" w:type="dxa"/>
            <w:vAlign w:val="bottom"/>
          </w:tcPr>
          <w:p>
            <w:pPr>
              <w:jc w:val="right"/>
              <w:ind w:right="242"/>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41,908</w:t>
            </w:r>
          </w:p>
        </w:tc>
        <w:tc>
          <w:tcPr>
            <w:tcW w:w="480" w:type="dxa"/>
            <w:vAlign w:val="bottom"/>
          </w:tcPr>
          <w:p>
            <w:pPr>
              <w:jc w:val="right"/>
              <w:ind w:right="202"/>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line="176" w:lineRule="exact"/>
              <w:rPr>
                <w:sz w:val="20"/>
                <w:szCs w:val="20"/>
                <w:color w:val="auto"/>
              </w:rPr>
            </w:pPr>
            <w:r>
              <w:rPr>
                <w:rFonts w:ascii="Arial" w:cs="Arial" w:eastAsia="Arial" w:hAnsi="Arial"/>
                <w:sz w:val="16"/>
                <w:szCs w:val="16"/>
                <w:color w:val="auto"/>
              </w:rPr>
              <w:t>(25,718)</w:t>
            </w:r>
          </w:p>
        </w:tc>
        <w:tc>
          <w:tcPr>
            <w:tcW w:w="480" w:type="dxa"/>
            <w:vAlign w:val="bottom"/>
          </w:tcPr>
          <w:p>
            <w:pPr>
              <w:jc w:val="right"/>
              <w:ind w:right="242"/>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(5,324)</w:t>
            </w:r>
          </w:p>
        </w:tc>
      </w:tr>
      <w:tr>
        <w:trPr>
          <w:trHeight w:val="200"/>
        </w:trPr>
        <w:tc>
          <w:tcPr>
            <w:tcW w:w="3120" w:type="dxa"/>
            <w:vAlign w:val="bottom"/>
          </w:tcPr>
          <w:p>
            <w:pPr>
              <w:spacing w:after="0"/>
              <w:rPr>
                <w:sz w:val="17"/>
                <w:szCs w:val="17"/>
                <w:color w:val="auto"/>
              </w:rPr>
            </w:pPr>
          </w:p>
        </w:tc>
        <w:tc>
          <w:tcPr>
            <w:tcW w:w="4600" w:type="dxa"/>
            <w:vAlign w:val="bottom"/>
          </w:tcPr>
          <w:p>
            <w:pPr>
              <w:jc w:val="right"/>
              <w:ind w:right="1542"/>
              <w:spacing w:after="0"/>
              <w:rPr>
                <w:sz w:val="20"/>
                <w:szCs w:val="20"/>
                <w:color w:val="auto"/>
              </w:rPr>
            </w:pPr>
            <w:r>
              <w:rPr>
                <w:rFonts w:ascii="Arial" w:cs="Arial" w:eastAsia="Arial" w:hAnsi="Arial"/>
                <w:sz w:val="16"/>
                <w:szCs w:val="16"/>
                <w:color w:val="auto"/>
              </w:rPr>
              <w:t>____________</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ind w:left="286" w:right="20" w:hanging="286"/>
        <w:spacing w:after="0" w:line="245" w:lineRule="auto"/>
        <w:tabs>
          <w:tab w:leader="none" w:pos="28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years ended December 31, 2020 and 2019.</w:t>
      </w:r>
    </w:p>
    <w:p>
      <w:pPr>
        <w:spacing w:after="0" w:line="1" w:lineRule="exact"/>
        <w:rPr>
          <w:rFonts w:ascii="Arial" w:cs="Arial" w:eastAsia="Arial" w:hAnsi="Arial"/>
          <w:sz w:val="16"/>
          <w:szCs w:val="16"/>
          <w:color w:val="auto"/>
        </w:rPr>
      </w:pPr>
    </w:p>
    <w:p>
      <w:pPr>
        <w:ind w:left="286" w:hanging="286"/>
        <w:spacing w:after="0" w:line="284" w:lineRule="auto"/>
        <w:tabs>
          <w:tab w:leader="none" w:pos="286" w:val="left"/>
        </w:tabs>
        <w:numPr>
          <w:ilvl w:val="0"/>
          <w:numId w:val="126"/>
        </w:numPr>
        <w:rPr>
          <w:rFonts w:ascii="Arial" w:cs="Arial" w:eastAsia="Arial" w:hAnsi="Arial"/>
          <w:sz w:val="15"/>
          <w:szCs w:val="15"/>
          <w:color w:val="auto"/>
        </w:rPr>
      </w:pPr>
      <w:r>
        <w:rPr>
          <w:rFonts w:ascii="Arial" w:cs="Arial" w:eastAsia="Arial" w:hAnsi="Arial"/>
          <w:sz w:val="15"/>
          <w:szCs w:val="15"/>
          <w:color w:val="auto"/>
        </w:rPr>
        <w:t xml:space="preserve">As described in Note 1 </w:t>
      </w:r>
      <w:r>
        <w:rPr>
          <w:rFonts w:ascii="Arial" w:cs="Arial" w:eastAsia="Arial" w:hAnsi="Arial"/>
          <w:sz w:val="15"/>
          <w:szCs w:val="15"/>
          <w:i w:val="1"/>
          <w:iCs w:val="1"/>
          <w:color w:val="auto"/>
        </w:rPr>
        <w:t>Description of Business</w:t>
      </w:r>
      <w:r>
        <w:rPr>
          <w:rFonts w:ascii="Arial" w:cs="Arial" w:eastAsia="Arial" w:hAnsi="Arial"/>
          <w:sz w:val="15"/>
          <w:szCs w:val="15"/>
          <w:color w:val="auto"/>
        </w:rPr>
        <w:t xml:space="preserve"> to these consolidated financial statements, the Company amended its limited liability agreement on November 29, 2021 to convert its outstanding membership interests into 986 units. The Earnings per unit have been presented retrospectively for all periods presented.</w:t>
      </w:r>
    </w:p>
    <w:p>
      <w:pPr>
        <w:spacing w:after="0" w:line="14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type w:val="continuous"/>
        </w:sectPr>
      </w:pPr>
    </w:p>
    <w:bookmarkStart w:id="220" w:name="page221"/>
    <w:bookmarkEnd w:id="220"/>
    <w:p>
      <w:pPr>
        <w:jc w:val="center"/>
        <w:ind w:right="14"/>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CONSOLIDATED STATEMENTS OF CHANGES IN REDEEMABLE PREFERRED UNITS AND MEMBERS’ EQUITY (DEFICIT)</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Series A-1</w:t>
            </w: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2"/>
              <w:spacing w:after="0"/>
              <w:rPr>
                <w:sz w:val="20"/>
                <w:szCs w:val="20"/>
                <w:color w:val="auto"/>
              </w:rPr>
            </w:pPr>
            <w:r>
              <w:rPr>
                <w:rFonts w:ascii="Arial" w:cs="Arial" w:eastAsia="Arial" w:hAnsi="Arial"/>
                <w:sz w:val="16"/>
                <w:szCs w:val="16"/>
                <w:b w:val="1"/>
                <w:bCs w:val="1"/>
                <w:color w:val="auto"/>
                <w:w w:val="91"/>
              </w:rPr>
              <w:t>Retained</w:t>
            </w:r>
          </w:p>
        </w:tc>
        <w:tc>
          <w:tcPr>
            <w:tcW w:w="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Total</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8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6"/>
                <w:szCs w:val="16"/>
                <w:b w:val="1"/>
                <w:bCs w:val="1"/>
                <w:color w:val="auto"/>
              </w:rPr>
              <w:t>Preferred Units</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bottom w:val="single" w:sz="8" w:color="auto"/>
            </w:tcBorders>
            <w:gridSpan w:val="5"/>
          </w:tcPr>
          <w:p>
            <w:pPr>
              <w:jc w:val="right"/>
              <w:ind w:right="482"/>
              <w:spacing w:after="0"/>
              <w:rPr>
                <w:sz w:val="20"/>
                <w:szCs w:val="20"/>
                <w:color w:val="auto"/>
              </w:rPr>
            </w:pPr>
            <w:r>
              <w:rPr>
                <w:rFonts w:ascii="Arial" w:cs="Arial" w:eastAsia="Arial" w:hAnsi="Arial"/>
                <w:sz w:val="16"/>
                <w:szCs w:val="16"/>
                <w:b w:val="1"/>
                <w:bCs w:val="1"/>
                <w:color w:val="auto"/>
              </w:rPr>
              <w:t>Common Units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62"/>
              <w:spacing w:after="0"/>
              <w:rPr>
                <w:sz w:val="20"/>
                <w:szCs w:val="20"/>
                <w:color w:val="auto"/>
              </w:rPr>
            </w:pPr>
            <w:r>
              <w:rPr>
                <w:rFonts w:ascii="Arial" w:cs="Arial" w:eastAsia="Arial" w:hAnsi="Arial"/>
                <w:sz w:val="16"/>
                <w:szCs w:val="16"/>
                <w:b w:val="1"/>
                <w:bCs w:val="1"/>
                <w:color w:val="auto"/>
                <w:w w:val="90"/>
              </w:rPr>
              <w:t>Earnings</w:t>
            </w:r>
          </w:p>
        </w:tc>
        <w:tc>
          <w:tcPr>
            <w:tcW w:w="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Members’</w:t>
            </w:r>
          </w:p>
        </w:tc>
        <w:tc>
          <w:tcPr>
            <w:tcW w:w="8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Number of</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Number of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0"/>
              </w:rPr>
              <w:t>Members’</w:t>
            </w: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Equity</w:t>
            </w:r>
          </w:p>
        </w:tc>
        <w:tc>
          <w:tcPr>
            <w:tcW w:w="8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controlling</w:t>
            </w:r>
          </w:p>
        </w:tc>
        <w:tc>
          <w:tcPr>
            <w:tcW w:w="160" w:type="dxa"/>
            <w:vAlign w:val="bottom"/>
          </w:tcPr>
          <w:p>
            <w:pPr>
              <w:spacing w:after="0"/>
              <w:rPr>
                <w:sz w:val="24"/>
                <w:szCs w:val="2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Units</w:t>
            </w: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0"/>
                <w:szCs w:val="20"/>
                <w:color w:val="auto"/>
              </w:rPr>
            </w:pPr>
          </w:p>
        </w:tc>
        <w:tc>
          <w:tcPr>
            <w:tcW w:w="1140" w:type="dxa"/>
            <w:vAlign w:val="bottom"/>
            <w:gridSpan w:val="2"/>
          </w:tcPr>
          <w:p>
            <w:pPr>
              <w:jc w:val="center"/>
              <w:ind w:right="140"/>
              <w:spacing w:after="0" w:line="236" w:lineRule="exact"/>
              <w:rPr>
                <w:sz w:val="20"/>
                <w:szCs w:val="20"/>
                <w:color w:val="auto"/>
              </w:rPr>
            </w:pPr>
            <w:r>
              <w:rPr>
                <w:rFonts w:ascii="Arial" w:cs="Arial" w:eastAsia="Arial" w:hAnsi="Arial"/>
                <w:sz w:val="16"/>
                <w:szCs w:val="16"/>
                <w:b w:val="1"/>
                <w:bCs w:val="1"/>
                <w:color w:val="auto"/>
                <w:w w:val="84"/>
              </w:rPr>
              <w:t>Units</w:t>
            </w:r>
            <w:r>
              <w:rPr>
                <w:rFonts w:ascii="Arial" w:cs="Arial" w:eastAsia="Arial" w:hAnsi="Arial"/>
                <w:sz w:val="26"/>
                <w:szCs w:val="26"/>
                <w:b w:val="1"/>
                <w:bCs w:val="1"/>
                <w:color w:val="auto"/>
                <w:w w:val="84"/>
                <w:vertAlign w:val="superscript"/>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20"/>
                <w:szCs w:val="20"/>
                <w:color w:val="auto"/>
              </w:rPr>
            </w:pPr>
          </w:p>
        </w:tc>
        <w:tc>
          <w:tcPr>
            <w:tcW w:w="1040" w:type="dxa"/>
            <w:vAlign w:val="bottom"/>
            <w:gridSpan w:val="2"/>
          </w:tcPr>
          <w:p>
            <w:pPr>
              <w:jc w:val="center"/>
              <w:ind w:right="262"/>
              <w:spacing w:after="0"/>
              <w:rPr>
                <w:sz w:val="20"/>
                <w:szCs w:val="20"/>
                <w:color w:val="auto"/>
              </w:rPr>
            </w:pPr>
            <w:r>
              <w:rPr>
                <w:rFonts w:ascii="Arial" w:cs="Arial" w:eastAsia="Arial" w:hAnsi="Arial"/>
                <w:sz w:val="16"/>
                <w:szCs w:val="16"/>
                <w:b w:val="1"/>
                <w:bCs w:val="1"/>
                <w:color w:val="auto"/>
                <w:w w:val="87"/>
              </w:rPr>
              <w:t>deficit)</w:t>
            </w:r>
          </w:p>
        </w:tc>
        <w:tc>
          <w:tcPr>
            <w:tcW w:w="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(deficit)</w:t>
            </w:r>
          </w:p>
        </w:tc>
        <w:tc>
          <w:tcPr>
            <w:tcW w:w="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interest</w:t>
            </w:r>
          </w:p>
        </w:tc>
        <w:tc>
          <w:tcPr>
            <w:tcW w:w="16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87"/>
        </w:trPr>
        <w:tc>
          <w:tcPr>
            <w:tcW w:w="2140" w:type="dxa"/>
            <w:vAlign w:val="bottom"/>
            <w:gridSpan w:val="2"/>
          </w:tcPr>
          <w:p>
            <w:pPr>
              <w:spacing w:after="0"/>
              <w:rPr>
                <w:sz w:val="20"/>
                <w:szCs w:val="20"/>
                <w:color w:val="auto"/>
              </w:rPr>
            </w:pPr>
            <w:r>
              <w:rPr>
                <w:rFonts w:ascii="Arial" w:cs="Arial" w:eastAsia="Arial" w:hAnsi="Arial"/>
                <w:sz w:val="16"/>
                <w:szCs w:val="16"/>
                <w:color w:val="auto"/>
              </w:rPr>
              <w:t>Balance, December 31, 2018</w:t>
            </w: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As previously reported</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2,133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(5,285)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120" w:type="dxa"/>
            <w:vAlign w:val="bottom"/>
          </w:tcPr>
          <w:p>
            <w:pPr>
              <w:spacing w:after="0" w:line="236" w:lineRule="exact"/>
              <w:rPr>
                <w:sz w:val="20"/>
                <w:szCs w:val="20"/>
                <w:color w:val="auto"/>
              </w:rPr>
            </w:pPr>
            <w:r>
              <w:rPr>
                <w:rFonts w:ascii="Arial" w:cs="Arial" w:eastAsia="Arial" w:hAnsi="Arial"/>
                <w:sz w:val="16"/>
                <w:szCs w:val="16"/>
                <w:color w:val="auto"/>
              </w:rPr>
              <w:t>Adjustments</w:t>
            </w:r>
            <w:r>
              <w:rPr>
                <w:rFonts w:ascii="Arial" w:cs="Arial" w:eastAsia="Arial" w:hAnsi="Arial"/>
                <w:sz w:val="26"/>
                <w:szCs w:val="26"/>
                <w:color w:val="auto"/>
                <w:vertAlign w:val="superscript"/>
              </w:rPr>
              <w:t>(2)</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6"/>
                <w:szCs w:val="16"/>
                <w:color w:val="auto"/>
              </w:rPr>
              <w:t>3,078</w:t>
            </w:r>
          </w:p>
        </w:tc>
        <w:tc>
          <w:tcPr>
            <w:tcW w:w="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3,078</w:t>
            </w: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 restated</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(7,418)</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5,211</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20" w:type="dxa"/>
            <w:vAlign w:val="bottom"/>
          </w:tcPr>
          <w:p>
            <w:pPr>
              <w:spacing w:after="0" w:line="223" w:lineRule="exact"/>
              <w:rPr>
                <w:sz w:val="20"/>
                <w:szCs w:val="20"/>
                <w:color w:val="auto"/>
              </w:rPr>
            </w:pPr>
            <w:r>
              <w:rPr>
                <w:rFonts w:ascii="Arial" w:cs="Arial" w:eastAsia="Arial" w:hAnsi="Arial"/>
                <w:sz w:val="15"/>
                <w:szCs w:val="15"/>
                <w:color w:val="auto"/>
              </w:rPr>
              <w:t>Net loss</w:t>
            </w:r>
            <w:r>
              <w:rPr>
                <w:rFonts w:ascii="Arial" w:cs="Arial" w:eastAsia="Arial" w:hAnsi="Arial"/>
                <w:sz w:val="25"/>
                <w:szCs w:val="25"/>
                <w:color w:val="auto"/>
                <w:vertAlign w:val="superscript"/>
              </w:rPr>
              <w:t>(2)</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82"/>
              <w:spacing w:after="0"/>
              <w:rPr>
                <w:sz w:val="20"/>
                <w:szCs w:val="20"/>
                <w:color w:val="auto"/>
              </w:rPr>
            </w:pPr>
            <w:r>
              <w:rPr>
                <w:rFonts w:ascii="Arial" w:cs="Arial" w:eastAsia="Arial" w:hAnsi="Arial"/>
                <w:sz w:val="16"/>
                <w:szCs w:val="16"/>
                <w:color w:val="auto"/>
              </w:rPr>
              <w:t>(5,249)</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(5,249)</w:t>
            </w: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(5,249)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Contributions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30,057</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30,057</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30,057</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Distribution to members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6"/>
                <w:szCs w:val="16"/>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(404)</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315</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December 31, 2019</w:t>
            </w: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212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22,550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22,512</w:t>
            </w: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22,512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3"/>
                <w:szCs w:val="13"/>
                <w:color w:val="auto"/>
              </w:rPr>
              <w:t>Net loss</w:t>
            </w:r>
            <w:r>
              <w:rPr>
                <w:rFonts w:ascii="Arial" w:cs="Arial" w:eastAsia="Arial" w:hAnsi="Arial"/>
                <w:sz w:val="21"/>
                <w:szCs w:val="21"/>
                <w:color w:val="auto"/>
                <w:vertAlign w:val="superscript"/>
              </w:rPr>
              <w:t>(2)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(25,358)</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(25,358)</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(25,371)</w:t>
            </w: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20" w:type="dxa"/>
            <w:vAlign w:val="bottom"/>
          </w:tcPr>
          <w:p>
            <w:pPr>
              <w:spacing w:after="0" w:line="180" w:lineRule="exact"/>
              <w:rPr>
                <w:sz w:val="20"/>
                <w:szCs w:val="20"/>
                <w:color w:val="auto"/>
              </w:rPr>
            </w:pPr>
            <w:r>
              <w:rPr>
                <w:rFonts w:ascii="Arial" w:cs="Arial" w:eastAsia="Arial" w:hAnsi="Arial"/>
                <w:sz w:val="16"/>
                <w:szCs w:val="16"/>
                <w:color w:val="auto"/>
              </w:rPr>
              <w:t>Initial non-controlling</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120" w:type="dxa"/>
            <w:vAlign w:val="bottom"/>
          </w:tcPr>
          <w:p>
            <w:pPr>
              <w:ind w:left="120"/>
              <w:spacing w:after="0" w:line="232" w:lineRule="exact"/>
              <w:rPr>
                <w:sz w:val="20"/>
                <w:szCs w:val="20"/>
                <w:color w:val="auto"/>
              </w:rPr>
            </w:pPr>
            <w:r>
              <w:rPr>
                <w:rFonts w:ascii="Arial" w:cs="Arial" w:eastAsia="Arial" w:hAnsi="Arial"/>
                <w:sz w:val="16"/>
                <w:szCs w:val="16"/>
                <w:color w:val="auto"/>
              </w:rPr>
              <w:t>interests</w:t>
            </w:r>
            <w:r>
              <w:rPr>
                <w:rFonts w:ascii="Arial" w:cs="Arial" w:eastAsia="Arial" w:hAnsi="Arial"/>
                <w:sz w:val="26"/>
                <w:szCs w:val="26"/>
                <w:color w:val="auto"/>
                <w:vertAlign w:val="superscript"/>
              </w:rPr>
              <w:t>(2)</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1,834</w:t>
            </w:r>
          </w:p>
        </w:tc>
        <w:tc>
          <w:tcPr>
            <w:tcW w:w="120" w:type="dxa"/>
            <w:vAlign w:val="bottom"/>
          </w:tcPr>
          <w:p>
            <w:pPr>
              <w:spacing w:after="0"/>
              <w:rPr>
                <w:sz w:val="20"/>
                <w:szCs w:val="20"/>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1,834</w:t>
            </w: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6,698</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Contributions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15,128</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15,128</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15,128</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Distributions to members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6"/>
                <w:szCs w:val="16"/>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(852)</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510</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Pr>
          <w:p>
            <w:pPr>
              <w:spacing w:after="0" w:line="176" w:lineRule="exact"/>
              <w:rPr>
                <w:sz w:val="20"/>
                <w:szCs w:val="20"/>
                <w:color w:val="auto"/>
              </w:rPr>
            </w:pPr>
            <w:r>
              <w:rPr>
                <w:rFonts w:ascii="Arial" w:cs="Arial" w:eastAsia="Arial" w:hAnsi="Arial"/>
                <w:sz w:val="16"/>
                <w:szCs w:val="16"/>
                <w:color w:val="auto"/>
              </w:rPr>
              <w:t>Assignment of related party</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Arial" w:cs="Arial" w:eastAsia="Arial" w:hAnsi="Arial"/>
                <w:sz w:val="16"/>
                <w:szCs w:val="16"/>
                <w:color w:val="auto"/>
              </w:rPr>
              <w:t>loan and line of credit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12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49,170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(25,396</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23,774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6,685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140" w:type="dxa"/>
            <w:vAlign w:val="bottom"/>
            <w:gridSpan w:val="2"/>
            <w:vMerge w:val="restart"/>
          </w:tcPr>
          <w:p>
            <w:pPr>
              <w:spacing w:after="0"/>
              <w:rPr>
                <w:sz w:val="20"/>
                <w:szCs w:val="20"/>
                <w:color w:val="auto"/>
              </w:rPr>
            </w:pPr>
            <w:r>
              <w:rPr>
                <w:rFonts w:ascii="Arial" w:cs="Arial" w:eastAsia="Arial" w:hAnsi="Arial"/>
                <w:sz w:val="16"/>
                <w:szCs w:val="16"/>
                <w:color w:val="auto"/>
              </w:rPr>
              <w:t>Net income (loss)</w:t>
            </w: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righ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140" w:type="dxa"/>
            <w:vAlign w:val="bottom"/>
            <w:gridSpan w:val="2"/>
            <w:vMerge w:val="continue"/>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41,573</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41,573</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w w:val="99"/>
              </w:rPr>
              <w:t>Initial non-controlling interests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(715)</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38,939</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38,224</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Pr>
          <w:p>
            <w:pPr>
              <w:spacing w:after="0" w:line="176" w:lineRule="exact"/>
              <w:rPr>
                <w:sz w:val="20"/>
                <w:szCs w:val="20"/>
                <w:color w:val="auto"/>
              </w:rPr>
            </w:pPr>
            <w:r>
              <w:rPr>
                <w:rFonts w:ascii="Arial" w:cs="Arial" w:eastAsia="Arial" w:hAnsi="Arial"/>
                <w:sz w:val="16"/>
                <w:szCs w:val="16"/>
                <w:color w:val="auto"/>
              </w:rPr>
              <w:t>Contributions from non-</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20" w:type="dxa"/>
            <w:vAlign w:val="bottom"/>
          </w:tcPr>
          <w:p>
            <w:pPr>
              <w:ind w:left="120"/>
              <w:spacing w:after="0"/>
              <w:rPr>
                <w:sz w:val="20"/>
                <w:szCs w:val="20"/>
                <w:color w:val="auto"/>
              </w:rPr>
            </w:pPr>
            <w:r>
              <w:rPr>
                <w:rFonts w:ascii="Arial" w:cs="Arial" w:eastAsia="Arial" w:hAnsi="Arial"/>
                <w:sz w:val="16"/>
                <w:szCs w:val="16"/>
                <w:color w:val="auto"/>
              </w:rPr>
              <w:t>controlling interests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3,873</w:t>
            </w:r>
          </w:p>
        </w:tc>
        <w:tc>
          <w:tcPr>
            <w:tcW w:w="120" w:type="dxa"/>
            <w:vAlign w:val="bottom"/>
          </w:tcPr>
          <w:p>
            <w:pPr>
              <w:spacing w:after="0"/>
              <w:rPr>
                <w:sz w:val="17"/>
                <w:szCs w:val="17"/>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3,873</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17,292</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21,165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1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w w:val="90"/>
              </w:rPr>
              <w:t>Series A-1 redeemable preferred</w:t>
            </w: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 and common units</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issued in exchange for non-</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120" w:type="dxa"/>
            <w:vAlign w:val="bottom"/>
            <w:shd w:val="clear" w:color="auto" w:fill="CCEEFF"/>
          </w:tcPr>
          <w:p>
            <w:pPr>
              <w:ind w:left="120"/>
              <w:spacing w:after="0" w:line="232" w:lineRule="exact"/>
              <w:rPr>
                <w:sz w:val="20"/>
                <w:szCs w:val="20"/>
                <w:color w:val="auto"/>
              </w:rPr>
            </w:pPr>
            <w:r>
              <w:rPr>
                <w:rFonts w:ascii="Arial" w:cs="Arial" w:eastAsia="Arial" w:hAnsi="Arial"/>
                <w:sz w:val="16"/>
                <w:szCs w:val="16"/>
                <w:color w:val="auto"/>
              </w:rPr>
              <w:t>controlling interests</w:t>
            </w:r>
            <w:r>
              <w:rPr>
                <w:rFonts w:ascii="Arial" w:cs="Arial" w:eastAsia="Arial" w:hAnsi="Arial"/>
                <w:sz w:val="26"/>
                <w:szCs w:val="26"/>
                <w:color w:val="auto"/>
                <w:vertAlign w:val="superscript"/>
              </w:rPr>
              <w:t>(4)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(29,913)</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Pr>
          <w:p>
            <w:pPr>
              <w:spacing w:after="0" w:line="176" w:lineRule="exact"/>
              <w:rPr>
                <w:sz w:val="20"/>
                <w:szCs w:val="20"/>
                <w:color w:val="auto"/>
              </w:rPr>
            </w:pPr>
            <w:r>
              <w:rPr>
                <w:rFonts w:ascii="Arial" w:cs="Arial" w:eastAsia="Arial" w:hAnsi="Arial"/>
                <w:sz w:val="16"/>
                <w:szCs w:val="16"/>
                <w:color w:val="auto"/>
              </w:rPr>
              <w:t>Acquisition of non-controlling</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20" w:type="dxa"/>
            <w:vAlign w:val="bottom"/>
          </w:tcPr>
          <w:p>
            <w:pPr>
              <w:ind w:left="120"/>
              <w:spacing w:after="0"/>
              <w:rPr>
                <w:sz w:val="20"/>
                <w:szCs w:val="20"/>
                <w:color w:val="auto"/>
              </w:rPr>
            </w:pPr>
            <w:r>
              <w:rPr>
                <w:rFonts w:ascii="Arial" w:cs="Arial" w:eastAsia="Arial" w:hAnsi="Arial"/>
                <w:sz w:val="16"/>
                <w:szCs w:val="16"/>
                <w:color w:val="auto"/>
              </w:rPr>
              <w:t>interest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(9,124)</w:t>
            </w:r>
          </w:p>
        </w:tc>
        <w:tc>
          <w:tcPr>
            <w:tcW w:w="120" w:type="dxa"/>
            <w:vAlign w:val="bottom"/>
          </w:tcPr>
          <w:p>
            <w:pPr>
              <w:spacing w:after="0"/>
              <w:rPr>
                <w:sz w:val="17"/>
                <w:szCs w:val="17"/>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(9,124)</w:t>
            </w: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(9,456)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Contributions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7,531</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7,531</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Distributions to members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(3,695)</w:t>
            </w:r>
          </w:p>
        </w:tc>
        <w:tc>
          <w:tcPr>
            <w:tcW w:w="120" w:type="dxa"/>
            <w:vAlign w:val="bottom"/>
          </w:tcPr>
          <w:p>
            <w:pPr>
              <w:spacing w:after="0"/>
              <w:rPr>
                <w:sz w:val="16"/>
                <w:szCs w:val="16"/>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(3,695)</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639</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20" w:type="dxa"/>
            <w:vAlign w:val="bottom"/>
          </w:tcPr>
          <w:p>
            <w:pPr>
              <w:spacing w:after="0" w:line="223" w:lineRule="exact"/>
              <w:rPr>
                <w:sz w:val="20"/>
                <w:szCs w:val="20"/>
                <w:color w:val="auto"/>
              </w:rPr>
            </w:pPr>
            <w:r>
              <w:rPr>
                <w:rFonts w:ascii="Arial" w:cs="Arial" w:eastAsia="Arial" w:hAnsi="Arial"/>
                <w:sz w:val="15"/>
                <w:szCs w:val="15"/>
                <w:color w:val="auto"/>
              </w:rPr>
              <w:t>Deconsolidation of entities</w:t>
            </w:r>
            <w:r>
              <w:rPr>
                <w:rFonts w:ascii="Arial" w:cs="Arial" w:eastAsia="Arial" w:hAnsi="Arial"/>
                <w:sz w:val="25"/>
                <w:szCs w:val="25"/>
                <w:color w:val="auto"/>
                <w:vertAlign w:val="superscript"/>
              </w:rPr>
              <w:t>(3)</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(30,679)</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(30,679)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Paid-in-kind preferred</w:t>
            </w: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20" w:type="dxa"/>
            <w:vAlign w:val="bottom"/>
            <w:shd w:val="clear" w:color="auto" w:fill="CCEEFF"/>
          </w:tcPr>
          <w:p>
            <w:pPr>
              <w:ind w:left="120"/>
              <w:spacing w:after="0" w:line="245" w:lineRule="exact"/>
              <w:rPr>
                <w:sz w:val="20"/>
                <w:szCs w:val="20"/>
                <w:color w:val="auto"/>
              </w:rPr>
            </w:pPr>
            <w:r>
              <w:rPr>
                <w:rFonts w:ascii="Arial" w:cs="Arial" w:eastAsia="Arial" w:hAnsi="Arial"/>
                <w:sz w:val="16"/>
                <w:szCs w:val="16"/>
                <w:color w:val="auto"/>
              </w:rPr>
              <w:t>dividends</w:t>
            </w:r>
            <w:r>
              <w:rPr>
                <w:rFonts w:ascii="Arial" w:cs="Arial" w:eastAsia="Arial" w:hAnsi="Arial"/>
                <w:sz w:val="26"/>
                <w:szCs w:val="26"/>
                <w:color w:val="auto"/>
                <w:vertAlign w:val="superscript"/>
              </w:rPr>
              <w:t>(4)</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December 31, 2021</w:t>
            </w: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30,210</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47,592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2"/>
              <w:spacing w:after="0"/>
              <w:rPr>
                <w:sz w:val="20"/>
                <w:szCs w:val="20"/>
                <w:color w:val="auto"/>
              </w:rPr>
            </w:pPr>
            <w:r>
              <w:rPr>
                <w:rFonts w:ascii="Arial" w:cs="Arial" w:eastAsia="Arial" w:hAnsi="Arial"/>
                <w:sz w:val="16"/>
                <w:szCs w:val="16"/>
                <w:color w:val="auto"/>
              </w:rPr>
              <w:t>15,967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63,559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1,188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64,747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178752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79" w:lineRule="exact"/>
        <w:rPr>
          <w:sz w:val="20"/>
          <w:szCs w:val="20"/>
          <w:color w:val="auto"/>
        </w:rPr>
      </w:pPr>
    </w:p>
    <w:p>
      <w:pPr>
        <w:ind w:left="286" w:right="20" w:hanging="286"/>
        <w:spacing w:after="0" w:line="270" w:lineRule="auto"/>
        <w:tabs>
          <w:tab w:leader="none" w:pos="286" w:val="left"/>
        </w:tabs>
        <w:numPr>
          <w:ilvl w:val="0"/>
          <w:numId w:val="127"/>
        </w:numPr>
        <w:rPr>
          <w:rFonts w:ascii="Arial" w:cs="Arial" w:eastAsia="Arial" w:hAnsi="Arial"/>
          <w:sz w:val="15"/>
          <w:szCs w:val="15"/>
          <w:color w:val="auto"/>
        </w:rPr>
      </w:pPr>
      <w:r>
        <w:rPr>
          <w:rFonts w:ascii="Arial" w:cs="Arial" w:eastAsia="Arial" w:hAnsi="Arial"/>
          <w:sz w:val="15"/>
          <w:szCs w:val="15"/>
          <w:color w:val="auto"/>
        </w:rPr>
        <w:t xml:space="preserve">As described in Note 1, </w:t>
      </w:r>
      <w:r>
        <w:rPr>
          <w:rFonts w:ascii="Arial" w:cs="Arial" w:eastAsia="Arial" w:hAnsi="Arial"/>
          <w:sz w:val="15"/>
          <w:szCs w:val="15"/>
          <w:i w:val="1"/>
          <w:iCs w:val="1"/>
          <w:color w:val="auto"/>
        </w:rPr>
        <w:t>Description of Business</w:t>
      </w:r>
      <w:r>
        <w:rPr>
          <w:rFonts w:ascii="Arial" w:cs="Arial" w:eastAsia="Arial" w:hAnsi="Arial"/>
          <w:sz w:val="15"/>
          <w:szCs w:val="15"/>
          <w:color w:val="auto"/>
        </w:rPr>
        <w:t xml:space="preserve"> to these consolidated financial statements, the Company amended its limited liability agreement on November 29, 2021 to convert its outstanding membership interests into 986 units. The earnings (deficit) per unit have been presented retrospectively for all periods presented.</w:t>
      </w:r>
    </w:p>
    <w:p>
      <w:pPr>
        <w:ind w:left="286" w:right="20" w:hanging="286"/>
        <w:spacing w:after="0" w:line="245" w:lineRule="auto"/>
        <w:tabs>
          <w:tab w:leader="none" w:pos="28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years ended December 31, 2020 and 2019.</w:t>
      </w:r>
    </w:p>
    <w:p>
      <w:pPr>
        <w:spacing w:after="0" w:line="1" w:lineRule="exact"/>
        <w:rPr>
          <w:rFonts w:ascii="Arial" w:cs="Arial" w:eastAsia="Arial" w:hAnsi="Arial"/>
          <w:sz w:val="16"/>
          <w:szCs w:val="16"/>
          <w:color w:val="auto"/>
        </w:rPr>
      </w:pPr>
    </w:p>
    <w:p>
      <w:pPr>
        <w:ind w:left="286" w:hanging="286"/>
        <w:spacing w:after="0" w:line="245" w:lineRule="auto"/>
        <w:tabs>
          <w:tab w:leader="none" w:pos="28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As of December 31, 2021, two of our RNG facilities, Pine Bend and Noble Road (defined below) were deconsolidated and accounted for under equity method as per ASC 323. Please refer to Note 6, Investment in </w:t>
      </w:r>
      <w:r>
        <w:rPr>
          <w:rFonts w:ascii="Arial" w:cs="Arial" w:eastAsia="Arial" w:hAnsi="Arial"/>
          <w:sz w:val="16"/>
          <w:szCs w:val="16"/>
          <w:i w:val="1"/>
          <w:iCs w:val="1"/>
          <w:color w:val="auto"/>
        </w:rPr>
        <w:t>Other Entities</w:t>
      </w:r>
      <w:r>
        <w:rPr>
          <w:rFonts w:ascii="Arial" w:cs="Arial" w:eastAsia="Arial" w:hAnsi="Arial"/>
          <w:sz w:val="16"/>
          <w:szCs w:val="16"/>
          <w:color w:val="auto"/>
        </w:rPr>
        <w:t xml:space="preserve"> and Note 17, Variable Interest Entities for additional information.</w:t>
      </w:r>
    </w:p>
    <w:p>
      <w:pPr>
        <w:spacing w:after="0" w:line="1" w:lineRule="exact"/>
        <w:rPr>
          <w:rFonts w:ascii="Arial" w:cs="Arial" w:eastAsia="Arial" w:hAnsi="Arial"/>
          <w:sz w:val="16"/>
          <w:szCs w:val="16"/>
          <w:color w:val="auto"/>
        </w:rPr>
      </w:pPr>
    </w:p>
    <w:p>
      <w:pPr>
        <w:ind w:left="286" w:right="20" w:hanging="286"/>
        <w:spacing w:after="0" w:line="251" w:lineRule="auto"/>
        <w:tabs>
          <w:tab w:leader="none" w:pos="28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On November 29, 2021, the Company issued 300,000 redeemable preferred units to Hillman RNG Investments LLC (“Hillman”) in exchange for its contributions as non-controlling interests in four RNG facilities. Please see Note 1, </w:t>
      </w:r>
      <w:r>
        <w:rPr>
          <w:rFonts w:ascii="Arial" w:cs="Arial" w:eastAsia="Arial" w:hAnsi="Arial"/>
          <w:sz w:val="16"/>
          <w:szCs w:val="16"/>
          <w:i w:val="1"/>
          <w:iCs w:val="1"/>
          <w:color w:val="auto"/>
        </w:rPr>
        <w:t>Description of Business</w:t>
      </w:r>
      <w:r>
        <w:rPr>
          <w:rFonts w:ascii="Arial" w:cs="Arial" w:eastAsia="Arial" w:hAnsi="Arial"/>
          <w:sz w:val="16"/>
          <w:szCs w:val="16"/>
          <w:color w:val="auto"/>
        </w:rPr>
        <w:t xml:space="preserve"> for additional information.</w:t>
      </w:r>
    </w:p>
    <w:p>
      <w:pPr>
        <w:spacing w:after="0" w:line="16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21" w:name="page222"/>
    <w:bookmarkEnd w:id="221"/>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86"/>
              </w:rPr>
              <w:t>December 31,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732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b w:val="1"/>
                <w:bCs w:val="1"/>
                <w:color w:val="auto"/>
                <w:w w:val="88"/>
              </w:rPr>
              <w:t>(Restated)</w:t>
            </w:r>
            <w:r>
              <w:rPr>
                <w:rFonts w:ascii="Arial" w:cs="Arial" w:eastAsia="Arial" w:hAnsi="Arial"/>
                <w:sz w:val="26"/>
                <w:szCs w:val="26"/>
                <w:b w:val="1"/>
                <w:bCs w:val="1"/>
                <w:color w:val="auto"/>
                <w:w w:val="88"/>
                <w:vertAlign w:val="superscript"/>
              </w:rPr>
              <w:t>(1)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42"/>
              <w:spacing w:after="0"/>
              <w:rPr>
                <w:sz w:val="20"/>
                <w:szCs w:val="20"/>
                <w:color w:val="auto"/>
              </w:rPr>
            </w:pPr>
            <w:r>
              <w:rPr>
                <w:rFonts w:ascii="Arial" w:cs="Arial" w:eastAsia="Arial" w:hAnsi="Arial"/>
                <w:sz w:val="16"/>
                <w:szCs w:val="16"/>
                <w:b w:val="1"/>
                <w:bCs w:val="1"/>
                <w:color w:val="auto"/>
                <w:w w:val="84"/>
              </w:rPr>
              <w:t>(Restated)</w:t>
            </w:r>
            <w:r>
              <w:rPr>
                <w:rFonts w:ascii="Arial" w:cs="Arial" w:eastAsia="Arial" w:hAnsi="Arial"/>
                <w:sz w:val="26"/>
                <w:szCs w:val="26"/>
                <w:b w:val="1"/>
                <w:bCs w:val="1"/>
                <w:color w:val="auto"/>
                <w:w w:val="84"/>
                <w:vertAlign w:val="superscript"/>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40,769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(25,371)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(5,249)</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equity method investments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(2,268)</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(Recovery) provision for bad debts</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inventory obsolescence</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10,078</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8,150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7,854</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1,085</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Amortization of PPA liability</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Accretion expense related to asset retirement obligations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639</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Paid-in-kind interest income</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(406)</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Paid-in-kind interest expense</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3,300</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loss on derivative financial instruments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(645)</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Gain on acquisition of equity method investment</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(19,818)</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Gain on deconsolidation of VIEs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(15,025)</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Write-off of capitalized development costs</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Loss (gain) on sale/disposal of assets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Gain on termination of PPA</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(1,292)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Gain on PPP loan forgiveness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Impairment of assets</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17,689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Noncash transfer of equipment to construction expense</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(2,944)</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10,651</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Fuel tax credits receivable</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2,642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(4,917)</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Capital spares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Parts inventory</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(899)</w:t>
            </w:r>
          </w:p>
        </w:tc>
        <w:tc>
          <w:tcPr>
            <w:tcW w:w="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Environmental credits held for sale</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Prepaid expense and other current assets</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(2,928)</w:t>
            </w:r>
          </w:p>
        </w:tc>
        <w:tc>
          <w:tcPr>
            <w:tcW w:w="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Contract assets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(2,960)</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2,559</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related party</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(1,413)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Fuel tax credits payable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(1,717)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3,662</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Accrued payroll</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4,864</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Other liabilities – current and non-current</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699</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 and other current liabilities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(1,483)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6"/>
                <w:szCs w:val="16"/>
                <w:color w:val="auto"/>
              </w:rPr>
              <w:t>Contract liabilities</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5,107</w:t>
            </w: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2,177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0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320" w:type="dxa"/>
            <w:vAlign w:val="bottom"/>
          </w:tcPr>
          <w:p>
            <w:pPr>
              <w:spacing w:after="0" w:line="172" w:lineRule="exact"/>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plant, and equipment</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(89,646)</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(24,940)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(5,469)</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Purchase of intellectual property</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Purchase of capital spares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Cash paid for investment in other entity</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(1,570)</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(27,791)</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Purchase of note receivable</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(10,450)</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5"/>
        </w:trPr>
        <w:tc>
          <w:tcPr>
            <w:tcW w:w="7320" w:type="dxa"/>
            <w:vAlign w:val="bottom"/>
            <w:tcBorders>
              <w:bottom w:val="single" w:sz="8" w:color="auto"/>
            </w:tcBorders>
          </w:tcPr>
          <w:p>
            <w:pPr>
              <w:ind w:left="5480"/>
              <w:spacing w:after="0"/>
              <w:rPr>
                <w:sz w:val="20"/>
                <w:szCs w:val="20"/>
                <w:color w:val="auto"/>
              </w:rPr>
            </w:pPr>
            <w:r>
              <w:rPr>
                <w:rFonts w:ascii="Arial" w:cs="Arial" w:eastAsia="Arial" w:hAnsi="Arial"/>
                <w:sz w:val="16"/>
                <w:szCs w:val="16"/>
                <w:color w:val="auto"/>
              </w:rPr>
              <w:t>F-82</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8" w:right="319" w:bottom="1440" w:gutter="0" w:footer="0" w:header="0"/>
        </w:sectPr>
      </w:pPr>
    </w:p>
    <w:bookmarkStart w:id="222" w:name="page223"/>
    <w:bookmarkEnd w:id="222"/>
    <w:p>
      <w:pPr>
        <w:jc w:val="center"/>
        <w:ind w:right="14"/>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CONSOLIDATED STATEMENTS OF CASH FLOWS — (Continued)</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b w:val="1"/>
                <w:bCs w:val="1"/>
                <w:color w:val="auto"/>
                <w:w w:val="86"/>
              </w:rPr>
              <w:t>December 31,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63"/>
              <w:spacing w:after="0" w:line="223" w:lineRule="exact"/>
              <w:rPr>
                <w:sz w:val="20"/>
                <w:szCs w:val="20"/>
                <w:color w:val="auto"/>
              </w:rPr>
            </w:pPr>
            <w:r>
              <w:rPr>
                <w:rFonts w:ascii="Arial" w:cs="Arial" w:eastAsia="Arial" w:hAnsi="Arial"/>
                <w:sz w:val="15"/>
                <w:szCs w:val="15"/>
                <w:b w:val="1"/>
                <w:bCs w:val="1"/>
                <w:color w:val="auto"/>
                <w:w w:val="93"/>
              </w:rPr>
              <w:t>(Restated)</w:t>
            </w:r>
            <w:r>
              <w:rPr>
                <w:rFonts w:ascii="Arial" w:cs="Arial" w:eastAsia="Arial" w:hAnsi="Arial"/>
                <w:sz w:val="25"/>
                <w:szCs w:val="25"/>
                <w:b w:val="1"/>
                <w:bCs w:val="1"/>
                <w:color w:val="auto"/>
                <w:w w:val="93"/>
                <w:vertAlign w:val="superscript"/>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63"/>
              <w:spacing w:after="0" w:line="223" w:lineRule="exact"/>
              <w:rPr>
                <w:sz w:val="20"/>
                <w:szCs w:val="20"/>
                <w:color w:val="auto"/>
              </w:rPr>
            </w:pPr>
            <w:r>
              <w:rPr>
                <w:rFonts w:ascii="Arial" w:cs="Arial" w:eastAsia="Arial" w:hAnsi="Arial"/>
                <w:sz w:val="15"/>
                <w:szCs w:val="15"/>
                <w:b w:val="1"/>
                <w:bCs w:val="1"/>
                <w:color w:val="auto"/>
                <w:w w:val="89"/>
              </w:rPr>
              <w:t>(Restated)</w:t>
            </w:r>
            <w:r>
              <w:rPr>
                <w:rFonts w:ascii="Arial" w:cs="Arial" w:eastAsia="Arial" w:hAnsi="Arial"/>
                <w:sz w:val="25"/>
                <w:szCs w:val="25"/>
                <w:b w:val="1"/>
                <w:bCs w:val="1"/>
                <w:color w:val="auto"/>
                <w:w w:val="89"/>
                <w:vertAlign w:val="superscript"/>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Cash acquired from business acquisition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1,975</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Deconsolidation of VIEs, net of cash</w:t>
            </w:r>
          </w:p>
        </w:tc>
        <w:tc>
          <w:tcPr>
            <w:tcW w:w="240" w:type="dxa"/>
            <w:vAlign w:val="bottom"/>
          </w:tcPr>
          <w:p>
            <w:pPr>
              <w:spacing w:after="0"/>
              <w:rPr>
                <w:sz w:val="16"/>
                <w:szCs w:val="16"/>
                <w:color w:val="auto"/>
              </w:rPr>
            </w:pPr>
          </w:p>
        </w:tc>
        <w:tc>
          <w:tcPr>
            <w:tcW w:w="1140" w:type="dxa"/>
            <w:vAlign w:val="bottom"/>
            <w:gridSpan w:val="2"/>
          </w:tcPr>
          <w:p>
            <w:pPr>
              <w:jc w:val="right"/>
              <w:ind w:right="113"/>
              <w:spacing w:after="0"/>
              <w:rPr>
                <w:sz w:val="20"/>
                <w:szCs w:val="20"/>
                <w:color w:val="auto"/>
              </w:rPr>
            </w:pPr>
            <w:r>
              <w:rPr>
                <w:rFonts w:ascii="Arial" w:cs="Arial" w:eastAsia="Arial" w:hAnsi="Arial"/>
                <w:sz w:val="16"/>
                <w:szCs w:val="16"/>
                <w:color w:val="auto"/>
              </w:rPr>
              <w:t>(21,208)</w:t>
            </w: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termination of PPA</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1,850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Proceeds from disposal of plant and equipment</w:t>
            </w:r>
          </w:p>
        </w:tc>
        <w:tc>
          <w:tcPr>
            <w:tcW w:w="240" w:type="dxa"/>
            <w:vAlign w:val="bottom"/>
          </w:tcPr>
          <w:p>
            <w:pPr>
              <w:spacing w:after="0"/>
              <w:rPr>
                <w:sz w:val="16"/>
                <w:szCs w:val="16"/>
                <w:color w:val="auto"/>
              </w:rPr>
            </w:pP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3,179</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Distributions received from equity method investment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3,695</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852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13"/>
        </w:trPr>
        <w:tc>
          <w:tcPr>
            <w:tcW w:w="7320" w:type="dxa"/>
            <w:vAlign w:val="bottom"/>
            <w:tcBorders>
              <w:top w:val="single" w:sz="8" w:color="CCEEFF"/>
            </w:tcBorders>
            <w:vMerge w:val="restart"/>
          </w:tcPr>
          <w:p>
            <w:pPr>
              <w:spacing w:after="0" w:line="172" w:lineRule="exact"/>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jc w:val="right"/>
              <w:ind w:right="113"/>
              <w:spacing w:after="0" w:line="113"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jc w:val="right"/>
              <w:spacing w:after="0" w:line="113"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62"/>
        </w:trPr>
        <w:tc>
          <w:tcPr>
            <w:tcW w:w="7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tcPr>
          <w:p>
            <w:pPr>
              <w:jc w:val="right"/>
              <w:ind w:right="173"/>
              <w:spacing w:after="0" w:line="59" w:lineRule="exact"/>
              <w:rPr>
                <w:sz w:val="20"/>
                <w:szCs w:val="20"/>
                <w:color w:val="auto"/>
              </w:rPr>
            </w:pPr>
            <w:r>
              <w:rPr>
                <w:rFonts w:ascii="Arial" w:cs="Arial" w:eastAsia="Arial" w:hAnsi="Arial"/>
                <w:sz w:val="6"/>
                <w:szCs w:val="6"/>
                <w:color w:val="auto"/>
              </w:rPr>
              <w:t>(117,204</w:t>
            </w:r>
          </w:p>
        </w:tc>
        <w:tc>
          <w:tcPr>
            <w:tcW w:w="80" w:type="dxa"/>
            <w:vAlign w:val="bottom"/>
          </w:tcPr>
          <w:p>
            <w:pPr>
              <w:spacing w:after="0"/>
              <w:rPr>
                <w:sz w:val="5"/>
                <w:szCs w:val="5"/>
                <w:color w:val="auto"/>
              </w:rPr>
            </w:pPr>
          </w:p>
        </w:tc>
        <w:tc>
          <w:tcPr>
            <w:tcW w:w="1160" w:type="dxa"/>
            <w:vAlign w:val="bottom"/>
            <w:gridSpan w:val="2"/>
          </w:tcPr>
          <w:p>
            <w:pPr>
              <w:jc w:val="right"/>
              <w:ind w:right="81"/>
              <w:spacing w:after="0" w:line="59" w:lineRule="exact"/>
              <w:rPr>
                <w:sz w:val="20"/>
                <w:szCs w:val="20"/>
                <w:color w:val="auto"/>
              </w:rPr>
            </w:pPr>
            <w:r>
              <w:rPr>
                <w:rFonts w:ascii="Arial" w:cs="Arial" w:eastAsia="Arial" w:hAnsi="Arial"/>
                <w:sz w:val="6"/>
                <w:szCs w:val="6"/>
                <w:color w:val="auto"/>
              </w:rPr>
              <w:t>(22,179</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tcPr>
          <w:p>
            <w:pPr>
              <w:jc w:val="right"/>
              <w:ind w:right="53"/>
              <w:spacing w:after="0" w:line="59" w:lineRule="exact"/>
              <w:rPr>
                <w:sz w:val="20"/>
                <w:szCs w:val="20"/>
                <w:color w:val="auto"/>
              </w:rPr>
            </w:pPr>
            <w:r>
              <w:rPr>
                <w:rFonts w:ascii="Arial" w:cs="Arial" w:eastAsia="Arial" w:hAnsi="Arial"/>
                <w:sz w:val="6"/>
                <w:szCs w:val="6"/>
                <w:color w:val="auto"/>
              </w:rPr>
              <w:t>(29,848</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Proceeds from line of credit – affiliate</w:t>
            </w:r>
          </w:p>
        </w:tc>
        <w:tc>
          <w:tcPr>
            <w:tcW w:w="240" w:type="dxa"/>
            <w:vAlign w:val="bottom"/>
          </w:tcPr>
          <w:p>
            <w:pPr>
              <w:spacing w:after="0"/>
              <w:rPr>
                <w:sz w:val="16"/>
                <w:szCs w:val="16"/>
                <w:color w:val="auto"/>
              </w:rPr>
            </w:pP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line of credit</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5,200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Repayment of line of credit</w:t>
            </w:r>
          </w:p>
        </w:tc>
        <w:tc>
          <w:tcPr>
            <w:tcW w:w="240" w:type="dxa"/>
            <w:vAlign w:val="bottom"/>
          </w:tcPr>
          <w:p>
            <w:pPr>
              <w:spacing w:after="0"/>
              <w:rPr>
                <w:sz w:val="16"/>
                <w:szCs w:val="16"/>
                <w:color w:val="auto"/>
              </w:rPr>
            </w:pP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OPAL term loan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75,000</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Proceeds from Sunoma loan</w:t>
            </w:r>
          </w:p>
        </w:tc>
        <w:tc>
          <w:tcPr>
            <w:tcW w:w="240" w:type="dxa"/>
            <w:vAlign w:val="bottom"/>
          </w:tcPr>
          <w:p>
            <w:pPr>
              <w:spacing w:after="0"/>
              <w:rPr>
                <w:sz w:val="16"/>
                <w:szCs w:val="16"/>
                <w:color w:val="auto"/>
              </w:rPr>
            </w:pP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15,679</w:t>
            </w: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notes payable and long-term debt, net</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674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Financing costs paid to other third parties</w:t>
            </w:r>
          </w:p>
        </w:tc>
        <w:tc>
          <w:tcPr>
            <w:tcW w:w="240" w:type="dxa"/>
            <w:vAlign w:val="bottom"/>
          </w:tcPr>
          <w:p>
            <w:pPr>
              <w:spacing w:after="0"/>
              <w:rPr>
                <w:sz w:val="16"/>
                <w:szCs w:val="16"/>
                <w:color w:val="auto"/>
              </w:rPr>
            </w:pPr>
          </w:p>
        </w:tc>
        <w:tc>
          <w:tcPr>
            <w:tcW w:w="1140" w:type="dxa"/>
            <w:vAlign w:val="bottom"/>
            <w:gridSpan w:val="2"/>
          </w:tcPr>
          <w:p>
            <w:pPr>
              <w:jc w:val="right"/>
              <w:ind w:right="113"/>
              <w:spacing w:after="0"/>
              <w:rPr>
                <w:sz w:val="20"/>
                <w:szCs w:val="20"/>
                <w:color w:val="auto"/>
              </w:rPr>
            </w:pPr>
            <w:r>
              <w:rPr>
                <w:rFonts w:ascii="Arial" w:cs="Arial" w:eastAsia="Arial" w:hAnsi="Arial"/>
                <w:sz w:val="16"/>
                <w:szCs w:val="16"/>
                <w:color w:val="auto"/>
              </w:rPr>
              <w:t>(3,607)</w:t>
            </w:r>
          </w:p>
        </w:tc>
        <w:tc>
          <w:tcPr>
            <w:tcW w:w="80" w:type="dxa"/>
            <w:vAlign w:val="bottom"/>
          </w:tcPr>
          <w:p>
            <w:pPr>
              <w:spacing w:after="0"/>
              <w:rPr>
                <w:sz w:val="16"/>
                <w:szCs w:val="16"/>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Repayment of Senior secured facility – term loan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13"/>
              <w:spacing w:after="0"/>
              <w:rPr>
                <w:sz w:val="20"/>
                <w:szCs w:val="20"/>
                <w:color w:val="auto"/>
              </w:rPr>
            </w:pPr>
            <w:r>
              <w:rPr>
                <w:rFonts w:ascii="Arial" w:cs="Arial" w:eastAsia="Arial" w:hAnsi="Arial"/>
                <w:sz w:val="16"/>
                <w:szCs w:val="16"/>
                <w:color w:val="auto"/>
              </w:rPr>
              <w:t>(4,901)</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(8,106)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(7,906)</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Repayment of Senior secured facility – working capital facility</w:t>
            </w:r>
          </w:p>
        </w:tc>
        <w:tc>
          <w:tcPr>
            <w:tcW w:w="240" w:type="dxa"/>
            <w:vAlign w:val="bottom"/>
          </w:tcPr>
          <w:p>
            <w:pPr>
              <w:spacing w:after="0"/>
              <w:rPr>
                <w:sz w:val="16"/>
                <w:szCs w:val="16"/>
                <w:color w:val="auto"/>
              </w:rPr>
            </w:pPr>
          </w:p>
        </w:tc>
        <w:tc>
          <w:tcPr>
            <w:tcW w:w="1140" w:type="dxa"/>
            <w:vAlign w:val="bottom"/>
            <w:gridSpan w:val="2"/>
          </w:tcPr>
          <w:p>
            <w:pPr>
              <w:jc w:val="right"/>
              <w:ind w:right="113"/>
              <w:spacing w:after="0"/>
              <w:rPr>
                <w:sz w:val="20"/>
                <w:szCs w:val="20"/>
                <w:color w:val="auto"/>
              </w:rPr>
            </w:pPr>
            <w:r>
              <w:rPr>
                <w:rFonts w:ascii="Arial" w:cs="Arial" w:eastAsia="Arial" w:hAnsi="Arial"/>
                <w:sz w:val="16"/>
                <w:szCs w:val="16"/>
                <w:color w:val="auto"/>
              </w:rPr>
              <w:t>(5,182)</w:t>
            </w: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Repayment of Municipality loan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13"/>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Repayment of Trustar revolver facility</w:t>
            </w:r>
          </w:p>
        </w:tc>
        <w:tc>
          <w:tcPr>
            <w:tcW w:w="240" w:type="dxa"/>
            <w:vAlign w:val="bottom"/>
          </w:tcPr>
          <w:p>
            <w:pPr>
              <w:spacing w:after="0"/>
              <w:rPr>
                <w:sz w:val="16"/>
                <w:szCs w:val="16"/>
                <w:color w:val="auto"/>
              </w:rPr>
            </w:pPr>
          </w:p>
        </w:tc>
        <w:tc>
          <w:tcPr>
            <w:tcW w:w="1140" w:type="dxa"/>
            <w:vAlign w:val="bottom"/>
            <w:gridSpan w:val="2"/>
          </w:tcPr>
          <w:p>
            <w:pPr>
              <w:jc w:val="right"/>
              <w:ind w:right="113"/>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PPP loan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1,792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Acquisition of non-controlling interest</w:t>
            </w:r>
          </w:p>
        </w:tc>
        <w:tc>
          <w:tcPr>
            <w:tcW w:w="240" w:type="dxa"/>
            <w:vAlign w:val="bottom"/>
          </w:tcPr>
          <w:p>
            <w:pPr>
              <w:spacing w:after="0"/>
              <w:rPr>
                <w:sz w:val="16"/>
                <w:szCs w:val="16"/>
                <w:color w:val="auto"/>
              </w:rPr>
            </w:pPr>
          </w:p>
        </w:tc>
        <w:tc>
          <w:tcPr>
            <w:tcW w:w="1140" w:type="dxa"/>
            <w:vAlign w:val="bottom"/>
            <w:gridSpan w:val="2"/>
          </w:tcPr>
          <w:p>
            <w:pPr>
              <w:jc w:val="right"/>
              <w:ind w:right="113"/>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non-controlling interest</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21,579</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8,532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Contributions from non-controlling interest</w:t>
            </w:r>
          </w:p>
        </w:tc>
        <w:tc>
          <w:tcPr>
            <w:tcW w:w="240" w:type="dxa"/>
            <w:vAlign w:val="bottom"/>
          </w:tcPr>
          <w:p>
            <w:pPr>
              <w:spacing w:after="0"/>
              <w:rPr>
                <w:sz w:val="16"/>
                <w:szCs w:val="16"/>
                <w:color w:val="auto"/>
              </w:rPr>
            </w:pP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7,804</w:t>
            </w: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non-controlling interest, related party</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16,639</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Contributions from non-controlling interest, related party</w:t>
            </w:r>
          </w:p>
        </w:tc>
        <w:tc>
          <w:tcPr>
            <w:tcW w:w="240" w:type="dxa"/>
            <w:vAlign w:val="bottom"/>
          </w:tcPr>
          <w:p>
            <w:pPr>
              <w:spacing w:after="0"/>
              <w:rPr>
                <w:sz w:val="16"/>
                <w:szCs w:val="16"/>
                <w:color w:val="auto"/>
              </w:rPr>
            </w:pP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13,361</w:t>
            </w:r>
          </w:p>
        </w:tc>
        <w:tc>
          <w:tcPr>
            <w:tcW w:w="8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Distributions to member</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13"/>
              <w:spacing w:after="0"/>
              <w:rPr>
                <w:sz w:val="20"/>
                <w:szCs w:val="20"/>
                <w:color w:val="auto"/>
              </w:rPr>
            </w:pPr>
            <w:r>
              <w:rPr>
                <w:rFonts w:ascii="Arial" w:cs="Arial" w:eastAsia="Arial" w:hAnsi="Arial"/>
                <w:sz w:val="16"/>
                <w:szCs w:val="16"/>
                <w:color w:val="auto"/>
              </w:rPr>
              <w:t>(3,695)</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6"/>
                <w:szCs w:val="16"/>
                <w:color w:val="auto"/>
              </w:rPr>
              <w:t>Contributions from member</w:t>
            </w:r>
          </w:p>
        </w:tc>
        <w:tc>
          <w:tcPr>
            <w:tcW w:w="240" w:type="dxa"/>
            <w:vAlign w:val="bottom"/>
          </w:tcPr>
          <w:p>
            <w:pPr>
              <w:spacing w:after="0"/>
              <w:rPr>
                <w:sz w:val="17"/>
                <w:szCs w:val="17"/>
                <w:color w:val="auto"/>
              </w:rPr>
            </w:pP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7,531</w:t>
            </w:r>
          </w:p>
        </w:tc>
        <w:tc>
          <w:tcPr>
            <w:tcW w:w="80" w:type="dxa"/>
            <w:vAlign w:val="bottom"/>
          </w:tcPr>
          <w:p>
            <w:pPr>
              <w:spacing w:after="0"/>
              <w:rPr>
                <w:sz w:val="17"/>
                <w:szCs w:val="17"/>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15,128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30,057</w:t>
            </w:r>
          </w:p>
        </w:tc>
        <w:tc>
          <w:tcPr>
            <w:tcW w:w="0" w:type="dxa"/>
            <w:vAlign w:val="bottom"/>
          </w:tcPr>
          <w:p>
            <w:pPr>
              <w:spacing w:after="0"/>
              <w:rPr>
                <w:sz w:val="1"/>
                <w:szCs w:val="1"/>
                <w:color w:val="auto"/>
              </w:rPr>
            </w:pPr>
          </w:p>
        </w:tc>
      </w:tr>
      <w:tr>
        <w:trPr>
          <w:trHeight w:val="20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125,014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320" w:type="dxa"/>
            <w:vAlign w:val="bottom"/>
          </w:tcPr>
          <w:p>
            <w:pPr>
              <w:spacing w:after="0" w:line="172" w:lineRule="exact"/>
              <w:rPr>
                <w:sz w:val="20"/>
                <w:szCs w:val="20"/>
                <w:color w:val="auto"/>
              </w:rPr>
            </w:pPr>
            <w:r>
              <w:rPr>
                <w:rFonts w:ascii="Arial" w:cs="Arial" w:eastAsia="Arial" w:hAnsi="Arial"/>
                <w:sz w:val="16"/>
                <w:szCs w:val="16"/>
                <w:color w:val="auto"/>
              </w:rPr>
              <w:t>Net increase in cash, cash equivalents, and restricted cash</w:t>
            </w:r>
          </w:p>
        </w:tc>
        <w:tc>
          <w:tcPr>
            <w:tcW w:w="24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6"/>
                <w:szCs w:val="16"/>
                <w:color w:val="auto"/>
              </w:rPr>
              <w:t>26,666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6"/>
                <w:szCs w:val="16"/>
                <w:color w:val="auto"/>
              </w:rPr>
              <w:t>1,561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Arial" w:cs="Arial" w:eastAsia="Arial" w:hAnsi="Arial"/>
                <w:sz w:val="16"/>
                <w:szCs w:val="16"/>
                <w:color w:val="auto"/>
              </w:rPr>
              <w:t>(857)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year</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15,388</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13,827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14,684</w:t>
            </w:r>
          </w:p>
        </w:tc>
        <w:tc>
          <w:tcPr>
            <w:tcW w:w="0" w:type="dxa"/>
            <w:vAlign w:val="bottom"/>
          </w:tcPr>
          <w:p>
            <w:pPr>
              <w:spacing w:after="0"/>
              <w:rPr>
                <w:sz w:val="1"/>
                <w:szCs w:val="1"/>
                <w:color w:val="auto"/>
              </w:rPr>
            </w:pPr>
          </w:p>
        </w:tc>
      </w:tr>
      <w:tr>
        <w:trPr>
          <w:trHeight w:val="24"/>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20" w:type="dxa"/>
            <w:vAlign w:val="bottom"/>
          </w:tcPr>
          <w:p>
            <w:pPr>
              <w:spacing w:after="0"/>
              <w:rPr>
                <w:sz w:val="20"/>
                <w:szCs w:val="20"/>
                <w:color w:val="auto"/>
              </w:rPr>
            </w:pPr>
            <w:r>
              <w:rPr>
                <w:rFonts w:ascii="Arial" w:cs="Arial" w:eastAsia="Arial" w:hAnsi="Arial"/>
                <w:sz w:val="16"/>
                <w:szCs w:val="16"/>
                <w:color w:val="auto"/>
              </w:rPr>
              <w:t>Cash, cash equivalents, and restricted cash, end of year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42,054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15,388</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13,827</w:t>
            </w:r>
          </w:p>
        </w:tc>
        <w:tc>
          <w:tcPr>
            <w:tcW w:w="0" w:type="dxa"/>
            <w:vAlign w:val="bottom"/>
          </w:tcPr>
          <w:p>
            <w:pPr>
              <w:spacing w:after="0"/>
              <w:rPr>
                <w:sz w:val="1"/>
                <w:szCs w:val="1"/>
                <w:color w:val="auto"/>
              </w:rPr>
            </w:pPr>
          </w:p>
        </w:tc>
      </w:tr>
      <w:tr>
        <w:trPr>
          <w:trHeight w:val="184"/>
        </w:trPr>
        <w:tc>
          <w:tcPr>
            <w:tcW w:w="73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Interest paid, net of $756 and $0 capitalized, respectively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4,339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6,243</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4,622</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w w:val="91"/>
              </w:rPr>
              <w:t>Fair value of contingent consideration to redeem the non-controlling interest included in other long-term 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4,456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Paid-in-kind dividend on redeemable preferred units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Issuance of notes payable related to business acquisition, excluding paid-in-kind interest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55,410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73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7"/>
              </w:rPr>
              <w:t>Accrual for purchase of Property, plant and equipment included in Accrued capital expenses and Accounts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6,205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3,300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Accrual for deferred financing costs included in Accrued expenses and other current 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3"/>
              <w:spacing w:after="0"/>
              <w:rPr>
                <w:sz w:val="20"/>
                <w:szCs w:val="20"/>
                <w:color w:val="auto"/>
              </w:rPr>
            </w:pPr>
            <w:r>
              <w:rPr>
                <w:rFonts w:ascii="Arial" w:cs="Arial" w:eastAsia="Arial" w:hAnsi="Arial"/>
                <w:sz w:val="16"/>
                <w:szCs w:val="16"/>
                <w:color w:val="auto"/>
              </w:rPr>
              <w:t>1,379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Assignment of debt to Parent Company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5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7320" w:type="dxa"/>
            <w:vAlign w:val="bottom"/>
          </w:tcPr>
          <w:p>
            <w:pPr>
              <w:ind w:left="5160"/>
              <w:spacing w:after="0"/>
              <w:rPr>
                <w:sz w:val="20"/>
                <w:szCs w:val="20"/>
                <w:color w:val="auto"/>
              </w:rPr>
            </w:pPr>
            <w:r>
              <w:rPr>
                <w:rFonts w:ascii="Arial" w:cs="Arial" w:eastAsia="Arial" w:hAnsi="Arial"/>
                <w:sz w:val="16"/>
                <w:szCs w:val="16"/>
                <w:color w:val="auto"/>
              </w:rPr>
              <w:t>____________</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86" w:hanging="286"/>
        <w:spacing w:after="0" w:line="248" w:lineRule="auto"/>
        <w:tabs>
          <w:tab w:leader="none" w:pos="28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years ended December 31, 2020 and 2019.</w:t>
      </w:r>
    </w:p>
    <w:p>
      <w:pPr>
        <w:spacing w:after="0" w:line="17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23" w:name="page224"/>
    <w:bookmarkEnd w:id="223"/>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193"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 xml:space="preserve">OPAL Fuels LLC (including its subsidiaries, (the </w:t>
      </w:r>
      <w:r>
        <w:rPr>
          <w:rFonts w:ascii="Arial" w:cs="Arial" w:eastAsia="Arial" w:hAnsi="Arial"/>
          <w:sz w:val="16"/>
          <w:szCs w:val="16"/>
          <w:b w:val="1"/>
          <w:bCs w:val="1"/>
          <w:color w:val="auto"/>
        </w:rPr>
        <w:t>“Company”</w:t>
      </w:r>
      <w:r>
        <w:rPr>
          <w:rFonts w:ascii="Arial" w:cs="Arial" w:eastAsia="Arial" w:hAnsi="Arial"/>
          <w:sz w:val="16"/>
          <w:szCs w:val="16"/>
          <w:color w:val="auto"/>
        </w:rPr>
        <w:t>) is engaged in the business of producing and distributing renewable natural gas (</w:t>
      </w:r>
      <w:r>
        <w:rPr>
          <w:rFonts w:ascii="Arial" w:cs="Arial" w:eastAsia="Arial" w:hAnsi="Arial"/>
          <w:sz w:val="16"/>
          <w:szCs w:val="16"/>
          <w:b w:val="1"/>
          <w:bCs w:val="1"/>
          <w:color w:val="auto"/>
        </w:rPr>
        <w:t>“RNG”</w:t>
      </w:r>
      <w:r>
        <w:rPr>
          <w:rFonts w:ascii="Arial" w:cs="Arial" w:eastAsia="Arial" w:hAnsi="Arial"/>
          <w:sz w:val="16"/>
          <w:szCs w:val="16"/>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Arial" w:cs="Arial" w:eastAsia="Arial" w:hAnsi="Arial"/>
          <w:sz w:val="16"/>
          <w:szCs w:val="16"/>
          <w:b w:val="1"/>
          <w:bCs w:val="1"/>
          <w:color w:val="auto"/>
        </w:rPr>
        <w:t>“CNG”</w:t>
      </w:r>
      <w:r>
        <w:rPr>
          <w:rFonts w:ascii="Arial" w:cs="Arial" w:eastAsia="Arial" w:hAnsi="Arial"/>
          <w:sz w:val="16"/>
          <w:szCs w:val="16"/>
          <w:color w:val="auto"/>
        </w:rPr>
        <w:t xml:space="preserve">) for vehicle fleets across the country that use RNG and CNG to displace diesel as their transportation fuel. RNG is derived from landfill gas (“LFG”) and dairy digester gas. In addition, the Company owns LFG fueled power plants that sell renewable electricity to public utilities. The Company is a wholly owned subsidiary of OPAL HoldCo LLC (the </w:t>
      </w:r>
      <w:r>
        <w:rPr>
          <w:rFonts w:ascii="Arial" w:cs="Arial" w:eastAsia="Arial" w:hAnsi="Arial"/>
          <w:sz w:val="16"/>
          <w:szCs w:val="16"/>
          <w:b w:val="1"/>
          <w:bCs w:val="1"/>
          <w:color w:val="auto"/>
        </w:rPr>
        <w:t>“Parent”</w:t>
      </w:r>
      <w:r>
        <w:rPr>
          <w:rFonts w:ascii="Arial" w:cs="Arial" w:eastAsia="Arial" w:hAnsi="Arial"/>
          <w:sz w:val="16"/>
          <w:szCs w:val="16"/>
          <w:color w:val="auto"/>
        </w:rPr>
        <w:t xml:space="preserve">) which, in turn, is an indirect subsidiary of Fortistar LLC (the </w:t>
      </w:r>
      <w:r>
        <w:rPr>
          <w:rFonts w:ascii="Arial" w:cs="Arial" w:eastAsia="Arial" w:hAnsi="Arial"/>
          <w:sz w:val="16"/>
          <w:szCs w:val="16"/>
          <w:b w:val="1"/>
          <w:bCs w:val="1"/>
          <w:color w:val="auto"/>
        </w:rPr>
        <w:t>“Ultimate Parent”</w:t>
      </w:r>
      <w:r>
        <w:rPr>
          <w:rFonts w:ascii="Arial" w:cs="Arial" w:eastAsia="Arial" w:hAnsi="Arial"/>
          <w:sz w:val="16"/>
          <w:szCs w:val="16"/>
          <w:color w:val="auto"/>
        </w:rPr>
        <w:t>).</w:t>
      </w:r>
    </w:p>
    <w:p>
      <w:pPr>
        <w:spacing w:after="0" w:line="169"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On May 1, 2021, we completed the acquisition Beacon Acquisition of Beacon RNG LLC (“Beacon”). Beacon extracts and converts methane gas to RNG from two landfills located in western Pennsylvania and sells the extracted gas to public utilities and separately monetizes environmental attributes through sales to third parties. Prior to the acquisition, the Company accounted for its 44.3% interest in Beacon as an equity method investment as the Company had the ability to exercise significant influence, but not control, over the operating and financial policies of Beacon’s operations. See Note 5 Acquisition, for more information.</w:t>
      </w:r>
    </w:p>
    <w:p>
      <w:pPr>
        <w:spacing w:after="0" w:line="15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 xml:space="preserve">On November 29, 2021, the Company amended its limited liability agreement (“LLCA”) which converted the outstanding membership interests into 986 common units. Therefore, the earnings per unit has been presented retrospectively for all periods presented in the consolidated financial statements. See Note 3,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w:t>
      </w:r>
      <w:r>
        <w:rPr>
          <w:rFonts w:ascii="Arial" w:cs="Arial" w:eastAsia="Arial" w:hAnsi="Arial"/>
          <w:sz w:val="16"/>
          <w:szCs w:val="16"/>
          <w:color w:val="auto"/>
        </w:rPr>
        <w:t>for additional information.</w:t>
      </w:r>
    </w:p>
    <w:p>
      <w:pPr>
        <w:spacing w:after="0" w:line="165" w:lineRule="exact"/>
        <w:rPr>
          <w:sz w:val="20"/>
          <w:szCs w:val="20"/>
          <w:color w:val="auto"/>
        </w:rPr>
      </w:pPr>
    </w:p>
    <w:p>
      <w:pPr>
        <w:jc w:val="both"/>
        <w:ind w:right="20" w:firstLine="283"/>
        <w:spacing w:after="0" w:line="329" w:lineRule="auto"/>
        <w:rPr>
          <w:sz w:val="20"/>
          <w:szCs w:val="20"/>
          <w:color w:val="auto"/>
        </w:rPr>
      </w:pPr>
      <w:r>
        <w:rPr>
          <w:rFonts w:ascii="Arial" w:cs="Arial" w:eastAsia="Arial" w:hAnsi="Arial"/>
          <w:sz w:val="13"/>
          <w:szCs w:val="13"/>
          <w:color w:val="auto"/>
        </w:rPr>
        <w:t xml:space="preserve">Hillman RNG Investments LLC (“Hillman”), an affiliate of the Ultimate Parent, made a combined $30,000 of capital contributions from August to November 2021 in four individual RNG projects that the Company is developing and constructing. On November 29, 2021, the Company entered into an exchange agreement with Hillman whereby Hillman exchanged its ownership interests in the four RNG projects of $30,000 into 300,000 series A-1 preferred units at par value of $100 per unit and 1.4% of the common units in the Company. See Note 3,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xml:space="preserve">, and Note 18 </w:t>
      </w:r>
      <w:r>
        <w:rPr>
          <w:rFonts w:ascii="Arial" w:cs="Arial" w:eastAsia="Arial" w:hAnsi="Arial"/>
          <w:sz w:val="13"/>
          <w:szCs w:val="13"/>
          <w:i w:val="1"/>
          <w:iCs w:val="1"/>
          <w:color w:val="auto"/>
        </w:rPr>
        <w:t>Redeemable Preferred Units and Equity</w:t>
      </w:r>
      <w:r>
        <w:rPr>
          <w:rFonts w:ascii="Arial" w:cs="Arial" w:eastAsia="Arial" w:hAnsi="Arial"/>
          <w:sz w:val="13"/>
          <w:szCs w:val="13"/>
          <w:color w:val="auto"/>
        </w:rPr>
        <w:t>, for additional information.</w:t>
      </w:r>
    </w:p>
    <w:p>
      <w:pPr>
        <w:spacing w:after="0" w:line="122"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On November 29, 2021, we signed two agreements with NextEra Energy (“NextEra”). NextEra agreed to invest up to $100,000 in Series A preferred units of the Company. The Company is allowed to draw down the $100,000 in whole or in increments until June 30, 2022. The Company did not issue any preferred units as of December 31, 2021. Additionally, the Company also entered into a purchase and sale agreement with NextEra for the environmental attributes generated by the RNG Fuels business. Under this agreement, the Company will sell a minimum of 90% of the environmental attributes generated and will receive net proceeds based on the ultimate sale price to a third party less a specified discount. A specified volume of environmental attributes sold per quarter will incur a small fee per environmental attribute in addition to the specified discount. The agreement is effective beginning first quarter of 2022.</w:t>
      </w:r>
    </w:p>
    <w:p>
      <w:pPr>
        <w:spacing w:after="0" w:line="174"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On December 2, 2021, the Company signed a business combination agreement (“BCA”) with ArcLight Clean Transition Corp. II, a NASDAQ publicly traded special purpose acquisition company. The business combination agreement values OPAL at an enterprise value of $1.75 billion. Upon closing, the Company is expected to be listed on the NASDAQ exchange under the ticker symbol “OPL”. The transaction includes a $125,000 fully committed common stock PIPE (private investment in public equity) at $10.00 per share anchored by a $25,000 investment by NextEra.</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24" w:name="page225"/>
    <w:bookmarkEnd w:id="224"/>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 Description of Business </w:t>
      </w:r>
      <w:r>
        <w:rPr>
          <w:rFonts w:ascii="Arial" w:cs="Arial" w:eastAsia="Arial" w:hAnsi="Arial"/>
          <w:sz w:val="16"/>
          <w:szCs w:val="16"/>
          <w:color w:val="auto"/>
        </w:rPr>
        <w:t>(cont.)</w:t>
      </w:r>
    </w:p>
    <w:p>
      <w:pPr>
        <w:spacing w:after="0" w:line="197" w:lineRule="exact"/>
        <w:rPr>
          <w:sz w:val="20"/>
          <w:szCs w:val="20"/>
          <w:color w:val="auto"/>
        </w:rPr>
      </w:pPr>
    </w:p>
    <w:p>
      <w:pPr>
        <w:jc w:val="both"/>
        <w:spacing w:after="0" w:line="315" w:lineRule="auto"/>
        <w:rPr>
          <w:sz w:val="20"/>
          <w:szCs w:val="20"/>
          <w:color w:val="auto"/>
        </w:rPr>
      </w:pPr>
      <w:r>
        <w:rPr>
          <w:rFonts w:ascii="Arial" w:cs="Arial" w:eastAsia="Arial" w:hAnsi="Arial"/>
          <w:sz w:val="13"/>
          <w:szCs w:val="13"/>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Impact</w:t>
      </w:r>
    </w:p>
    <w:p>
      <w:pPr>
        <w:spacing w:after="0" w:line="193" w:lineRule="exact"/>
        <w:rPr>
          <w:sz w:val="20"/>
          <w:szCs w:val="20"/>
          <w:color w:val="auto"/>
        </w:rPr>
      </w:pPr>
    </w:p>
    <w:p>
      <w:pPr>
        <w:jc w:val="both"/>
        <w:ind w:firstLine="283"/>
        <w:spacing w:after="0" w:line="331" w:lineRule="auto"/>
        <w:rPr>
          <w:sz w:val="20"/>
          <w:szCs w:val="20"/>
          <w:color w:val="auto"/>
        </w:rPr>
      </w:pPr>
      <w:r>
        <w:rPr>
          <w:rFonts w:ascii="Arial" w:cs="Arial" w:eastAsia="Arial" w:hAnsi="Arial"/>
          <w:sz w:val="13"/>
          <w:szCs w:val="13"/>
          <w:color w:val="auto"/>
        </w:rPr>
        <w:t>In March 2020, the World Health Organization categorized the Coronavirus Disease 2019 (</w:t>
      </w:r>
      <w:r>
        <w:rPr>
          <w:rFonts w:ascii="Arial" w:cs="Arial" w:eastAsia="Arial" w:hAnsi="Arial"/>
          <w:sz w:val="13"/>
          <w:szCs w:val="13"/>
          <w:b w:val="1"/>
          <w:bCs w:val="1"/>
          <w:color w:val="auto"/>
        </w:rPr>
        <w:t>“COVID-19”</w:t>
      </w:r>
      <w:r>
        <w:rPr>
          <w:rFonts w:ascii="Arial" w:cs="Arial" w:eastAsia="Arial" w:hAnsi="Arial"/>
          <w:sz w:val="13"/>
          <w:szCs w:val="13"/>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2021.</w:t>
      </w:r>
    </w:p>
    <w:p>
      <w:pPr>
        <w:spacing w:after="0" w:line="122"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On March 27, 2020, the “Coronavirus Aid, Relief, and Economic Security (CARES) Act” was signed into law. The CARES Act appropriated funds for the Small Business Administration Paycheck Protection Program (</w:t>
      </w:r>
      <w:r>
        <w:rPr>
          <w:rFonts w:ascii="Arial" w:cs="Arial" w:eastAsia="Arial" w:hAnsi="Arial"/>
          <w:sz w:val="13"/>
          <w:szCs w:val="13"/>
          <w:b w:val="1"/>
          <w:bCs w:val="1"/>
          <w:color w:val="auto"/>
        </w:rPr>
        <w:t>“PPP”</w:t>
      </w:r>
      <w:r>
        <w:rPr>
          <w:rFonts w:ascii="Arial" w:cs="Arial" w:eastAsia="Arial" w:hAnsi="Arial"/>
          <w:sz w:val="13"/>
          <w:szCs w:val="13"/>
          <w:color w:val="auto"/>
        </w:rPr>
        <w:t>) loans that are forgivable in certain situations to promote continued employment. In May 2020, the Company received a loan of $1,792 under the PPP. At the time the Company applied for this loan, there was considerable uncertainty as to the impact of the pandemic on the Company’s operations as well as the U.S. economy in general. The full amount of this PPP loan was forgiven in November 2020. As of December 31, 2021, no amounts were outstanding.</w:t>
      </w:r>
    </w:p>
    <w:p>
      <w:pPr>
        <w:spacing w:after="0" w:line="122"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The future impact of the COVID-19 pandemic on the Company’s business will depend on a number of factors, including, but not limited to, the duration and severity of the pandemic and its impact on our customers, all of which are uncertain and cannot be predicted. As of the date of issuance of these consolidated financial statements, the extent to which the COVID-19 pandemic may impact the Company’s financial condition, liquidity, or results of operations is uncertain.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In August 2014, the Financial Accounting Standards Board (“FASB”) issued ASU 2014-15, Presentation of Financial Statements-Going Concern (Subtopic 205-40): Disclosure of Uncertainties about an Entity’s Ability to Continue as a Going Concern. Under the new standard,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25" w:name="page226"/>
    <w:bookmarkEnd w:id="225"/>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 Description of Business </w:t>
      </w:r>
      <w:r>
        <w:rPr>
          <w:rFonts w:ascii="Arial" w:cs="Arial" w:eastAsia="Arial" w:hAnsi="Arial"/>
          <w:sz w:val="16"/>
          <w:szCs w:val="16"/>
          <w:color w:val="auto"/>
        </w:rPr>
        <w:t>(cont.)</w:t>
      </w:r>
    </w:p>
    <w:p>
      <w:pPr>
        <w:spacing w:after="0" w:line="197" w:lineRule="exact"/>
        <w:rPr>
          <w:sz w:val="20"/>
          <w:szCs w:val="20"/>
          <w:color w:val="auto"/>
        </w:rPr>
      </w:pPr>
    </w:p>
    <w:p>
      <w:pPr>
        <w:ind w:firstLine="283"/>
        <w:spacing w:after="0" w:line="266" w:lineRule="auto"/>
        <w:rPr>
          <w:sz w:val="20"/>
          <w:szCs w:val="20"/>
          <w:color w:val="auto"/>
        </w:rPr>
      </w:pPr>
      <w:r>
        <w:rPr>
          <w:rFonts w:ascii="Arial" w:cs="Arial" w:eastAsia="Arial" w:hAnsi="Arial"/>
          <w:sz w:val="16"/>
          <w:szCs w:val="16"/>
          <w:color w:val="auto"/>
        </w:rPr>
        <w:t>In performing the first step of this assessment, we concluded that the following conditions raise substantial doubt about our ability to meet our financial obligations as they come due within one year after the date that the financial statements are issued.</w:t>
      </w:r>
    </w:p>
    <w:p>
      <w:pPr>
        <w:spacing w:after="0" w:line="157" w:lineRule="exact"/>
        <w:rPr>
          <w:sz w:val="20"/>
          <w:szCs w:val="20"/>
          <w:color w:val="auto"/>
        </w:rPr>
      </w:pPr>
    </w:p>
    <w:p>
      <w:pPr>
        <w:ind w:left="560" w:right="20" w:hanging="283"/>
        <w:spacing w:after="0" w:line="300" w:lineRule="auto"/>
        <w:tabs>
          <w:tab w:leader="none" w:pos="5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We have history of net losses from our operations excluding certain non-cash gains related to the Beacon step acquisition and deconsolidation of VIEs. We have retained earnings of $15,967 as of December 31, 2021 and cash provided by operating activities of $18,856 for the year ended December 31, 2021.</w:t>
      </w:r>
    </w:p>
    <w:p>
      <w:pPr>
        <w:spacing w:after="0" w:line="134" w:lineRule="exact"/>
        <w:rPr>
          <w:rFonts w:ascii="Arial" w:cs="Arial" w:eastAsia="Arial" w:hAnsi="Arial"/>
          <w:sz w:val="15"/>
          <w:szCs w:val="15"/>
          <w:color w:val="auto"/>
        </w:rPr>
      </w:pPr>
    </w:p>
    <w:p>
      <w:pPr>
        <w:ind w:left="560" w:hanging="283"/>
        <w:spacing w:after="0"/>
        <w:tabs>
          <w:tab w:leader="none" w:pos="5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Our cash balance as of December 31, 2021 was $42,054, out of which $2,740 is restricted.</w:t>
      </w:r>
    </w:p>
    <w:p>
      <w:pPr>
        <w:spacing w:after="0" w:line="192"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We have $94,988 of our outstanding debt excluding interest repayment due on Sunoma loan coming due in 2022 which is reflected in our working capital deficit of $55,141.</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We also considered our projected capital expenditures to fund our growth plans.</w:t>
      </w:r>
    </w:p>
    <w:p>
      <w:pPr>
        <w:spacing w:after="0" w:line="193" w:lineRule="exact"/>
        <w:rPr>
          <w:sz w:val="20"/>
          <w:szCs w:val="20"/>
          <w:color w:val="auto"/>
        </w:rPr>
      </w:pPr>
    </w:p>
    <w:p>
      <w:pPr>
        <w:ind w:right="20" w:firstLine="283"/>
        <w:spacing w:after="0" w:line="383" w:lineRule="auto"/>
        <w:rPr>
          <w:sz w:val="20"/>
          <w:szCs w:val="20"/>
          <w:color w:val="auto"/>
        </w:rPr>
      </w:pPr>
      <w:r>
        <w:rPr>
          <w:rFonts w:ascii="Arial" w:cs="Arial" w:eastAsia="Arial" w:hAnsi="Arial"/>
          <w:sz w:val="13"/>
          <w:szCs w:val="13"/>
          <w:color w:val="auto"/>
        </w:rPr>
        <w:t>In performing the second step of this assessment, we are required to evaluate whether our plans to mitigate the above conditions alleviate the substantial doubt about our ability to meet our obligations as they become due within one year after the date of financial statements are issued. We list below our plans to alleviate the substantial doubt</w:t>
      </w:r>
    </w:p>
    <w:p>
      <w:pPr>
        <w:spacing w:after="0" w:line="88" w:lineRule="exact"/>
        <w:rPr>
          <w:sz w:val="20"/>
          <w:szCs w:val="20"/>
          <w:color w:val="auto"/>
        </w:rPr>
      </w:pPr>
    </w:p>
    <w:p>
      <w:pPr>
        <w:jc w:val="both"/>
        <w:ind w:left="560" w:hanging="283"/>
        <w:spacing w:after="0" w:line="256" w:lineRule="auto"/>
        <w:tabs>
          <w:tab w:leader="none" w:pos="5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 existing below-market contract for the sale of environmental credits generated by Beacon RNG LLC ended in August 2020. In addition, in May 2021, we acquired the remaining interests in Beacon RNG LLC by issuing a $50,000 convertible note to our joint venture partner. Beginning in 2022 and beyond, we anticipate a significant increase in revenues and resulting cash flows from operating activities from the operation of this facility.</w:t>
      </w:r>
    </w:p>
    <w:p>
      <w:pPr>
        <w:spacing w:after="0" w:line="165" w:lineRule="exact"/>
        <w:rPr>
          <w:sz w:val="20"/>
          <w:szCs w:val="20"/>
          <w:color w:val="auto"/>
        </w:rPr>
      </w:pPr>
    </w:p>
    <w:p>
      <w:pPr>
        <w:jc w:val="both"/>
        <w:ind w:left="560" w:hanging="283"/>
        <w:spacing w:after="0" w:line="274" w:lineRule="auto"/>
        <w:tabs>
          <w:tab w:leader="none" w:pos="5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We have closed on a delayed draw term loan, OPAL term loan for an aggregate amount of $125,000 with a syndicate of lenders, led by Bank of America as book runner and agent. $90,000 was available at closing and the remaining $35,000 becomes available in third quarter of 2022 as three more facilities become operational. Pursuant to the closing of the facility, we drew down $75,000 in October 2021 and an additional $15,000 in February, 2022. The three RNG facilities are expected to be operational by July 2022 at which time we will have remaining $35,000 available for us to draw from this term loan.</w:t>
      </w:r>
    </w:p>
    <w:p>
      <w:pPr>
        <w:spacing w:after="0" w:line="155" w:lineRule="exact"/>
        <w:rPr>
          <w:sz w:val="20"/>
          <w:szCs w:val="20"/>
          <w:color w:val="auto"/>
        </w:rPr>
      </w:pPr>
    </w:p>
    <w:p>
      <w:pPr>
        <w:ind w:left="560" w:right="20" w:hanging="283"/>
        <w:spacing w:after="0" w:line="266" w:lineRule="auto"/>
        <w:tabs>
          <w:tab w:leader="none" w:pos="5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have closed a preferred equity investment of $100,000 with NextEra. The $100,000 is available for us at our discretion to be drawn in $10,000 minimum increments through June 30, 2022. We have drawn $25.0 million under this capital raise in March 2022.</w:t>
      </w:r>
    </w:p>
    <w:p>
      <w:pPr>
        <w:spacing w:after="0" w:line="157" w:lineRule="exact"/>
        <w:rPr>
          <w:rFonts w:ascii="Arial" w:cs="Arial" w:eastAsia="Arial" w:hAnsi="Arial"/>
          <w:sz w:val="16"/>
          <w:szCs w:val="16"/>
          <w:color w:val="auto"/>
        </w:rPr>
      </w:pPr>
    </w:p>
    <w:p>
      <w:pPr>
        <w:jc w:val="both"/>
        <w:ind w:left="560" w:right="20" w:hanging="283"/>
        <w:spacing w:after="0" w:line="252" w:lineRule="auto"/>
        <w:tabs>
          <w:tab w:leader="none" w:pos="5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have announced a business combination with ArcLight Clean Transition Corp II, a SPAC that trades on the NASDAQ under the ticker “ACTD”. We expect to raise net proceeds of approximately $391,352, after associated transaction costs, assuming no redemptions and $105,364 assuming maximum redemptions in which maximum 28,698,800 Arclight Clean Transition Corp II Class A ordinary shares are redeemed.. Additionally, we raised a PIPE investment of $125,000 which would be available for us upon the closing of the proposed business combination.</w:t>
      </w:r>
    </w:p>
    <w:p>
      <w:pPr>
        <w:spacing w:after="0" w:line="169" w:lineRule="exact"/>
        <w:rPr>
          <w:rFonts w:ascii="Arial" w:cs="Arial" w:eastAsia="Arial" w:hAnsi="Arial"/>
          <w:sz w:val="16"/>
          <w:szCs w:val="16"/>
          <w:color w:val="auto"/>
        </w:rPr>
      </w:pPr>
    </w:p>
    <w:p>
      <w:pPr>
        <w:ind w:left="560" w:hanging="283"/>
        <w:spacing w:after="0"/>
        <w:tabs>
          <w:tab w:leader="none" w:pos="5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significant portion of our projected revenues for 2022 are already under existing fixed contract arrangements.</w:t>
      </w:r>
    </w:p>
    <w:p>
      <w:pPr>
        <w:spacing w:after="0" w:line="192" w:lineRule="exact"/>
        <w:rPr>
          <w:rFonts w:ascii="Arial" w:cs="Arial" w:eastAsia="Arial" w:hAnsi="Arial"/>
          <w:sz w:val="16"/>
          <w:szCs w:val="16"/>
          <w:color w:val="auto"/>
        </w:rPr>
      </w:pPr>
    </w:p>
    <w:p>
      <w:pPr>
        <w:ind w:left="560" w:hanging="283"/>
        <w:spacing w:after="0" w:line="266" w:lineRule="auto"/>
        <w:tabs>
          <w:tab w:leader="none" w:pos="5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have ability to postpone our uncommitted capital expenditures without significantly impacting our revenue generation capabilities for the upcoming 12 months from the date of the financial statements are issued.</w:t>
      </w:r>
    </w:p>
    <w:p>
      <w:pPr>
        <w:spacing w:after="0" w:line="157"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believe that we would be able to pay the debt coming due in 2022 with the availability under the existing facilities together with the cash on hand and cash flows from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26" w:name="page227"/>
    <w:bookmarkEnd w:id="226"/>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 Description of Business </w:t>
      </w:r>
      <w:r>
        <w:rPr>
          <w:rFonts w:ascii="Arial" w:cs="Arial" w:eastAsia="Arial" w:hAnsi="Arial"/>
          <w:sz w:val="16"/>
          <w:szCs w:val="16"/>
          <w:color w:val="auto"/>
        </w:rPr>
        <w:t>(cont.)</w:t>
      </w:r>
    </w:p>
    <w:p>
      <w:pPr>
        <w:spacing w:after="0" w:line="19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We acknowledge that we face a challenging competitive environment and we continue to focus on our overall profitability and manage our extensive growth plans. We believe that the actions taken in 2021 with capital raises, the proposed business combination and significant growth in the projected cash flows from operating activities are probable of occurring and mitigate the substantial doubt raised and we believe we will be able to satisfy our liquidity needs 12 months from the date of the issuance of the financial statements. However, we cannot predict, with certainty, the outcomes of our actions to generate liquidity including consummation of the contemplated business combination. Further, any decrease in demand for our products or our ability to manage our production facilities, could impact our ability to fund our operations and meet the obligations under the existing debt facilities as they come due and meet the debt covenants.</w:t>
      </w:r>
    </w:p>
    <w:p>
      <w:pPr>
        <w:spacing w:after="0" w:line="159"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22"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The accompanying consolidated financial statements have been prepared on a going-concern basis, which contemplates the realization of assets and the satisfaction of liabilities in the normal course of business. The accompanying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Restatements of Financial Statements</w:t>
      </w:r>
    </w:p>
    <w:p>
      <w:pPr>
        <w:spacing w:after="0" w:line="197"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Our consolidated balance sheet as of December 31, 2020, consolidated statements of operations for the years ended December 31, 2020 and 2019, consolidated statements of changes in members’ equity (deficit) as of December 31, 2020, 2019 and 2018 and consolidated statements of cash flows for the years ended December 31, 2020 and 2019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Restatement relating to commodity swap contracts</w:t>
      </w:r>
    </w:p>
    <w:p>
      <w:pPr>
        <w:spacing w:after="0" w:line="193" w:lineRule="exact"/>
        <w:rPr>
          <w:sz w:val="20"/>
          <w:szCs w:val="20"/>
          <w:color w:val="auto"/>
        </w:rPr>
      </w:pPr>
    </w:p>
    <w:p>
      <w:pPr>
        <w:jc w:val="both"/>
        <w:ind w:right="20" w:firstLine="283"/>
        <w:spacing w:after="0" w:line="274" w:lineRule="auto"/>
        <w:rPr>
          <w:sz w:val="20"/>
          <w:szCs w:val="20"/>
          <w:color w:val="auto"/>
        </w:rPr>
      </w:pPr>
      <w:r>
        <w:rPr>
          <w:rFonts w:ascii="Arial" w:cs="Arial" w:eastAsia="Arial" w:hAnsi="Arial"/>
          <w:sz w:val="15"/>
          <w:szCs w:val="15"/>
          <w:color w:val="auto"/>
        </w:rPr>
        <w:t>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12 Derivative Financial Instruments for additional information.</w:t>
      </w:r>
    </w:p>
    <w:p>
      <w:pPr>
        <w:spacing w:after="0" w:line="155"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Please see Note 12 Derivative Financial Instruments for additional information.</w:t>
      </w:r>
    </w:p>
    <w:p>
      <w:pPr>
        <w:spacing w:after="0" w:line="148"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Company recorded $1,382, $1,129 and nil of realized gain on the above swap arrangements as part of Revenues in its consolidated statements of operations for the years ended December 31, 2020, 2019 and 2018. The Company previously reported this gain as part of Revenues in the Statement of Operations but the gain was not properly disclosed in the notes to the financial statements.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27" w:name="page228"/>
    <w:bookmarkEnd w:id="227"/>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Restatements of Financial Statements </w:t>
      </w:r>
      <w:r>
        <w:rPr>
          <w:rFonts w:ascii="Arial" w:cs="Arial" w:eastAsia="Arial" w:hAnsi="Arial"/>
          <w:sz w:val="16"/>
          <w:szCs w:val="16"/>
          <w:color w:val="auto"/>
        </w:rPr>
        <w:t>(cont.)</w:t>
      </w:r>
    </w:p>
    <w:p>
      <w:pPr>
        <w:spacing w:after="0" w:line="197" w:lineRule="exact"/>
        <w:rPr>
          <w:sz w:val="20"/>
          <w:szCs w:val="20"/>
          <w:color w:val="auto"/>
        </w:rPr>
      </w:pPr>
    </w:p>
    <w:p>
      <w:pPr>
        <w:jc w:val="both"/>
        <w:ind w:right="20" w:firstLine="283"/>
        <w:spacing w:after="0" w:line="281" w:lineRule="auto"/>
        <w:rPr>
          <w:sz w:val="20"/>
          <w:szCs w:val="20"/>
          <w:color w:val="auto"/>
        </w:rPr>
      </w:pPr>
      <w:r>
        <w:rPr>
          <w:rFonts w:ascii="Arial" w:cs="Arial" w:eastAsia="Arial" w:hAnsi="Arial"/>
          <w:sz w:val="15"/>
          <w:szCs w:val="15"/>
          <w:color w:val="auto"/>
        </w:rPr>
        <w:t xml:space="preserve">The Company concluded that these two contracts were economic hedges against market price volatility and are considered as derivatives under ASC 815 </w:t>
      </w:r>
      <w:r>
        <w:rPr>
          <w:rFonts w:ascii="Arial" w:cs="Arial" w:eastAsia="Arial" w:hAnsi="Arial"/>
          <w:sz w:val="15"/>
          <w:szCs w:val="15"/>
          <w:i w:val="1"/>
          <w:iCs w:val="1"/>
          <w:color w:val="auto"/>
        </w:rPr>
        <w:t>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Hedging, </w:t>
      </w:r>
      <w:r>
        <w:rPr>
          <w:rFonts w:ascii="Arial" w:cs="Arial" w:eastAsia="Arial" w:hAnsi="Arial"/>
          <w:sz w:val="15"/>
          <w:szCs w:val="15"/>
          <w:color w:val="auto"/>
        </w:rPr>
        <w:t>which required the Company to record mark to market unrealized gain (loss) in its consolidated statements of operations and a corresponding asset or liability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remaining contract period on the consolidated balance sheets as of and for the years ended December 31, 2020, 2019 and 2018.</w:t>
      </w:r>
    </w:p>
    <w:p>
      <w:pPr>
        <w:spacing w:after="0" w:line="148"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The Company did not record an unrealized loss of $1,175 and $373 for the years ended December 31, 2020 and 2019 respectively and unrealized gain of $3,078 for the year ended December 31, 2018 in its consolidated statements of operations and a corresponding asset on its consolidated balance sheets of $1,529, $2,705 and $3,078 as of December 31, 2020, 2019 and 2018. Additionally, the Company did not make the relevant footnote disclosures for the swap arrangements in its financial statements for the years ended December 31, 2020 and 2019.</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Restatement relating to taxes collected on behalf of customers</w:t>
      </w:r>
    </w:p>
    <w:p>
      <w:pPr>
        <w:spacing w:after="0" w:line="193"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The Company collects federal and state taxes on its revenues generated from customers in our RNG Fuel Dispensing segment and remits the same to the government subsequently. The Company concluded that these taxes should be presented on a net basis in Revenues-RNG fuel in its consolidated statements of operations. Therefore, the Company restated its revenues and cost of sales by $1,172 and $460 for the years ended December 31, 2020 and 2019. This adjustment did not have any impact on net loss reported for both the years.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Restatement relating to recording of invoices in the wrong period</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The Company recorded certain invoices from the contractor of a construction project in the first quarter of 2021 for which the services were performed in December 2020. The total amount that should have been recorded as part of its Property, plant and equipment as of December 31, 2020 was $3,300 and a corresponding increase in accrued capital expenses. The missing accrual also resulted in incorrect disclosures related to non-controlling interest, supplementary cash flow information and VIEs. This adjustment did not have any impact on net loss reported for the year ended December 31, 2020.</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information in the following tables shows the effect of the restatement on each affected financial statement line item: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Arial" w:cs="Arial" w:eastAsia="Arial" w:hAnsi="Arial"/>
                <w:sz w:val="16"/>
                <w:szCs w:val="16"/>
                <w:b w:val="1"/>
                <w:bCs w:val="1"/>
                <w:color w:val="auto"/>
              </w:rPr>
              <w:t>CONSOLIDATED BALANCE SHEET</w:t>
            </w: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3"/>
        </w:trPr>
        <w:tc>
          <w:tcPr>
            <w:tcW w:w="4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6"/>
                <w:szCs w:val="16"/>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2"/>
        </w:trPr>
        <w:tc>
          <w:tcPr>
            <w:tcW w:w="4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387"/>
              <w:spacing w:after="0" w:line="172" w:lineRule="exact"/>
              <w:rPr>
                <w:sz w:val="20"/>
                <w:szCs w:val="20"/>
                <w:color w:val="auto"/>
              </w:rPr>
            </w:pPr>
            <w:r>
              <w:rPr>
                <w:rFonts w:ascii="Arial" w:cs="Arial" w:eastAsia="Arial" w:hAnsi="Arial"/>
                <w:sz w:val="16"/>
                <w:szCs w:val="16"/>
                <w:b w:val="1"/>
                <w:bCs w:val="1"/>
                <w:color w:val="auto"/>
                <w:w w:val="85"/>
              </w:rPr>
              <w:t>As previously</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387"/>
              <w:spacing w:after="0"/>
              <w:rPr>
                <w:sz w:val="20"/>
                <w:szCs w:val="20"/>
                <w:color w:val="auto"/>
              </w:rPr>
            </w:pPr>
            <w:r>
              <w:rPr>
                <w:rFonts w:ascii="Arial" w:cs="Arial" w:eastAsia="Arial" w:hAnsi="Arial"/>
                <w:sz w:val="16"/>
                <w:szCs w:val="16"/>
                <w:b w:val="1"/>
                <w:bCs w:val="1"/>
                <w:color w:val="auto"/>
                <w:w w:val="89"/>
              </w:rPr>
              <w:t>reported</w:t>
            </w: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Adjustment</w:t>
            </w: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Restated</w:t>
            </w:r>
          </w:p>
        </w:tc>
      </w:tr>
      <w:tr>
        <w:trPr>
          <w:trHeight w:val="188"/>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 financial asset – current portion</w:t>
            </w:r>
          </w:p>
        </w:tc>
        <w:tc>
          <w:tcPr>
            <w:tcW w:w="3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220" w:type="dxa"/>
            <w:vAlign w:val="bottom"/>
          </w:tcPr>
          <w:p>
            <w:pPr>
              <w:spacing w:after="0"/>
              <w:rPr>
                <w:sz w:val="20"/>
                <w:szCs w:val="20"/>
                <w:color w:val="auto"/>
              </w:rPr>
            </w:pPr>
            <w:r>
              <w:rPr>
                <w:rFonts w:ascii="Arial" w:cs="Arial" w:eastAsia="Arial" w:hAnsi="Arial"/>
                <w:sz w:val="16"/>
                <w:szCs w:val="16"/>
                <w:color w:val="auto"/>
              </w:rPr>
              <w:t>Total current assets</w:t>
            </w: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50,395</w:t>
            </w: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810</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51,205</w:t>
            </w:r>
          </w:p>
        </w:tc>
      </w:tr>
      <w:tr>
        <w:trPr>
          <w:trHeight w:val="188"/>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asset – non-current portion</w:t>
            </w:r>
          </w:p>
        </w:tc>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287"/>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719</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719</w:t>
            </w:r>
          </w:p>
        </w:tc>
      </w:tr>
      <w:tr>
        <w:trPr>
          <w:trHeight w:val="188"/>
        </w:trPr>
        <w:tc>
          <w:tcPr>
            <w:tcW w:w="42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76,192</w:t>
            </w: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3,300</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79,492</w:t>
            </w:r>
          </w:p>
        </w:tc>
      </w:tr>
      <w:tr>
        <w:trPr>
          <w:trHeight w:val="188"/>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164,629</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4,829</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169,458</w:t>
            </w:r>
          </w:p>
        </w:tc>
      </w:tr>
      <w:tr>
        <w:trPr>
          <w:trHeight w:val="188"/>
        </w:trPr>
        <w:tc>
          <w:tcPr>
            <w:tcW w:w="4220" w:type="dxa"/>
            <w:vAlign w:val="bottom"/>
          </w:tcPr>
          <w:p>
            <w:pPr>
              <w:spacing w:after="0"/>
              <w:rPr>
                <w:sz w:val="20"/>
                <w:szCs w:val="20"/>
                <w:color w:val="auto"/>
              </w:rPr>
            </w:pPr>
            <w:r>
              <w:rPr>
                <w:rFonts w:ascii="Arial" w:cs="Arial" w:eastAsia="Arial" w:hAnsi="Arial"/>
                <w:sz w:val="16"/>
                <w:szCs w:val="16"/>
                <w:color w:val="auto"/>
              </w:rPr>
              <w:t>Accrued capital expenses</w:t>
            </w: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right"/>
              <w:ind w:right="287"/>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3,300</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3,300</w:t>
            </w:r>
          </w:p>
        </w:tc>
      </w:tr>
      <w:tr>
        <w:trPr>
          <w:trHeight w:val="188"/>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287"/>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3,300</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3,300</w:t>
            </w:r>
          </w:p>
        </w:tc>
      </w:tr>
      <w:tr>
        <w:trPr>
          <w:trHeight w:val="188"/>
        </w:trPr>
        <w:tc>
          <w:tcPr>
            <w:tcW w:w="4220" w:type="dxa"/>
            <w:vAlign w:val="bottom"/>
          </w:tcPr>
          <w:p>
            <w:pPr>
              <w:spacing w:after="0"/>
              <w:rPr>
                <w:sz w:val="20"/>
                <w:szCs w:val="20"/>
                <w:color w:val="auto"/>
              </w:rPr>
            </w:pPr>
            <w:r>
              <w:rPr>
                <w:rFonts w:ascii="Arial" w:cs="Arial" w:eastAsia="Arial" w:hAnsi="Arial"/>
                <w:sz w:val="16"/>
                <w:szCs w:val="16"/>
                <w:color w:val="auto"/>
              </w:rPr>
              <w:t>Retained deficit</w:t>
            </w: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(26,925)</w:t>
            </w: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1,529</w:t>
            </w:r>
          </w:p>
        </w:tc>
        <w:tc>
          <w:tcPr>
            <w:tcW w:w="1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(25,396)</w:t>
            </w:r>
          </w:p>
        </w:tc>
      </w:tr>
      <w:tr>
        <w:trPr>
          <w:trHeight w:val="188"/>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w:t>
            </w:r>
          </w:p>
        </w:tc>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28,930</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1,529</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30,459</w:t>
            </w:r>
          </w:p>
        </w:tc>
      </w:tr>
      <w:tr>
        <w:trPr>
          <w:trHeight w:val="200"/>
        </w:trPr>
        <w:tc>
          <w:tcPr>
            <w:tcW w:w="4220" w:type="dxa"/>
            <w:vAlign w:val="bottom"/>
          </w:tcPr>
          <w:p>
            <w:pPr>
              <w:spacing w:after="0"/>
              <w:rPr>
                <w:sz w:val="20"/>
                <w:szCs w:val="20"/>
                <w:color w:val="auto"/>
              </w:rPr>
            </w:pPr>
            <w:r>
              <w:rPr>
                <w:rFonts w:ascii="Arial" w:cs="Arial" w:eastAsia="Arial" w:hAnsi="Arial"/>
                <w:sz w:val="16"/>
                <w:szCs w:val="16"/>
                <w:color w:val="auto"/>
              </w:rPr>
              <w:t>Total liabilities and members’ equity</w:t>
            </w: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164,629</w:t>
            </w: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4,829</w:t>
            </w: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169,458</w:t>
            </w:r>
          </w:p>
        </w:tc>
      </w:tr>
      <w:tr>
        <w:trPr>
          <w:trHeight w:val="463"/>
        </w:trPr>
        <w:tc>
          <w:tcPr>
            <w:tcW w:w="4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2"/>
          </w:tcPr>
          <w:p>
            <w:pPr>
              <w:jc w:val="right"/>
              <w:ind w:right="1567"/>
              <w:spacing w:after="0"/>
              <w:rPr>
                <w:sz w:val="20"/>
                <w:szCs w:val="20"/>
                <w:color w:val="auto"/>
              </w:rPr>
            </w:pPr>
            <w:r>
              <w:rPr>
                <w:rFonts w:ascii="Arial" w:cs="Arial" w:eastAsia="Arial" w:hAnsi="Arial"/>
                <w:sz w:val="16"/>
                <w:szCs w:val="16"/>
                <w:color w:val="auto"/>
              </w:rPr>
              <w:t>F-88</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228" w:name="page229"/>
    <w:bookmarkEnd w:id="228"/>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20" w:type="dxa"/>
            <w:vAlign w:val="bottom"/>
          </w:tcPr>
          <w:p>
            <w:pPr>
              <w:spacing w:after="0"/>
              <w:rPr>
                <w:sz w:val="20"/>
                <w:szCs w:val="20"/>
                <w:color w:val="auto"/>
              </w:rPr>
            </w:pPr>
            <w:r>
              <w:rPr>
                <w:rFonts w:ascii="Arial" w:cs="Arial" w:eastAsia="Arial" w:hAnsi="Arial"/>
                <w:sz w:val="16"/>
                <w:szCs w:val="16"/>
                <w:b w:val="1"/>
                <w:bCs w:val="1"/>
                <w:color w:val="auto"/>
              </w:rPr>
              <w:t xml:space="preserve">2. Restatements of Financial Statements </w:t>
            </w:r>
            <w:r>
              <w:rPr>
                <w:rFonts w:ascii="Arial" w:cs="Arial" w:eastAsia="Arial" w:hAnsi="Arial"/>
                <w:sz w:val="16"/>
                <w:szCs w:val="16"/>
                <w:color w:val="auto"/>
              </w:rPr>
              <w:t>(cont.)</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7"/>
        </w:trPr>
        <w:tc>
          <w:tcPr>
            <w:tcW w:w="4520" w:type="dxa"/>
            <w:vAlign w:val="bottom"/>
          </w:tcPr>
          <w:p>
            <w:pPr>
              <w:spacing w:after="0"/>
              <w:rPr>
                <w:sz w:val="20"/>
                <w:szCs w:val="20"/>
                <w:color w:val="auto"/>
              </w:rPr>
            </w:pPr>
            <w:r>
              <w:rPr>
                <w:rFonts w:ascii="Arial" w:cs="Arial" w:eastAsia="Arial" w:hAnsi="Arial"/>
                <w:sz w:val="16"/>
                <w:szCs w:val="16"/>
                <w:b w:val="1"/>
                <w:bCs w:val="1"/>
                <w:color w:val="auto"/>
              </w:rPr>
              <w:t>CONSOLIDATED BALANCE SHEET</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4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left="762"/>
              <w:spacing w:after="0"/>
              <w:rPr>
                <w:sz w:val="20"/>
                <w:szCs w:val="20"/>
                <w:color w:val="auto"/>
              </w:rPr>
            </w:pPr>
            <w:r>
              <w:rPr>
                <w:rFonts w:ascii="Arial" w:cs="Arial" w:eastAsia="Arial" w:hAnsi="Arial"/>
                <w:sz w:val="16"/>
                <w:szCs w:val="16"/>
                <w:b w:val="1"/>
                <w:bCs w:val="1"/>
                <w:color w:val="auto"/>
                <w:w w:val="88"/>
              </w:rPr>
              <w:t>As of December 31, 2019</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2"/>
        </w:trPr>
        <w:tc>
          <w:tcPr>
            <w:tcW w:w="4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85"/>
              </w:rPr>
              <w:t>As previously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4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reported</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Restated</w:t>
            </w:r>
          </w:p>
        </w:tc>
      </w:tr>
      <w:tr>
        <w:trPr>
          <w:trHeight w:val="188"/>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 financial asset – current portion</w:t>
            </w:r>
          </w:p>
        </w:tc>
        <w:tc>
          <w:tcPr>
            <w:tcW w:w="2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Total current assets</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47,951</w:t>
            </w: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48,952</w:t>
            </w:r>
          </w:p>
        </w:tc>
      </w:tr>
      <w:tr>
        <w:trPr>
          <w:trHeight w:val="188"/>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asset – non-current portion</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1,704</w:t>
            </w: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Total assets</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165,713</w:t>
            </w: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2,705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168,418</w:t>
            </w:r>
          </w:p>
        </w:tc>
      </w:tr>
      <w:tr>
        <w:trPr>
          <w:trHeight w:val="188"/>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Retained deficit</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(2,743)</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2,705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Total members’ equity</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19,807</w:t>
            </w: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2,705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22,512</w:t>
            </w:r>
          </w:p>
        </w:tc>
      </w:tr>
      <w:tr>
        <w:trPr>
          <w:trHeight w:val="188"/>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members’ equity</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165,713</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2,705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168,418</w:t>
            </w:r>
          </w:p>
        </w:tc>
      </w:tr>
      <w:tr>
        <w:trPr>
          <w:trHeight w:val="376"/>
        </w:trPr>
        <w:tc>
          <w:tcPr>
            <w:tcW w:w="452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4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9"/>
          </w:tcPr>
          <w:p>
            <w:pPr>
              <w:jc w:val="center"/>
              <w:ind w:right="200"/>
              <w:spacing w:after="0"/>
              <w:rPr>
                <w:sz w:val="20"/>
                <w:szCs w:val="20"/>
                <w:color w:val="auto"/>
              </w:rPr>
            </w:pPr>
            <w:r>
              <w:rPr>
                <w:rFonts w:ascii="Arial" w:cs="Arial" w:eastAsia="Arial" w:hAnsi="Arial"/>
                <w:sz w:val="16"/>
                <w:szCs w:val="16"/>
                <w:b w:val="1"/>
                <w:bCs w:val="1"/>
                <w:color w:val="auto"/>
                <w:w w:val="87"/>
              </w:rPr>
              <w:t>Fiscal Year Ended December 31, 2020</w:t>
            </w:r>
          </w:p>
        </w:tc>
      </w:tr>
      <w:tr>
        <w:trPr>
          <w:trHeight w:val="172"/>
        </w:trPr>
        <w:tc>
          <w:tcPr>
            <w:tcW w:w="4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85"/>
              </w:rPr>
              <w:t>As previously</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4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reported</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Restated</w:t>
            </w:r>
          </w:p>
        </w:tc>
      </w:tr>
      <w:tr>
        <w:trPr>
          <w:trHeight w:val="187"/>
        </w:trPr>
        <w:tc>
          <w:tcPr>
            <w:tcW w:w="4520" w:type="dxa"/>
            <w:vAlign w:val="bottom"/>
          </w:tcPr>
          <w:p>
            <w:pPr>
              <w:spacing w:after="0"/>
              <w:rPr>
                <w:sz w:val="20"/>
                <w:szCs w:val="20"/>
                <w:color w:val="auto"/>
              </w:rPr>
            </w:pPr>
            <w:r>
              <w:rPr>
                <w:rFonts w:ascii="Arial" w:cs="Arial" w:eastAsia="Arial" w:hAnsi="Arial"/>
                <w:sz w:val="16"/>
                <w:szCs w:val="16"/>
                <w:color w:val="auto"/>
              </w:rPr>
              <w:t>Revenues</w:t>
            </w:r>
          </w:p>
        </w:tc>
        <w:tc>
          <w:tcPr>
            <w:tcW w:w="28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52,426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(1,176)</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51,250</w:t>
            </w: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RNG fuel</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12,717</w:t>
            </w: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(1,172)</w:t>
            </w:r>
          </w:p>
        </w:tc>
        <w:tc>
          <w:tcPr>
            <w:tcW w:w="2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11,545</w:t>
            </w:r>
          </w:p>
        </w:tc>
      </w:tr>
      <w:tr>
        <w:trPr>
          <w:trHeight w:val="188"/>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120,054</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(2,348)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117,706</w:t>
            </w: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8,548</w:t>
            </w: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(1,172)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7,376</w:t>
            </w:r>
          </w:p>
        </w:tc>
      </w:tr>
      <w:tr>
        <w:trPr>
          <w:trHeight w:val="188"/>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136,714</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135,542</w:t>
            </w: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Operating loss</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(16,660)</w:t>
            </w: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(1,176)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(17,836)</w:t>
            </w:r>
          </w:p>
        </w:tc>
      </w:tr>
      <w:tr>
        <w:trPr>
          <w:trHeight w:val="188"/>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(24,195)</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(1,176)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(25,371)</w:t>
            </w:r>
          </w:p>
        </w:tc>
      </w:tr>
      <w:tr>
        <w:trPr>
          <w:trHeight w:val="376"/>
        </w:trPr>
        <w:tc>
          <w:tcPr>
            <w:tcW w:w="452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4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9"/>
          </w:tcPr>
          <w:p>
            <w:pPr>
              <w:jc w:val="center"/>
              <w:ind w:right="200"/>
              <w:spacing w:after="0"/>
              <w:rPr>
                <w:sz w:val="20"/>
                <w:szCs w:val="20"/>
                <w:color w:val="auto"/>
              </w:rPr>
            </w:pPr>
            <w:r>
              <w:rPr>
                <w:rFonts w:ascii="Arial" w:cs="Arial" w:eastAsia="Arial" w:hAnsi="Arial"/>
                <w:sz w:val="16"/>
                <w:szCs w:val="16"/>
                <w:b w:val="1"/>
                <w:bCs w:val="1"/>
                <w:color w:val="auto"/>
                <w:w w:val="87"/>
              </w:rPr>
              <w:t>Fiscal Year Ended December 31, 2019</w:t>
            </w:r>
          </w:p>
        </w:tc>
      </w:tr>
      <w:tr>
        <w:trPr>
          <w:trHeight w:val="172"/>
        </w:trPr>
        <w:tc>
          <w:tcPr>
            <w:tcW w:w="4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85"/>
              </w:rPr>
              <w:t>As previously</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4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reported</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Restated</w:t>
            </w:r>
          </w:p>
        </w:tc>
      </w:tr>
      <w:tr>
        <w:trPr>
          <w:trHeight w:val="187"/>
        </w:trPr>
        <w:tc>
          <w:tcPr>
            <w:tcW w:w="4520" w:type="dxa"/>
            <w:vAlign w:val="bottom"/>
          </w:tcPr>
          <w:p>
            <w:pPr>
              <w:spacing w:after="0"/>
              <w:rPr>
                <w:sz w:val="20"/>
                <w:szCs w:val="20"/>
                <w:color w:val="auto"/>
              </w:rPr>
            </w:pPr>
            <w:r>
              <w:rPr>
                <w:rFonts w:ascii="Arial" w:cs="Arial" w:eastAsia="Arial" w:hAnsi="Arial"/>
                <w:sz w:val="16"/>
                <w:szCs w:val="16"/>
                <w:color w:val="auto"/>
              </w:rPr>
              <w:t>Revenues</w:t>
            </w:r>
          </w:p>
        </w:tc>
        <w:tc>
          <w:tcPr>
            <w:tcW w:w="28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56,055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(373)</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55,682</w:t>
            </w: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RNG fuel</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9,437</w:t>
            </w: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(460)</w:t>
            </w:r>
          </w:p>
        </w:tc>
        <w:tc>
          <w:tcPr>
            <w:tcW w:w="2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8,977</w:t>
            </w:r>
          </w:p>
        </w:tc>
      </w:tr>
      <w:tr>
        <w:trPr>
          <w:trHeight w:val="188"/>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120,535</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119,702</w:t>
            </w: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5,616</w:t>
            </w: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5,156</w:t>
            </w:r>
          </w:p>
        </w:tc>
      </w:tr>
      <w:tr>
        <w:trPr>
          <w:trHeight w:val="188"/>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115,207</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114,747</w:t>
            </w: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Operating income</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5,328</w:t>
            </w: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4,955</w:t>
            </w:r>
          </w:p>
        </w:tc>
      </w:tr>
      <w:tr>
        <w:trPr>
          <w:trHeight w:val="188"/>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(4,876)</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(5,249)</w:t>
            </w:r>
          </w:p>
        </w:tc>
      </w:tr>
      <w:tr>
        <w:trPr>
          <w:trHeight w:val="376"/>
        </w:trPr>
        <w:tc>
          <w:tcPr>
            <w:tcW w:w="9940" w:type="dxa"/>
            <w:vAlign w:val="bottom"/>
            <w:gridSpan w:val="8"/>
          </w:tcPr>
          <w:p>
            <w:pPr>
              <w:spacing w:after="0"/>
              <w:rPr>
                <w:sz w:val="20"/>
                <w:szCs w:val="20"/>
                <w:color w:val="auto"/>
              </w:rPr>
            </w:pPr>
            <w:r>
              <w:rPr>
                <w:rFonts w:ascii="Arial" w:cs="Arial" w:eastAsia="Arial" w:hAnsi="Arial"/>
                <w:sz w:val="16"/>
                <w:szCs w:val="16"/>
                <w:b w:val="1"/>
                <w:bCs w:val="1"/>
                <w:color w:val="auto"/>
              </w:rPr>
              <w:t>CONSOLIDATED STATEMENTS OF CHANGES IN REDEEMABLE PREFERRED UNITS AND MEMBERS’ EQUITY (DEFICIT)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4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left="762"/>
              <w:spacing w:after="0"/>
              <w:rPr>
                <w:sz w:val="20"/>
                <w:szCs w:val="20"/>
                <w:color w:val="auto"/>
              </w:rPr>
            </w:pPr>
            <w:r>
              <w:rPr>
                <w:rFonts w:ascii="Arial" w:cs="Arial" w:eastAsia="Arial" w:hAnsi="Arial"/>
                <w:sz w:val="16"/>
                <w:szCs w:val="16"/>
                <w:b w:val="1"/>
                <w:bCs w:val="1"/>
                <w:color w:val="auto"/>
                <w:w w:val="88"/>
              </w:rPr>
              <w:t>As of December 31, 2020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2"/>
        </w:trPr>
        <w:tc>
          <w:tcPr>
            <w:tcW w:w="4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85"/>
              </w:rPr>
              <w:t>As previously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4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reported</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Restated</w:t>
            </w:r>
          </w:p>
        </w:tc>
      </w:tr>
      <w:tr>
        <w:trPr>
          <w:trHeight w:val="188"/>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Retained deficit</w:t>
            </w:r>
          </w:p>
        </w:tc>
        <w:tc>
          <w:tcPr>
            <w:tcW w:w="2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(26,925)</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(25,396)</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6,342</w:t>
            </w: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6,685</w:t>
            </w:r>
          </w:p>
        </w:tc>
      </w:tr>
      <w:tr>
        <w:trPr>
          <w:trHeight w:val="188"/>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28,930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30,459</w:t>
            </w:r>
          </w:p>
        </w:tc>
      </w:tr>
      <w:tr>
        <w:trPr>
          <w:trHeight w:val="475"/>
        </w:trPr>
        <w:tc>
          <w:tcPr>
            <w:tcW w:w="45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567"/>
              <w:spacing w:after="0"/>
              <w:rPr>
                <w:sz w:val="20"/>
                <w:szCs w:val="20"/>
                <w:color w:val="auto"/>
              </w:rPr>
            </w:pPr>
            <w:r>
              <w:rPr>
                <w:rFonts w:ascii="Arial" w:cs="Arial" w:eastAsia="Arial" w:hAnsi="Arial"/>
                <w:sz w:val="16"/>
                <w:szCs w:val="16"/>
                <w:color w:val="auto"/>
              </w:rPr>
              <w:t>F-89</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229" w:name="page230"/>
    <w:bookmarkEnd w:id="229"/>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Restatements of Financial Statements </w:t>
      </w:r>
      <w:r>
        <w:rPr>
          <w:rFonts w:ascii="Arial" w:cs="Arial" w:eastAsia="Arial" w:hAnsi="Arial"/>
          <w:sz w:val="16"/>
          <w:szCs w:val="16"/>
          <w:color w:val="auto"/>
        </w:rPr>
        <w:t>(cont.)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REDEEMABLE PREFERRED UNITS AND MEMBERS’ EQUITY (DEFICIT)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center"/>
              <w:ind w:left="802"/>
              <w:spacing w:after="0"/>
              <w:rPr>
                <w:sz w:val="20"/>
                <w:szCs w:val="20"/>
                <w:color w:val="auto"/>
              </w:rPr>
            </w:pPr>
            <w:r>
              <w:rPr>
                <w:rFonts w:ascii="Arial" w:cs="Arial" w:eastAsia="Arial" w:hAnsi="Arial"/>
                <w:sz w:val="16"/>
                <w:szCs w:val="16"/>
                <w:b w:val="1"/>
                <w:bCs w:val="1"/>
                <w:color w:val="auto"/>
                <w:w w:val="88"/>
              </w:rPr>
              <w:t>As of December 31, 2019</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85"/>
              </w:rPr>
              <w:t>As previously</w:t>
            </w:r>
          </w:p>
        </w:tc>
        <w:tc>
          <w:tcPr>
            <w:tcW w:w="80" w:type="dxa"/>
            <w:vAlign w:val="bottom"/>
          </w:tcPr>
          <w:p>
            <w:pPr>
              <w:spacing w:after="0"/>
              <w:rPr>
                <w:sz w:val="14"/>
                <w:szCs w:val="1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7"/>
              </w:rPr>
              <w:t>Adjustment</w:t>
            </w:r>
            <w:r>
              <w:rPr>
                <w:rFonts w:ascii="Arial" w:cs="Arial" w:eastAsia="Arial" w:hAnsi="Arial"/>
                <w:sz w:val="26"/>
                <w:szCs w:val="26"/>
                <w:b w:val="1"/>
                <w:bCs w:val="1"/>
                <w:color w:val="auto"/>
                <w:w w:val="87"/>
                <w:vertAlign w:val="superscript"/>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reported</w:t>
            </w:r>
          </w:p>
        </w:tc>
        <w:tc>
          <w:tcPr>
            <w:tcW w:w="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Restated</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Retained deficit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2,705</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6"/>
                <w:szCs w:val="16"/>
                <w:color w:val="auto"/>
              </w:rPr>
              <w:t>Total equity</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line="176" w:lineRule="exact"/>
              <w:rPr>
                <w:sz w:val="20"/>
                <w:szCs w:val="20"/>
                <w:color w:val="auto"/>
              </w:rPr>
            </w:pPr>
            <w:r>
              <w:rPr>
                <w:rFonts w:ascii="Arial" w:cs="Arial" w:eastAsia="Arial" w:hAnsi="Arial"/>
                <w:sz w:val="16"/>
                <w:szCs w:val="16"/>
                <w:color w:val="auto"/>
              </w:rPr>
              <w:t>19,807</w:t>
            </w:r>
          </w:p>
        </w:tc>
        <w:tc>
          <w:tcPr>
            <w:tcW w:w="8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2,705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22,512</w:t>
            </w:r>
          </w:p>
        </w:tc>
        <w:tc>
          <w:tcPr>
            <w:tcW w:w="0" w:type="dxa"/>
            <w:vAlign w:val="bottom"/>
          </w:tcPr>
          <w:p>
            <w:pPr>
              <w:spacing w:after="0"/>
              <w:rPr>
                <w:sz w:val="1"/>
                <w:szCs w:val="1"/>
                <w:color w:val="auto"/>
              </w:rPr>
            </w:pPr>
          </w:p>
        </w:tc>
      </w:tr>
      <w:tr>
        <w:trPr>
          <w:trHeight w:val="188"/>
        </w:trPr>
        <w:tc>
          <w:tcPr>
            <w:tcW w:w="7320" w:type="dxa"/>
            <w:vAlign w:val="bottom"/>
          </w:tcPr>
          <w:p>
            <w:pPr>
              <w:ind w:left="5160"/>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(1) Includes $3,078 adjustment to opening retained earnings as of December 31, 2018.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7320" w:type="dxa"/>
            <w:vAlign w:val="bottom"/>
          </w:tcPr>
          <w:p>
            <w:pPr>
              <w:spacing w:after="0"/>
              <w:rPr>
                <w:sz w:val="20"/>
                <w:szCs w:val="20"/>
                <w:color w:val="auto"/>
              </w:rPr>
            </w:pPr>
            <w:r>
              <w:rPr>
                <w:rFonts w:ascii="Arial" w:cs="Arial" w:eastAsia="Arial" w:hAnsi="Arial"/>
                <w:sz w:val="16"/>
                <w:szCs w:val="16"/>
                <w:b w:val="1"/>
                <w:bCs w:val="1"/>
                <w:color w:val="auto"/>
              </w:rPr>
              <w:t>CONSOLIDATED STATEMENT OF CASH FLOWS</w:t>
            </w:r>
          </w:p>
        </w:tc>
        <w:tc>
          <w:tcPr>
            <w:tcW w:w="100" w:type="dxa"/>
            <w:vAlign w:val="bottom"/>
          </w:tcPr>
          <w:p>
            <w:pPr>
              <w:spacing w:after="0"/>
              <w:rPr>
                <w:sz w:val="24"/>
                <w:szCs w:val="24"/>
                <w:color w:val="auto"/>
              </w:rPr>
            </w:pPr>
          </w:p>
        </w:tc>
        <w:tc>
          <w:tcPr>
            <w:tcW w:w="3720" w:type="dxa"/>
            <w:vAlign w:val="bottom"/>
            <w:gridSpan w:val="8"/>
            <w:vMerge w:val="restart"/>
          </w:tcPr>
          <w:p>
            <w:pPr>
              <w:jc w:val="center"/>
              <w:ind w:right="2"/>
              <w:spacing w:after="0"/>
              <w:rPr>
                <w:sz w:val="20"/>
                <w:szCs w:val="20"/>
                <w:color w:val="auto"/>
              </w:rPr>
            </w:pPr>
            <w:r>
              <w:rPr>
                <w:rFonts w:ascii="Arial" w:cs="Arial" w:eastAsia="Arial" w:hAnsi="Arial"/>
                <w:sz w:val="16"/>
                <w:szCs w:val="16"/>
                <w:b w:val="1"/>
                <w:bCs w:val="1"/>
                <w:color w:val="auto"/>
                <w:w w:val="87"/>
              </w:rPr>
              <w:t>Fiscal Year Ended December 31, 2020</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8"/>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85"/>
              </w:rPr>
              <w:t>As previously</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3"/>
              </w:rPr>
              <w:t>Restated</w:t>
            </w:r>
            <w:r>
              <w:rPr>
                <w:rFonts w:ascii="Arial" w:cs="Arial" w:eastAsia="Arial" w:hAnsi="Arial"/>
                <w:sz w:val="26"/>
                <w:szCs w:val="26"/>
                <w:b w:val="1"/>
                <w:bCs w:val="1"/>
                <w:color w:val="auto"/>
                <w:w w:val="83"/>
                <w:vertAlign w:val="superscript"/>
              </w:rPr>
              <w:t>(1)</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reported</w:t>
            </w: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(24,195)</w:t>
            </w: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derivative financial instruments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1,050</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2,226</w:t>
            </w:r>
          </w:p>
        </w:tc>
        <w:tc>
          <w:tcPr>
            <w:tcW w:w="0" w:type="dxa"/>
            <w:vAlign w:val="bottom"/>
          </w:tcPr>
          <w:p>
            <w:pPr>
              <w:spacing w:after="0"/>
              <w:rPr>
                <w:sz w:val="1"/>
                <w:szCs w:val="1"/>
                <w:color w:val="auto"/>
              </w:rPr>
            </w:pPr>
          </w:p>
        </w:tc>
      </w:tr>
      <w:tr>
        <w:trPr>
          <w:trHeight w:val="176"/>
        </w:trPr>
        <w:tc>
          <w:tcPr>
            <w:tcW w:w="7320" w:type="dxa"/>
            <w:vAlign w:val="bottom"/>
          </w:tcPr>
          <w:p>
            <w:pPr>
              <w:ind w:left="5160"/>
              <w:spacing w:after="0" w:line="176" w:lineRule="exact"/>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160" w:type="dxa"/>
            <w:vAlign w:val="bottom"/>
            <w:gridSpan w:val="9"/>
          </w:tcPr>
          <w:p>
            <w:pPr>
              <w:spacing w:after="0"/>
              <w:rPr>
                <w:sz w:val="20"/>
                <w:szCs w:val="20"/>
                <w:color w:val="auto"/>
              </w:rPr>
            </w:pPr>
            <w:r>
              <w:rPr>
                <w:rFonts w:ascii="Arial" w:cs="Arial" w:eastAsia="Arial" w:hAnsi="Arial"/>
                <w:sz w:val="16"/>
                <w:szCs w:val="16"/>
                <w:color w:val="auto"/>
                <w:w w:val="89"/>
              </w:rPr>
              <w:t>(1) Restatement also includes $3,300 included in the Supplementary cash flow information as accrued expenses for purchase of Plant, property and equipment.</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7320" w:type="dxa"/>
            <w:vAlign w:val="bottom"/>
          </w:tcPr>
          <w:p>
            <w:pPr>
              <w:spacing w:after="0"/>
              <w:rPr>
                <w:sz w:val="20"/>
                <w:szCs w:val="20"/>
                <w:color w:val="auto"/>
              </w:rPr>
            </w:pPr>
            <w:r>
              <w:rPr>
                <w:rFonts w:ascii="Arial" w:cs="Arial" w:eastAsia="Arial" w:hAnsi="Arial"/>
                <w:sz w:val="16"/>
                <w:szCs w:val="16"/>
                <w:b w:val="1"/>
                <w:bCs w:val="1"/>
                <w:color w:val="auto"/>
              </w:rPr>
              <w:t>CONSOLIDATED STATEMENT OF CASH FLOWS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9"/>
          </w:tcPr>
          <w:p>
            <w:pPr>
              <w:jc w:val="center"/>
              <w:ind w:right="200"/>
              <w:spacing w:after="0"/>
              <w:rPr>
                <w:sz w:val="20"/>
                <w:szCs w:val="20"/>
                <w:color w:val="auto"/>
              </w:rPr>
            </w:pPr>
            <w:r>
              <w:rPr>
                <w:rFonts w:ascii="Arial" w:cs="Arial" w:eastAsia="Arial" w:hAnsi="Arial"/>
                <w:sz w:val="16"/>
                <w:szCs w:val="16"/>
                <w:b w:val="1"/>
                <w:bCs w:val="1"/>
                <w:color w:val="auto"/>
                <w:w w:val="87"/>
              </w:rPr>
              <w:t>Fiscal Year Ended December 31, 2019</w:t>
            </w:r>
          </w:p>
        </w:tc>
        <w:tc>
          <w:tcPr>
            <w:tcW w:w="0" w:type="dxa"/>
            <w:vAlign w:val="bottom"/>
          </w:tcPr>
          <w:p>
            <w:pPr>
              <w:spacing w:after="0"/>
              <w:rPr>
                <w:sz w:val="1"/>
                <w:szCs w:val="1"/>
                <w:color w:val="auto"/>
              </w:rPr>
            </w:pPr>
          </w:p>
        </w:tc>
      </w:tr>
      <w:tr>
        <w:trPr>
          <w:trHeight w:val="172"/>
        </w:trPr>
        <w:tc>
          <w:tcPr>
            <w:tcW w:w="7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85"/>
              </w:rPr>
              <w:t>As previously</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reported</w:t>
            </w: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Restated</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(4,876)</w:t>
            </w: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derivative financial instruments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1,876</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376"/>
        </w:trPr>
        <w:tc>
          <w:tcPr>
            <w:tcW w:w="7320" w:type="dxa"/>
            <w:vAlign w:val="bottom"/>
          </w:tcPr>
          <w:p>
            <w:pPr>
              <w:spacing w:after="0"/>
              <w:rPr>
                <w:sz w:val="20"/>
                <w:szCs w:val="20"/>
                <w:color w:val="auto"/>
              </w:rPr>
            </w:pPr>
            <w:r>
              <w:rPr>
                <w:rFonts w:ascii="Arial" w:cs="Arial" w:eastAsia="Arial" w:hAnsi="Arial"/>
                <w:sz w:val="16"/>
                <w:szCs w:val="16"/>
                <w:b w:val="1"/>
                <w:bCs w:val="1"/>
                <w:color w:val="auto"/>
              </w:rPr>
              <w:t>VIE DISCLOSURE ON THE BALANCE SHEET (in parenthesis)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left="802"/>
              <w:spacing w:after="0"/>
              <w:rPr>
                <w:sz w:val="20"/>
                <w:szCs w:val="20"/>
                <w:color w:val="auto"/>
              </w:rPr>
            </w:pPr>
            <w:r>
              <w:rPr>
                <w:rFonts w:ascii="Arial" w:cs="Arial" w:eastAsia="Arial" w:hAnsi="Arial"/>
                <w:sz w:val="16"/>
                <w:szCs w:val="16"/>
                <w:b w:val="1"/>
                <w:bCs w:val="1"/>
                <w:color w:val="auto"/>
                <w:w w:val="88"/>
              </w:rPr>
              <w:t>As of December 31, 2020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85"/>
              </w:rPr>
              <w:t>As previously</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reported</w:t>
            </w: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Restated</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15,534</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3,300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18,834</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2,199</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864</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776</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Accrued capital expenses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3,300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Sunoma loan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475"/>
        </w:trPr>
        <w:tc>
          <w:tcPr>
            <w:tcW w:w="7320" w:type="dxa"/>
            <w:vAlign w:val="bottom"/>
            <w:tcBorders>
              <w:bottom w:val="single" w:sz="8" w:color="auto"/>
            </w:tcBorders>
          </w:tcPr>
          <w:p>
            <w:pPr>
              <w:ind w:left="5480"/>
              <w:spacing w:after="0"/>
              <w:rPr>
                <w:sz w:val="20"/>
                <w:szCs w:val="20"/>
                <w:color w:val="auto"/>
              </w:rPr>
            </w:pPr>
            <w:r>
              <w:rPr>
                <w:rFonts w:ascii="Arial" w:cs="Arial" w:eastAsia="Arial" w:hAnsi="Arial"/>
                <w:sz w:val="16"/>
                <w:szCs w:val="16"/>
                <w:color w:val="auto"/>
              </w:rPr>
              <w:t>F-90</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9" w:right="319" w:bottom="1440" w:gutter="0" w:footer="0" w:header="0"/>
        </w:sectPr>
      </w:pPr>
    </w:p>
    <w:bookmarkStart w:id="230" w:name="page231"/>
    <w:bookmarkEnd w:id="230"/>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19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The Company was formed in December 2020 as a wholly owned subsidiary of the Parent. On December 31, 2020, the Ultimate Parent and certain of its affiliated entities contributed their ownership interests in the following legal entities to the Company in a common control reorganization: TruStar Energy Holdings LLC (“Trustar”), Fortistar RNG LLC (“Fortistar RNG”), Fortistar Methane 3 Holdings LLC (“FM3 Holding”), Fortistar Methane 3 LLC (“FM3”), Fortistar Contracting LLC ( “Fortistar Contracting”) and Fortistar Methane 4 LLC (“FM4”). The Company accounted for the transfer of ownership interests in accordance with ASC 805-50, Transaction Between Entities Under Common Control. The Company’s receipt of these interests were recognized at the Ultimate Parent’s historical basis of accounting at the date of transfer. For presentation purposes, the consolidated financial statements of the Company have been adjusted to combine the previously separate entities to reflect the transaction as if it had occurred as of the earliest period presented under common control.</w:t>
      </w:r>
    </w:p>
    <w:p>
      <w:pPr>
        <w:spacing w:after="0" w:line="171"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5"/>
          <w:szCs w:val="15"/>
          <w:color w:val="auto"/>
        </w:rPr>
        <w:t>These consolidated financial statements are prepared in accordance with generally accepted accounting principles in the United States (“U.S. GAAP”) and include the accounts of the Company and all other entities in which the Company has a controlling financial interest: FM3 Holding, FM3,FM4, Sunoma Holdings, LLC (“Sunoma”), New River LLC (“New River”), Central Valley LLC (“Central Valley”), Fortistar Contracting, Fortistar RNG, and TruStar.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OPAL Fuels LLC members’ equity in the consolidated balance sheets and as a non-controlling interest in the consolidated statements changes in members’ equity. The Company’s consolidated financial statements reflect the activities of the Company, its subsidiaries, and its equity method investments for the years ended December 31, 2021 and December 31, 2020.</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197" w:lineRule="exact"/>
        <w:rPr>
          <w:sz w:val="20"/>
          <w:szCs w:val="20"/>
          <w:color w:val="auto"/>
        </w:rPr>
      </w:pPr>
    </w:p>
    <w:p>
      <w:pPr>
        <w:jc w:val="both"/>
        <w:ind w:firstLine="283"/>
        <w:spacing w:after="0" w:line="312" w:lineRule="auto"/>
        <w:rPr>
          <w:sz w:val="20"/>
          <w:szCs w:val="20"/>
          <w:color w:val="auto"/>
        </w:rPr>
      </w:pPr>
      <w:r>
        <w:rPr>
          <w:rFonts w:ascii="Arial" w:cs="Arial" w:eastAsia="Arial" w:hAnsi="Arial"/>
          <w:sz w:val="13"/>
          <w:szCs w:val="13"/>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 As of December 31, 2021, the Company held equity interests in five VIEs: Sunoma, GREP BTB Holdings LLC (“GREP”), Emerald RNG LLC (“Emerald”), Sapphire RNG LLC (“Sapphire”) and Central Valley. GREP has been presented as an equity method investment and the remaining four VIEs Sunoma, Emerald, Sapphire and Central Valley are consolidated by the Company. As of December 31, 2021, there was no activity in Emerald and Sapphire. As of December 31, 2020, the Company held equity interests in two VIEs, Sunoma and Pine Bend RNG LLC (“Pine Bend) both of which were consolidated by the Company. As of December 31, 2019, the Company did not hold interest in a VIE.</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9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31" w:name="page232"/>
    <w:bookmarkEnd w:id="231"/>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197"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The JOBS Act permits an emerging growth company (“EGC”) to make an election to adopt new or revised financial accounting standards on either a public company requirement timeframe or private company requirement timeframe during a five year transition period while EGC status remains in effect, and so long as the company has not “opt-out” of the private company option. As a qualified EGC, the Company has elected to adopt financial accounting standards on a private company requirement timeframe.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Pronouncements</w:t>
      </w:r>
    </w:p>
    <w:p>
      <w:pPr>
        <w:spacing w:after="0" w:line="193" w:lineRule="exact"/>
        <w:rPr>
          <w:sz w:val="20"/>
          <w:szCs w:val="20"/>
          <w:color w:val="auto"/>
        </w:rPr>
      </w:pPr>
    </w:p>
    <w:p>
      <w:pPr>
        <w:jc w:val="both"/>
        <w:ind w:firstLine="283"/>
        <w:spacing w:after="0" w:line="276" w:lineRule="auto"/>
        <w:rPr>
          <w:sz w:val="20"/>
          <w:szCs w:val="20"/>
          <w:color w:val="auto"/>
        </w:rPr>
      </w:pPr>
      <w:r>
        <w:rPr>
          <w:rFonts w:ascii="Arial" w:cs="Arial" w:eastAsia="Arial" w:hAnsi="Arial"/>
          <w:sz w:val="15"/>
          <w:szCs w:val="15"/>
          <w:color w:val="auto"/>
        </w:rPr>
        <w:t>In August 2020, the Financial Accounting Standards Board (</w:t>
      </w:r>
      <w:r>
        <w:rPr>
          <w:rFonts w:ascii="Arial" w:cs="Arial" w:eastAsia="Arial" w:hAnsi="Arial"/>
          <w:sz w:val="15"/>
          <w:szCs w:val="15"/>
          <w:b w:val="1"/>
          <w:bCs w:val="1"/>
          <w:color w:val="auto"/>
        </w:rPr>
        <w:t>“FASB”</w:t>
      </w:r>
      <w:r>
        <w:rPr>
          <w:rFonts w:ascii="Arial" w:cs="Arial" w:eastAsia="Arial" w:hAnsi="Arial"/>
          <w:sz w:val="15"/>
          <w:szCs w:val="15"/>
          <w:color w:val="auto"/>
        </w:rPr>
        <w:t>) issued Accounting Standards Update (</w:t>
      </w:r>
      <w:r>
        <w:rPr>
          <w:rFonts w:ascii="Arial" w:cs="Arial" w:eastAsia="Arial" w:hAnsi="Arial"/>
          <w:sz w:val="15"/>
          <w:szCs w:val="15"/>
          <w:b w:val="1"/>
          <w:bCs w:val="1"/>
          <w:color w:val="auto"/>
        </w:rPr>
        <w:t>“ASU”</w:t>
      </w:r>
      <w:r>
        <w:rPr>
          <w:rFonts w:ascii="Arial" w:cs="Arial" w:eastAsia="Arial" w:hAnsi="Arial"/>
          <w:sz w:val="15"/>
          <w:szCs w:val="15"/>
          <w:color w:val="auto"/>
        </w:rPr>
        <w:t xml:space="preserve">) 2020-06, </w:t>
      </w:r>
      <w:r>
        <w:rPr>
          <w:rFonts w:ascii="Arial" w:cs="Arial" w:eastAsia="Arial" w:hAnsi="Arial"/>
          <w:sz w:val="15"/>
          <w:szCs w:val="15"/>
          <w:i w:val="1"/>
          <w:iCs w:val="1"/>
          <w:color w:val="auto"/>
        </w:rPr>
        <w:t>Debt with Conversion and Other Options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Derivatives and Hedging — Contracts in Entity’s Own Equity </w:t>
      </w:r>
      <w:r>
        <w:rPr>
          <w:rFonts w:ascii="Arial" w:cs="Arial" w:eastAsia="Arial" w:hAnsi="Arial"/>
          <w:sz w:val="15"/>
          <w:szCs w:val="15"/>
          <w:color w:val="auto"/>
        </w:rPr>
        <w:t>which simplified the accounting for convertible instruments. ASU 2020-06 was effective January 1, 2020 for public</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or fiscal years beginning after December 15, 2023 for private companies and those filing under EGC status, with early adoption permitted beginning on January 1, 2021. The Company adopted ASU 2020-06 on January 1, 2021, which did not have a material impact on the consolidated financial statements.</w:t>
      </w:r>
    </w:p>
    <w:p>
      <w:pPr>
        <w:spacing w:after="0" w:line="153"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which modified the disclosure requirements on fair value measurements. In January 2017, the FASB issued ASU 2017-04,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which simplified the test for goodwill impairment. Neither of these standards have a significant impact on the Company.</w:t>
      </w:r>
    </w:p>
    <w:p>
      <w:pPr>
        <w:spacing w:after="0" w:line="165" w:lineRule="exact"/>
        <w:rPr>
          <w:sz w:val="20"/>
          <w:szCs w:val="20"/>
          <w:color w:val="auto"/>
        </w:rPr>
      </w:pPr>
    </w:p>
    <w:p>
      <w:pPr>
        <w:jc w:val="both"/>
        <w:ind w:right="20" w:firstLine="283"/>
        <w:spacing w:after="0" w:line="249"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 Improvements to Nonemployee Share-Based Payment Accounting</w:t>
      </w:r>
      <w:r>
        <w:rPr>
          <w:rFonts w:ascii="Arial" w:cs="Arial" w:eastAsia="Arial" w:hAnsi="Arial"/>
          <w:sz w:val="16"/>
          <w:szCs w:val="16"/>
          <w:color w:val="auto"/>
        </w:rPr>
        <w:t>, which simplifies the accounting for share-based payments to non-employees by aligning it with the accounting for share-based payments to employees subject to certain exceptions. ASU 2018-07 expands the scope of ASC Topic 718, Compensation-Stock Compensation (</w:t>
      </w:r>
      <w:r>
        <w:rPr>
          <w:rFonts w:ascii="Arial" w:cs="Arial" w:eastAsia="Arial" w:hAnsi="Arial"/>
          <w:sz w:val="16"/>
          <w:szCs w:val="16"/>
          <w:b w:val="1"/>
          <w:bCs w:val="1"/>
          <w:color w:val="auto"/>
        </w:rPr>
        <w:t>“</w:t>
      </w:r>
      <w:r>
        <w:rPr>
          <w:rFonts w:ascii="Arial" w:cs="Arial" w:eastAsia="Arial" w:hAnsi="Arial"/>
          <w:sz w:val="16"/>
          <w:szCs w:val="16"/>
          <w:color w:val="auto"/>
        </w:rPr>
        <w:t>ASC 718</w:t>
      </w:r>
      <w:r>
        <w:rPr>
          <w:rFonts w:ascii="Arial" w:cs="Arial" w:eastAsia="Arial" w:hAnsi="Arial"/>
          <w:sz w:val="16"/>
          <w:szCs w:val="16"/>
          <w:b w:val="1"/>
          <w:bCs w:val="1"/>
          <w:color w:val="auto"/>
        </w:rPr>
        <w:t>”</w:t>
      </w:r>
      <w:r>
        <w:rPr>
          <w:rFonts w:ascii="Arial" w:cs="Arial" w:eastAsia="Arial" w:hAnsi="Arial"/>
          <w:sz w:val="16"/>
          <w:szCs w:val="16"/>
          <w:color w:val="auto"/>
        </w:rPr>
        <w:t>) to include share-based payment transactions for acquiring goods and services from non-employees. This amendment was effective beginning January 1, 2019 for public companies or January 1, 2020 for private companies and those filing under emerging growth company status, with early adoption permitted. The Company adopted ASU 2018-07 on January 1, 2020, which did not have a material impact on our consolidated financial statements.</w:t>
      </w:r>
    </w:p>
    <w:p>
      <w:pPr>
        <w:spacing w:after="0" w:line="174"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with the objective of providing financial statement users information about the credit risk inherent in an entity’s financial statements as well as to explain management’s estimate of expected credit losses and the changes in the allowance for such losses. This standard is not yet effective for the Company.</w:t>
      </w:r>
    </w:p>
    <w:p>
      <w:pPr>
        <w:spacing w:after="0" w:line="165"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 xml:space="preserve">In February 2016, the FASB issued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(Topic 842) requiring lessees to record the assets and liabilities for operating leases on the balance sheet. This standard is effective for fiscal years beginning after December 15, 2020, with early adoption permitted. In April 2020, the FASB voted to defer the effective date for </w:t>
      </w:r>
      <w:r>
        <w:rPr>
          <w:rFonts w:ascii="Arial" w:cs="Arial" w:eastAsia="Arial" w:hAnsi="Arial"/>
          <w:sz w:val="13"/>
          <w:szCs w:val="13"/>
          <w:i w:val="1"/>
          <w:iCs w:val="1"/>
          <w:color w:val="auto"/>
        </w:rPr>
        <w:t>Leases</w:t>
      </w:r>
      <w:r>
        <w:rPr>
          <w:rFonts w:ascii="Arial" w:cs="Arial" w:eastAsia="Arial" w:hAnsi="Arial"/>
          <w:sz w:val="13"/>
          <w:szCs w:val="13"/>
          <w:color w:val="auto"/>
        </w:rPr>
        <w:t xml:space="preserve"> for private companies and certain not-for-profit entities for one year. For companies filing under emerging growth company status and private not-for-profits, the leasing standard will be effective for fiscal years beginning after December 15, 2021. The Company is currently evaluating the impact on its financial statements of adopting this standard.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9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Cash and cash equivalents consist of highly liquid investments with original maturities of three months or less which are readily convertible to cash when purchased. At times, the Company’s cash investments exceed the levels insured by the Federal Deposit Insurance Corporation. The Company has not experienced any loss in such accounts, and it manages this risk by maintaining cash and other highly liquid investments in high quality financial institutions.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19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Restricted cash held as collateral represents the collateral requirements on our debt facilities. Restricted cash held for standby letters of credit represents cash held for letters of credit on the Company’s Credit Program and PPAs.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32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39,314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12,823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Long-term assets: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 held as collateral</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2,740</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2,565</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Total cash, cash equivalents and restricted cash</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320" w:type="dxa"/>
            <w:vAlign w:val="bottom"/>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42,054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15,388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13,827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Doubtful Accounts</w:t>
      </w:r>
    </w:p>
    <w:p>
      <w:pPr>
        <w:spacing w:after="0" w:line="19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The Company’s allowance for doubtful accounts was $0 and $0 at December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Tax Credit Receivable/Payable</w:t>
      </w:r>
    </w:p>
    <w:p>
      <w:pPr>
        <w:spacing w:after="0" w:line="19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On December 20, 2019, the President signed the Taxpayer Certainty and Disaster Relief Act of 2019, which temporarily renewed approximately two dozen credits that previously expired or were set to expire at the end of 2019, including the alternative fuel tax credit. This included the alternative fuel tax credit for fiscal 2018 which had not been renewed previously. This legislation was renewed for the years ended December 30, 2021 and 2020.</w:t>
      </w:r>
    </w:p>
    <w:p>
      <w:pPr>
        <w:spacing w:after="0" w:line="165"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At December 31, 2021, the Company accrued federal fuel tax credits of $0.50 per gasoline gallon equivalent of CNG that the Company sold as vehicle fuel in 2021. At December 31, 2021 and 2020, fuel tax credits receivable were $2,393 and $2,276, respectively. Under the terms of its fuel sales agreements with certain of its customers, the Company is obligated to share portions of these tax credits. At December 31, 2021 and 2020, the amounts of fuel tax credits owed to customers were $1,978 and $1,945, respectively. The Company recorded its portion of tax credits earned as a reduction to cost of sales — RNG fuel in the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w:t>
      </w:r>
    </w:p>
    <w:p>
      <w:pPr>
        <w:spacing w:after="0" w:line="19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19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Parts Inventory</w:t>
      </w:r>
    </w:p>
    <w:p>
      <w:pPr>
        <w:spacing w:after="0" w:line="197"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$58 as of December 31, 2021 and 2020, respectively. Cost is determined using the average cost method.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Spares</w:t>
      </w:r>
    </w:p>
    <w:p>
      <w:pPr>
        <w:spacing w:after="0" w:line="197" w:lineRule="exact"/>
        <w:rPr>
          <w:sz w:val="20"/>
          <w:szCs w:val="20"/>
          <w:color w:val="auto"/>
        </w:rPr>
      </w:pPr>
    </w:p>
    <w:p>
      <w:pPr>
        <w:jc w:val="both"/>
        <w:ind w:right="20" w:firstLine="283"/>
        <w:spacing w:after="0" w:line="281" w:lineRule="auto"/>
        <w:rPr>
          <w:sz w:val="20"/>
          <w:szCs w:val="20"/>
          <w:color w:val="auto"/>
        </w:rPr>
      </w:pPr>
      <w:r>
        <w:rPr>
          <w:rFonts w:ascii="Arial" w:cs="Arial" w:eastAsia="Arial" w:hAnsi="Arial"/>
          <w:sz w:val="15"/>
          <w:szCs w:val="15"/>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 net</w:t>
      </w:r>
    </w:p>
    <w:p>
      <w:pPr>
        <w:spacing w:after="0" w:line="197" w:lineRule="exact"/>
        <w:rPr>
          <w:sz w:val="20"/>
          <w:szCs w:val="20"/>
          <w:color w:val="auto"/>
        </w:rPr>
      </w:pPr>
    </w:p>
    <w:p>
      <w:pPr>
        <w:jc w:val="both"/>
        <w:ind w:right="20" w:firstLine="283"/>
        <w:spacing w:after="0" w:line="251" w:lineRule="auto"/>
        <w:rPr>
          <w:sz w:val="20"/>
          <w:szCs w:val="20"/>
          <w:color w:val="auto"/>
        </w:rPr>
      </w:pPr>
      <w:r>
        <w:rPr>
          <w:rFonts w:ascii="Arial" w:cs="Arial" w:eastAsia="Arial" w:hAnsi="Arial"/>
          <w:sz w:val="16"/>
          <w:szCs w:val="16"/>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Plant and equipment</w:t>
            </w:r>
          </w:p>
        </w:tc>
        <w:tc>
          <w:tcPr>
            <w:tcW w:w="5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 30 years</w:t>
            </w: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CNG/RNG Fueling stations</w:t>
            </w:r>
          </w:p>
        </w:tc>
        <w:tc>
          <w:tcPr>
            <w:tcW w:w="5040" w:type="dxa"/>
            <w:vAlign w:val="bottom"/>
          </w:tcPr>
          <w:p>
            <w:pPr>
              <w:jc w:val="right"/>
              <w:spacing w:after="0"/>
              <w:rPr>
                <w:sz w:val="20"/>
                <w:szCs w:val="20"/>
                <w:color w:val="auto"/>
              </w:rPr>
            </w:pPr>
            <w:r>
              <w:rPr>
                <w:rFonts w:ascii="Arial" w:cs="Arial" w:eastAsia="Arial" w:hAnsi="Arial"/>
                <w:sz w:val="16"/>
                <w:szCs w:val="16"/>
                <w:color w:val="auto"/>
              </w:rPr>
              <w:t>10</w:t>
            </w:r>
          </w:p>
        </w:tc>
        <w:tc>
          <w:tcPr>
            <w:tcW w:w="700" w:type="dxa"/>
            <w:vAlign w:val="bottom"/>
          </w:tcPr>
          <w:p>
            <w:pPr>
              <w:jc w:val="right"/>
              <w:spacing w:after="0"/>
              <w:rPr>
                <w:sz w:val="20"/>
                <w:szCs w:val="20"/>
                <w:color w:val="auto"/>
              </w:rPr>
            </w:pPr>
            <w:r>
              <w:rPr>
                <w:rFonts w:ascii="Arial" w:cs="Arial" w:eastAsia="Arial" w:hAnsi="Arial"/>
                <w:sz w:val="16"/>
                <w:szCs w:val="16"/>
                <w:color w:val="auto"/>
                <w:w w:val="90"/>
              </w:rPr>
              <w:t>– 20 years</w:t>
            </w: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50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Buildings</w:t>
            </w:r>
          </w:p>
        </w:tc>
        <w:tc>
          <w:tcPr>
            <w:tcW w:w="50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 years</w:t>
            </w: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50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Service equipment</w:t>
            </w:r>
          </w:p>
        </w:tc>
        <w:tc>
          <w:tcPr>
            <w:tcW w:w="5040" w:type="dxa"/>
            <w:vAlign w:val="bottom"/>
          </w:tcPr>
          <w:p>
            <w:pPr>
              <w:jc w:val="right"/>
              <w:spacing w:after="0"/>
              <w:rPr>
                <w:sz w:val="20"/>
                <w:szCs w:val="20"/>
                <w:color w:val="auto"/>
              </w:rPr>
            </w:pPr>
            <w:r>
              <w:rPr>
                <w:rFonts w:ascii="Arial" w:cs="Arial" w:eastAsia="Arial" w:hAnsi="Arial"/>
                <w:sz w:val="16"/>
                <w:szCs w:val="16"/>
                <w:color w:val="auto"/>
              </w:rPr>
              <w:t>5</w:t>
            </w:r>
          </w:p>
        </w:tc>
        <w:tc>
          <w:tcPr>
            <w:tcW w:w="700" w:type="dxa"/>
            <w:vAlign w:val="bottom"/>
          </w:tcPr>
          <w:p>
            <w:pPr>
              <w:jc w:val="right"/>
              <w:spacing w:after="0"/>
              <w:rPr>
                <w:sz w:val="20"/>
                <w:szCs w:val="20"/>
                <w:color w:val="auto"/>
              </w:rPr>
            </w:pPr>
            <w:r>
              <w:rPr>
                <w:rFonts w:ascii="Arial" w:cs="Arial" w:eastAsia="Arial" w:hAnsi="Arial"/>
                <w:sz w:val="16"/>
                <w:szCs w:val="16"/>
                <w:color w:val="auto"/>
                <w:w w:val="90"/>
              </w:rPr>
              <w:t>– 10 years</w:t>
            </w: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Shorter of lease term or useful life</w:t>
            </w: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Vehicles</w:t>
            </w:r>
          </w:p>
        </w:tc>
        <w:tc>
          <w:tcPr>
            <w:tcW w:w="50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 years</w:t>
            </w: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Office furniture and equipment</w:t>
            </w:r>
          </w:p>
        </w:tc>
        <w:tc>
          <w:tcPr>
            <w:tcW w:w="50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5 – 7 years</w:t>
            </w: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Computer software</w:t>
            </w:r>
          </w:p>
        </w:tc>
        <w:tc>
          <w:tcPr>
            <w:tcW w:w="50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50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bl>
    <w:p>
      <w:pPr>
        <w:spacing w:after="0" w:line="176"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When plant and equipment are retired or otherwise disposed of, the related cost and accumulated depreciation or amortization is removed, and a gain or loss is recognized in the consolidated statements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76" w:right="31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EPC contracts. Costs incurred prior to this time are expensed.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Equity-Based Compensation Awards</w:t>
      </w:r>
    </w:p>
    <w:p>
      <w:pPr>
        <w:spacing w:after="0" w:line="193"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The Ultimate Parent granted equity-based awards to employees in 2020 and 2019 in the form of residual equity interests (</w:t>
      </w:r>
      <w:r>
        <w:rPr>
          <w:rFonts w:ascii="Arial" w:cs="Arial" w:eastAsia="Arial" w:hAnsi="Arial"/>
          <w:sz w:val="15"/>
          <w:szCs w:val="15"/>
          <w:b w:val="1"/>
          <w:bCs w:val="1"/>
          <w:color w:val="auto"/>
        </w:rPr>
        <w:t>“</w:t>
      </w:r>
      <w:r>
        <w:rPr>
          <w:rFonts w:ascii="Arial" w:cs="Arial" w:eastAsia="Arial" w:hAnsi="Arial"/>
          <w:sz w:val="15"/>
          <w:szCs w:val="15"/>
          <w:color w:val="auto"/>
        </w:rPr>
        <w:t>Profits Interests</w:t>
      </w:r>
      <w:r>
        <w:rPr>
          <w:rFonts w:ascii="Arial" w:cs="Arial" w:eastAsia="Arial" w:hAnsi="Arial"/>
          <w:sz w:val="15"/>
          <w:szCs w:val="15"/>
          <w:b w:val="1"/>
          <w:bCs w:val="1"/>
          <w:color w:val="auto"/>
        </w:rPr>
        <w:t>”</w:t>
      </w:r>
      <w:r>
        <w:rPr>
          <w:rFonts w:ascii="Arial" w:cs="Arial" w:eastAsia="Arial" w:hAnsi="Arial"/>
          <w:sz w:val="15"/>
          <w:szCs w:val="15"/>
          <w:color w:val="auto"/>
        </w:rPr>
        <w:t>) in its ownership in various Company subsidiaries. Compensation costs relating to the Profits Interests are recognized in the consolidated statements of operations using a straight-line expense recognition method over a five-year service vesting period based on the fair value of such awards on the grant date. The fair value of the Profit Interests is determined by using the Black-Scholes valuation model and includes assumptions as to the fair value of the stock price, volatility, the expected term of the awards, a risk-free interest rate, a discount for the lack of marketability, and dividend yield. In valuing the award, judgment is required in determining the expected volatility of the Profit Interests and the expected term of the awards. Expected volatility is based on an average of peer group of public companies and the expected term of the Profit Interests is derived from the Company’s historical experience with similar companies for each of the project investments. While volatility and estimated term are assumptions that do not bear the risk of change subsequent to the grant date of the Profit Interests, these assumptions may be difficult to measure, as they represent future expectations which may change in the future. An offsetting contribution to the Company over the same time period is also recognized. The Company estimated the fair value of the awards on the grant date using an option pricing model. To determine volatility, the Company uses the historical closing values of comparable publicly held companies to estimate volatility. The model also uses other objective and subjective factors, such as the estimated time to an exit event, the risk-free rate, and a discount for the lack of marketability. Forfeitures are recognized when they occur. The awards have no maximum term.</w:t>
      </w:r>
    </w:p>
    <w:p>
      <w:pPr>
        <w:spacing w:after="0" w:line="160" w:lineRule="exact"/>
        <w:rPr>
          <w:sz w:val="20"/>
          <w:szCs w:val="20"/>
          <w:color w:val="auto"/>
        </w:rPr>
      </w:pPr>
    </w:p>
    <w:p>
      <w:pPr>
        <w:jc w:val="both"/>
        <w:ind w:right="20" w:firstLine="283"/>
        <w:spacing w:after="0" w:line="271" w:lineRule="auto"/>
        <w:rPr>
          <w:sz w:val="20"/>
          <w:szCs w:val="20"/>
          <w:color w:val="auto"/>
        </w:rPr>
      </w:pPr>
      <w:r>
        <w:rPr>
          <w:rFonts w:ascii="Arial" w:cs="Arial" w:eastAsia="Arial" w:hAnsi="Arial"/>
          <w:sz w:val="15"/>
          <w:szCs w:val="15"/>
          <w:color w:val="auto"/>
        </w:rPr>
        <w:t>The Profits Interests were restructured in December 2020, at which time the residual equity interests are now based on a portion of the Ultimate Parent’s ownership in the Company, rather than in the Ultimate Parent’s ownership interest in Company subsidiaries. In accordance with ASC 718, since the fair value of the residual interest award immediately following the modification was not greater than the fair value of the residual interest award immediately prior to the modification, the Company did not recognize incremental stock based compensation expense on the date of the modification. The Company estimated the fair value of the awards on the modification date using an option pricing model. There were no changes to the service vesting period or other terms of the awards as a result of this modification.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were no new awards granted during the year ended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Major Maintenance</w:t>
      </w:r>
    </w:p>
    <w:p>
      <w:pPr>
        <w:spacing w:after="0" w:line="19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Major maintenance is a component of maintenance expense and encompasses overhauls of internal combustion engines, gas compressors and electrical generators. Major maintenance is expensed as incurred. Major maintenance expense was $5,946, $8,309, and $6,028 in 2021, 2020 and 2019, respectively, and is included in cost of sales — renewable power in the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9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 xml:space="preserve">Goodwill represents the excess of purchase price of an acquisition over the fair value of net assets acquired in a business combination subject to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Goodwill is not amortized, but the potential impairment of goodwill is assessed at least annually and on an interim basis whenever events or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on October 1 of each year.</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 xml:space="preserve">During 2020, the Company has adopted the provisions of the Financial Accounting Standards Board (FASB) Accounting Standards Update (ASU) 2017-04, </w:t>
      </w:r>
      <w:r>
        <w:rPr>
          <w:rFonts w:ascii="Arial" w:cs="Arial" w:eastAsia="Arial" w:hAnsi="Arial"/>
          <w:sz w:val="15"/>
          <w:szCs w:val="15"/>
          <w:i w:val="1"/>
          <w:iCs w:val="1"/>
          <w:color w:val="auto"/>
        </w:rPr>
        <w:t xml:space="preserve">Intangibles — Goodwill and Other (Topic 350): Testing Goodwill for Impairment. </w:t>
      </w:r>
      <w:r>
        <w:rPr>
          <w:rFonts w:ascii="Arial" w:cs="Arial" w:eastAsia="Arial" w:hAnsi="Arial"/>
          <w:sz w:val="15"/>
          <w:szCs w:val="15"/>
          <w:color w:val="auto"/>
        </w:rPr>
        <w:t>Under this guidance, the Company performed qualitative test for goodwill on Beacon and</w:t>
      </w:r>
      <w:r>
        <w:rPr>
          <w:rFonts w:ascii="Arial" w:cs="Arial" w:eastAsia="Arial" w:hAnsi="Arial"/>
          <w:sz w:val="15"/>
          <w:szCs w:val="15"/>
          <w:i w:val="1"/>
          <w:iCs w:val="1"/>
          <w:color w:val="auto"/>
        </w:rPr>
        <w:t xml:space="preserve"> </w:t>
      </w:r>
      <w:r>
        <w:rPr>
          <w:rFonts w:ascii="Arial" w:cs="Arial" w:eastAsia="Arial" w:hAnsi="Arial"/>
          <w:sz w:val="15"/>
          <w:szCs w:val="15"/>
          <w:color w:val="auto"/>
        </w:rPr>
        <w:t>Trustar for the year ended December 31, 2021. The Company performed quantitative test for Trustar for the year ended December 31, 2020. As a result of these tests, the Company determined that the fair value of its reporting unit exceeded its carrying value and, thus, the Company determined that goodwill was not impaired.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 and Liabilities</w:t>
      </w:r>
    </w:p>
    <w:p>
      <w:pPr>
        <w:spacing w:after="0" w:line="197" w:lineRule="exact"/>
        <w:rPr>
          <w:sz w:val="20"/>
          <w:szCs w:val="20"/>
          <w:color w:val="auto"/>
        </w:rPr>
      </w:pPr>
    </w:p>
    <w:p>
      <w:pPr>
        <w:jc w:val="both"/>
        <w:ind w:firstLine="283"/>
        <w:spacing w:after="0" w:line="300" w:lineRule="auto"/>
        <w:rPr>
          <w:sz w:val="20"/>
          <w:szCs w:val="20"/>
          <w:color w:val="auto"/>
        </w:rPr>
      </w:pPr>
      <w:r>
        <w:rPr>
          <w:rFonts w:ascii="Arial" w:cs="Arial" w:eastAsia="Arial" w:hAnsi="Arial"/>
          <w:sz w:val="15"/>
          <w:szCs w:val="15"/>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134"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Identifiable intangible liabilities consist of an RNG gas sales agreement and two PPAs. The RNG gas sales agreement intangible liability was amortized using the straight-line method over an 18-month contract period and was fully amortized as of December 31, 2020. 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Financing Costs</w:t>
      </w:r>
    </w:p>
    <w:p>
      <w:pPr>
        <w:spacing w:after="0" w:line="19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Deferred financing costs include bank loan origination and legal fees, and costs directly related to the Company’s financing activities. These costs have been deferred and will be charged to interest expense using the effective interest method over the term of the loan. These costs are presented as a reduction of long-term debt. At December 31, 2021, the Company recorded $2,370 as deferred financing costs related to business combination contemplated by the BCA, which is presented a non-current Deferred financing costs within its consolidated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Shipping and Handling Costs</w:t>
      </w:r>
    </w:p>
    <w:p>
      <w:pPr>
        <w:spacing w:after="0" w:line="19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Shipping and handling costs are expensed as incurred. Shipping and handling costs are included in cost of sales and were $1,431, $1,001, and $1,005 for the years ended December 31, 2021, 2020, and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Costs</w:t>
      </w:r>
    </w:p>
    <w:p>
      <w:pPr>
        <w:spacing w:after="0" w:line="19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Advertising costs are expensed as incurred. Advertising costs are accounted for in selling, general and administrative expense and were $455, $528, and $281 for the years ended December 31, 2021, 2020, and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197"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Impairment expense was $0, $17,689, and $0 for the years ended December 31, 2021, 2020, and 2019, respectively, impacting the Renewable Power 3 Portfolio segment.</w:t>
      </w:r>
    </w:p>
    <w:p>
      <w:pPr>
        <w:spacing w:after="0" w:line="157"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w:t>
      </w:r>
    </w:p>
    <w:p>
      <w:pPr>
        <w:spacing w:after="0" w:line="197"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15"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 electricity forward sales agreements were recorded under the normal purchases and normal sales exception and, therefore, fair value adjustments were not required in 2021 and 2020.</w:t>
      </w:r>
    </w:p>
    <w:p>
      <w:pPr>
        <w:spacing w:after="0" w:line="155"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xml:space="preserve">.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2021, 2020 and 2019. Please see Note 2, </w:t>
      </w:r>
      <w:r>
        <w:rPr>
          <w:rFonts w:ascii="Arial" w:cs="Arial" w:eastAsia="Arial" w:hAnsi="Arial"/>
          <w:sz w:val="13"/>
          <w:szCs w:val="13"/>
          <w:i w:val="1"/>
          <w:iCs w:val="1"/>
          <w:color w:val="auto"/>
        </w:rPr>
        <w:t>Restatement of Financial Statements</w:t>
      </w:r>
      <w:r>
        <w:rPr>
          <w:rFonts w:ascii="Arial" w:cs="Arial" w:eastAsia="Arial" w:hAnsi="Arial"/>
          <w:sz w:val="13"/>
          <w:szCs w:val="13"/>
          <w:color w:val="auto"/>
        </w:rPr>
        <w:t>, and Note 12, Derivative Financial Instruments for additional information.</w:t>
      </w:r>
    </w:p>
    <w:p>
      <w:pPr>
        <w:spacing w:after="0" w:line="128"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The Company maintains a risk management strategy that incorporates the use of interest rate swaps to minimize significant fluctuation in cash flows and/or earnings that are caused by interest rate volatility. Fair value adjustments were required in 2021, 2020, and 2019 in connection with these interest rate swaps which were recorded as realized and unrealized gain (loss) on derivative financial instruments, net in its consolidated statements of operations for the years ended December 31, 2021, 2020, and 2019.</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Preferred Units</w:t>
      </w:r>
    </w:p>
    <w:p>
      <w:pPr>
        <w:spacing w:after="0" w:line="19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 xml:space="preserve">In accordance with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the Company classifies the redeemable preferred units outside of permanent equity because the units contain a redemption feature which is contingent upon the occurrence of (i) the Company’s actual dissolution, (ii) a change in control, or (iii) approximately four years following unit issuance, the occurrences of which are not solely within the control of the Company. The Company records the redeemable preferred units at fair value on the date of issuance. The Company has elected to adjust the carrying value to equal the redemption value at the end of each reporting period. The Company will accrue dividends each quarter as cash or paid-in-kind at the option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w:t>
      </w:r>
    </w:p>
    <w:p>
      <w:pPr>
        <w:spacing w:after="0" w:line="193" w:lineRule="exact"/>
        <w:rPr>
          <w:sz w:val="20"/>
          <w:szCs w:val="20"/>
          <w:color w:val="auto"/>
        </w:rPr>
      </w:pPr>
    </w:p>
    <w:p>
      <w:pPr>
        <w:jc w:val="both"/>
        <w:ind w:firstLine="283"/>
        <w:spacing w:after="0" w:line="317" w:lineRule="auto"/>
        <w:rPr>
          <w:sz w:val="20"/>
          <w:szCs w:val="20"/>
          <w:color w:val="auto"/>
        </w:rPr>
      </w:pPr>
      <w:r>
        <w:rPr>
          <w:rFonts w:ascii="Arial" w:cs="Arial" w:eastAsia="Arial" w:hAnsi="Arial"/>
          <w:sz w:val="13"/>
          <w:szCs w:val="13"/>
          <w:color w:val="auto"/>
        </w:rPr>
        <w:t>The Company accounts for asset retirement obligations (</w:t>
      </w:r>
      <w:r>
        <w:rPr>
          <w:rFonts w:ascii="Arial" w:cs="Arial" w:eastAsia="Arial" w:hAnsi="Arial"/>
          <w:sz w:val="13"/>
          <w:szCs w:val="13"/>
          <w:b w:val="1"/>
          <w:bCs w:val="1"/>
          <w:color w:val="auto"/>
        </w:rPr>
        <w:t>“</w:t>
      </w:r>
      <w:r>
        <w:rPr>
          <w:rFonts w:ascii="Arial" w:cs="Arial" w:eastAsia="Arial" w:hAnsi="Arial"/>
          <w:sz w:val="13"/>
          <w:szCs w:val="13"/>
          <w:color w:val="auto"/>
        </w:rPr>
        <w:t>ARO</w:t>
      </w:r>
      <w:r>
        <w:rPr>
          <w:rFonts w:ascii="Arial" w:cs="Arial" w:eastAsia="Arial" w:hAnsi="Arial"/>
          <w:sz w:val="13"/>
          <w:szCs w:val="13"/>
          <w:b w:val="1"/>
          <w:bCs w:val="1"/>
          <w:color w:val="auto"/>
        </w:rPr>
        <w:t>”</w:t>
      </w:r>
      <w:r>
        <w:rPr>
          <w:rFonts w:ascii="Arial" w:cs="Arial" w:eastAsia="Arial" w:hAnsi="Arial"/>
          <w:sz w:val="13"/>
          <w:szCs w:val="13"/>
          <w:color w:val="auto"/>
        </w:rPr>
        <w:t>) in accordance with ASC 410 that requires entities to record the fair value of a liability for an asset retirement obligation in the period in which it is incurred and when a reasonable estimate of fair value can be made</w:t>
      </w:r>
      <w:r>
        <w:rPr>
          <w:rFonts w:ascii="Arial" w:cs="Arial" w:eastAsia="Arial" w:hAnsi="Arial"/>
          <w:sz w:val="13"/>
          <w:szCs w:val="13"/>
          <w:i w:val="1"/>
          <w:iCs w:val="1"/>
          <w:color w:val="auto"/>
        </w:rPr>
        <w:t>.</w:t>
      </w:r>
      <w:r>
        <w:rPr>
          <w:rFonts w:ascii="Arial" w:cs="Arial" w:eastAsia="Arial" w:hAnsi="Arial"/>
          <w:sz w:val="13"/>
          <w:szCs w:val="13"/>
          <w:color w:val="auto"/>
        </w:rPr>
        <w:t xml:space="preserve"> The fair value of the estimated ARO is recorded as a long-term liability, with a corresponding increase in the carrying amount of the related asset. The capitalized amount is depreciated over the life of the sublease or site lease agreement. The liability amount is increased each reporting period due to the passage of time and the amount of accretion is charged to operations expense in the period. Revisions, if any, to the estimated timing of cash flows or to the original estimated undiscounted cost, if any, also result in an increase or decrease to the ARO and the related asset. Actual costs incurred upon settlement of the ARO are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6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At December 31, 2021 and 2020, the Company estimated the value of its total asset retirement obligations to be $5,738 and $4,885 respectively, based on a total future liability of $8,017. These payments are expected to be made between 2022 and 2035.</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summarizes the changes in the asset retirement obligations were as follows for the years ended December 31, 2021 and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88"/>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60" w:type="dxa"/>
            <w:vAlign w:val="bottom"/>
            <w:tcBorders>
              <w:bottom w:val="single" w:sz="8" w:color="CCEEFF"/>
            </w:tcBorders>
          </w:tcPr>
          <w:p>
            <w:pPr>
              <w:spacing w:after="0"/>
              <w:rPr>
                <w:sz w:val="17"/>
                <w:szCs w:val="17"/>
                <w:color w:val="auto"/>
              </w:rPr>
            </w:pPr>
          </w:p>
        </w:tc>
        <w:tc>
          <w:tcPr>
            <w:tcW w:w="26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6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4,885</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60" w:type="dxa"/>
            <w:vAlign w:val="bottom"/>
          </w:tcPr>
          <w:p>
            <w:pPr>
              <w:spacing w:after="0"/>
              <w:rPr>
                <w:sz w:val="20"/>
                <w:szCs w:val="20"/>
                <w:color w:val="auto"/>
              </w:rPr>
            </w:pPr>
            <w:r>
              <w:rPr>
                <w:rFonts w:ascii="Arial" w:cs="Arial" w:eastAsia="Arial" w:hAnsi="Arial"/>
                <w:sz w:val="16"/>
                <w:szCs w:val="16"/>
                <w:color w:val="auto"/>
              </w:rPr>
              <w:t>Additions</w:t>
            </w:r>
          </w:p>
        </w:tc>
        <w:tc>
          <w:tcPr>
            <w:tcW w:w="2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278</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Accretion expense</w:t>
            </w:r>
          </w:p>
        </w:tc>
        <w:tc>
          <w:tcPr>
            <w:tcW w:w="2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60" w:type="dxa"/>
            <w:vAlign w:val="bottom"/>
            <w:tcBorders>
              <w:top w:val="single" w:sz="8" w:color="CCEEFF"/>
            </w:tcBorders>
          </w:tcPr>
          <w:p>
            <w:pPr>
              <w:spacing w:after="0" w:line="172" w:lineRule="exact"/>
              <w:rPr>
                <w:sz w:val="20"/>
                <w:szCs w:val="20"/>
                <w:color w:val="auto"/>
              </w:rPr>
            </w:pPr>
            <w:r>
              <w:rPr>
                <w:rFonts w:ascii="Arial" w:cs="Arial" w:eastAsia="Arial" w:hAnsi="Arial"/>
                <w:sz w:val="16"/>
                <w:szCs w:val="16"/>
                <w:color w:val="auto"/>
              </w:rPr>
              <w:t>Total asset retirement obligation</w:t>
            </w:r>
          </w:p>
        </w:tc>
        <w:tc>
          <w:tcPr>
            <w:tcW w:w="262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w w:val="94"/>
              </w:rPr>
              <w:t>5,738</w:t>
            </w: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4,885</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(831)</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Total asset retirement obligation, net of current portion</w:t>
            </w:r>
          </w:p>
        </w:tc>
        <w:tc>
          <w:tcPr>
            <w:tcW w:w="2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360" w:type="dxa"/>
            <w:vAlign w:val="bottom"/>
            <w:gridSpan w:val="2"/>
          </w:tcPr>
          <w:p>
            <w:pPr>
              <w:jc w:val="right"/>
              <w:ind w:right="585"/>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w w:val="94"/>
              </w:rPr>
              <w:t>4,907</w:t>
            </w: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4,537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9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 xml:space="preserve">Effective January 1, 2019, the Company adopted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The adoption of this ASU did not have a significant impact on the Company’s financial statements. Most of 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w:t>
      </w:r>
      <w:r>
        <w:rPr>
          <w:rFonts w:ascii="Arial" w:cs="Arial" w:eastAsia="Arial" w:hAnsi="Arial"/>
          <w:sz w:val="15"/>
          <w:szCs w:val="15"/>
          <w:color w:val="auto"/>
        </w:rPr>
        <w:t>that allows for the recognition of revenue from performance obligations in the amount of consideration to which there is a right to invoice the customer and when the</w:t>
      </w:r>
      <w:r>
        <w:rPr>
          <w:rFonts w:ascii="Arial" w:cs="Arial" w:eastAsia="Arial" w:hAnsi="Arial"/>
          <w:sz w:val="15"/>
          <w:szCs w:val="15"/>
          <w:i w:val="1"/>
          <w:iCs w:val="1"/>
          <w:color w:val="auto"/>
        </w:rPr>
        <w:t xml:space="preserve"> </w:t>
      </w:r>
      <w:r>
        <w:rPr>
          <w:rFonts w:ascii="Arial" w:cs="Arial" w:eastAsia="Arial" w:hAnsi="Arial"/>
          <w:sz w:val="15"/>
          <w:szCs w:val="15"/>
          <w:color w:val="auto"/>
        </w:rPr>
        <w:t>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59"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The purpose of the right to invoice practical expedient is to depict an entity’s measure of progress toward completion of the performance obligation within a contract and can only be applied to performance obligations that are satisfied over time and when the invoice is representative of service provided to date. The Company elected to apply the right to invoice practical expedient to recognize revenue for performance obligations satisfied over time as the invoices from the respective revenue streams are representative of services or goods provided to date to the customer.</w:t>
      </w:r>
    </w:p>
    <w:p>
      <w:pPr>
        <w:spacing w:after="0" w:line="169"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16"/>
          <w:szCs w:val="16"/>
          <w:color w:val="auto"/>
        </w:rPr>
        <w:t>The Company has agreements with two natural gas producers (“Producers</w:t>
      </w:r>
      <w:r>
        <w:rPr>
          <w:rFonts w:ascii="Arial" w:cs="Arial" w:eastAsia="Arial" w:hAnsi="Arial"/>
          <w:sz w:val="16"/>
          <w:szCs w:val="16"/>
          <w:b w:val="1"/>
          <w:bCs w:val="1"/>
          <w:color w:val="auto"/>
        </w:rPr>
        <w:t>”</w:t>
      </w:r>
      <w:r>
        <w:rPr>
          <w:rFonts w:ascii="Arial" w:cs="Arial" w:eastAsia="Arial" w:hAnsi="Arial"/>
          <w:sz w:val="16"/>
          <w:szCs w:val="16"/>
          <w:color w:val="auto"/>
        </w:rPr>
        <w:t>) to transport Producers’ natural gas using the Company’s RNG gathering system (</w:t>
      </w:r>
      <w:r>
        <w:rPr>
          <w:rFonts w:ascii="Arial" w:cs="Arial" w:eastAsia="Arial" w:hAnsi="Arial"/>
          <w:sz w:val="16"/>
          <w:szCs w:val="16"/>
          <w:b w:val="1"/>
          <w:bCs w:val="1"/>
          <w:color w:val="auto"/>
        </w:rPr>
        <w:t>“</w:t>
      </w:r>
      <w:r>
        <w:rPr>
          <w:rFonts w:ascii="Arial" w:cs="Arial" w:eastAsia="Arial" w:hAnsi="Arial"/>
          <w:sz w:val="16"/>
          <w:szCs w:val="16"/>
          <w:color w:val="auto"/>
        </w:rPr>
        <w:t>System</w:t>
      </w:r>
      <w:r>
        <w:rPr>
          <w:rFonts w:ascii="Arial" w:cs="Arial" w:eastAsia="Arial" w:hAnsi="Arial"/>
          <w:sz w:val="16"/>
          <w:szCs w:val="16"/>
          <w:b w:val="1"/>
          <w:bCs w:val="1"/>
          <w:color w:val="auto"/>
        </w:rPr>
        <w:t>”</w:t>
      </w:r>
      <w:r>
        <w:rPr>
          <w:rFonts w:ascii="Arial" w:cs="Arial" w:eastAsia="Arial" w:hAnsi="Arial"/>
          <w:sz w:val="16"/>
          <w:szCs w:val="16"/>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6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Renewable Identification Numbers (“RINs”) or low-carbon fuel standard (“LCFSs”) for providing these services and recognizes the RINs or LCFSs received as inventory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69"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Sales of RINs, RECs, and LCFS environmental attributes are generally recorded as revenue when the certificates related to them are delivered to a buyer. However, the Company may recognize revenue from the sale of such environmental attributes at the time of the related RNG or electricity sales when the contract provides that title to the environmental attributes transfers at the time of production, the Company’s price to the buyer is fixed and collection of the sales proceeds occurs within 60 days after generation of the electricity.</w:t>
      </w:r>
    </w:p>
    <w:p>
      <w:pPr>
        <w:spacing w:after="0" w:line="169"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expensed the costs of services incurred by Beacon to TruStar through April 30, 2021 and reported this amount in net loss attributable to equity in loss of affiliates within the consolidated statements of operations and, in addition, reported an offsetting gain on the transfer of these RINs in net income (loss) from equity method investments within the consolidated statements of operations.</w:t>
      </w:r>
    </w:p>
    <w:p>
      <w:pPr>
        <w:spacing w:after="0" w:line="169"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Management operating fees are earned for the operation, maintenance, and repair of the gas collection system of a landfill site. Revenue is calculated on the volume of per million British thermal units (</w:t>
      </w:r>
      <w:r>
        <w:rPr>
          <w:rFonts w:ascii="Arial" w:cs="Arial" w:eastAsia="Arial" w:hAnsi="Arial"/>
          <w:sz w:val="16"/>
          <w:szCs w:val="16"/>
          <w:b w:val="1"/>
          <w:bCs w:val="1"/>
          <w:color w:val="auto"/>
        </w:rPr>
        <w:t>“</w:t>
      </w:r>
      <w:r>
        <w:rPr>
          <w:rFonts w:ascii="Arial" w:cs="Arial" w:eastAsia="Arial" w:hAnsi="Arial"/>
          <w:sz w:val="16"/>
          <w:szCs w:val="16"/>
          <w:color w:val="auto"/>
        </w:rPr>
        <w:t>MMBtu</w:t>
      </w:r>
      <w:r>
        <w:rPr>
          <w:rFonts w:ascii="Arial" w:cs="Arial" w:eastAsia="Arial" w:hAnsi="Arial"/>
          <w:sz w:val="16"/>
          <w:szCs w:val="16"/>
          <w:b w:val="1"/>
          <w:bCs w:val="1"/>
          <w:color w:val="auto"/>
        </w:rPr>
        <w:t>”</w:t>
      </w:r>
      <w:r>
        <w:rPr>
          <w:rFonts w:ascii="Arial" w:cs="Arial" w:eastAsia="Arial" w:hAnsi="Arial"/>
          <w:sz w:val="16"/>
          <w:szCs w:val="16"/>
          <w:color w:val="auto"/>
        </w:rPr>
        <w:t>) of LFG collected and the megawatt hours (</w:t>
      </w:r>
      <w:r>
        <w:rPr>
          <w:rFonts w:ascii="Arial" w:cs="Arial" w:eastAsia="Arial" w:hAnsi="Arial"/>
          <w:sz w:val="16"/>
          <w:szCs w:val="16"/>
          <w:b w:val="1"/>
          <w:bCs w:val="1"/>
          <w:color w:val="auto"/>
        </w:rPr>
        <w:t>“</w:t>
      </w:r>
      <w:r>
        <w:rPr>
          <w:rFonts w:ascii="Arial" w:cs="Arial" w:eastAsia="Arial" w:hAnsi="Arial"/>
          <w:sz w:val="16"/>
          <w:szCs w:val="16"/>
          <w:color w:val="auto"/>
        </w:rPr>
        <w:t>MWhs</w:t>
      </w:r>
      <w:r>
        <w:rPr>
          <w:rFonts w:ascii="Arial" w:cs="Arial" w:eastAsia="Arial" w:hAnsi="Arial"/>
          <w:sz w:val="16"/>
          <w:szCs w:val="16"/>
          <w:b w:val="1"/>
          <w:bCs w:val="1"/>
          <w:color w:val="auto"/>
        </w:rPr>
        <w:t>”</w:t>
      </w:r>
      <w:r>
        <w:rPr>
          <w:rFonts w:ascii="Arial" w:cs="Arial" w:eastAsia="Arial" w:hAnsi="Arial"/>
          <w:sz w:val="16"/>
          <w:szCs w:val="16"/>
          <w:color w:val="auto"/>
        </w:rPr>
        <w:t>) produced at that site. This revenue is recognized when LFG is collected, and electricity is delivered.</w:t>
      </w:r>
    </w:p>
    <w:p>
      <w:pPr>
        <w:spacing w:after="0" w:line="165"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The accuracy of revenue and profit recognition related to construction projects in a given period depends on the accuracy of the Company’s estimates of the costs to complete each project. The Company believes its experience allows it to create materially reliable estimates. Costs capitalized to fulfill certain contracts were not material in any of the years presented.</w:t>
      </w:r>
    </w:p>
    <w:p>
      <w:pPr>
        <w:spacing w:after="0" w:line="157"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The Company has provided certain assurance warranties to customers under its various construction contracts for up to one year. A warranty reserve is established at the time of construction completion. The Company monitors and analyzes warranty claims and maintains a reserve for the related warranty costs based on historical experience and future assumptions. In 2021, 2020, and 2019, warranty expense of $202, $141, and, $180 respectively, was expensed to cost of sales — fuel station services in the consolidated statements of operations.</w:t>
      </w:r>
    </w:p>
    <w:p>
      <w:pPr>
        <w:spacing w:after="0" w:line="169"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 in time that the customer takes control of the fuel.</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39" w:name="page240"/>
    <w:bookmarkEnd w:id="239"/>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jc w:val="both"/>
        <w:ind w:left="6" w:firstLine="283"/>
        <w:spacing w:after="0" w:line="329" w:lineRule="auto"/>
        <w:rPr>
          <w:sz w:val="20"/>
          <w:szCs w:val="20"/>
          <w:color w:val="auto"/>
        </w:rPr>
      </w:pPr>
      <w:r>
        <w:rPr>
          <w:rFonts w:ascii="Arial" w:cs="Arial" w:eastAsia="Arial" w:hAnsi="Arial"/>
          <w:sz w:val="13"/>
          <w:szCs w:val="13"/>
          <w:color w:val="auto"/>
        </w:rPr>
        <w:t>The Company from time-to-time enters into commodity swap agreements as a means to hedge against the market volatility of prices of Renewable power sales. These are considered as economic hedges and the Company made an accounting policy election to record the realized and unrealized gain (loss) on these derivatives as part of Revenues — Renewable power in its consolidated statements of operations. The Company recorded realized and unrealized loss of $1,170, $207, and $756 in connection with these commodity swap agreements as part of Revenues in its consolidated statement of operations for the years ended December 31, 2021, 2020, and 2019.</w:t>
      </w:r>
    </w:p>
    <w:p>
      <w:pPr>
        <w:spacing w:after="0" w:line="122" w:lineRule="exact"/>
        <w:rPr>
          <w:sz w:val="20"/>
          <w:szCs w:val="20"/>
          <w:color w:val="auto"/>
        </w:rPr>
      </w:pPr>
    </w:p>
    <w:p>
      <w:pPr>
        <w:jc w:val="both"/>
        <w:ind w:left="6" w:firstLine="283"/>
        <w:spacing w:after="0" w:line="268" w:lineRule="auto"/>
        <w:rPr>
          <w:sz w:val="20"/>
          <w:szCs w:val="20"/>
          <w:color w:val="auto"/>
        </w:rPr>
      </w:pPr>
      <w:r>
        <w:rPr>
          <w:rFonts w:ascii="Arial" w:cs="Arial" w:eastAsia="Arial" w:hAnsi="Arial"/>
          <w:sz w:val="15"/>
          <w:szCs w:val="15"/>
          <w:color w:val="auto"/>
        </w:rPr>
        <w:t>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Leases, the Company has concluded these agreements meet the criteria for a lease and are classified as operating leases. Typically, these agreements do not require any minimum consumption amounts and, therefore, no minimum payments. Included in RNG fuel revenues are $3,561, $3,460, and $2,981 related to the lease portion of these agreements for the years ended December 31, 2021, 2020, and 2019, respectively. In addition, the Company has assessed all PPAs and concluded that certain PPAs contain a lease element requiring lease accounting. Included in Renewable Power revenues are $1,890, $2,152, and $2,539 related to the lease element of these PPAs for the years ended December 31, 2021, 2020, and 2019, respectively.</w:t>
      </w:r>
    </w:p>
    <w:p>
      <w:pPr>
        <w:spacing w:after="0" w:line="155"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7320" w:type="dxa"/>
            <w:vAlign w:val="bottom"/>
          </w:tcPr>
          <w:p>
            <w:pPr>
              <w:spacing w:after="0"/>
              <w:rPr>
                <w:sz w:val="20"/>
                <w:szCs w:val="20"/>
                <w:color w:val="auto"/>
              </w:rPr>
            </w:pPr>
            <w:r>
              <w:rPr>
                <w:rFonts w:ascii="Arial" w:cs="Arial" w:eastAsia="Arial" w:hAnsi="Arial"/>
                <w:sz w:val="16"/>
                <w:szCs w:val="16"/>
                <w:b w:val="1"/>
                <w:bCs w:val="1"/>
                <w:color w:val="auto"/>
              </w:rPr>
              <w:t>Disaggregation of Revenue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7"/>
        </w:trPr>
        <w:tc>
          <w:tcPr>
            <w:tcW w:w="7320" w:type="dxa"/>
            <w:vAlign w:val="bottom"/>
          </w:tcPr>
          <w:p>
            <w:pPr>
              <w:ind w:left="280"/>
              <w:spacing w:after="0"/>
              <w:rPr>
                <w:sz w:val="20"/>
                <w:szCs w:val="20"/>
                <w:color w:val="auto"/>
              </w:rPr>
            </w:pPr>
            <w:r>
              <w:rPr>
                <w:rFonts w:ascii="Arial" w:cs="Arial" w:eastAsia="Arial" w:hAnsi="Arial"/>
                <w:sz w:val="16"/>
                <w:szCs w:val="16"/>
                <w:color w:val="auto"/>
                <w:w w:val="97"/>
              </w:rPr>
              <w:t>The following table summarizes the disaggregation of revenue according to product line and segment: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1"/>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7"/>
              </w:rPr>
              <w:t>Fiscal Years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December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42"/>
              <w:spacing w:after="0" w:line="223" w:lineRule="exact"/>
              <w:rPr>
                <w:sz w:val="20"/>
                <w:szCs w:val="20"/>
                <w:color w:val="auto"/>
              </w:rPr>
            </w:pPr>
            <w:r>
              <w:rPr>
                <w:rFonts w:ascii="Arial" w:cs="Arial" w:eastAsia="Arial" w:hAnsi="Arial"/>
                <w:sz w:val="15"/>
                <w:szCs w:val="15"/>
                <w:b w:val="1"/>
                <w:bCs w:val="1"/>
                <w:color w:val="auto"/>
              </w:rPr>
              <w:t>2020</w:t>
            </w:r>
            <w:r>
              <w:rPr>
                <w:rFonts w:ascii="Arial" w:cs="Arial" w:eastAsia="Arial" w:hAnsi="Arial"/>
                <w:sz w:val="25"/>
                <w:szCs w:val="25"/>
                <w:b w:val="1"/>
                <w:bCs w:val="1"/>
                <w:color w:val="auto"/>
                <w:vertAlign w:val="superscript"/>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42"/>
              <w:spacing w:after="0" w:line="223" w:lineRule="exact"/>
              <w:rPr>
                <w:sz w:val="20"/>
                <w:szCs w:val="20"/>
                <w:color w:val="auto"/>
              </w:rPr>
            </w:pPr>
            <w:r>
              <w:rPr>
                <w:rFonts w:ascii="Arial" w:cs="Arial" w:eastAsia="Arial" w:hAnsi="Arial"/>
                <w:sz w:val="15"/>
                <w:szCs w:val="15"/>
                <w:b w:val="1"/>
                <w:bCs w:val="1"/>
                <w:color w:val="auto"/>
              </w:rPr>
              <w:t>2019</w:t>
            </w:r>
            <w:r>
              <w:rPr>
                <w:rFonts w:ascii="Arial" w:cs="Arial" w:eastAsia="Arial" w:hAnsi="Arial"/>
                <w:sz w:val="25"/>
                <w:szCs w:val="25"/>
                <w:b w:val="1"/>
                <w:bCs w:val="1"/>
                <w:color w:val="auto"/>
                <w:vertAlign w:val="superscript"/>
              </w:rPr>
              <w:t>(1)</w:t>
            </w:r>
          </w:p>
        </w:tc>
        <w:tc>
          <w:tcPr>
            <w:tcW w:w="120" w:type="dxa"/>
            <w:vAlign w:val="bottom"/>
          </w:tcPr>
          <w:p>
            <w:pPr>
              <w:spacing w:after="0"/>
              <w:rPr>
                <w:sz w:val="19"/>
                <w:szCs w:val="19"/>
                <w:color w:val="auto"/>
              </w:rPr>
            </w:pPr>
          </w:p>
        </w:tc>
      </w:tr>
      <w:tr>
        <w:trPr>
          <w:trHeight w:val="188"/>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62"/>
              <w:spacing w:after="0"/>
              <w:rPr>
                <w:sz w:val="20"/>
                <w:szCs w:val="20"/>
                <w:color w:val="auto"/>
              </w:rPr>
            </w:pPr>
            <w:r>
              <w:rPr>
                <w:rFonts w:ascii="Arial" w:cs="Arial" w:eastAsia="Arial" w:hAnsi="Arial"/>
                <w:sz w:val="16"/>
                <w:szCs w:val="16"/>
                <w:color w:val="auto"/>
              </w:rPr>
              <w:t>(Restated)</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w w:val="96"/>
              </w:rPr>
              <w:t>(Restated)</w:t>
            </w:r>
          </w:p>
        </w:tc>
        <w:tc>
          <w:tcPr>
            <w:tcW w:w="120" w:type="dxa"/>
            <w:vAlign w:val="bottom"/>
          </w:tcPr>
          <w:p>
            <w:pPr>
              <w:spacing w:after="0"/>
              <w:rPr>
                <w:sz w:val="16"/>
                <w:szCs w:val="16"/>
                <w:color w:val="auto"/>
              </w:rPr>
            </w:pPr>
          </w:p>
        </w:tc>
      </w:tr>
      <w:tr>
        <w:trPr>
          <w:trHeight w:val="224"/>
        </w:trPr>
        <w:tc>
          <w:tcPr>
            <w:tcW w:w="732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Electricity sales</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40,259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42,186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46,380</w:t>
            </w: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Third Party Construction</w:t>
            </w:r>
          </w:p>
        </w:tc>
        <w:tc>
          <w:tcPr>
            <w:tcW w:w="2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32,630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40,443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43,094</w:t>
            </w: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Service</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17,056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10,582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9,151</w:t>
            </w: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Brown Gas Sales</w:t>
            </w:r>
          </w:p>
        </w:tc>
        <w:tc>
          <w:tcPr>
            <w:tcW w:w="2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12,257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4,591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5,712</w:t>
            </w: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Environmental Credits</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55,863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5,505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1,768</w:t>
            </w: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Parts Sales</w:t>
            </w:r>
          </w:p>
        </w:tc>
        <w:tc>
          <w:tcPr>
            <w:tcW w:w="2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755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3,872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2,772</w:t>
            </w: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Operating Agreements</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3,400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3,256</w:t>
            </w:r>
          </w:p>
        </w:tc>
      </w:tr>
      <w:tr>
        <w:trPr>
          <w:trHeight w:val="204"/>
        </w:trPr>
        <w:tc>
          <w:tcPr>
            <w:tcW w:w="732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1,515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2,049</w:t>
            </w:r>
          </w:p>
        </w:tc>
      </w:tr>
      <w:tr>
        <w:trPr>
          <w:trHeight w:val="20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 from Contracts with Customer</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732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color w:val="auto"/>
              </w:rPr>
              <w:t>Lease revenue</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4,076</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5,612</w:t>
            </w: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5,520</w:t>
            </w:r>
          </w:p>
        </w:tc>
        <w:tc>
          <w:tcPr>
            <w:tcW w:w="120" w:type="dxa"/>
            <w:vAlign w:val="bottom"/>
            <w:tcBorders>
              <w:bottom w:val="single" w:sz="8" w:color="CCEEFF"/>
            </w:tcBorders>
          </w:tcPr>
          <w:p>
            <w:pPr>
              <w:spacing w:after="0"/>
              <w:rPr>
                <w:sz w:val="15"/>
                <w:szCs w:val="15"/>
                <w:color w:val="auto"/>
              </w:rPr>
            </w:pPr>
          </w:p>
        </w:tc>
      </w:tr>
      <w:tr>
        <w:trPr>
          <w:trHeight w:val="251"/>
        </w:trPr>
        <w:tc>
          <w:tcPr>
            <w:tcW w:w="7320" w:type="dxa"/>
            <w:vAlign w:val="bottom"/>
            <w:shd w:val="clear" w:color="auto" w:fill="CCEEFF"/>
          </w:tcPr>
          <w:p>
            <w:pPr>
              <w:spacing w:after="0" w:line="247" w:lineRule="exact"/>
              <w:rPr>
                <w:sz w:val="20"/>
                <w:szCs w:val="20"/>
                <w:color w:val="auto"/>
              </w:rPr>
            </w:pPr>
            <w:r>
              <w:rPr>
                <w:rFonts w:ascii="Arial" w:cs="Arial" w:eastAsia="Arial" w:hAnsi="Arial"/>
                <w:sz w:val="16"/>
                <w:szCs w:val="16"/>
                <w:b w:val="1"/>
                <w:bCs w:val="1"/>
                <w:color w:val="auto"/>
              </w:rPr>
              <w:t>Total Revenue</w:t>
            </w:r>
            <w:r>
              <w:rPr>
                <w:rFonts w:ascii="Arial" w:cs="Arial" w:eastAsia="Arial" w:hAnsi="Arial"/>
                <w:sz w:val="26"/>
                <w:szCs w:val="26"/>
                <w:b w:val="1"/>
                <w:bCs w:val="1"/>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166,124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117,706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119,702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286" w:hanging="286"/>
        <w:spacing w:after="0" w:line="266" w:lineRule="auto"/>
        <w:tabs>
          <w:tab w:leader="none" w:pos="28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Electricity sales, environmental credits, and total revenue for the years ended December 31, 2020, and 2019 have been restated to correct errors in previously issued financial statements. See Note 2, Restatement of </w:t>
      </w:r>
      <w:r>
        <w:rPr>
          <w:rFonts w:ascii="Arial" w:cs="Arial" w:eastAsia="Arial" w:hAnsi="Arial"/>
          <w:sz w:val="16"/>
          <w:szCs w:val="16"/>
          <w:i w:val="1"/>
          <w:iCs w:val="1"/>
          <w:color w:val="auto"/>
        </w:rPr>
        <w:t>Financial Statements</w:t>
      </w:r>
      <w:r>
        <w:rPr>
          <w:rFonts w:ascii="Arial" w:cs="Arial" w:eastAsia="Arial" w:hAnsi="Arial"/>
          <w:sz w:val="16"/>
          <w:szCs w:val="16"/>
          <w:color w:val="auto"/>
        </w:rPr>
        <w:t>, for additional information.</w:t>
      </w:r>
    </w:p>
    <w:p>
      <w:pPr>
        <w:spacing w:after="0" w:line="157" w:lineRule="exact"/>
        <w:rPr>
          <w:sz w:val="20"/>
          <w:szCs w:val="20"/>
          <w:color w:val="auto"/>
        </w:rPr>
      </w:pPr>
    </w:p>
    <w:p>
      <w:pPr>
        <w:ind w:left="6" w:right="20" w:firstLine="283"/>
        <w:spacing w:after="0" w:line="266" w:lineRule="auto"/>
        <w:rPr>
          <w:sz w:val="20"/>
          <w:szCs w:val="20"/>
          <w:color w:val="auto"/>
        </w:rPr>
      </w:pPr>
      <w:r>
        <w:rPr>
          <w:rFonts w:ascii="Arial" w:cs="Arial" w:eastAsia="Arial" w:hAnsi="Arial"/>
          <w:sz w:val="16"/>
          <w:szCs w:val="16"/>
          <w:color w:val="auto"/>
        </w:rPr>
        <w:t>For the years ended December 31, 2021, 2020, and 2019, approximately 28.9% , 42.5% and 43.6%, respectively, of revenue was recognized over time, and the remainder was for products and services transferred at a point in time.</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Balances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receivables, contract assets and contract liabilities from contracts with customers:</w:t>
      </w:r>
    </w:p>
    <w:p>
      <w:pPr>
        <w:spacing w:after="0" w:line="189" w:lineRule="exact"/>
        <w:rPr>
          <w:sz w:val="20"/>
          <w:szCs w:val="20"/>
          <w:color w:val="auto"/>
        </w:rPr>
      </w:pPr>
    </w:p>
    <w:p>
      <w:pPr>
        <w:jc w:val="center"/>
        <w:ind w:left="8580"/>
        <w:spacing w:after="0"/>
        <w:rPr>
          <w:sz w:val="20"/>
          <w:szCs w:val="20"/>
          <w:color w:val="auto"/>
        </w:rPr>
      </w:pPr>
      <w:r>
        <w:rPr>
          <w:rFonts w:ascii="Arial" w:cs="Arial" w:eastAsia="Arial" w:hAnsi="Arial"/>
          <w:sz w:val="13"/>
          <w:szCs w:val="13"/>
          <w:b w:val="1"/>
          <w:bCs w:val="1"/>
          <w:color w:val="auto"/>
        </w:rPr>
        <w:t>Fiscal Years Ended</w:t>
      </w:r>
    </w:p>
    <w:p>
      <w:pPr>
        <w:spacing w:after="0" w:line="54"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December 31,</w:t>
      </w:r>
    </w:p>
    <w:p>
      <w:pPr>
        <w:sectPr>
          <w:pgSz w:w="11900" w:h="16838" w:orient="portrait"/>
          <w:cols w:equalWidth="0" w:num="1">
            <w:col w:w="11260"/>
          </w:cols>
          <w:pgMar w:left="320" w:top="688" w:right="3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0100" cy="134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Costs and estimated earnings in excess of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150100" cy="1193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retainage,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50100" cy="134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Billings in excess of cost and estimated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150100" cy="156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100"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22,002</w:t>
            </w:r>
          </w:p>
        </w:tc>
        <w:tc>
          <w:tcPr>
            <w:tcW w:w="20" w:type="dxa"/>
            <w:vAlign w:val="bottom"/>
            <w:tcBorders>
              <w:bottom w:val="single" w:sz="8" w:color="auto"/>
            </w:tcBorders>
          </w:tcPr>
          <w:p>
            <w:pPr>
              <w:spacing w:after="0"/>
              <w:rPr>
                <w:sz w:val="16"/>
                <w:szCs w:val="16"/>
                <w:color w:val="auto"/>
              </w:rPr>
            </w:pPr>
          </w:p>
        </w:tc>
      </w:tr>
      <w:tr>
        <w:trPr>
          <w:trHeight w:val="37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5,989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2,903</w:t>
            </w: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2,495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2,621</w:t>
            </w:r>
          </w:p>
        </w:tc>
        <w:tc>
          <w:tcPr>
            <w:tcW w:w="2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8,484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5,524</w:t>
            </w:r>
          </w:p>
        </w:tc>
        <w:tc>
          <w:tcPr>
            <w:tcW w:w="20" w:type="dxa"/>
            <w:vAlign w:val="bottom"/>
            <w:tcBorders>
              <w:top w:val="single" w:sz="8" w:color="auto"/>
              <w:bottom w:val="single" w:sz="8" w:color="auto"/>
            </w:tcBorders>
          </w:tcPr>
          <w:p>
            <w:pPr>
              <w:spacing w:after="0"/>
              <w:rPr>
                <w:sz w:val="16"/>
                <w:szCs w:val="16"/>
                <w:color w:val="auto"/>
              </w:rPr>
            </w:pPr>
          </w:p>
        </w:tc>
      </w:tr>
      <w:tr>
        <w:trPr>
          <w:trHeight w:val="416"/>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9,785</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4,678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76" w:lineRule="exact"/>
        <w:rPr>
          <w:sz w:val="20"/>
          <w:szCs w:val="20"/>
          <w:color w:val="auto"/>
        </w:rPr>
      </w:pPr>
    </w:p>
    <w:p>
      <w:pPr>
        <w:sectPr>
          <w:pgSz w:w="11900" w:h="16838" w:orient="portrait"/>
          <w:cols w:equalWidth="0" w:num="2">
            <w:col w:w="7960" w:space="720"/>
            <w:col w:w="2580"/>
          </w:cols>
          <w:pgMar w:left="320" w:top="688" w:right="319" w:bottom="1440" w:gutter="0" w:footer="0" w:header="0"/>
          <w:type w:val="continuous"/>
        </w:sectPr>
      </w:pPr>
    </w:p>
    <w:p>
      <w:pPr>
        <w:jc w:val="both"/>
        <w:ind w:firstLine="283"/>
        <w:spacing w:after="0" w:line="251" w:lineRule="auto"/>
        <w:rPr>
          <w:sz w:val="20"/>
          <w:szCs w:val="20"/>
          <w:color w:val="auto"/>
        </w:rPr>
      </w:pPr>
      <w:r>
        <w:rPr>
          <w:rFonts w:ascii="Arial" w:cs="Arial" w:eastAsia="Arial" w:hAnsi="Arial"/>
          <w:sz w:val="16"/>
          <w:szCs w:val="16"/>
          <w:color w:val="auto"/>
        </w:rPr>
        <w:t>The increase in contract assets for December 31, 2021 versus December 31, 2020 was primarily due to revenue recognition of satisfied performance obligations being greater than advance payments and related billings during the year. The increase in contract liabilities December 31, 2021 versus December 31, 2020 was due to advance payments from customers and related billings exceeding revenue recognition as performance obligations were satisfied during the year. During the years ended December 31, 2021 and 2020, the Company recognized revenue of $4,678 and $2,501, respectively from contract liabilities recorded at December 31, 2020 and 2019, which represented 100% of the prior year balance for both years.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93"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16"/>
          <w:szCs w:val="16"/>
          <w:color w:val="auto"/>
        </w:rPr>
        <w:t>The Company’s remaining performance obligations (</w:t>
      </w:r>
      <w:r>
        <w:rPr>
          <w:rFonts w:ascii="Arial" w:cs="Arial" w:eastAsia="Arial" w:hAnsi="Arial"/>
          <w:sz w:val="16"/>
          <w:szCs w:val="16"/>
          <w:b w:val="1"/>
          <w:bCs w:val="1"/>
          <w:color w:val="auto"/>
        </w:rPr>
        <w:t>“backlog”</w:t>
      </w:r>
      <w:r>
        <w:rPr>
          <w:rFonts w:ascii="Arial" w:cs="Arial" w:eastAsia="Arial" w:hAnsi="Arial"/>
          <w:sz w:val="16"/>
          <w:szCs w:val="16"/>
          <w:color w:val="auto"/>
        </w:rPr>
        <w:t>) represent the unrecognized revenue value of its contract commitments. These contracts are firm contracts unless terminated for certain causes by either party as defined by the contract. The Company’s backlog may significantly vary each reporting period based on the timing of major new contract commitments. At December 31, 2021, the Company had a backlog of $47,423 with 100% of its backlog anticipated to be recognized as revenue in the next 12 months.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Intersegment Sales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accounts for intersegment sales and transfers as if these sales and transfers were to third parties at current market prices.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Income (Loss) Per Unit</w:t>
      </w:r>
    </w:p>
    <w:p>
      <w:pPr>
        <w:spacing w:after="0" w:line="19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On November 29, 2021, the Company amended and restated the LLCA to provide for the creation and issuance of multiple classes and series of units and admission of additional members to the Company in connection with the proposed business combination. The outstanding membership interests were converted to 986 common units, all of which were held by the Parent. Upon the conversion of membership interests into units, the Company presented the net income (loss) per unit on a retrospective basis for all periods presented in the consolidated financial statements.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type w:val="continuous"/>
        </w:sectPr>
      </w:pPr>
    </w:p>
    <w:bookmarkStart w:id="241" w:name="page242"/>
    <w:bookmarkEnd w:id="241"/>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 xml:space="preserve">Subsequently, on the same day and in contemplation of the proposed BCA with ArcLight, the Company authorized an additional 14 common units, and authorized 600,000 Series A-1 preferred units and 2,000,000 Series A preferred units. From November 29, 2021 through December 31, 2021, all 1,000 common units were issued and outstanding, 300,000 Series A-1 preferred units were issued and outstanding, and no Series A preferred units had been issued. See Note 18, </w:t>
      </w:r>
      <w:r>
        <w:rPr>
          <w:rFonts w:ascii="Arial" w:cs="Arial" w:eastAsia="Arial" w:hAnsi="Arial"/>
          <w:sz w:val="16"/>
          <w:szCs w:val="16"/>
          <w:i w:val="1"/>
          <w:iCs w:val="1"/>
          <w:color w:val="auto"/>
        </w:rPr>
        <w:t>Redeemable Preferred Units and Equity</w:t>
      </w:r>
      <w:r>
        <w:rPr>
          <w:rFonts w:ascii="Arial" w:cs="Arial" w:eastAsia="Arial" w:hAnsi="Arial"/>
          <w:sz w:val="16"/>
          <w:szCs w:val="16"/>
          <w:color w:val="auto"/>
        </w:rPr>
        <w:t>, for additional information.</w:t>
      </w:r>
    </w:p>
    <w:p>
      <w:pPr>
        <w:spacing w:after="0" w:line="169"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The basic income (loss) per unit attributable to members of OPAL Fuels LLC is computed by dividing the net income (loss) attributable to OPAL Fuels LLC by the weighted-average number of common units outstanding during the period. Diluted net income (loss) does not give effect to 300,000 Series A-1 preferred units issued to Hillman as the conversion is based on achieving a substantive contingency that is not based on the Company’s stock price. The conversion is based on the Company’s failure to redeem upon exercise. The diluted net income (loss) will reflect the contingently issuable common units in the period the contingency is met. Additionally, the diluted net income (loss) does not include outstanding equity awards since they are not denominated in common units and they cannot be converted to common units.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 and Concentration of Credit Risk</w:t>
      </w:r>
    </w:p>
    <w:p>
      <w:pPr>
        <w:spacing w:after="0" w:line="19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In 2021, 2020, and 2019, one customer accounted for 16%, 30% and 20% of revenues, respectively. At December 31, 2021 and 2020, one customer accounted for 11% and 40%, respectively of accounts receivable. 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Suppliers</w:t>
      </w:r>
    </w:p>
    <w:p>
      <w:pPr>
        <w:spacing w:after="0" w:line="19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In 2021, one supplier of the Company accounted for 17% or more of total Company purchases. In 2020 and 2019, one supplier accounted for 9% and 16%, respectively of total Company purchases. At December 31, 2021 and 2020, two suppliers accounted for 61% and 37%, respectively, of accounts payable.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in other entities</w:t>
      </w:r>
    </w:p>
    <w:p>
      <w:pPr>
        <w:spacing w:after="0" w:line="19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5"/>
          <w:szCs w:val="15"/>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2021, 2020, and 2019 the Company did not identify any impairments on its investments in other entities.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receivable</w:t>
      </w:r>
    </w:p>
    <w:p>
      <w:pPr>
        <w:spacing w:after="0" w:line="197" w:lineRule="exact"/>
        <w:rPr>
          <w:sz w:val="20"/>
          <w:szCs w:val="20"/>
          <w:color w:val="auto"/>
        </w:rPr>
      </w:pPr>
    </w:p>
    <w:p>
      <w:pPr>
        <w:jc w:val="both"/>
        <w:ind w:firstLine="283"/>
        <w:spacing w:after="0" w:line="318" w:lineRule="auto"/>
        <w:rPr>
          <w:sz w:val="20"/>
          <w:szCs w:val="20"/>
          <w:color w:val="auto"/>
        </w:rPr>
      </w:pPr>
      <w:r>
        <w:rPr>
          <w:rFonts w:ascii="Arial" w:cs="Arial" w:eastAsia="Arial" w:hAnsi="Arial"/>
          <w:sz w:val="13"/>
          <w:szCs w:val="13"/>
          <w:color w:val="auto"/>
        </w:rPr>
        <w:t>In the third quarter of 2021, the Company acquired the rights to a note purchase agreement (“Note receivable”) for $10,450 with an entity in which it holds 10% equity interest. The note receivable bears an interest of 12.5% out of which 4.5% will be paid-in-kind until the facility is operational. Additionally, the Company entered into a separate fee letter which entitles the Company to receive a portion of the distribution of counterparty’s future revenues up to a maximum of $4,500. The Company accounted for the amounts to be received under the fee letter as a loan under ASC 310 and allocated $1,538 out of the $10,450 to “Note receivable — variable fee component” on its consolidated balance sheet as of the date of issuance of the Note receivable. The Company amortized $288 and $118 as the interest income which is added to the principal balance in its consolidated balance of Note receivable and Note receivable — variable fee component, respectively, sheet as of December 31, 2021.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Measurements</w:t>
      </w:r>
    </w:p>
    <w:p>
      <w:pPr>
        <w:spacing w:after="0" w:line="19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The fair value of financial instruments, including long 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65"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carrying value of the Company’s long-term debt of $134,083 and $90,504 as of December 31, 2021 and 2020, respectively, represents the total amount to be repaid if the debt has to be discharged in full and therefore approximates its fair value.</w:t>
      </w:r>
    </w:p>
    <w:p>
      <w:pPr>
        <w:spacing w:after="0" w:line="15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Company follows ASC 820 regarding fair value measurements which establishes a three-tier fair value hierarchy and prioritizes the inputs used in valuation techniques that measure fair value. These tiers include: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1 — defined as observable inputs such as quoted prices for identical instruments in active markets.</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3 — defined as unobservable inputs in which little or no market data exists, therefore requiring an entity to develop its own assumptions.</w:t>
      </w:r>
    </w:p>
    <w:p>
      <w:pPr>
        <w:spacing w:after="0" w:line="193" w:lineRule="exact"/>
        <w:rPr>
          <w:sz w:val="20"/>
          <w:szCs w:val="20"/>
          <w:color w:val="auto"/>
        </w:rPr>
      </w:pPr>
    </w:p>
    <w:p>
      <w:pPr>
        <w:jc w:val="both"/>
        <w:ind w:right="20" w:firstLine="283"/>
        <w:spacing w:after="0" w:line="252" w:lineRule="auto"/>
        <w:rPr>
          <w:sz w:val="20"/>
          <w:szCs w:val="20"/>
          <w:color w:val="auto"/>
        </w:rPr>
      </w:pPr>
      <w:r>
        <w:rPr>
          <w:rFonts w:ascii="Arial" w:cs="Arial" w:eastAsia="Arial" w:hAnsi="Arial"/>
          <w:sz w:val="16"/>
          <w:szCs w:val="16"/>
          <w:color w:val="auto"/>
        </w:rPr>
        <w:t>The following table sets forth by level within the fair value hierarchy the Company’s financial assets and liabilities that were accounted for at fair value on a recurring basis as of December 31, 2021 and 2020. 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15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The Company values its energy commodity swap contracts based on the applicable geographical market energy forward curve. The forward curve are derived based on the quotes provided by New York Mercantile Exchange (“NYMEX”), Amerex Energy Services (“Amerex”) and Tradition Energy (“Tradition”).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69"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5"/>
          <w:szCs w:val="15"/>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(“DCF”)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were no transfers of assets between Level 1, Level 2, or Level 3 of the fair value hierarchy as of December 31, 2021 or December 31, 2020.</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Company’s assets and liabilities that are measured at fair value on a recurring basis include the following as of December 31, 2021 and December 31, 2020, set forth by level, within the fair value hierarchy: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6"/>
                <w:szCs w:val="16"/>
                <w:b w:val="1"/>
                <w:bCs w:val="1"/>
                <w:color w:val="auto"/>
                <w:w w:val="88"/>
              </w:rPr>
              <w:t>Fair value as of December 31, 2021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4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6"/>
                <w:szCs w:val="16"/>
                <w:color w:val="auto"/>
              </w:rPr>
              <w:t>Liabilities:</w:t>
            </w:r>
          </w:p>
        </w:tc>
        <w:tc>
          <w:tcPr>
            <w:tcW w:w="10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2060" w:type="dxa"/>
            <w:vAlign w:val="bottom"/>
            <w:gridSpan w:val="2"/>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5,738</w:t>
            </w: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5,738</w:t>
            </w:r>
          </w:p>
        </w:tc>
      </w:tr>
      <w:tr>
        <w:trPr>
          <w:trHeight w:val="188"/>
        </w:trPr>
        <w:tc>
          <w:tcPr>
            <w:tcW w:w="4820" w:type="dxa"/>
            <w:vAlign w:val="bottom"/>
          </w:tcPr>
          <w:p>
            <w:pPr>
              <w:spacing w:after="0"/>
              <w:rPr>
                <w:sz w:val="20"/>
                <w:szCs w:val="20"/>
                <w:color w:val="auto"/>
              </w:rPr>
            </w:pPr>
            <w:r>
              <w:rPr>
                <w:rFonts w:ascii="Arial" w:cs="Arial" w:eastAsia="Arial" w:hAnsi="Arial"/>
                <w:sz w:val="16"/>
                <w:szCs w:val="16"/>
                <w:color w:val="auto"/>
              </w:rPr>
              <w:t>Interest rate swaps</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992</w:t>
            </w:r>
          </w:p>
        </w:tc>
        <w:tc>
          <w:tcPr>
            <w:tcW w:w="3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992</w:t>
            </w:r>
          </w:p>
        </w:tc>
      </w:tr>
      <w:tr>
        <w:trPr>
          <w:trHeight w:val="188"/>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Contingent consideration on acquisition of non-controlling interest</w:t>
            </w: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4,456</w:t>
            </w:r>
          </w:p>
        </w:tc>
        <w:tc>
          <w:tcPr>
            <w:tcW w:w="3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4,456</w:t>
            </w:r>
          </w:p>
        </w:tc>
      </w:tr>
      <w:tr>
        <w:trPr>
          <w:trHeight w:val="188"/>
        </w:trPr>
        <w:tc>
          <w:tcPr>
            <w:tcW w:w="4820" w:type="dxa"/>
            <w:vAlign w:val="bottom"/>
          </w:tcPr>
          <w:p>
            <w:pPr>
              <w:spacing w:after="0"/>
              <w:rPr>
                <w:sz w:val="20"/>
                <w:szCs w:val="20"/>
                <w:color w:val="auto"/>
              </w:rPr>
            </w:pPr>
            <w:r>
              <w:rPr>
                <w:rFonts w:ascii="Arial" w:cs="Arial" w:eastAsia="Arial" w:hAnsi="Arial"/>
                <w:sz w:val="16"/>
                <w:szCs w:val="16"/>
                <w:color w:val="auto"/>
              </w:rPr>
              <w:t>Convertible note payable</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58,710</w:t>
            </w:r>
          </w:p>
        </w:tc>
        <w:tc>
          <w:tcPr>
            <w:tcW w:w="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0"/>
        </w:trPr>
        <w:tc>
          <w:tcPr>
            <w:tcW w:w="4820" w:type="dxa"/>
            <w:vAlign w:val="bottom"/>
          </w:tcPr>
          <w:p>
            <w:pPr>
              <w:spacing w:after="0"/>
              <w:rPr>
                <w:sz w:val="20"/>
                <w:szCs w:val="20"/>
                <w:color w:val="auto"/>
              </w:rPr>
            </w:pPr>
            <w:r>
              <w:rPr>
                <w:rFonts w:ascii="Arial" w:cs="Arial" w:eastAsia="Arial" w:hAnsi="Arial"/>
                <w:sz w:val="16"/>
                <w:szCs w:val="16"/>
                <w:color w:val="auto"/>
              </w:rPr>
              <w:t>Commodity swap contracts</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382</w:t>
            </w:r>
          </w:p>
        </w:tc>
        <w:tc>
          <w:tcPr>
            <w:tcW w:w="3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382</w:t>
            </w:r>
          </w:p>
        </w:tc>
      </w:tr>
      <w:tr>
        <w:trPr>
          <w:trHeight w:val="463"/>
        </w:trPr>
        <w:tc>
          <w:tcPr>
            <w:tcW w:w="48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982"/>
              <w:spacing w:after="0"/>
              <w:rPr>
                <w:sz w:val="20"/>
                <w:szCs w:val="20"/>
                <w:color w:val="auto"/>
              </w:rPr>
            </w:pPr>
            <w:r>
              <w:rPr>
                <w:rFonts w:ascii="Arial" w:cs="Arial" w:eastAsia="Arial" w:hAnsi="Arial"/>
                <w:sz w:val="16"/>
                <w:szCs w:val="16"/>
                <w:color w:val="auto"/>
              </w:rPr>
              <w:t>F-104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244" w:name="page245"/>
    <w:bookmarkEnd w:id="244"/>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598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3"/>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0"/>
          </w:tcPr>
          <w:p>
            <w:pPr>
              <w:jc w:val="center"/>
              <w:ind w:left="602"/>
              <w:spacing w:after="0"/>
              <w:rPr>
                <w:sz w:val="20"/>
                <w:szCs w:val="20"/>
                <w:color w:val="auto"/>
              </w:rPr>
            </w:pPr>
            <w:r>
              <w:rPr>
                <w:rFonts w:ascii="Arial" w:cs="Arial" w:eastAsia="Arial" w:hAnsi="Arial"/>
                <w:sz w:val="16"/>
                <w:szCs w:val="16"/>
                <w:b w:val="1"/>
                <w:bCs w:val="1"/>
                <w:color w:val="auto"/>
                <w:w w:val="88"/>
              </w:rPr>
              <w:t>Fair value as of December 31, 2020 (Restated)</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4"/>
        </w:trPr>
        <w:tc>
          <w:tcPr>
            <w:tcW w:w="598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00" w:type="dxa"/>
            <w:vAlign w:val="bottom"/>
          </w:tcPr>
          <w:p>
            <w:pPr>
              <w:spacing w:after="0"/>
              <w:rPr>
                <w:sz w:val="17"/>
                <w:szCs w:val="17"/>
                <w:color w:val="auto"/>
              </w:rPr>
            </w:pPr>
          </w:p>
        </w:tc>
        <w:tc>
          <w:tcPr>
            <w:tcW w:w="138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1</w:t>
            </w:r>
          </w:p>
        </w:tc>
        <w:tc>
          <w:tcPr>
            <w:tcW w:w="134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2</w:t>
            </w: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5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1340" w:type="dxa"/>
            <w:vAlign w:val="bottom"/>
            <w:gridSpan w:val="3"/>
            <w:shd w:val="clear" w:color="auto" w:fill="CCEEFF"/>
          </w:tcPr>
          <w:p>
            <w:pPr>
              <w:jc w:val="center"/>
              <w:ind w:left="562"/>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4,885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4,885</w:t>
            </w:r>
          </w:p>
        </w:tc>
      </w:tr>
      <w:tr>
        <w:trPr>
          <w:trHeight w:val="188"/>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Interest rate swaps</w:t>
            </w:r>
          </w:p>
        </w:tc>
        <w:tc>
          <w:tcPr>
            <w:tcW w:w="200" w:type="dxa"/>
            <w:vAlign w:val="bottom"/>
          </w:tcPr>
          <w:p>
            <w:pPr>
              <w:spacing w:after="0"/>
              <w:rPr>
                <w:sz w:val="16"/>
                <w:szCs w:val="16"/>
                <w:color w:val="auto"/>
              </w:rPr>
            </w:pPr>
          </w:p>
        </w:tc>
        <w:tc>
          <w:tcPr>
            <w:tcW w:w="138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2,785</w:t>
            </w:r>
          </w:p>
        </w:tc>
        <w:tc>
          <w:tcPr>
            <w:tcW w:w="2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2,785</w:t>
            </w:r>
          </w:p>
        </w:tc>
      </w:tr>
      <w:tr>
        <w:trPr>
          <w:trHeight w:val="224"/>
        </w:trPr>
        <w:tc>
          <w:tcPr>
            <w:tcW w:w="20" w:type="dxa"/>
            <w:vAlign w:val="bottom"/>
          </w:tcPr>
          <w:p>
            <w:pPr>
              <w:spacing w:after="0"/>
              <w:rPr>
                <w:sz w:val="19"/>
                <w:szCs w:val="19"/>
                <w:color w:val="auto"/>
              </w:rPr>
            </w:pPr>
          </w:p>
        </w:tc>
        <w:tc>
          <w:tcPr>
            <w:tcW w:w="5960" w:type="dxa"/>
            <w:vAlign w:val="bottom"/>
            <w:gridSpan w:val="2"/>
            <w:shd w:val="clear" w:color="auto" w:fill="CCEEFF"/>
          </w:tcPr>
          <w:p>
            <w:pPr>
              <w:spacing w:after="0" w:line="223" w:lineRule="exact"/>
              <w:rPr>
                <w:sz w:val="20"/>
                <w:szCs w:val="20"/>
                <w:color w:val="auto"/>
              </w:rPr>
            </w:pPr>
            <w:r>
              <w:rPr>
                <w:rFonts w:ascii="Arial" w:cs="Arial" w:eastAsia="Arial" w:hAnsi="Arial"/>
                <w:sz w:val="15"/>
                <w:szCs w:val="15"/>
                <w:color w:val="auto"/>
              </w:rPr>
              <w:t>Commodity swap contracts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286" w:right="20" w:hanging="286"/>
        <w:spacing w:after="0" w:line="383" w:lineRule="auto"/>
        <w:tabs>
          <w:tab w:leader="none" w:pos="286"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Company restated its consolidated balance sheet as of December 31, 2020 to record a Derivative financial asset — current portion of $1,529 relating to unrealized gain on its commodity swap contracts. See Note 2, Restatement of Financial Statements and Note 12 Derivative Financial Instruments for additional information.</w:t>
      </w:r>
    </w:p>
    <w:p>
      <w:pPr>
        <w:spacing w:after="0" w:line="88" w:lineRule="exact"/>
        <w:rPr>
          <w:sz w:val="20"/>
          <w:szCs w:val="20"/>
          <w:color w:val="auto"/>
        </w:rPr>
      </w:pPr>
    </w:p>
    <w:p>
      <w:pPr>
        <w:ind w:left="6" w:right="20" w:firstLine="283"/>
        <w:spacing w:after="0" w:line="266" w:lineRule="auto"/>
        <w:rPr>
          <w:sz w:val="20"/>
          <w:szCs w:val="20"/>
          <w:color w:val="auto"/>
        </w:rPr>
      </w:pPr>
      <w:r>
        <w:rPr>
          <w:rFonts w:ascii="Arial" w:cs="Arial" w:eastAsia="Arial" w:hAnsi="Arial"/>
          <w:sz w:val="16"/>
          <w:szCs w:val="16"/>
          <w:color w:val="auto"/>
        </w:rPr>
        <w:t xml:space="preserve">A summary of changes in the fair values of the Company’s Level 3 instruments, attributable to asset retirement obligations, for the years ended December 31, 2021 and December 31, 2020 is included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153" w:lineRule="exact"/>
        <w:rPr>
          <w:sz w:val="20"/>
          <w:szCs w:val="20"/>
          <w:color w:val="auto"/>
        </w:rPr>
      </w:pPr>
    </w:p>
    <w:p>
      <w:pPr>
        <w:ind w:left="6" w:right="9340" w:hanging="6"/>
        <w:spacing w:after="0" w:line="605" w:lineRule="auto"/>
        <w:tabs>
          <w:tab w:leader="none" w:pos="163"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Company Operations Power Purchase Agreements</w:t>
      </w:r>
    </w:p>
    <w:p>
      <w:pPr>
        <w:jc w:val="both"/>
        <w:ind w:left="6" w:firstLine="283"/>
        <w:spacing w:after="0" w:line="276" w:lineRule="auto"/>
        <w:rPr>
          <w:sz w:val="20"/>
          <w:szCs w:val="20"/>
          <w:color w:val="auto"/>
        </w:rPr>
      </w:pPr>
      <w:r>
        <w:rPr>
          <w:rFonts w:ascii="Arial" w:cs="Arial" w:eastAsia="Arial" w:hAnsi="Arial"/>
          <w:sz w:val="15"/>
          <w:szCs w:val="15"/>
          <w:color w:val="auto"/>
        </w:rPr>
        <w:t>The Company has PPAs with utilities to sell electricity and receive capacity and energy payments. The PPAs expire from 2022 to 2036</w:t>
      </w:r>
      <w:r>
        <w:rPr>
          <w:rFonts w:ascii="Arial" w:cs="Arial" w:eastAsia="Arial" w:hAnsi="Arial"/>
          <w:sz w:val="15"/>
          <w:szCs w:val="15"/>
          <w:b w:val="1"/>
          <w:bCs w:val="1"/>
          <w:color w:val="auto"/>
        </w:rPr>
        <w:t>.</w:t>
      </w:r>
      <w:r>
        <w:rPr>
          <w:rFonts w:ascii="Arial" w:cs="Arial" w:eastAsia="Arial" w:hAnsi="Arial"/>
          <w:sz w:val="15"/>
          <w:szCs w:val="15"/>
          <w:color w:val="auto"/>
        </w:rPr>
        <w:t xml:space="preserve"> The price per megawatt hour (“MWh”) varies for each contract. For the years ended December 31, 2021, 2020, and 2019, power sales revenues under long-term agreements totalled $37,359, $40,547, and $45,421, respectively, and are recorded as a component of Revenues — Renewable power within the consolidated statements of operations. In 2020, the Company terminated a PPA with landfill owner and recognized a gain on termination of PPA of $1,292 in the consolidated statements of operations.</w:t>
      </w:r>
    </w:p>
    <w:p>
      <w:pPr>
        <w:spacing w:after="0" w:line="153" w:lineRule="exact"/>
        <w:rPr>
          <w:sz w:val="20"/>
          <w:szCs w:val="20"/>
          <w:color w:val="auto"/>
        </w:rPr>
      </w:pPr>
    </w:p>
    <w:p>
      <w:pPr>
        <w:jc w:val="both"/>
        <w:ind w:left="6" w:right="20" w:firstLine="283"/>
        <w:spacing w:after="0" w:line="300" w:lineRule="auto"/>
        <w:rPr>
          <w:sz w:val="20"/>
          <w:szCs w:val="20"/>
          <w:color w:val="auto"/>
        </w:rPr>
      </w:pPr>
      <w:r>
        <w:rPr>
          <w:rFonts w:ascii="Arial" w:cs="Arial" w:eastAsia="Arial" w:hAnsi="Arial"/>
          <w:sz w:val="15"/>
          <w:szCs w:val="15"/>
          <w:color w:val="auto"/>
        </w:rPr>
        <w:t>Certain PPAs contain cash penalties or termination options if the Company causes defaults that are not remedied or if agreements are terminated prior to expiration, as defined in the agreements. The economic viability of the Company’s plants is dependent upon sufficient recoverable LFG and on merchant prices.</w:t>
      </w:r>
    </w:p>
    <w:p>
      <w:pPr>
        <w:spacing w:after="0" w:line="134"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Certain PPAs contain a lease element requiring lease accounting. Accordingly, revenue related to the lease element of these PPAs is also included within renewable power revenue in the consolidated statements of operations.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Renewable Energy Credits</w:t>
      </w:r>
    </w:p>
    <w:p>
      <w:pPr>
        <w:spacing w:after="0" w:line="197"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Certain state laws require that a portion of retail electricity sales must be generated by a renewable energy source. The Company markets and sells renewable energy credits (”RECs”) associated with the renewable energy it produces at several plants.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Gas Purchase Agreements</w:t>
      </w:r>
    </w:p>
    <w:p>
      <w:pPr>
        <w:spacing w:after="0" w:line="197" w:lineRule="exact"/>
        <w:rPr>
          <w:sz w:val="20"/>
          <w:szCs w:val="20"/>
          <w:color w:val="auto"/>
        </w:rPr>
      </w:pPr>
    </w:p>
    <w:p>
      <w:pPr>
        <w:jc w:val="both"/>
        <w:ind w:left="6" w:right="20" w:firstLine="283"/>
        <w:spacing w:after="0" w:line="252" w:lineRule="auto"/>
        <w:rPr>
          <w:sz w:val="20"/>
          <w:szCs w:val="20"/>
          <w:color w:val="auto"/>
        </w:rPr>
      </w:pPr>
      <w:r>
        <w:rPr>
          <w:rFonts w:ascii="Arial" w:cs="Arial" w:eastAsia="Arial" w:hAnsi="Arial"/>
          <w:sz w:val="16"/>
          <w:szCs w:val="16"/>
          <w:color w:val="auto"/>
        </w:rPr>
        <w:t>The Company has LFG purchase agreements with certain landfills which expire from 2023 to 2044, with renewal options for up to six years, and can generally be continued if recoverable gas is available and neither party has terminated the agreement. The gas purchase agreements’ start dates and expiration dates coincide closely with the PPAs to which they relate. During 2021, 2020 and 2019, gas purchases under these agreements totalled $3,744, $3,741, and $3,794, respectively, and are included in cost of sales — renewable power in the consolidated statements of operations.</w:t>
      </w:r>
    </w:p>
    <w:p>
      <w:pPr>
        <w:spacing w:after="0" w:line="26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Company Operations </w:t>
      </w:r>
      <w:r>
        <w:rPr>
          <w:rFonts w:ascii="Arial" w:cs="Arial" w:eastAsia="Arial" w:hAnsi="Arial"/>
          <w:sz w:val="16"/>
          <w:szCs w:val="16"/>
          <w:color w:val="auto"/>
        </w:rPr>
        <w:t>(cont.)</w:t>
      </w:r>
    </w:p>
    <w:p>
      <w:pPr>
        <w:spacing w:after="0" w:line="197" w:lineRule="exact"/>
        <w:rPr>
          <w:sz w:val="20"/>
          <w:szCs w:val="20"/>
          <w:color w:val="auto"/>
        </w:rPr>
      </w:pPr>
    </w:p>
    <w:p>
      <w:pPr>
        <w:jc w:val="both"/>
        <w:ind w:right="20" w:firstLine="283"/>
        <w:spacing w:after="0" w:line="281" w:lineRule="auto"/>
        <w:rPr>
          <w:sz w:val="20"/>
          <w:szCs w:val="20"/>
          <w:color w:val="auto"/>
        </w:rPr>
      </w:pPr>
      <w:r>
        <w:rPr>
          <w:rFonts w:ascii="Arial" w:cs="Arial" w:eastAsia="Arial" w:hAnsi="Arial"/>
          <w:sz w:val="15"/>
          <w:szCs w:val="15"/>
          <w:color w:val="auto"/>
        </w:rPr>
        <w:t>The Company also has agreements with LFG site owners whereby it pays royalties for the gas it captures under formulas which vary by contract but that are based upon a percent of gross revenues from the sale of electricity, the quantity of LFG consumed, or some combination of the two. During 2021, 2020, and 2019, royalty expense totaled $15,241, $6,159, and $6,403, respectively, and is included in cost of sales — Renewable Power in the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Maintenance Agreements</w:t>
      </w:r>
    </w:p>
    <w:p>
      <w:pPr>
        <w:spacing w:after="0" w:line="19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Company has an operating and maintenance agreement (“O&amp;M Agreement”) pursuant to which the Company operates and maintains the site’s gas collection system for the landfill owner. For the years ended December 31, 2021, 2020 and 2019, revenue under the O&amp;M Agreement totaled $3,172, $3,400, and $3,256, respectively, and is recorded in renewable power revenue in the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Acquisition</w:t>
      </w:r>
    </w:p>
    <w:p>
      <w:pPr>
        <w:spacing w:after="0" w:line="19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On May 1, 2021, we acquired the remaining 55.7% ownership interest in Beacon to increase our ownership interest from 44.3% to 100%. Beacon extracts and converts methane gas to RNG from two landfills located in western Pennsylvania and sells the extracted gas to public utilities and separately monetizes environmental attributes through sales to third parties.</w:t>
      </w:r>
    </w:p>
    <w:p>
      <w:pPr>
        <w:spacing w:after="0" w:line="165" w:lineRule="exact"/>
        <w:rPr>
          <w:sz w:val="20"/>
          <w:szCs w:val="20"/>
          <w:color w:val="auto"/>
        </w:rPr>
      </w:pPr>
    </w:p>
    <w:p>
      <w:pPr>
        <w:jc w:val="both"/>
        <w:ind w:right="20" w:firstLine="283"/>
        <w:spacing w:after="0" w:line="342" w:lineRule="auto"/>
        <w:rPr>
          <w:sz w:val="20"/>
          <w:szCs w:val="20"/>
          <w:color w:val="auto"/>
        </w:rPr>
      </w:pPr>
      <w:r>
        <w:rPr>
          <w:rFonts w:ascii="Arial" w:cs="Arial" w:eastAsia="Arial" w:hAnsi="Arial"/>
          <w:sz w:val="13"/>
          <w:szCs w:val="13"/>
          <w:color w:val="auto"/>
        </w:rPr>
        <w:t>Pursuant to an exchange agreement with ARCC Beacon LLC (“Ares”), the Company purchased the remaining ownership interests in Beacon for $50,000, which was paid with a note that matures in 2026 but is convertible to equity in the Company under certain circumstances. The acquisition was determined to be a business combination under ASC 805, Business Combinations. Acquisition-related costs incurred, including those related to the issuance of the convertible note, were insignificant and expensed as incurred.</w:t>
      </w:r>
    </w:p>
    <w:p>
      <w:pPr>
        <w:spacing w:after="0" w:line="115"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Prior to closing on May 1, 2021, our 44.3% equity investment in Beacon was recorded at $24,270. Upon acquisition of the remaining 55.7% ownership interest, our existing equity investment was remeasured to fair value resulting in the recognition of a non-cash $19,818 gain. The fair value measurement was estimated by applying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of 17.0% to 19.1% based on the weighted average cost of capital, and a terminal value based on a range of terminal earnings before interest, taxes, depreciation, and amortization.</w:t>
      </w:r>
    </w:p>
    <w:p>
      <w:pPr>
        <w:spacing w:after="0" w:line="157"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The excess of the consideration transferred and the estimated fair value of previously held equity interest over the estimated fair values of the identifiable assets acquired and liabilities assumed totaled $51,155 and was reflected as goodwill in the RNG Fuel Supply reportable segment. The majority of goodwill reflects the value paid primarily for the customer and service contract with a wholly owned subsidiary of the Company. There was no settlement gain or loss recognized for the extinguishment of the preexisting relationship. Goodwill will not be amortized, but rather reviewed annually for impairment or more frequently if indicators of impairment exist.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46" w:name="page247"/>
    <w:bookmarkEnd w:id="246"/>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5. Acquisition </w:t>
      </w:r>
      <w:r>
        <w:rPr>
          <w:rFonts w:ascii="Arial" w:cs="Arial" w:eastAsia="Arial" w:hAnsi="Arial"/>
          <w:sz w:val="16"/>
          <w:szCs w:val="16"/>
          <w:color w:val="auto"/>
        </w:rPr>
        <w:t>(cont.)</w:t>
      </w:r>
    </w:p>
    <w:p>
      <w:pPr>
        <w:spacing w:after="0" w:line="197" w:lineRule="exact"/>
        <w:rPr>
          <w:sz w:val="20"/>
          <w:szCs w:val="20"/>
          <w:color w:val="auto"/>
        </w:rPr>
      </w:pPr>
    </w:p>
    <w:p>
      <w:pPr>
        <w:ind w:left="6" w:right="20" w:firstLine="283"/>
        <w:spacing w:after="0" w:line="300" w:lineRule="auto"/>
        <w:rPr>
          <w:sz w:val="20"/>
          <w:szCs w:val="20"/>
          <w:color w:val="auto"/>
        </w:rPr>
      </w:pPr>
      <w:r>
        <w:rPr>
          <w:rFonts w:ascii="Arial" w:cs="Arial" w:eastAsia="Arial" w:hAnsi="Arial"/>
          <w:sz w:val="15"/>
          <w:szCs w:val="15"/>
          <w:color w:val="auto"/>
        </w:rPr>
        <w:t>The Company completed its purchase price allocation as of December 31, 2021. The following table summarizes the fair value of consideration transferred for Beacon, the fair value of previously held equity interest, and the fair value of assets acquired and liabilities assumed as of the acquisition date, May 1, 2021:</w:t>
      </w:r>
    </w:p>
    <w:p>
      <w:pPr>
        <w:spacing w:after="0" w:line="130"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10020" w:type="dxa"/>
            <w:vAlign w:val="bottom"/>
            <w:gridSpan w:val="2"/>
          </w:tcPr>
          <w:p>
            <w:pPr>
              <w:spacing w:after="0"/>
              <w:rPr>
                <w:sz w:val="20"/>
                <w:szCs w:val="20"/>
                <w:color w:val="auto"/>
              </w:rPr>
            </w:pPr>
            <w:r>
              <w:rPr>
                <w:rFonts w:ascii="Arial" w:cs="Arial" w:eastAsia="Arial" w:hAnsi="Arial"/>
                <w:sz w:val="16"/>
                <w:szCs w:val="16"/>
                <w:b w:val="1"/>
                <w:bCs w:val="1"/>
                <w:color w:val="auto"/>
              </w:rPr>
              <w:t>Fair value of consideration transferred</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note payable*</w:t>
            </w: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55,410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00" w:type="dxa"/>
            <w:vAlign w:val="bottom"/>
          </w:tcPr>
          <w:p>
            <w:pPr>
              <w:ind w:left="140"/>
              <w:spacing w:after="0" w:line="180" w:lineRule="exact"/>
              <w:rPr>
                <w:sz w:val="20"/>
                <w:szCs w:val="20"/>
                <w:color w:val="auto"/>
              </w:rPr>
            </w:pPr>
            <w:r>
              <w:rPr>
                <w:rFonts w:ascii="Arial" w:cs="Arial" w:eastAsia="Arial" w:hAnsi="Arial"/>
                <w:sz w:val="16"/>
                <w:szCs w:val="16"/>
                <w:color w:val="auto"/>
              </w:rPr>
              <w:t>Total consideration transferred</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55,410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100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6"/>
                <w:szCs w:val="16"/>
                <w:b w:val="1"/>
                <w:bCs w:val="1"/>
                <w:color w:val="auto"/>
              </w:rPr>
              <w:t>Fair value of previously held equity interest</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44,069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0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6"/>
                <w:szCs w:val="16"/>
                <w:b w:val="1"/>
                <w:bCs w:val="1"/>
                <w:color w:val="auto"/>
              </w:rPr>
              <w:t>Fair value of net identifiable assets acquired</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6"/>
                <w:szCs w:val="16"/>
                <w:color w:val="auto"/>
              </w:rPr>
              <w:t>Accounts receivable</w:t>
            </w:r>
          </w:p>
        </w:tc>
        <w:tc>
          <w:tcPr>
            <w:tcW w:w="4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related party</w:t>
            </w:r>
          </w:p>
        </w:tc>
        <w:tc>
          <w:tcPr>
            <w:tcW w:w="4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6"/>
                <w:szCs w:val="16"/>
                <w:color w:val="auto"/>
              </w:rPr>
              <w:t>Prepaid expense and other current assets</w:t>
            </w:r>
          </w:p>
        </w:tc>
        <w:tc>
          <w:tcPr>
            <w:tcW w:w="4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4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6"/>
                <w:szCs w:val="16"/>
                <w:color w:val="auto"/>
              </w:rPr>
              <w:t>Other assets</w:t>
            </w:r>
          </w:p>
        </w:tc>
        <w:tc>
          <w:tcPr>
            <w:tcW w:w="4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6"/>
                <w:szCs w:val="16"/>
                <w:color w:val="auto"/>
              </w:rPr>
              <w:t>Parts inventory</w:t>
            </w:r>
          </w:p>
        </w:tc>
        <w:tc>
          <w:tcPr>
            <w:tcW w:w="4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50,726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4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6"/>
                <w:szCs w:val="16"/>
                <w:color w:val="auto"/>
              </w:rPr>
              <w:t>Asset retirement obligation</w:t>
            </w:r>
          </w:p>
        </w:tc>
        <w:tc>
          <w:tcPr>
            <w:tcW w:w="40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6"/>
                <w:szCs w:val="16"/>
                <w:color w:val="auto"/>
              </w:rPr>
              <w:t>Accrued royalties</w:t>
            </w:r>
          </w:p>
        </w:tc>
        <w:tc>
          <w:tcPr>
            <w:tcW w:w="4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(4,196)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0" w:type="dxa"/>
            <w:vAlign w:val="bottom"/>
            <w:tcBorders>
              <w:top w:val="single" w:sz="8" w:color="CCEEFF"/>
              <w:bottom w:val="single" w:sz="8" w:color="CCEEFF"/>
            </w:tcBorders>
          </w:tcPr>
          <w:p>
            <w:pPr>
              <w:ind w:left="140"/>
              <w:spacing w:after="0" w:line="172" w:lineRule="exact"/>
              <w:rPr>
                <w:sz w:val="20"/>
                <w:szCs w:val="20"/>
                <w:color w:val="auto"/>
              </w:rPr>
            </w:pPr>
            <w:r>
              <w:rPr>
                <w:rFonts w:ascii="Arial" w:cs="Arial" w:eastAsia="Arial" w:hAnsi="Arial"/>
                <w:sz w:val="16"/>
                <w:szCs w:val="16"/>
                <w:color w:val="auto"/>
              </w:rPr>
              <w:t>Total identifiable net assets</w:t>
            </w:r>
          </w:p>
        </w:tc>
        <w:tc>
          <w:tcPr>
            <w:tcW w:w="4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48,324</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00" w:type="dxa"/>
            <w:vAlign w:val="bottom"/>
          </w:tcPr>
          <w:p>
            <w:pPr>
              <w:ind w:left="140"/>
              <w:spacing w:after="0" w:line="180" w:lineRule="exact"/>
              <w:rPr>
                <w:sz w:val="20"/>
                <w:szCs w:val="20"/>
                <w:color w:val="auto"/>
              </w:rPr>
            </w:pPr>
            <w:r>
              <w:rPr>
                <w:rFonts w:ascii="Arial" w:cs="Arial" w:eastAsia="Arial" w:hAnsi="Arial"/>
                <w:sz w:val="16"/>
                <w:szCs w:val="16"/>
                <w:color w:val="auto"/>
              </w:rPr>
              <w:t>Total purchase consideration</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99,479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286" w:hanging="286"/>
        <w:spacing w:after="0"/>
        <w:tabs>
          <w:tab w:leader="none" w:pos="28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Fair value of the note as of December 31, 2021 is $58,710. Refer to Note 10, Borrowings, for additional information.</w:t>
      </w:r>
    </w:p>
    <w:p>
      <w:pPr>
        <w:spacing w:after="0" w:line="193"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The results of operations for the Beacon Acquisition since the acquisition date have been included on our consolidated financial statements for the period from May 1, 2021 through December 31, 2021 and include approximately $43,611, of total revenue, and $24,420 income from operations.</w:t>
      </w:r>
    </w:p>
    <w:p>
      <w:pPr>
        <w:spacing w:after="0" w:line="157"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The excess of the purchase price paid over the estimated fair values of the identifiable assets acquired and liabilities assumed totaled $51,155 and is reflected as goodwill in the RNG Fuel Supply reportable segment. The goodwill reflects the value paid primarily for the long-term opportunity to improve operating results through the efficient management of operating expenses and the deployment of capital. Goodwill is not amortized, but rather is reviewed annually for impairment or more frequently if indicators of impairment exist.</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Proforma Financial Information</w:t>
      </w:r>
    </w:p>
    <w:p>
      <w:pPr>
        <w:spacing w:after="0" w:line="197" w:lineRule="exact"/>
        <w:rPr>
          <w:sz w:val="20"/>
          <w:szCs w:val="20"/>
          <w:color w:val="auto"/>
        </w:rPr>
      </w:pPr>
    </w:p>
    <w:p>
      <w:pPr>
        <w:jc w:val="both"/>
        <w:ind w:left="6" w:right="20" w:firstLine="283"/>
        <w:spacing w:after="0" w:line="300" w:lineRule="auto"/>
        <w:rPr>
          <w:sz w:val="20"/>
          <w:szCs w:val="20"/>
          <w:color w:val="auto"/>
        </w:rPr>
      </w:pPr>
      <w:r>
        <w:rPr>
          <w:rFonts w:ascii="Arial" w:cs="Arial" w:eastAsia="Arial" w:hAnsi="Arial"/>
          <w:sz w:val="15"/>
          <w:szCs w:val="15"/>
          <w:color w:val="auto"/>
        </w:rPr>
        <w:t>The following proforma audited financial information reflects the consolidated results of operations of the Company and the amortization of the purchase price adjustments assuming the acquisition had taken place on January 1, 2020, excluding non-recurring transaction costs incurred by the Company during 2021:</w:t>
      </w:r>
    </w:p>
    <w:p>
      <w:pPr>
        <w:spacing w:after="0" w:line="130"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4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87"/>
              </w:rPr>
              <w:t>Fiscal Years Ended</w:t>
            </w:r>
          </w:p>
        </w:tc>
      </w:tr>
      <w:tr>
        <w:trPr>
          <w:trHeight w:val="209"/>
        </w:trPr>
        <w:tc>
          <w:tcPr>
            <w:tcW w:w="8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6"/>
              </w:rPr>
              <w:t>December 31,</w:t>
            </w:r>
          </w:p>
        </w:tc>
      </w:tr>
      <w:tr>
        <w:trPr>
          <w:trHeight w:val="204"/>
        </w:trPr>
        <w:tc>
          <w:tcPr>
            <w:tcW w:w="85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r>
      <w:tr>
        <w:trPr>
          <w:trHeight w:val="227"/>
        </w:trPr>
        <w:tc>
          <w:tcPr>
            <w:tcW w:w="85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62"/>
              <w:spacing w:after="0" w:line="223" w:lineRule="exact"/>
              <w:rPr>
                <w:sz w:val="20"/>
                <w:szCs w:val="20"/>
                <w:color w:val="auto"/>
              </w:rPr>
            </w:pPr>
            <w:r>
              <w:rPr>
                <w:rFonts w:ascii="Arial" w:cs="Arial" w:eastAsia="Arial" w:hAnsi="Arial"/>
                <w:sz w:val="15"/>
                <w:szCs w:val="15"/>
                <w:color w:val="auto"/>
                <w:w w:val="87"/>
              </w:rPr>
              <w:t>Restated</w:t>
            </w:r>
            <w:r>
              <w:rPr>
                <w:rFonts w:ascii="Arial" w:cs="Arial" w:eastAsia="Arial" w:hAnsi="Arial"/>
                <w:sz w:val="25"/>
                <w:szCs w:val="25"/>
                <w:color w:val="auto"/>
                <w:w w:val="87"/>
                <w:vertAlign w:val="superscript"/>
              </w:rPr>
              <w:t>(1)</w:t>
            </w:r>
          </w:p>
        </w:tc>
        <w:tc>
          <w:tcPr>
            <w:tcW w:w="120" w:type="dxa"/>
            <w:vAlign w:val="bottom"/>
            <w:tcBorders>
              <w:bottom w:val="single" w:sz="8" w:color="CCEEFF"/>
            </w:tcBorders>
          </w:tcPr>
          <w:p>
            <w:pPr>
              <w:spacing w:after="0"/>
              <w:rPr>
                <w:sz w:val="19"/>
                <w:szCs w:val="19"/>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 net</w:t>
            </w:r>
          </w:p>
        </w:tc>
        <w:tc>
          <w:tcPr>
            <w:tcW w:w="3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179,436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132,745</w:t>
            </w:r>
          </w:p>
        </w:tc>
        <w:tc>
          <w:tcPr>
            <w:tcW w:w="120" w:type="dxa"/>
            <w:vAlign w:val="bottom"/>
            <w:shd w:val="clear" w:color="auto" w:fill="CCEEFF"/>
          </w:tcPr>
          <w:p>
            <w:pPr>
              <w:spacing w:after="0"/>
              <w:rPr>
                <w:sz w:val="16"/>
                <w:szCs w:val="16"/>
                <w:color w:val="auto"/>
              </w:rPr>
            </w:pPr>
          </w:p>
        </w:tc>
      </w:tr>
      <w:tr>
        <w:trPr>
          <w:trHeight w:val="200"/>
        </w:trPr>
        <w:tc>
          <w:tcPr>
            <w:tcW w:w="8560" w:type="dxa"/>
            <w:vAlign w:val="bottom"/>
          </w:tcPr>
          <w:p>
            <w:pPr>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43,776</w:t>
            </w:r>
          </w:p>
        </w:tc>
        <w:tc>
          <w:tcPr>
            <w:tcW w:w="26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(25,968)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178752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80" w:lineRule="exact"/>
        <w:rPr>
          <w:sz w:val="20"/>
          <w:szCs w:val="20"/>
          <w:color w:val="auto"/>
        </w:rPr>
      </w:pPr>
    </w:p>
    <w:p>
      <w:pPr>
        <w:ind w:left="286" w:right="20" w:hanging="286"/>
        <w:spacing w:after="0" w:line="266" w:lineRule="auto"/>
        <w:tabs>
          <w:tab w:leader="none" w:pos="28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As described in Note 2 to these consolidated financial statements, we have restated the consolidated financial statements for the years ended December 30, 2020 and 2019. See Note 2 Restatement of financial statements for additional information.</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20"/>
                <w:szCs w:val="20"/>
                <w:color w:val="auto"/>
              </w:rPr>
            </w:pPr>
            <w:r>
              <w:rPr>
                <w:rFonts w:ascii="Arial" w:cs="Arial" w:eastAsia="Arial" w:hAnsi="Arial"/>
                <w:sz w:val="16"/>
                <w:szCs w:val="16"/>
                <w:b w:val="1"/>
                <w:bCs w:val="1"/>
                <w:color w:val="auto"/>
              </w:rPr>
              <w:t>6. Investments in Other Entities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7320" w:type="dxa"/>
            <w:vAlign w:val="bottom"/>
          </w:tcPr>
          <w:p>
            <w:pPr>
              <w:ind w:left="280"/>
              <w:spacing w:after="0"/>
              <w:rPr>
                <w:sz w:val="20"/>
                <w:szCs w:val="20"/>
                <w:color w:val="auto"/>
              </w:rPr>
            </w:pPr>
            <w:r>
              <w:rPr>
                <w:rFonts w:ascii="Arial" w:cs="Arial" w:eastAsia="Arial" w:hAnsi="Arial"/>
                <w:sz w:val="16"/>
                <w:szCs w:val="16"/>
                <w:color w:val="auto"/>
                <w:w w:val="99"/>
              </w:rPr>
              <w:t>The following table summarizes our equity method investments as of December 31, 2021 and 2020:</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4"/>
                <w:szCs w:val="2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5"/>
              </w:rPr>
              <w:t>Percentage of</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3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ownership</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Beacon</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Pine Bend</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50.0%</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21,188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Noble Road</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24,516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GREP</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20.0%</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7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investments in other entities</w:t>
            </w: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25,573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Income on equity method investments, net reported in the Company’s consolidated statements of operations consisted of the following for the years ended December 31, 2021, 2020 and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6"/>
                <w:szCs w:val="16"/>
                <w:b w:val="1"/>
                <w:bCs w:val="1"/>
                <w:color w:val="auto"/>
                <w:w w:val="91"/>
              </w:rPr>
              <w:t>Fiscal Years Ended</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2"/>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80"/>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61"/>
              <w:spacing w:after="0" w:line="172" w:lineRule="exact"/>
              <w:rPr>
                <w:sz w:val="20"/>
                <w:szCs w:val="20"/>
                <w:color w:val="auto"/>
              </w:rPr>
            </w:pPr>
            <w:r>
              <w:rPr>
                <w:rFonts w:ascii="Arial" w:cs="Arial" w:eastAsia="Arial" w:hAnsi="Arial"/>
                <w:sz w:val="16"/>
                <w:szCs w:val="16"/>
                <w:b w:val="1"/>
                <w:bCs w:val="1"/>
                <w:color w:val="auto"/>
                <w:w w:val="88"/>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2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gridSpan w:val="2"/>
          </w:tcPr>
          <w:p>
            <w:pPr>
              <w:spacing w:after="0"/>
              <w:rPr>
                <w:sz w:val="14"/>
                <w:szCs w:val="14"/>
                <w:color w:val="auto"/>
              </w:rPr>
            </w:pPr>
          </w:p>
        </w:tc>
      </w:tr>
      <w:tr>
        <w:trPr>
          <w:trHeight w:val="209"/>
        </w:trPr>
        <w:tc>
          <w:tcPr>
            <w:tcW w:w="7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8"/>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from equity method investments, net, before amortization of basis difference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199"/>
        </w:trPr>
        <w:tc>
          <w:tcPr>
            <w:tcW w:w="7320" w:type="dxa"/>
            <w:vAlign w:val="bottom"/>
          </w:tcPr>
          <w:p>
            <w:pPr>
              <w:spacing w:after="0" w:line="180" w:lineRule="exact"/>
              <w:rPr>
                <w:sz w:val="20"/>
                <w:szCs w:val="20"/>
                <w:color w:val="auto"/>
              </w:rPr>
            </w:pPr>
            <w:r>
              <w:rPr>
                <w:rFonts w:ascii="Arial" w:cs="Arial" w:eastAsia="Arial" w:hAnsi="Arial"/>
                <w:sz w:val="16"/>
                <w:szCs w:val="16"/>
                <w:color w:val="auto"/>
              </w:rPr>
              <w:t>Income on equity method investments,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2,268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(475</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Beacon Step Acquisition</w:t>
      </w:r>
    </w:p>
    <w:p>
      <w:pPr>
        <w:spacing w:after="0" w:line="193"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 xml:space="preserve">As detailed in Note 5, </w:t>
      </w:r>
      <w:r>
        <w:rPr>
          <w:rFonts w:ascii="Arial" w:cs="Arial" w:eastAsia="Arial" w:hAnsi="Arial"/>
          <w:sz w:val="16"/>
          <w:szCs w:val="16"/>
          <w:i w:val="1"/>
          <w:iCs w:val="1"/>
          <w:color w:val="auto"/>
        </w:rPr>
        <w:t>Acquisition</w:t>
      </w:r>
      <w:r>
        <w:rPr>
          <w:rFonts w:ascii="Arial" w:cs="Arial" w:eastAsia="Arial" w:hAnsi="Arial"/>
          <w:sz w:val="16"/>
          <w:szCs w:val="16"/>
          <w:color w:val="auto"/>
        </w:rPr>
        <w:t>, we acquired the remaining 55.7% ownership interest in Beacon RNG LLC (“Beacon”) and obtained a controlling financial interest on May 1, 2021. We recorded a $19,818 gain during the second quarter of 2021 to adjust our equity method investment to its estimated fair value. The gain is included in gain on acquisition of equity method investment in our consolidated statement of operations for the year ended December 31, 2021. Upon the step acquisition the Company consolidated Beacon and no longer accounts for its interest in Beacon as an equity method investment.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Deconsolidation of Pine Bend and Noble Road</w:t>
      </w:r>
    </w:p>
    <w:p>
      <w:pPr>
        <w:spacing w:after="0" w:line="193"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 xml:space="preserve">As of December 31, 2021, the Company re-assessed its equity interests in Pine Bend and Noble Road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and determined the entities no longer meet any of the characteristics of a variable interest entity primarily because the two projects are fully funded and there is sufficient equity at risk as of December 31, 2021. The Company determined that it should account for its interests in both entities under the equity method of accounting pursuant to ASC 323, </w:t>
      </w:r>
      <w:r>
        <w:rPr>
          <w:rFonts w:ascii="Arial" w:cs="Arial" w:eastAsia="Arial" w:hAnsi="Arial"/>
          <w:sz w:val="15"/>
          <w:szCs w:val="15"/>
          <w:i w:val="1"/>
          <w:iCs w:val="1"/>
          <w:color w:val="auto"/>
        </w:rPr>
        <w:t>Investments Equity Method and Joint</w:t>
      </w:r>
      <w:r>
        <w:rPr>
          <w:rFonts w:ascii="Arial" w:cs="Arial" w:eastAsia="Arial" w:hAnsi="Arial"/>
          <w:sz w:val="15"/>
          <w:szCs w:val="15"/>
          <w:color w:val="auto"/>
        </w:rPr>
        <w:t xml:space="preserve"> </w:t>
      </w:r>
      <w:r>
        <w:rPr>
          <w:rFonts w:ascii="Arial" w:cs="Arial" w:eastAsia="Arial" w:hAnsi="Arial"/>
          <w:sz w:val="15"/>
          <w:szCs w:val="15"/>
          <w:i w:val="1"/>
          <w:iCs w:val="1"/>
          <w:color w:val="auto"/>
        </w:rPr>
        <w:t>Ventures</w:t>
      </w:r>
      <w:r>
        <w:rPr>
          <w:rFonts w:ascii="Arial" w:cs="Arial" w:eastAsia="Arial" w:hAnsi="Arial"/>
          <w:sz w:val="15"/>
          <w:szCs w:val="15"/>
          <w:color w:val="auto"/>
        </w:rPr>
        <w:t>, prospectively, as the Company has the ability to exercise significant influence, but not control, over both entities.</w:t>
      </w:r>
    </w:p>
    <w:p>
      <w:pPr>
        <w:spacing w:after="0" w:line="155"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 xml:space="preserve">Prior to December 31, 2021, the Company consolidated these entities in accordance with the variable interest entity model guidance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Upon deconsolidation, the Company remeasured the fair value of the retained investment and recognized a gain of $3,145 on Pine Bend and $11,880 on Noble Road in its consolidated statement of operations for the year ended December 31, 2021 and a corresponding increase in its basis in </w:t>
      </w:r>
      <w:r>
        <w:rPr>
          <w:rFonts w:ascii="Arial" w:cs="Arial" w:eastAsia="Arial" w:hAnsi="Arial"/>
          <w:sz w:val="15"/>
          <w:szCs w:val="15"/>
          <w:i w:val="1"/>
          <w:iCs w:val="1"/>
          <w:color w:val="auto"/>
        </w:rPr>
        <w:t>Investment in other entities</w:t>
      </w:r>
      <w:r>
        <w:rPr>
          <w:rFonts w:ascii="Arial" w:cs="Arial" w:eastAsia="Arial" w:hAnsi="Arial"/>
          <w:sz w:val="15"/>
          <w:szCs w:val="15"/>
          <w:color w:val="auto"/>
        </w:rPr>
        <w:t xml:space="preserve"> on its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48" w:name="page249"/>
    <w:bookmarkEnd w:id="248"/>
    <w:p>
      <w:pPr>
        <w:jc w:val="center"/>
        <w:ind w:left="1940"/>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left="19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6"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Investments in Other Entities </w:t>
      </w:r>
      <w:r>
        <w:rPr>
          <w:rFonts w:ascii="Arial" w:cs="Arial" w:eastAsia="Arial" w:hAnsi="Arial"/>
          <w:sz w:val="16"/>
          <w:szCs w:val="16"/>
          <w:color w:val="auto"/>
        </w:rPr>
        <w:t>(cont.)</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carrying value of assets and liabilities of the two entities at the time of their deconsolidation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150100" cy="134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Accounts payable and accrued expenses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Net assets deconsolidated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64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100" cy="16446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Reynold RNG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2021</w:t>
      </w:r>
    </w:p>
    <w:p>
      <w:pPr>
        <w:spacing w:after="0" w:line="17" w:lineRule="exact"/>
        <w:rPr>
          <w:sz w:val="20"/>
          <w:szCs w:val="20"/>
          <w:color w:val="auto"/>
        </w:rPr>
      </w:pPr>
    </w:p>
    <w:p>
      <w:pPr>
        <w:ind w:left="700" w:hanging="691"/>
        <w:spacing w:after="0"/>
        <w:tabs>
          <w:tab w:leader="none" w:pos="70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21,208</w:t>
      </w:r>
    </w:p>
    <w:p>
      <w:pPr>
        <w:spacing w:after="0" w:line="27"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134</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44,250</w:t>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(4,235)</w:t>
      </w:r>
    </w:p>
    <w:p>
      <w:pPr>
        <w:spacing w:after="0" w:line="52" w:lineRule="exact"/>
        <w:rPr>
          <w:sz w:val="20"/>
          <w:szCs w:val="20"/>
          <w:color w:val="auto"/>
        </w:rPr>
      </w:pPr>
    </w:p>
    <w:p>
      <w:pPr>
        <w:ind w:left="700" w:hanging="691"/>
        <w:spacing w:after="0"/>
        <w:tabs>
          <w:tab w:leader="none" w:pos="70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61,357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056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0565" cy="15240"/>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9300" w:space="720"/>
            <w:col w:w="1240"/>
          </w:cols>
          <w:pgMar w:left="320" w:top="688" w:right="319" w:bottom="1440" w:gutter="0" w:footer="0" w:header="0"/>
        </w:sectPr>
      </w:pPr>
    </w:p>
    <w:p>
      <w:pPr>
        <w:jc w:val="both"/>
        <w:ind w:firstLine="283"/>
        <w:spacing w:after="0" w:line="269" w:lineRule="auto"/>
        <w:rPr>
          <w:sz w:val="20"/>
          <w:szCs w:val="20"/>
          <w:color w:val="auto"/>
        </w:rPr>
      </w:pPr>
      <w:r>
        <w:rPr>
          <w:rFonts w:ascii="Arial" w:cs="Arial" w:eastAsia="Arial" w:hAnsi="Arial"/>
          <w:sz w:val="15"/>
          <w:szCs w:val="15"/>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59" w:lineRule="exact"/>
        <w:rPr>
          <w:sz w:val="20"/>
          <w:szCs w:val="20"/>
          <w:color w:val="auto"/>
        </w:rPr>
      </w:pPr>
    </w:p>
    <w:p>
      <w:pPr>
        <w:jc w:val="both"/>
        <w:ind w:firstLine="283"/>
        <w:spacing w:after="0" w:line="316" w:lineRule="auto"/>
        <w:rPr>
          <w:sz w:val="20"/>
          <w:szCs w:val="20"/>
          <w:color w:val="auto"/>
        </w:rPr>
      </w:pPr>
      <w:r>
        <w:rPr>
          <w:rFonts w:ascii="Arial" w:cs="Arial" w:eastAsia="Arial" w:hAnsi="Arial"/>
          <w:sz w:val="13"/>
          <w:szCs w:val="13"/>
          <w:color w:val="auto"/>
        </w:rPr>
        <w:t>In addition to the equity investment, Reynolds held a loan of $10,450 to Biotown. The Note receivable matures on July 15, 2027. It carries an interest of 12.5% out of which 8% is payable in cash on a quarterly basis from the inception of the loan and 4.5% payment-in-kind interest adding to the outstanding debt balance until the facility becomes operational. The total amount of interest earned for the year ended December 31, 2021 was $711 out of which $288 was payment-in-kind interest increasing the Note receivable from Biotown. The interest earned was recorded as a reduction to interest and financing expense, net in the consolidated statement of operations for the year ended December 31, 2021. The Note receivable also entitles Reynolds to receive 4.25% of any revenue based distributions made with a cap of $4,500 over the term of the debt. The Company recorded the fair value of the Note receivable — variable fee component of $1,539 as an allocation of the initial investment balance of $10,450 and recorded an payment-in-kind interest income of $118 as a reduction to interest and financing expense, net in the consolidated statement of operations for the year ended December 31, 2021.</w:t>
      </w:r>
    </w:p>
    <w:p>
      <w:pPr>
        <w:spacing w:after="0" w:line="130"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note receivable of $9,200 and Note receivable — variable fee component of $1,656 have been recorded as a long term assets on its consolidated balance sheet as of December 31, 2021.</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financial information of the unconsolidated entities: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3420" w:type="dxa"/>
            <w:vAlign w:val="bottom"/>
            <w:tcBorders>
              <w:bottom w:val="single" w:sz="8" w:color="CCEEFF"/>
            </w:tcBorders>
          </w:tcPr>
          <w:p>
            <w:pPr>
              <w:spacing w:after="0"/>
              <w:rPr>
                <w:sz w:val="17"/>
                <w:szCs w:val="17"/>
                <w:color w:val="auto"/>
              </w:rPr>
            </w:pPr>
          </w:p>
        </w:tc>
        <w:tc>
          <w:tcPr>
            <w:tcW w:w="5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7"/>
                <w:szCs w:val="17"/>
                <w:color w:val="auto"/>
              </w:rPr>
            </w:pPr>
          </w:p>
        </w:tc>
      </w:tr>
      <w:tr>
        <w:trPr>
          <w:trHeight w:val="188"/>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51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20" w:type="dxa"/>
            <w:vAlign w:val="bottom"/>
            <w:shd w:val="clear" w:color="auto" w:fill="CCEEFF"/>
          </w:tcPr>
          <w:p>
            <w:pPr>
              <w:spacing w:after="0"/>
              <w:rPr>
                <w:sz w:val="16"/>
                <w:szCs w:val="16"/>
                <w:color w:val="auto"/>
              </w:rPr>
            </w:pPr>
          </w:p>
        </w:tc>
      </w:tr>
      <w:tr>
        <w:trPr>
          <w:trHeight w:val="188"/>
        </w:trPr>
        <w:tc>
          <w:tcPr>
            <w:tcW w:w="3420" w:type="dxa"/>
            <w:vAlign w:val="bottom"/>
          </w:tcPr>
          <w:p>
            <w:pPr>
              <w:spacing w:after="0"/>
              <w:rPr>
                <w:sz w:val="20"/>
                <w:szCs w:val="20"/>
                <w:color w:val="auto"/>
              </w:rPr>
            </w:pPr>
            <w:r>
              <w:rPr>
                <w:rFonts w:ascii="Arial" w:cs="Arial" w:eastAsia="Arial" w:hAnsi="Arial"/>
                <w:sz w:val="16"/>
                <w:szCs w:val="16"/>
                <w:color w:val="auto"/>
              </w:rPr>
              <w:t>Non-current assets</w:t>
            </w:r>
          </w:p>
        </w:tc>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44,250</w:t>
            </w:r>
          </w:p>
        </w:tc>
        <w:tc>
          <w:tcPr>
            <w:tcW w:w="4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58,232</w:t>
            </w:r>
          </w:p>
        </w:tc>
      </w:tr>
      <w:tr>
        <w:trPr>
          <w:trHeight w:val="188"/>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5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4,235</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1,131</w:t>
            </w:r>
          </w:p>
        </w:tc>
      </w:tr>
      <w:tr>
        <w:trPr>
          <w:trHeight w:val="188"/>
        </w:trPr>
        <w:tc>
          <w:tcPr>
            <w:tcW w:w="3420" w:type="dxa"/>
            <w:vAlign w:val="bottom"/>
          </w:tcPr>
          <w:p>
            <w:pPr>
              <w:spacing w:after="0"/>
              <w:rPr>
                <w:sz w:val="20"/>
                <w:szCs w:val="20"/>
                <w:color w:val="auto"/>
              </w:rPr>
            </w:pPr>
            <w:r>
              <w:rPr>
                <w:rFonts w:ascii="Arial" w:cs="Arial" w:eastAsia="Arial" w:hAnsi="Arial"/>
                <w:sz w:val="16"/>
                <w:szCs w:val="16"/>
                <w:color w:val="auto"/>
              </w:rPr>
              <w:t>Non-current liabilities</w:t>
            </w:r>
          </w:p>
        </w:tc>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1,536</w:t>
            </w:r>
          </w:p>
        </w:tc>
      </w:tr>
      <w:tr>
        <w:trPr>
          <w:trHeight w:val="188"/>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5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61,358</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57,781</w:t>
            </w:r>
          </w:p>
        </w:tc>
      </w:tr>
      <w:tr>
        <w:trPr>
          <w:trHeight w:val="475"/>
        </w:trPr>
        <w:tc>
          <w:tcPr>
            <w:tcW w:w="34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2"/>
          </w:tcPr>
          <w:p>
            <w:pPr>
              <w:jc w:val="right"/>
              <w:ind w:right="3022"/>
              <w:spacing w:after="0"/>
              <w:rPr>
                <w:sz w:val="20"/>
                <w:szCs w:val="20"/>
                <w:color w:val="auto"/>
              </w:rPr>
            </w:pPr>
            <w:r>
              <w:rPr>
                <w:rFonts w:ascii="Arial" w:cs="Arial" w:eastAsia="Arial" w:hAnsi="Arial"/>
                <w:sz w:val="16"/>
                <w:szCs w:val="16"/>
                <w:color w:val="auto"/>
              </w:rPr>
              <w:t>F-109</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88" w:right="319" w:bottom="1440" w:gutter="0" w:footer="0" w:header="0"/>
          <w:type w:val="continuous"/>
        </w:sectPr>
      </w:pPr>
    </w:p>
    <w:bookmarkStart w:id="249" w:name="page250"/>
    <w:bookmarkEnd w:id="249"/>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6. Investments in Other Entities </w:t>
      </w:r>
      <w:r>
        <w:rPr>
          <w:rFonts w:ascii="Arial" w:cs="Arial" w:eastAsia="Arial" w:hAnsi="Arial"/>
          <w:sz w:val="16"/>
          <w:szCs w:val="16"/>
          <w:color w:val="auto"/>
        </w:rPr>
        <w:t>(cont.)</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following table summarizes the net income (loss) attributable to the Company from the unconsolidated entities:’</w:t>
      </w:r>
    </w:p>
    <w:p>
      <w:pPr>
        <w:spacing w:after="0" w:line="201"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Fiscal Years Ended 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7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7"/>
                <w:szCs w:val="17"/>
                <w:color w:val="auto"/>
              </w:rPr>
            </w:pPr>
          </w:p>
        </w:tc>
      </w:tr>
      <w:tr>
        <w:trPr>
          <w:trHeight w:val="188"/>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12,368</w:t>
            </w:r>
          </w:p>
        </w:tc>
        <w:tc>
          <w:tcPr>
            <w:tcW w:w="120" w:type="dxa"/>
            <w:vAlign w:val="bottom"/>
            <w:shd w:val="clear" w:color="auto" w:fill="CCEEFF"/>
          </w:tcPr>
          <w:p>
            <w:pPr>
              <w:spacing w:after="0"/>
              <w:rPr>
                <w:sz w:val="16"/>
                <w:szCs w:val="16"/>
                <w:color w:val="auto"/>
              </w:rPr>
            </w:pPr>
          </w:p>
        </w:tc>
      </w:tr>
      <w:tr>
        <w:trPr>
          <w:trHeight w:val="188"/>
        </w:trPr>
        <w:tc>
          <w:tcPr>
            <w:tcW w:w="7200" w:type="dxa"/>
            <w:vAlign w:val="bottom"/>
          </w:tcPr>
          <w:p>
            <w:pPr>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6,915</w:t>
            </w:r>
          </w:p>
        </w:tc>
        <w:tc>
          <w:tcPr>
            <w:tcW w:w="3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3,331</w:t>
            </w:r>
          </w:p>
        </w:tc>
        <w:tc>
          <w:tcPr>
            <w:tcW w:w="4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3,255</w:t>
            </w:r>
          </w:p>
        </w:tc>
      </w:tr>
      <w:tr>
        <w:trPr>
          <w:trHeight w:val="188"/>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5,276</w:t>
            </w: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(1,859)</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(1,059)</w:t>
            </w:r>
          </w:p>
        </w:tc>
      </w:tr>
      <w:tr>
        <w:trPr>
          <w:trHeight w:val="188"/>
        </w:trPr>
        <w:tc>
          <w:tcPr>
            <w:tcW w:w="7200" w:type="dxa"/>
            <w:vAlign w:val="bottom"/>
          </w:tcPr>
          <w:p>
            <w:pPr>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5,276</w:t>
            </w:r>
          </w:p>
        </w:tc>
        <w:tc>
          <w:tcPr>
            <w:tcW w:w="3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(1,072)</w:t>
            </w:r>
          </w:p>
        </w:tc>
        <w:tc>
          <w:tcPr>
            <w:tcW w:w="4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(1,099)</w:t>
            </w:r>
          </w:p>
        </w:tc>
      </w:tr>
      <w:tr>
        <w:trPr>
          <w:trHeight w:val="188"/>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OPAL Fuels LLC</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2,268</w:t>
            </w: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(475)</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(487)</w:t>
            </w:r>
          </w:p>
        </w:tc>
      </w:tr>
      <w:tr>
        <w:trPr>
          <w:trHeight w:val="376"/>
        </w:trPr>
        <w:tc>
          <w:tcPr>
            <w:tcW w:w="7200" w:type="dxa"/>
            <w:vAlign w:val="bottom"/>
          </w:tcPr>
          <w:p>
            <w:pPr>
              <w:spacing w:after="0"/>
              <w:rPr>
                <w:sz w:val="20"/>
                <w:szCs w:val="20"/>
                <w:color w:val="auto"/>
              </w:rPr>
            </w:pPr>
            <w:r>
              <w:rPr>
                <w:rFonts w:ascii="Arial" w:cs="Arial" w:eastAsia="Arial" w:hAnsi="Arial"/>
                <w:sz w:val="16"/>
                <w:szCs w:val="16"/>
                <w:b w:val="1"/>
                <w:bCs w:val="1"/>
                <w:color w:val="auto"/>
              </w:rPr>
              <w:t>7. Property, Plant, and Equipment, Net</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7"/>
        </w:trPr>
        <w:tc>
          <w:tcPr>
            <w:tcW w:w="7200" w:type="dxa"/>
            <w:vAlign w:val="bottom"/>
          </w:tcPr>
          <w:p>
            <w:pPr>
              <w:ind w:left="280"/>
              <w:spacing w:after="0"/>
              <w:rPr>
                <w:sz w:val="20"/>
                <w:szCs w:val="20"/>
                <w:color w:val="auto"/>
              </w:rPr>
            </w:pPr>
            <w:r>
              <w:rPr>
                <w:rFonts w:ascii="Arial" w:cs="Arial" w:eastAsia="Arial" w:hAnsi="Arial"/>
                <w:sz w:val="16"/>
                <w:szCs w:val="16"/>
                <w:color w:val="auto"/>
              </w:rPr>
              <w:t>Property, plant, and equipment, net, consisted of the following at December 31:</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5"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8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85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12"/>
        </w:trPr>
        <w:tc>
          <w:tcPr>
            <w:tcW w:w="8560" w:type="dxa"/>
            <w:vAlign w:val="bottom"/>
            <w:shd w:val="clear" w:color="auto" w:fill="CCEEFF"/>
          </w:tcPr>
          <w:p>
            <w:pPr>
              <w:spacing w:after="0" w:line="212" w:lineRule="exact"/>
              <w:rPr>
                <w:sz w:val="20"/>
                <w:szCs w:val="20"/>
                <w:color w:val="auto"/>
              </w:rPr>
            </w:pPr>
            <w:r>
              <w:rPr>
                <w:rFonts w:ascii="Arial" w:cs="Arial" w:eastAsia="Arial" w:hAnsi="Arial"/>
                <w:sz w:val="15"/>
                <w:szCs w:val="15"/>
                <w:color w:val="auto"/>
              </w:rPr>
              <w:t>Plant and equipment</w:t>
            </w:r>
            <w:r>
              <w:rPr>
                <w:rFonts w:ascii="Arial" w:cs="Arial" w:eastAsia="Arial" w:hAnsi="Arial"/>
                <w:sz w:val="24"/>
                <w:szCs w:val="24"/>
                <w:color w:val="auto"/>
                <w:vertAlign w:val="superscript"/>
              </w:rPr>
              <w:t>(1)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161,387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98,881</w:t>
            </w:r>
          </w:p>
        </w:tc>
        <w:tc>
          <w:tcPr>
            <w:tcW w:w="100" w:type="dxa"/>
            <w:vAlign w:val="bottom"/>
            <w:shd w:val="clear" w:color="auto" w:fill="CCEEFF"/>
          </w:tcPr>
          <w:p>
            <w:pPr>
              <w:spacing w:after="0"/>
              <w:rPr>
                <w:sz w:val="18"/>
                <w:szCs w:val="18"/>
                <w:color w:val="auto"/>
              </w:rPr>
            </w:pPr>
          </w:p>
        </w:tc>
      </w:tr>
      <w:tr>
        <w:trPr>
          <w:trHeight w:val="188"/>
        </w:trPr>
        <w:tc>
          <w:tcPr>
            <w:tcW w:w="8560" w:type="dxa"/>
            <w:vAlign w:val="bottom"/>
          </w:tcPr>
          <w:p>
            <w:pPr>
              <w:spacing w:after="0"/>
              <w:rPr>
                <w:sz w:val="20"/>
                <w:szCs w:val="20"/>
                <w:color w:val="auto"/>
              </w:rPr>
            </w:pPr>
            <w:r>
              <w:rPr>
                <w:rFonts w:ascii="Arial" w:cs="Arial" w:eastAsia="Arial" w:hAnsi="Arial"/>
                <w:sz w:val="16"/>
                <w:szCs w:val="16"/>
                <w:color w:val="auto"/>
              </w:rPr>
              <w:t>CNG/RNG Fueling stations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6"/>
                <w:szCs w:val="16"/>
                <w:color w:val="auto"/>
              </w:rPr>
              <w:t>27,892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25,430</w:t>
            </w:r>
          </w:p>
        </w:tc>
        <w:tc>
          <w:tcPr>
            <w:tcW w:w="100" w:type="dxa"/>
            <w:vAlign w:val="bottom"/>
          </w:tcPr>
          <w:p>
            <w:pPr>
              <w:spacing w:after="0"/>
              <w:rPr>
                <w:sz w:val="16"/>
                <w:szCs w:val="16"/>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62,616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20,424</w:t>
            </w:r>
          </w:p>
        </w:tc>
        <w:tc>
          <w:tcPr>
            <w:tcW w:w="100" w:type="dxa"/>
            <w:vAlign w:val="bottom"/>
            <w:shd w:val="clear" w:color="auto" w:fill="CCEEFF"/>
          </w:tcPr>
          <w:p>
            <w:pPr>
              <w:spacing w:after="0"/>
              <w:rPr>
                <w:sz w:val="16"/>
                <w:szCs w:val="16"/>
                <w:color w:val="auto"/>
              </w:rPr>
            </w:pPr>
          </w:p>
        </w:tc>
      </w:tr>
      <w:tr>
        <w:trPr>
          <w:trHeight w:val="188"/>
        </w:trPr>
        <w:tc>
          <w:tcPr>
            <w:tcW w:w="8560" w:type="dxa"/>
            <w:vAlign w:val="bottom"/>
          </w:tcPr>
          <w:p>
            <w:pPr>
              <w:spacing w:after="0"/>
              <w:rPr>
                <w:sz w:val="20"/>
                <w:szCs w:val="20"/>
                <w:color w:val="auto"/>
              </w:rPr>
            </w:pPr>
            <w:r>
              <w:rPr>
                <w:rFonts w:ascii="Arial" w:cs="Arial" w:eastAsia="Arial" w:hAnsi="Arial"/>
                <w:sz w:val="16"/>
                <w:szCs w:val="16"/>
                <w:color w:val="auto"/>
              </w:rPr>
              <w:t>Buildings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6"/>
                <w:szCs w:val="16"/>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6"/>
                <w:szCs w:val="16"/>
                <w:color w:val="auto"/>
              </w:rPr>
            </w:pPr>
          </w:p>
        </w:tc>
      </w:tr>
      <w:tr>
        <w:trPr>
          <w:trHeight w:val="188"/>
        </w:trPr>
        <w:tc>
          <w:tcPr>
            <w:tcW w:w="8560" w:type="dxa"/>
            <w:vAlign w:val="bottom"/>
          </w:tcPr>
          <w:p>
            <w:pPr>
              <w:spacing w:after="0"/>
              <w:rPr>
                <w:sz w:val="20"/>
                <w:szCs w:val="20"/>
                <w:color w:val="auto"/>
              </w:rPr>
            </w:pPr>
            <w:r>
              <w:rPr>
                <w:rFonts w:ascii="Arial" w:cs="Arial" w:eastAsia="Arial" w:hAnsi="Arial"/>
                <w:sz w:val="16"/>
                <w:szCs w:val="16"/>
                <w:color w:val="auto"/>
              </w:rPr>
              <w:t>Service equipment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16"/>
                <w:szCs w:val="16"/>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6"/>
                <w:szCs w:val="16"/>
                <w:color w:val="auto"/>
              </w:rPr>
            </w:pPr>
          </w:p>
        </w:tc>
      </w:tr>
      <w:tr>
        <w:trPr>
          <w:trHeight w:val="188"/>
        </w:trPr>
        <w:tc>
          <w:tcPr>
            <w:tcW w:w="8560" w:type="dxa"/>
            <w:vAlign w:val="bottom"/>
          </w:tcPr>
          <w:p>
            <w:pPr>
              <w:spacing w:after="0"/>
              <w:rPr>
                <w:sz w:val="20"/>
                <w:szCs w:val="20"/>
                <w:color w:val="auto"/>
              </w:rPr>
            </w:pPr>
            <w:r>
              <w:rPr>
                <w:rFonts w:ascii="Arial" w:cs="Arial" w:eastAsia="Arial" w:hAnsi="Arial"/>
                <w:sz w:val="16"/>
                <w:szCs w:val="16"/>
                <w:color w:val="auto"/>
              </w:rPr>
              <w:t>Vehicles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6"/>
                <w:szCs w:val="16"/>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Office furniture and equipment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6"/>
                <w:szCs w:val="16"/>
                <w:color w:val="auto"/>
              </w:rPr>
            </w:pPr>
          </w:p>
        </w:tc>
      </w:tr>
      <w:tr>
        <w:trPr>
          <w:trHeight w:val="188"/>
        </w:trPr>
        <w:tc>
          <w:tcPr>
            <w:tcW w:w="8560" w:type="dxa"/>
            <w:vAlign w:val="bottom"/>
          </w:tcPr>
          <w:p>
            <w:pPr>
              <w:spacing w:after="0"/>
              <w:rPr>
                <w:sz w:val="20"/>
                <w:szCs w:val="20"/>
                <w:color w:val="auto"/>
              </w:rPr>
            </w:pPr>
            <w:r>
              <w:rPr>
                <w:rFonts w:ascii="Arial" w:cs="Arial" w:eastAsia="Arial" w:hAnsi="Arial"/>
                <w:sz w:val="16"/>
                <w:szCs w:val="16"/>
                <w:color w:val="auto"/>
              </w:rPr>
              <w:t>Computer software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6"/>
                <w:szCs w:val="16"/>
                <w:color w:val="auto"/>
              </w:rPr>
            </w:pPr>
          </w:p>
        </w:tc>
      </w:tr>
      <w:tr>
        <w:trPr>
          <w:trHeight w:val="220"/>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r>
      <w:tr>
        <w:trPr>
          <w:trHeight w:val="176"/>
        </w:trPr>
        <w:tc>
          <w:tcPr>
            <w:tcW w:w="85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259,480</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150,559</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8"/>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(89,710</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(74,367</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199"/>
        </w:trPr>
        <w:tc>
          <w:tcPr>
            <w:tcW w:w="8560" w:type="dxa"/>
            <w:vAlign w:val="bottom"/>
          </w:tcPr>
          <w:p>
            <w:pPr>
              <w:spacing w:after="0" w:line="180" w:lineRule="exact"/>
              <w:rPr>
                <w:sz w:val="20"/>
                <w:szCs w:val="20"/>
                <w:color w:val="auto"/>
              </w:rPr>
            </w:pPr>
            <w:r>
              <w:rPr>
                <w:rFonts w:ascii="Arial" w:cs="Arial" w:eastAsia="Arial" w:hAnsi="Arial"/>
                <w:sz w:val="16"/>
                <w:szCs w:val="16"/>
                <w:color w:val="auto"/>
              </w:rPr>
              <w:t>Property, plant, and equipment, net</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1"/>
              <w:spacing w:after="0"/>
              <w:rPr>
                <w:sz w:val="20"/>
                <w:szCs w:val="20"/>
                <w:color w:val="auto"/>
              </w:rPr>
            </w:pPr>
            <w:r>
              <w:rPr>
                <w:rFonts w:ascii="Arial" w:cs="Arial" w:eastAsia="Arial" w:hAnsi="Arial"/>
                <w:sz w:val="16"/>
                <w:szCs w:val="16"/>
                <w:color w:val="auto"/>
              </w:rPr>
              <w:t>169,770</w:t>
            </w:r>
          </w:p>
        </w:tc>
        <w:tc>
          <w:tcPr>
            <w:tcW w:w="100" w:type="dxa"/>
            <w:vAlign w:val="bottom"/>
          </w:tcPr>
          <w:p>
            <w:pPr>
              <w:spacing w:after="0"/>
              <w:rPr>
                <w:sz w:val="17"/>
                <w:szCs w:val="17"/>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76,192</w:t>
            </w:r>
          </w:p>
        </w:tc>
        <w:tc>
          <w:tcPr>
            <w:tcW w:w="100" w:type="dxa"/>
            <w:vAlign w:val="bottom"/>
          </w:tcPr>
          <w:p>
            <w:pPr>
              <w:spacing w:after="0"/>
              <w:rPr>
                <w:sz w:val="17"/>
                <w:szCs w:val="17"/>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jc w:val="both"/>
        <w:ind w:left="286" w:hanging="286"/>
        <w:spacing w:after="0" w:line="274" w:lineRule="auto"/>
        <w:tabs>
          <w:tab w:leader="none" w:pos="286"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As of December 31, 2021, the Company identified one renewable power generating facility to be abandoned in June 2023 and building an RNG facility in the same site. Accordingly, the Company tested the facility for impairment under the held and used impairment guidance under ASC 360-10. The Company concluded that the net book value of the asset exceeded the remaining undiscounted cash flows over the remaining shortened useful life. The Company revised the useful life of the asset and recorded accelerated depreciation of $600 thousand on the facility in its consolidated statement of operations for the year ended December 31, 2021.</w:t>
      </w:r>
    </w:p>
    <w:p>
      <w:pPr>
        <w:spacing w:after="0" w:line="155" w:lineRule="exact"/>
        <w:rPr>
          <w:sz w:val="20"/>
          <w:szCs w:val="20"/>
          <w:color w:val="auto"/>
        </w:rPr>
      </w:pPr>
    </w:p>
    <w:p>
      <w:pPr>
        <w:jc w:val="both"/>
        <w:ind w:left="6" w:right="20" w:firstLine="283"/>
        <w:spacing w:after="0" w:line="342" w:lineRule="auto"/>
        <w:rPr>
          <w:sz w:val="20"/>
          <w:szCs w:val="20"/>
          <w:color w:val="auto"/>
        </w:rPr>
      </w:pPr>
      <w:r>
        <w:rPr>
          <w:rFonts w:ascii="Arial" w:cs="Arial" w:eastAsia="Arial" w:hAnsi="Arial"/>
          <w:sz w:val="13"/>
          <w:szCs w:val="13"/>
          <w:color w:val="auto"/>
        </w:rPr>
        <w:t>As of December 31, 2021, there has been an increase in property, plant and equipment as a result of the step acquisition of Beacon in May 2021 offset by deconsolidation of Pine bend and Noble Road and increase in construction of RNG generation facilities including, but not limited to Sunoma and Central Valley RNG dispensing facilities. The majority of these facilities, for which costs are in construction in progress as of December 31, 2021, are expected to be operational within the next year.</w:t>
      </w:r>
    </w:p>
    <w:p>
      <w:pPr>
        <w:spacing w:after="0" w:line="115" w:lineRule="exact"/>
        <w:rPr>
          <w:sz w:val="20"/>
          <w:szCs w:val="20"/>
          <w:color w:val="auto"/>
        </w:rPr>
      </w:pPr>
    </w:p>
    <w:p>
      <w:pPr>
        <w:jc w:val="both"/>
        <w:ind w:left="6" w:right="20" w:firstLine="283"/>
        <w:spacing w:after="0" w:line="383" w:lineRule="auto"/>
        <w:rPr>
          <w:sz w:val="20"/>
          <w:szCs w:val="20"/>
          <w:color w:val="auto"/>
        </w:rPr>
      </w:pPr>
      <w:r>
        <w:rPr>
          <w:rFonts w:ascii="Arial" w:cs="Arial" w:eastAsia="Arial" w:hAnsi="Arial"/>
          <w:sz w:val="13"/>
          <w:szCs w:val="13"/>
          <w:color w:val="auto"/>
        </w:rPr>
        <w:t>Depreciation expense on property, plant, and equipment in 2021, 2020 and 2019 was $9,501, $7,595 and $7,241, respectively. Property, plant, and equipment was reduced by $4,234, and $8,246 at December 31, 2021 and 2020, respectively, due to U.S. Treasury grants received in prior years for the construction of renewable energy power plants.</w:t>
      </w:r>
    </w:p>
    <w:p>
      <w:pPr>
        <w:spacing w:after="0" w:line="18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50" w:name="page251"/>
    <w:bookmarkEnd w:id="250"/>
    <w:p>
      <w:pPr>
        <w:jc w:val="center"/>
        <w:ind w:right="14"/>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14"/>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6" w:lineRule="exact"/>
        <w:rPr>
          <w:sz w:val="20"/>
          <w:szCs w:val="20"/>
          <w:color w:val="auto"/>
        </w:rPr>
      </w:pPr>
    </w:p>
    <w:p>
      <w:pPr>
        <w:jc w:val="center"/>
        <w:ind w:right="14"/>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8. Intangible Assets, Net</w:t>
      </w:r>
    </w:p>
    <w:p>
      <w:pPr>
        <w:sectPr>
          <w:pgSz w:w="11900" w:h="16838" w:orient="portrait"/>
          <w:cols w:equalWidth="0" w:num="1">
            <w:col w:w="11266"/>
          </w:cols>
          <w:pgMar w:left="314" w:top="688" w:right="319" w:bottom="1440" w:gutter="0" w:footer="0" w:header="0"/>
        </w:sectPr>
      </w:pPr>
    </w:p>
    <w:p>
      <w:pPr>
        <w:spacing w:after="0" w:line="197" w:lineRule="exact"/>
        <w:rPr>
          <w:sz w:val="20"/>
          <w:szCs w:val="20"/>
          <w:color w:val="auto"/>
        </w:rPr>
      </w:pPr>
    </w:p>
    <w:p>
      <w:pPr>
        <w:ind w:left="286"/>
        <w:spacing w:after="0"/>
        <w:rPr>
          <w:sz w:val="20"/>
          <w:szCs w:val="20"/>
          <w:color w:val="auto"/>
        </w:rPr>
      </w:pPr>
      <w:r>
        <w:rPr>
          <w:rFonts w:ascii="Arial" w:cs="Arial" w:eastAsia="Arial" w:hAnsi="Arial"/>
          <w:sz w:val="13"/>
          <w:szCs w:val="13"/>
          <w:color w:val="auto"/>
        </w:rPr>
        <w:t>Intangible assets, net, consisted of the following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
        <w:spacing w:after="0"/>
        <w:rPr>
          <w:sz w:val="20"/>
          <w:szCs w:val="20"/>
          <w:color w:val="auto"/>
        </w:rPr>
      </w:pPr>
      <w:r>
        <w:rPr>
          <w:rFonts w:ascii="Arial" w:cs="Arial" w:eastAsia="Arial" w:hAnsi="Arial"/>
          <w:sz w:val="16"/>
          <w:szCs w:val="16"/>
          <w:color w:val="auto"/>
        </w:rPr>
        <w:t>Power purchase agreements</w:t>
      </w:r>
      <w:r>
        <w:rPr>
          <w:rFonts w:ascii="Arial" w:cs="Arial" w:eastAsia="Arial" w:hAnsi="Arial"/>
          <w:sz w:val="26"/>
          <w:szCs w:val="26"/>
          <w:color w:val="auto"/>
          <w:vertAlign w:val="superscript"/>
        </w:rPr>
        <w:t>(1)</w:t>
      </w:r>
    </w:p>
    <w:p>
      <w:pPr>
        <w:ind w:left="6"/>
        <w:spacing w:after="0" w:line="187" w:lineRule="auto"/>
        <w:rPr>
          <w:sz w:val="20"/>
          <w:szCs w:val="20"/>
          <w:color w:val="auto"/>
        </w:rPr>
      </w:pPr>
      <w:r>
        <w:rPr>
          <w:rFonts w:ascii="Arial" w:cs="Arial" w:eastAsia="Arial" w:hAnsi="Arial"/>
          <w:sz w:val="15"/>
          <w:szCs w:val="15"/>
          <w:color w:val="auto"/>
        </w:rPr>
        <w:t>Transmission/distribution interconnection</w:t>
      </w:r>
      <w:r>
        <w:rPr>
          <w:rFonts w:ascii="Arial" w:cs="Arial" w:eastAsia="Arial" w:hAnsi="Arial"/>
          <w:sz w:val="25"/>
          <w:szCs w:val="25"/>
          <w:color w:val="auto"/>
          <w:vertAlign w:val="superscript"/>
        </w:rPr>
        <w:t>(2)</w:t>
      </w:r>
    </w:p>
    <w:p>
      <w:pPr>
        <w:ind w:left="6"/>
        <w:spacing w:after="0"/>
        <w:rPr>
          <w:sz w:val="20"/>
          <w:szCs w:val="20"/>
          <w:color w:val="auto"/>
        </w:rPr>
      </w:pPr>
      <w:r>
        <w:rPr>
          <w:rFonts w:ascii="Arial" w:cs="Arial" w:eastAsia="Arial" w:hAnsi="Arial"/>
          <w:sz w:val="16"/>
          <w:szCs w:val="16"/>
          <w:color w:val="auto"/>
        </w:rPr>
        <w:t>CNG sales contract</w:t>
      </w:r>
    </w:p>
    <w:p>
      <w:pPr>
        <w:spacing w:after="0" w:line="2" w:lineRule="exact"/>
        <w:rPr>
          <w:sz w:val="20"/>
          <w:szCs w:val="20"/>
          <w:color w:val="auto"/>
        </w:rPr>
      </w:pPr>
    </w:p>
    <w:p>
      <w:pPr>
        <w:ind w:left="6"/>
        <w:spacing w:after="0"/>
        <w:rPr>
          <w:sz w:val="20"/>
          <w:szCs w:val="20"/>
          <w:color w:val="auto"/>
        </w:rPr>
      </w:pPr>
      <w:r>
        <w:rPr>
          <w:rFonts w:ascii="Arial" w:cs="Arial" w:eastAsia="Arial" w:hAnsi="Arial"/>
          <w:sz w:val="16"/>
          <w:szCs w:val="16"/>
          <w:color w:val="auto"/>
        </w:rPr>
        <w:t>Intellectual property</w:t>
      </w:r>
    </w:p>
    <w:p>
      <w:pPr>
        <w:spacing w:after="0" w:line="17" w:lineRule="exact"/>
        <w:rPr>
          <w:sz w:val="20"/>
          <w:szCs w:val="20"/>
          <w:color w:val="auto"/>
        </w:rPr>
      </w:pPr>
    </w:p>
    <w:p>
      <w:pPr>
        <w:ind w:left="6"/>
        <w:spacing w:after="0"/>
        <w:rPr>
          <w:sz w:val="20"/>
          <w:szCs w:val="20"/>
          <w:color w:val="auto"/>
        </w:rPr>
      </w:pPr>
      <w:r>
        <w:rPr>
          <w:rFonts w:ascii="Arial" w:cs="Arial" w:eastAsia="Arial" w:hAnsi="Arial"/>
          <w:sz w:val="16"/>
          <w:szCs w:val="16"/>
          <w:color w:val="auto"/>
        </w:rPr>
        <w:t>Total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178752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left="208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left="42"/>
              <w:spacing w:after="0" w:line="177" w:lineRule="exact"/>
              <w:rPr>
                <w:sz w:val="20"/>
                <w:szCs w:val="20"/>
                <w:color w:val="auto"/>
              </w:rPr>
            </w:pPr>
            <w:r>
              <w:rPr>
                <w:rFonts w:ascii="Arial" w:cs="Arial" w:eastAsia="Arial" w:hAnsi="Arial"/>
                <w:sz w:val="16"/>
                <w:szCs w:val="16"/>
                <w:b w:val="1"/>
                <w:bCs w:val="1"/>
                <w:color w:val="auto"/>
                <w:w w:val="85"/>
              </w:rPr>
              <w:t>Weighted Average</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left="62"/>
              <w:spacing w:after="0"/>
              <w:rPr>
                <w:sz w:val="20"/>
                <w:szCs w:val="20"/>
                <w:color w:val="auto"/>
              </w:rPr>
            </w:pPr>
            <w:r>
              <w:rPr>
                <w:rFonts w:ascii="Arial" w:cs="Arial" w:eastAsia="Arial" w:hAnsi="Arial"/>
                <w:sz w:val="16"/>
                <w:szCs w:val="16"/>
                <w:b w:val="1"/>
                <w:bCs w:val="1"/>
                <w:color w:val="auto"/>
                <w:w w:val="91"/>
              </w:rPr>
              <w:t>Amortization</w:t>
            </w:r>
          </w:p>
        </w:tc>
        <w:tc>
          <w:tcPr>
            <w:tcW w:w="0" w:type="dxa"/>
            <w:vAlign w:val="bottom"/>
          </w:tcPr>
          <w:p>
            <w:pPr>
              <w:spacing w:after="0"/>
              <w:rPr>
                <w:sz w:val="1"/>
                <w:szCs w:val="1"/>
                <w:color w:val="auto"/>
              </w:rPr>
            </w:pPr>
          </w:p>
        </w:tc>
      </w:tr>
      <w:tr>
        <w:trPr>
          <w:trHeight w:val="209"/>
        </w:trPr>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91"/>
              </w:rPr>
              <w:t>Amortization</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ind w:left="42"/>
              <w:spacing w:after="0"/>
              <w:rPr>
                <w:sz w:val="20"/>
                <w:szCs w:val="20"/>
                <w:color w:val="auto"/>
              </w:rPr>
            </w:pPr>
            <w:r>
              <w:rPr>
                <w:rFonts w:ascii="Arial" w:cs="Arial" w:eastAsia="Arial" w:hAnsi="Arial"/>
                <w:sz w:val="16"/>
                <w:szCs w:val="16"/>
                <w:b w:val="1"/>
                <w:bCs w:val="1"/>
                <w:color w:val="auto"/>
                <w:w w:val="91"/>
              </w:rPr>
              <w:t>Period (Months)</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8,999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(6,986)</w:t>
            </w:r>
          </w:p>
        </w:tc>
        <w:tc>
          <w:tcPr>
            <w:tcW w:w="1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2,013</w:t>
            </w:r>
          </w:p>
        </w:tc>
        <w:tc>
          <w:tcPr>
            <w:tcW w:w="1420" w:type="dxa"/>
            <w:vAlign w:val="bottom"/>
            <w:gridSpan w:val="2"/>
          </w:tcPr>
          <w:p>
            <w:pPr>
              <w:jc w:val="center"/>
              <w:ind w:left="262"/>
              <w:spacing w:after="0"/>
              <w:rPr>
                <w:sz w:val="20"/>
                <w:szCs w:val="20"/>
                <w:color w:val="auto"/>
              </w:rPr>
            </w:pPr>
            <w:r>
              <w:rPr>
                <w:rFonts w:ascii="Arial" w:cs="Arial" w:eastAsia="Arial" w:hAnsi="Arial"/>
                <w:sz w:val="16"/>
                <w:szCs w:val="16"/>
                <w:color w:val="auto"/>
                <w:w w:val="89"/>
              </w:rPr>
              <w:t>217</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735</w:t>
            </w:r>
          </w:p>
        </w:tc>
        <w:tc>
          <w:tcPr>
            <w:tcW w:w="1420" w:type="dxa"/>
            <w:vAlign w:val="bottom"/>
            <w:gridSpan w:val="2"/>
          </w:tcPr>
          <w:p>
            <w:pPr>
              <w:jc w:val="center"/>
              <w:ind w:left="262"/>
              <w:spacing w:after="0"/>
              <w:rPr>
                <w:sz w:val="20"/>
                <w:szCs w:val="20"/>
                <w:color w:val="auto"/>
              </w:rPr>
            </w:pPr>
            <w:r>
              <w:rPr>
                <w:rFonts w:ascii="Arial" w:cs="Arial" w:eastAsia="Arial" w:hAnsi="Arial"/>
                <w:sz w:val="16"/>
                <w:szCs w:val="16"/>
                <w:color w:val="auto"/>
                <w:w w:val="89"/>
              </w:rPr>
              <w:t>181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1420" w:type="dxa"/>
            <w:vAlign w:val="bottom"/>
            <w:gridSpan w:val="2"/>
          </w:tcPr>
          <w:p>
            <w:pPr>
              <w:jc w:val="center"/>
              <w:ind w:left="262"/>
              <w:spacing w:after="0"/>
              <w:rPr>
                <w:sz w:val="20"/>
                <w:szCs w:val="20"/>
                <w:color w:val="auto"/>
              </w:rPr>
            </w:pPr>
            <w:r>
              <w:rPr>
                <w:rFonts w:ascii="Arial" w:cs="Arial" w:eastAsia="Arial" w:hAnsi="Arial"/>
                <w:sz w:val="16"/>
                <w:szCs w:val="16"/>
                <w:color w:val="auto"/>
                <w:w w:val="89"/>
              </w:rPr>
              <w:t>120</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420" w:type="dxa"/>
            <w:vAlign w:val="bottom"/>
            <w:gridSpan w:val="2"/>
          </w:tcPr>
          <w:p>
            <w:pPr>
              <w:jc w:val="center"/>
              <w:ind w:left="262"/>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vMerge w:val="restart"/>
          </w:tcPr>
          <w:p>
            <w:pPr>
              <w:jc w:val="right"/>
              <w:ind w:right="21"/>
              <w:spacing w:after="0"/>
              <w:rPr>
                <w:sz w:val="20"/>
                <w:szCs w:val="20"/>
                <w:color w:val="auto"/>
              </w:rPr>
            </w:pPr>
            <w:r>
              <w:rPr>
                <w:rFonts w:ascii="Arial" w:cs="Arial" w:eastAsia="Arial" w:hAnsi="Arial"/>
                <w:sz w:val="8"/>
                <w:szCs w:val="8"/>
                <w:b w:val="1"/>
                <w:bCs w:val="1"/>
                <w:color w:val="auto"/>
                <w:w w:val="73"/>
              </w:rPr>
              <w:t>)</w:t>
            </w:r>
          </w:p>
        </w:tc>
        <w:tc>
          <w:tcPr>
            <w:tcW w:w="100" w:type="dxa"/>
            <w:vAlign w:val="bottom"/>
            <w:vMerge w:val="restart"/>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11,449</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(8,588</w:t>
            </w:r>
          </w:p>
        </w:tc>
        <w:tc>
          <w:tcPr>
            <w:tcW w:w="1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2,861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-717550</wp:posOffset>
            </wp:positionV>
            <wp:extent cx="7150100" cy="142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100" cy="142240"/>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-433070</wp:posOffset>
            </wp:positionV>
            <wp:extent cx="7150100" cy="1193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-179070</wp:posOffset>
            </wp:positionV>
            <wp:extent cx="7150100" cy="156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100" cy="156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6" w:space="720"/>
            <w:col w:w="5420"/>
          </w:cols>
          <w:pgMar w:left="314" w:top="688" w:right="319" w:bottom="1440" w:gutter="0" w:footer="0" w:header="0"/>
          <w:type w:val="continuous"/>
        </w:sectPr>
      </w:pPr>
    </w:p>
    <w:p>
      <w:pPr>
        <w:spacing w:after="0" w:line="11" w:lineRule="exact"/>
        <w:rPr>
          <w:sz w:val="20"/>
          <w:szCs w:val="20"/>
          <w:color w:val="auto"/>
        </w:rPr>
      </w:pPr>
    </w:p>
    <w:p>
      <w:pPr>
        <w:ind w:left="286" w:hanging="286"/>
        <w:spacing w:after="0"/>
        <w:tabs>
          <w:tab w:leader="none" w:pos="286"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Includes $114 of accelerated amortization of the power purchase agreement associated with the renewable power generating facility to be abandoned in June 2023.</w:t>
      </w:r>
    </w:p>
    <w:p>
      <w:pPr>
        <w:spacing w:after="0" w:line="27" w:lineRule="exact"/>
        <w:rPr>
          <w:rFonts w:ascii="Arial" w:cs="Arial" w:eastAsia="Arial" w:hAnsi="Arial"/>
          <w:sz w:val="15"/>
          <w:szCs w:val="15"/>
          <w:color w:val="auto"/>
        </w:rPr>
      </w:pPr>
    </w:p>
    <w:p>
      <w:pPr>
        <w:ind w:left="286" w:right="20" w:hanging="286"/>
        <w:spacing w:after="0" w:line="251" w:lineRule="auto"/>
        <w:tabs>
          <w:tab w:leader="none" w:pos="28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w:t>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5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66"/>
              <w:spacing w:after="0"/>
              <w:rPr>
                <w:sz w:val="20"/>
                <w:szCs w:val="20"/>
                <w:color w:val="auto"/>
              </w:rPr>
            </w:pPr>
            <w:r>
              <w:rPr>
                <w:rFonts w:ascii="Arial" w:cs="Arial" w:eastAsia="Arial" w:hAnsi="Arial"/>
                <w:sz w:val="16"/>
                <w:szCs w:val="16"/>
                <w:b w:val="1"/>
                <w:bCs w:val="1"/>
                <w:color w:val="auto"/>
              </w:rPr>
              <w:t>December 31, 2020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left="42"/>
              <w:spacing w:after="0" w:line="172" w:lineRule="exact"/>
              <w:rPr>
                <w:sz w:val="20"/>
                <w:szCs w:val="20"/>
                <w:color w:val="auto"/>
              </w:rPr>
            </w:pPr>
            <w:r>
              <w:rPr>
                <w:rFonts w:ascii="Arial" w:cs="Arial" w:eastAsia="Arial" w:hAnsi="Arial"/>
                <w:sz w:val="16"/>
                <w:szCs w:val="16"/>
                <w:b w:val="1"/>
                <w:bCs w:val="1"/>
                <w:color w:val="auto"/>
                <w:w w:val="85"/>
              </w:rPr>
              <w:t>Weighted Average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Amortization</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Period (Months)</w:t>
            </w:r>
          </w:p>
        </w:tc>
        <w:tc>
          <w:tcPr>
            <w:tcW w:w="0" w:type="dxa"/>
            <w:vAlign w:val="bottom"/>
          </w:tcPr>
          <w:p>
            <w:pPr>
              <w:spacing w:after="0"/>
              <w:rPr>
                <w:sz w:val="1"/>
                <w:szCs w:val="1"/>
                <w:color w:val="auto"/>
              </w:rPr>
            </w:pPr>
          </w:p>
        </w:tc>
      </w:tr>
      <w:tr>
        <w:trPr>
          <w:trHeight w:val="188"/>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Power purchase agreements</w:t>
            </w: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2,397</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ind w:left="162"/>
              <w:spacing w:after="0"/>
              <w:rPr>
                <w:sz w:val="20"/>
                <w:szCs w:val="20"/>
                <w:color w:val="auto"/>
              </w:rPr>
            </w:pPr>
            <w:r>
              <w:rPr>
                <w:rFonts w:ascii="Arial" w:cs="Arial" w:eastAsia="Arial" w:hAnsi="Arial"/>
                <w:sz w:val="16"/>
                <w:szCs w:val="16"/>
                <w:color w:val="auto"/>
                <w:w w:val="89"/>
              </w:rPr>
              <w:t>217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40" w:type="dxa"/>
            <w:vAlign w:val="bottom"/>
            <w:gridSpan w:val="2"/>
          </w:tcPr>
          <w:p>
            <w:pPr>
              <w:spacing w:after="0"/>
              <w:rPr>
                <w:sz w:val="20"/>
                <w:szCs w:val="20"/>
                <w:color w:val="auto"/>
              </w:rPr>
            </w:pPr>
            <w:r>
              <w:rPr>
                <w:rFonts w:ascii="Arial" w:cs="Arial" w:eastAsia="Arial" w:hAnsi="Arial"/>
                <w:sz w:val="16"/>
                <w:szCs w:val="16"/>
                <w:color w:val="auto"/>
              </w:rPr>
              <w:t>Transmission/distribution interconnection</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6"/>
                <w:szCs w:val="16"/>
                <w:color w:val="auto"/>
              </w:rPr>
            </w:pP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840</w:t>
            </w:r>
          </w:p>
        </w:tc>
        <w:tc>
          <w:tcPr>
            <w:tcW w:w="1320" w:type="dxa"/>
            <w:vAlign w:val="bottom"/>
          </w:tcPr>
          <w:p>
            <w:pPr>
              <w:jc w:val="center"/>
              <w:ind w:left="162"/>
              <w:spacing w:after="0"/>
              <w:rPr>
                <w:sz w:val="20"/>
                <w:szCs w:val="20"/>
                <w:color w:val="auto"/>
              </w:rPr>
            </w:pPr>
            <w:r>
              <w:rPr>
                <w:rFonts w:ascii="Arial" w:cs="Arial" w:eastAsia="Arial" w:hAnsi="Arial"/>
                <w:sz w:val="16"/>
                <w:szCs w:val="16"/>
                <w:color w:val="auto"/>
                <w:w w:val="89"/>
              </w:rPr>
              <w:t>181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CNG sales contract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168</w:t>
            </w:r>
          </w:p>
        </w:tc>
        <w:tc>
          <w:tcPr>
            <w:tcW w:w="1320" w:type="dxa"/>
            <w:vAlign w:val="bottom"/>
            <w:shd w:val="clear" w:color="auto" w:fill="CCEEFF"/>
          </w:tcPr>
          <w:p>
            <w:pPr>
              <w:jc w:val="center"/>
              <w:ind w:left="162"/>
              <w:spacing w:after="0"/>
              <w:rPr>
                <w:sz w:val="20"/>
                <w:szCs w:val="20"/>
                <w:color w:val="auto"/>
              </w:rPr>
            </w:pPr>
            <w:r>
              <w:rPr>
                <w:rFonts w:ascii="Arial" w:cs="Arial" w:eastAsia="Arial" w:hAnsi="Arial"/>
                <w:sz w:val="16"/>
                <w:szCs w:val="16"/>
                <w:color w:val="auto"/>
                <w:w w:val="89"/>
              </w:rPr>
              <w:t>120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940" w:type="dxa"/>
            <w:vAlign w:val="bottom"/>
            <w:gridSpan w:val="2"/>
          </w:tcPr>
          <w:p>
            <w:pPr>
              <w:spacing w:after="0"/>
              <w:rPr>
                <w:sz w:val="20"/>
                <w:szCs w:val="20"/>
                <w:color w:val="auto"/>
              </w:rPr>
            </w:pPr>
            <w:r>
              <w:rPr>
                <w:rFonts w:ascii="Arial" w:cs="Arial" w:eastAsia="Arial" w:hAnsi="Arial"/>
                <w:sz w:val="16"/>
                <w:szCs w:val="16"/>
                <w:color w:val="auto"/>
              </w:rPr>
              <w:t>Intellectual property</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320" w:type="dxa"/>
            <w:vAlign w:val="bottom"/>
          </w:tcPr>
          <w:p>
            <w:pPr>
              <w:jc w:val="center"/>
              <w:ind w:left="162"/>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Total intangible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1"/>
              <w:spacing w:after="0"/>
              <w:rPr>
                <w:sz w:val="20"/>
                <w:szCs w:val="20"/>
                <w:color w:val="auto"/>
              </w:rPr>
            </w:pPr>
            <w:r>
              <w:rPr>
                <w:rFonts w:ascii="Arial" w:cs="Arial" w:eastAsia="Arial" w:hAnsi="Arial"/>
                <w:sz w:val="8"/>
                <w:szCs w:val="8"/>
                <w:b w:val="1"/>
                <w:bCs w:val="1"/>
                <w:color w:val="auto"/>
                <w:w w:val="73"/>
              </w:rPr>
              <w:t>)</w:t>
            </w:r>
          </w:p>
        </w:tc>
        <w:tc>
          <w:tcPr>
            <w:tcW w:w="10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11,449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(8,012</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4"/>
              </w:rPr>
              <w:t>3,437</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Amortization expense for 2021, 2020 and 2019 was $577, $555, and $613, respectively. At December 31, 2021, estimated future amortization expense for intangible assets is as follows:</w:t>
      </w:r>
    </w:p>
    <w:p>
      <w:pPr>
        <w:spacing w:after="0" w:line="165"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0" w:type="dxa"/>
            <w:vAlign w:val="bottom"/>
          </w:tcPr>
          <w:p>
            <w:pPr>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0" w:type="dxa"/>
            <w:vAlign w:val="bottom"/>
          </w:tcPr>
          <w:p>
            <w:pPr>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9. Goodwill</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3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840" w:type="dxa"/>
            <w:vAlign w:val="bottom"/>
            <w:gridSpan w:val="7"/>
          </w:tcPr>
          <w:p>
            <w:pPr>
              <w:ind w:left="280"/>
              <w:spacing w:after="0"/>
              <w:rPr>
                <w:sz w:val="20"/>
                <w:szCs w:val="20"/>
                <w:color w:val="auto"/>
              </w:rPr>
            </w:pPr>
            <w:r>
              <w:rPr>
                <w:rFonts w:ascii="Arial" w:cs="Arial" w:eastAsia="Arial" w:hAnsi="Arial"/>
                <w:sz w:val="16"/>
                <w:szCs w:val="16"/>
                <w:color w:val="auto"/>
                <w:w w:val="89"/>
              </w:rPr>
              <w:t>The following table summarizes the changes in goodwill by reporting segment from the beginning of the period to the end of the period:</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5"/>
              </w:rPr>
              <w:t>RNG Fuel</w:t>
            </w:r>
          </w:p>
        </w:tc>
        <w:tc>
          <w:tcPr>
            <w:tcW w:w="140" w:type="dxa"/>
            <w:vAlign w:val="bottom"/>
          </w:tcPr>
          <w:p>
            <w:pPr>
              <w:spacing w:after="0"/>
              <w:rPr>
                <w:sz w:val="24"/>
                <w:szCs w:val="24"/>
                <w:color w:val="auto"/>
              </w:rPr>
            </w:pPr>
          </w:p>
        </w:tc>
        <w:tc>
          <w:tcPr>
            <w:tcW w:w="118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89"/>
              </w:rPr>
              <w:t>Fuel station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6"/>
              </w:rPr>
              <w:t>Supply</w:t>
            </w:r>
          </w:p>
        </w:tc>
        <w:tc>
          <w:tcPr>
            <w:tcW w:w="140" w:type="dxa"/>
            <w:vAlign w:val="bottom"/>
          </w:tcPr>
          <w:p>
            <w:pPr>
              <w:spacing w:after="0"/>
              <w:rPr>
                <w:sz w:val="18"/>
                <w:szCs w:val="18"/>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83"/>
              </w:rPr>
              <w:t>service</w:t>
            </w:r>
          </w:p>
        </w:tc>
        <w:tc>
          <w:tcPr>
            <w:tcW w:w="240" w:type="dxa"/>
            <w:vAlign w:val="bottom"/>
          </w:tcPr>
          <w:p>
            <w:pPr>
              <w:spacing w:after="0"/>
              <w:rPr>
                <w:sz w:val="18"/>
                <w:szCs w:val="18"/>
                <w:color w:val="auto"/>
              </w:rPr>
            </w:pPr>
          </w:p>
        </w:tc>
        <w:tc>
          <w:tcPr>
            <w:tcW w:w="1000" w:type="dxa"/>
            <w:vAlign w:val="bottom"/>
            <w:gridSpan w:val="3"/>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Balance December 31, 2020</w:t>
            </w:r>
          </w:p>
        </w:tc>
        <w:tc>
          <w:tcPr>
            <w:tcW w:w="14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spacing w:after="0" w:line="236" w:lineRule="exact"/>
              <w:rPr>
                <w:sz w:val="20"/>
                <w:szCs w:val="20"/>
                <w:color w:val="auto"/>
              </w:rPr>
            </w:pPr>
            <w:r>
              <w:rPr>
                <w:rFonts w:ascii="Arial" w:cs="Arial" w:eastAsia="Arial" w:hAnsi="Arial"/>
                <w:sz w:val="16"/>
                <w:szCs w:val="16"/>
                <w:color w:val="auto"/>
              </w:rPr>
              <w:t>Net additions during the year</w:t>
            </w:r>
            <w:r>
              <w:rPr>
                <w:rFonts w:ascii="Arial" w:cs="Arial" w:eastAsia="Arial" w:hAnsi="Arial"/>
                <w:sz w:val="26"/>
                <w:szCs w:val="26"/>
                <w:color w:val="auto"/>
                <w:vertAlign w:val="superscript"/>
              </w:rPr>
              <w:t>(1)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51,155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51,155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Balance December 31, 2021</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32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51,155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54,608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5446" w:right="4560" w:hanging="5446"/>
        <w:spacing w:after="0" w:line="693" w:lineRule="auto"/>
        <w:tabs>
          <w:tab w:leader="none" w:pos="28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Addition relates to the step acquisition of Beacon. See Note 5, Acquisition, for additional information. 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7150100"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type w:val="continuous"/>
        </w:sectPr>
      </w:pPr>
    </w:p>
    <w:bookmarkStart w:id="251" w:name="page252"/>
    <w:bookmarkEnd w:id="251"/>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60" w:type="dxa"/>
            <w:vAlign w:val="bottom"/>
          </w:tcPr>
          <w:p>
            <w:pPr>
              <w:spacing w:after="0"/>
              <w:rPr>
                <w:sz w:val="20"/>
                <w:szCs w:val="20"/>
                <w:color w:val="auto"/>
              </w:rPr>
            </w:pPr>
            <w:r>
              <w:rPr>
                <w:rFonts w:ascii="Arial" w:cs="Arial" w:eastAsia="Arial" w:hAnsi="Arial"/>
                <w:sz w:val="16"/>
                <w:szCs w:val="16"/>
                <w:b w:val="1"/>
                <w:bCs w:val="1"/>
                <w:color w:val="auto"/>
              </w:rPr>
              <w:t>10. Borrowings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7"/>
        </w:trPr>
        <w:tc>
          <w:tcPr>
            <w:tcW w:w="8560" w:type="dxa"/>
            <w:vAlign w:val="bottom"/>
          </w:tcPr>
          <w:p>
            <w:pPr>
              <w:ind w:left="280"/>
              <w:spacing w:after="0"/>
              <w:rPr>
                <w:sz w:val="20"/>
                <w:szCs w:val="20"/>
                <w:color w:val="auto"/>
              </w:rPr>
            </w:pPr>
            <w:r>
              <w:rPr>
                <w:rFonts w:ascii="Arial" w:cs="Arial" w:eastAsia="Arial" w:hAnsi="Arial"/>
                <w:sz w:val="16"/>
                <w:szCs w:val="16"/>
                <w:color w:val="auto"/>
                <w:w w:val="89"/>
              </w:rPr>
              <w:t>The following table summarizes the borrowings under the various debt facilities as of December 31, 2021 and December 31, 2020: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1"/>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6"/>
              </w:rPr>
              <w:t>December 31,</w:t>
            </w:r>
          </w:p>
        </w:tc>
      </w:tr>
      <w:tr>
        <w:trPr>
          <w:trHeight w:val="209"/>
        </w:trPr>
        <w:tc>
          <w:tcPr>
            <w:tcW w:w="8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credit facility, term loan</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73,869</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78,770</w:t>
            </w:r>
          </w:p>
        </w:tc>
        <w:tc>
          <w:tcPr>
            <w:tcW w:w="120" w:type="dxa"/>
            <w:vAlign w:val="bottom"/>
            <w:shd w:val="clear" w:color="auto" w:fill="CCEEFF"/>
          </w:tcPr>
          <w:p>
            <w:pPr>
              <w:spacing w:after="0"/>
              <w:rPr>
                <w:sz w:val="16"/>
                <w:szCs w:val="16"/>
                <w:color w:val="auto"/>
              </w:rPr>
            </w:pPr>
          </w:p>
        </w:tc>
      </w:tr>
      <w:tr>
        <w:trPr>
          <w:trHeight w:val="188"/>
        </w:trPr>
        <w:tc>
          <w:tcPr>
            <w:tcW w:w="8560" w:type="dxa"/>
            <w:vAlign w:val="bottom"/>
          </w:tcPr>
          <w:p>
            <w:pPr>
              <w:spacing w:after="0"/>
              <w:rPr>
                <w:sz w:val="20"/>
                <w:szCs w:val="20"/>
                <w:color w:val="auto"/>
              </w:rPr>
            </w:pPr>
            <w:r>
              <w:rPr>
                <w:rFonts w:ascii="Arial" w:cs="Arial" w:eastAsia="Arial" w:hAnsi="Arial"/>
                <w:sz w:val="16"/>
                <w:szCs w:val="16"/>
                <w:color w:val="auto"/>
              </w:rPr>
              <w:t>Less: Unamortized debt issuance costs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(1,614)</w:t>
            </w:r>
          </w:p>
        </w:tc>
      </w:tr>
      <w:tr>
        <w:trPr>
          <w:trHeight w:val="220"/>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(73,145)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(4,900)</w:t>
            </w:r>
          </w:p>
        </w:tc>
      </w:tr>
      <w:tr>
        <w:trPr>
          <w:trHeight w:val="176"/>
        </w:trPr>
        <w:tc>
          <w:tcPr>
            <w:tcW w:w="856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Senior secured credit facility, term loan, net of debt issuance costs</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72,256</w:t>
            </w:r>
          </w:p>
        </w:tc>
        <w:tc>
          <w:tcPr>
            <w:tcW w:w="120" w:type="dxa"/>
            <w:vAlign w:val="bottom"/>
            <w:tcBorders>
              <w:top w:val="single" w:sz="8" w:color="CCEEFF"/>
              <w:bottom w:val="single" w:sz="8" w:color="CCEEFF"/>
            </w:tcBorders>
          </w:tcPr>
          <w:p>
            <w:pPr>
              <w:spacing w:after="0"/>
              <w:rPr>
                <w:sz w:val="15"/>
                <w:szCs w:val="15"/>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credit facility, working capital facility</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12,682</w:t>
            </w:r>
          </w:p>
        </w:tc>
        <w:tc>
          <w:tcPr>
            <w:tcW w:w="120" w:type="dxa"/>
            <w:vAlign w:val="bottom"/>
            <w:shd w:val="clear" w:color="auto" w:fill="CCEEFF"/>
          </w:tcPr>
          <w:p>
            <w:pPr>
              <w:spacing w:after="0"/>
              <w:rPr>
                <w:sz w:val="16"/>
                <w:szCs w:val="16"/>
                <w:color w:val="auto"/>
              </w:rPr>
            </w:pPr>
          </w:p>
        </w:tc>
      </w:tr>
      <w:tr>
        <w:trPr>
          <w:trHeight w:val="204"/>
        </w:trPr>
        <w:tc>
          <w:tcPr>
            <w:tcW w:w="8560" w:type="dxa"/>
            <w:vAlign w:val="bottom"/>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(5,182)</w:t>
            </w:r>
          </w:p>
        </w:tc>
      </w:tr>
      <w:tr>
        <w:trPr>
          <w:trHeight w:val="208"/>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Senior secured credit facility, working capital facility</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2"/>
        </w:trPr>
        <w:tc>
          <w:tcPr>
            <w:tcW w:w="8560" w:type="dxa"/>
            <w:vAlign w:val="bottom"/>
          </w:tcPr>
          <w:p>
            <w:pPr>
              <w:spacing w:after="0" w:line="172" w:lineRule="exact"/>
              <w:rPr>
                <w:sz w:val="20"/>
                <w:szCs w:val="20"/>
                <w:color w:val="auto"/>
              </w:rPr>
            </w:pPr>
            <w:r>
              <w:rPr>
                <w:rFonts w:ascii="Arial" w:cs="Arial" w:eastAsia="Arial" w:hAnsi="Arial"/>
                <w:sz w:val="16"/>
                <w:szCs w:val="16"/>
                <w:color w:val="auto"/>
              </w:rPr>
              <w:t>TruStar revolver credit facility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10,000</w:t>
            </w:r>
          </w:p>
        </w:tc>
        <w:tc>
          <w:tcPr>
            <w:tcW w:w="120" w:type="dxa"/>
            <w:vAlign w:val="bottom"/>
          </w:tcPr>
          <w:p>
            <w:pPr>
              <w:spacing w:after="0"/>
              <w:rPr>
                <w:sz w:val="14"/>
                <w:szCs w:val="14"/>
                <w:color w:val="auto"/>
              </w:rPr>
            </w:pPr>
          </w:p>
        </w:tc>
      </w:tr>
      <w:tr>
        <w:trPr>
          <w:trHeight w:val="220"/>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6"/>
        </w:trPr>
        <w:tc>
          <w:tcPr>
            <w:tcW w:w="856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TruStar revolver credit facility</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10,000</w:t>
            </w:r>
          </w:p>
        </w:tc>
        <w:tc>
          <w:tcPr>
            <w:tcW w:w="120" w:type="dxa"/>
            <w:vAlign w:val="bottom"/>
            <w:tcBorders>
              <w:top w:val="single" w:sz="8" w:color="CCEEFF"/>
              <w:bottom w:val="single" w:sz="8" w:color="CCEEFF"/>
            </w:tcBorders>
          </w:tcPr>
          <w:p>
            <w:pPr>
              <w:spacing w:after="0"/>
              <w:rPr>
                <w:sz w:val="15"/>
                <w:szCs w:val="15"/>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Sunoma loan</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20" w:type="dxa"/>
            <w:vAlign w:val="bottom"/>
            <w:shd w:val="clear" w:color="auto" w:fill="CCEEFF"/>
          </w:tcPr>
          <w:p>
            <w:pPr>
              <w:spacing w:after="0"/>
              <w:rPr>
                <w:sz w:val="16"/>
                <w:szCs w:val="16"/>
                <w:color w:val="auto"/>
              </w:rPr>
            </w:pPr>
          </w:p>
        </w:tc>
      </w:tr>
      <w:tr>
        <w:trPr>
          <w:trHeight w:val="188"/>
        </w:trPr>
        <w:tc>
          <w:tcPr>
            <w:tcW w:w="8560" w:type="dxa"/>
            <w:vAlign w:val="bottom"/>
          </w:tcPr>
          <w:p>
            <w:pPr>
              <w:spacing w:after="0"/>
              <w:rPr>
                <w:sz w:val="20"/>
                <w:szCs w:val="20"/>
                <w:color w:val="auto"/>
              </w:rPr>
            </w:pPr>
            <w:r>
              <w:rPr>
                <w:rFonts w:ascii="Arial" w:cs="Arial" w:eastAsia="Arial" w:hAnsi="Arial"/>
                <w:sz w:val="16"/>
                <w:szCs w:val="16"/>
                <w:color w:val="auto"/>
              </w:rPr>
              <w:t>Less: Unamortized debt issuance costs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(619)</w:t>
            </w:r>
          </w:p>
        </w:tc>
      </w:tr>
      <w:tr>
        <w:trPr>
          <w:trHeight w:val="220"/>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6"/>
        </w:trPr>
        <w:tc>
          <w:tcPr>
            <w:tcW w:w="856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Sunoma loan, net of debt issuance costs</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16,199</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470</w:t>
            </w:r>
          </w:p>
        </w:tc>
        <w:tc>
          <w:tcPr>
            <w:tcW w:w="120" w:type="dxa"/>
            <w:vAlign w:val="bottom"/>
            <w:tcBorders>
              <w:top w:val="single" w:sz="8" w:color="CCEEFF"/>
              <w:bottom w:val="single" w:sz="8" w:color="CCEEFF"/>
            </w:tcBorders>
          </w:tcPr>
          <w:p>
            <w:pPr>
              <w:spacing w:after="0"/>
              <w:rPr>
                <w:sz w:val="15"/>
                <w:szCs w:val="15"/>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OPAL term loan</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88"/>
        </w:trPr>
        <w:tc>
          <w:tcPr>
            <w:tcW w:w="8560" w:type="dxa"/>
            <w:vAlign w:val="bottom"/>
          </w:tcPr>
          <w:p>
            <w:pPr>
              <w:spacing w:after="0"/>
              <w:rPr>
                <w:sz w:val="20"/>
                <w:szCs w:val="20"/>
                <w:color w:val="auto"/>
              </w:rPr>
            </w:pPr>
            <w:r>
              <w:rPr>
                <w:rFonts w:ascii="Arial" w:cs="Arial" w:eastAsia="Arial" w:hAnsi="Arial"/>
                <w:sz w:val="16"/>
                <w:szCs w:val="16"/>
                <w:color w:val="auto"/>
              </w:rPr>
              <w:t>Less: Unamortized debt discount and debt issuance costs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(2,485)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6"/>
        </w:trPr>
        <w:tc>
          <w:tcPr>
            <w:tcW w:w="856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OPAL term loan, net of debt discount and debt issuance costs</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59,090</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r>
      <w:tr>
        <w:trPr>
          <w:trHeight w:val="188"/>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Convertible note payable</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204"/>
        </w:trPr>
        <w:tc>
          <w:tcPr>
            <w:tcW w:w="8560" w:type="dxa"/>
            <w:vAlign w:val="bottom"/>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note payable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2"/>
        </w:trPr>
        <w:tc>
          <w:tcPr>
            <w:tcW w:w="8560" w:type="dxa"/>
            <w:vAlign w:val="bottom"/>
          </w:tcPr>
          <w:p>
            <w:pPr>
              <w:spacing w:after="0" w:line="172" w:lineRule="exact"/>
              <w:rPr>
                <w:sz w:val="20"/>
                <w:szCs w:val="20"/>
                <w:color w:val="auto"/>
              </w:rPr>
            </w:pPr>
            <w:r>
              <w:rPr>
                <w:rFonts w:ascii="Arial" w:cs="Arial" w:eastAsia="Arial" w:hAnsi="Arial"/>
                <w:sz w:val="16"/>
                <w:szCs w:val="16"/>
                <w:color w:val="auto"/>
              </w:rPr>
              <w:t>Municipality loan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6"/>
                <w:szCs w:val="16"/>
                <w:color w:val="auto"/>
              </w:rPr>
              <w:t>278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472</w:t>
            </w:r>
          </w:p>
        </w:tc>
        <w:tc>
          <w:tcPr>
            <w:tcW w:w="120" w:type="dxa"/>
            <w:vAlign w:val="bottom"/>
          </w:tcPr>
          <w:p>
            <w:pPr>
              <w:spacing w:after="0"/>
              <w:rPr>
                <w:sz w:val="14"/>
                <w:szCs w:val="14"/>
                <w:color w:val="auto"/>
              </w:rPr>
            </w:pPr>
          </w:p>
        </w:tc>
      </w:tr>
      <w:tr>
        <w:trPr>
          <w:trHeight w:val="220"/>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w:t>
            </w:r>
          </w:p>
        </w:tc>
      </w:tr>
      <w:tr>
        <w:trPr>
          <w:trHeight w:val="176"/>
        </w:trPr>
        <w:tc>
          <w:tcPr>
            <w:tcW w:w="856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Municipality loan</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84</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278</w:t>
            </w:r>
          </w:p>
        </w:tc>
        <w:tc>
          <w:tcPr>
            <w:tcW w:w="120" w:type="dxa"/>
            <w:vAlign w:val="bottom"/>
            <w:tcBorders>
              <w:top w:val="single" w:sz="8" w:color="CCEEFF"/>
              <w:bottom w:val="single" w:sz="8" w:color="CCEEFF"/>
            </w:tcBorders>
          </w:tcPr>
          <w:p>
            <w:pPr>
              <w:spacing w:after="0"/>
              <w:rPr>
                <w:sz w:val="15"/>
                <w:szCs w:val="15"/>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borrowings 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134,083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90,504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As of December 31, 2021, principal maturities of debt are expected as follows, excluding any subsequent refinancing transactions. The below table excludes the outstanding debt of $17,524 under the Sunoma loan was not converted from a construction loan into a term loan with a duration of 11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8"/>
              </w:rPr>
              <w:t>Senior secured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5"/>
              </w:rPr>
              <w:t>OPAL term</w:t>
            </w:r>
          </w:p>
        </w:tc>
        <w:tc>
          <w:tcPr>
            <w:tcW w:w="120" w:type="dxa"/>
            <w:vAlign w:val="bottom"/>
          </w:tcPr>
          <w:p>
            <w:pPr>
              <w:spacing w:after="0"/>
              <w:rPr>
                <w:sz w:val="16"/>
                <w:szCs w:val="16"/>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0"/>
              </w:rPr>
              <w:t>Convertible</w:t>
            </w:r>
          </w:p>
        </w:tc>
        <w:tc>
          <w:tcPr>
            <w:tcW w:w="1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Municipality</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2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credit facility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loan</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7"/>
              </w:rPr>
              <w:t>note payable</w:t>
            </w: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6"/>
                <w:szCs w:val="16"/>
                <w:b w:val="1"/>
                <w:bCs w:val="1"/>
                <w:color w:val="auto"/>
              </w:rPr>
              <w:t>loan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88"/>
        </w:trPr>
        <w:tc>
          <w:tcPr>
            <w:tcW w:w="2460" w:type="dxa"/>
            <w:vAlign w:val="bottom"/>
            <w:tcBorders>
              <w:top w:val="single" w:sz="8" w:color="CCEEFF"/>
            </w:tcBorders>
            <w:shd w:val="clear" w:color="auto" w:fill="CCEEFF"/>
          </w:tcPr>
          <w:p>
            <w:pPr>
              <w:jc w:val="right"/>
              <w:ind w:right="2082"/>
              <w:spacing w:after="0"/>
              <w:rPr>
                <w:sz w:val="20"/>
                <w:szCs w:val="20"/>
                <w:color w:val="auto"/>
              </w:rPr>
            </w:pPr>
            <w:r>
              <w:rPr>
                <w:rFonts w:ascii="Arial" w:cs="Arial" w:eastAsia="Arial" w:hAnsi="Arial"/>
                <w:sz w:val="16"/>
                <w:szCs w:val="16"/>
                <w:color w:val="auto"/>
                <w:w w:val="78"/>
              </w:rPr>
              <w:t>2022</w:t>
            </w:r>
          </w:p>
        </w:tc>
        <w:tc>
          <w:tcPr>
            <w:tcW w:w="2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81,369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13,425</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94,988</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2460" w:type="dxa"/>
            <w:vAlign w:val="bottom"/>
          </w:tcPr>
          <w:p>
            <w:pPr>
              <w:jc w:val="right"/>
              <w:ind w:right="2082"/>
              <w:spacing w:after="0"/>
              <w:rPr>
                <w:sz w:val="20"/>
                <w:szCs w:val="20"/>
                <w:color w:val="auto"/>
              </w:rPr>
            </w:pPr>
            <w:r>
              <w:rPr>
                <w:rFonts w:ascii="Arial" w:cs="Arial" w:eastAsia="Arial" w:hAnsi="Arial"/>
                <w:sz w:val="16"/>
                <w:szCs w:val="16"/>
                <w:color w:val="auto"/>
                <w:w w:val="78"/>
              </w:rPr>
              <w:t>2023</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16,110</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16,194</w:t>
            </w:r>
          </w:p>
        </w:tc>
      </w:tr>
      <w:tr>
        <w:trPr>
          <w:trHeight w:val="188"/>
        </w:trPr>
        <w:tc>
          <w:tcPr>
            <w:tcW w:w="2460" w:type="dxa"/>
            <w:vAlign w:val="bottom"/>
            <w:shd w:val="clear" w:color="auto" w:fill="CCEEFF"/>
          </w:tcPr>
          <w:p>
            <w:pPr>
              <w:jc w:val="right"/>
              <w:ind w:right="2082"/>
              <w:spacing w:after="0"/>
              <w:rPr>
                <w:sz w:val="20"/>
                <w:szCs w:val="20"/>
                <w:color w:val="auto"/>
              </w:rPr>
            </w:pPr>
            <w:r>
              <w:rPr>
                <w:rFonts w:ascii="Arial" w:cs="Arial" w:eastAsia="Arial" w:hAnsi="Arial"/>
                <w:sz w:val="16"/>
                <w:szCs w:val="16"/>
                <w:color w:val="auto"/>
                <w:w w:val="78"/>
              </w:rPr>
              <w:t>2024</w:t>
            </w: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16,110</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16,110</w:t>
            </w:r>
          </w:p>
        </w:tc>
      </w:tr>
      <w:tr>
        <w:trPr>
          <w:trHeight w:val="200"/>
        </w:trPr>
        <w:tc>
          <w:tcPr>
            <w:tcW w:w="2460" w:type="dxa"/>
            <w:vAlign w:val="bottom"/>
          </w:tcPr>
          <w:p>
            <w:pPr>
              <w:jc w:val="right"/>
              <w:ind w:right="2082"/>
              <w:spacing w:after="0"/>
              <w:rPr>
                <w:sz w:val="20"/>
                <w:szCs w:val="20"/>
                <w:color w:val="auto"/>
              </w:rPr>
            </w:pPr>
            <w:r>
              <w:rPr>
                <w:rFonts w:ascii="Arial" w:cs="Arial" w:eastAsia="Arial" w:hAnsi="Arial"/>
                <w:sz w:val="16"/>
                <w:szCs w:val="16"/>
                <w:color w:val="auto"/>
                <w:w w:val="78"/>
              </w:rPr>
              <w:t>2025</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29,355</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58,710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88,065</w:t>
            </w:r>
          </w:p>
        </w:tc>
      </w:tr>
      <w:tr>
        <w:trPr>
          <w:trHeight w:val="24"/>
        </w:trPr>
        <w:tc>
          <w:tcPr>
            <w:tcW w:w="2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81,369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58,710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278</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215,357</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secured credit facility</w:t>
      </w:r>
    </w:p>
    <w:p>
      <w:pPr>
        <w:spacing w:after="0" w:line="19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On September 21, 2015, Fortistar Methane 3 LLC ( the “FM3) , a wholly-owned subsidiary of OPAL, entered into a senior secured credit facility as a borrower and Investec Bank PLC and MUFG Union Bank N.A., as joint lead arranger and book runners and CoBank ACB as documentation agent and LC issuing bank, which provides for an aggregate principal amount of $150.0 million, which consists of (i) a term loan of $125,000 ( “Term Facility Loan”) and a (ii) working capital letter of credit facility (“Working Capital Facility”) of up to $19,000 and a (iii) Debt service reserve and liquidity facility ( Debt Reserve and Liquidity Facility”) of up to $6,000. The Company paid $14,300 to the lenders in connection with the transaction.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Borrowings </w:t>
      </w:r>
      <w:r>
        <w:rPr>
          <w:rFonts w:ascii="Arial" w:cs="Arial" w:eastAsia="Arial" w:hAnsi="Arial"/>
          <w:sz w:val="16"/>
          <w:szCs w:val="16"/>
          <w:color w:val="auto"/>
        </w:rPr>
        <w:t>(cont.)</w:t>
      </w:r>
    </w:p>
    <w:p>
      <w:pPr>
        <w:spacing w:after="0" w:line="19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The borrowings under the Senior Secured Credit Facility bear an interest rate of a fixed margin plus LIBOR for the relevant interest period. The fixed margin is 2.75% for the first four years and 3.0% until October 8, 2021 and 3.25% thereafter. Pursuant to the terms of facility, FM3 is required to repay 1% of the outstanding debt under the Term Loan Facility amounting to $1,250 on a quarterly basis which is then adjusted based on available cash and a target debt balance that declines each quarter. The Working Capital Facility contains a provision whereby the Company is obligated to reduce the amount borrowed to $7,500 or less for a period of ten consecutive business days annually. As of December 31, 2021, the total amount outstanding under the Working Capital Facility was $7,500. Additionally, the Company pays commitment fee of 0.75% on unused portion of the facility.</w:t>
      </w:r>
    </w:p>
    <w:p>
      <w:pPr>
        <w:spacing w:after="0" w:line="174"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Arial" w:cs="Arial" w:eastAsia="Arial" w:hAnsi="Arial"/>
          <w:sz w:val="15"/>
          <w:szCs w:val="15"/>
          <w:b w:val="1"/>
          <w:bCs w:val="1"/>
          <w:color w:val="auto"/>
        </w:rPr>
        <w:t>.</w:t>
      </w:r>
    </w:p>
    <w:p>
      <w:pPr>
        <w:spacing w:after="0" w:line="15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At December 31, 2021 and December 31, 2020, the Company had outstanding letters of credit that support obligations of the Company and its subsidiaries of $7,823 and $8,552, respectively. The Senior Secured Credit Facility is collateralized by substantially all the assets of FM3 and assignment of FM3’s rights, title and interests in PSAs and landfill gas rights agreements.</w:t>
      </w:r>
    </w:p>
    <w:p>
      <w:pPr>
        <w:spacing w:after="0" w:line="165"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debt agreement contains certain warranties and financial covenants including but not limited to debt service coverage ratio to be less than 1.0 and restrictions on distributions and additional indebtedness. The lenders only have recourse to the assets of FM3. For the years ended December 31, 2021 and 2020, FM3 was in compliance with all debt covenants.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Patronage dividends</w:t>
      </w:r>
    </w:p>
    <w:p>
      <w:pPr>
        <w:spacing w:after="0" w:line="193"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The Company is eligible to receive annual patronage dividends from one of its lenders, Cobank ACB under a profit sharing program made available to the borrowers. The Company accrued patronage dividend based on an estimated percentage of its weighted average debt balance for the year. For the years ended December 31, 2021, 2020 and 2019 the Company received cash dividend of $139, $136 and $131 which was recorded as a credit to interest expense in the consolidated statements of operations. Additionally, the Company received $489 as equity in Cobank SCB which will be redeemed for cash beginning 2024. The Company recorded $489 as other income in the consolidated statement of operations for the year ended December 31, 2021 and a correspond long-term asset on its balance sheet as of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TruStar revolver credit facility</w:t>
      </w:r>
    </w:p>
    <w:p>
      <w:pPr>
        <w:spacing w:after="0" w:line="19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On September 27, 2021, TruStar, a wholly-owned subsidiary of the Company renewed the existing revolving credit arrangement with JP Morgan Chase Bank, N.A., for an aggregate amount of $10,000. This revolver credit facility was secured by marketable securities pledged by the Ultimate Parent. In the fourth quarter of 2021, the outstanding balance under this credit facility was fully repaid and the revolver credit facility was cancelled.</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amounts outstanding under this credit facility had an interest rate of 1.0% plus one month LIBOR.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Borrowings </w:t>
      </w:r>
      <w:r>
        <w:rPr>
          <w:rFonts w:ascii="Arial" w:cs="Arial" w:eastAsia="Arial" w:hAnsi="Arial"/>
          <w:sz w:val="16"/>
          <w:szCs w:val="16"/>
          <w:color w:val="auto"/>
        </w:rPr>
        <w:t>(cont.)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Sunoma loan</w:t>
      </w:r>
    </w:p>
    <w:p>
      <w:pPr>
        <w:spacing w:after="0" w:line="19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On August 27, 2020, Sunoma Renewable Biofuel LLC (“Sunoma”), a wholly-owned subsidiary of the Company entered into a debt agreement with Live Oak Banking Company ( “Lender”) for an aggregate principal amount of $20,000. Sunoma paid $600 as fees to the Lender. The loan matures on April 27, 2022 and bears interest at the greater of Prime plus 3.50%, or 7.75%.</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amounts outstanding under the Sunoma loan agreement are secured by the assets of Sunoma.</w:t>
      </w:r>
    </w:p>
    <w:p>
      <w:pPr>
        <w:spacing w:after="0" w:line="193"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The Sunoma loan agreement contains certain financial covenants which require Sunoma to maintain (i) Maximum debt to worth ratio cannot exceed 5 to 1 (ii) the minimum current ratio cannot be less than 1.0 (iii) 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 Additionally, the Company received a waiver from compliance of certain non financial covenants.</w:t>
      </w:r>
    </w:p>
    <w:p>
      <w:pPr>
        <w:spacing w:after="0" w:line="155"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At maturity, the loan outstanding under the Sunoma loan agreement is convertible to a permanent loan guaranteed by the United States Department of Agriculture (“USDA”). The Permanent USDA loan will consist of an 11-year term and bear interest at the then-current 10-year LIBOR Swap rate plus 5.45%, fixed for the term of the loan. The floor rate of the USDA loan will be equal to 6.75%. The Permanent USDA loan will be secured by the assets of Sunoma Renewable Biofuel, LLC. The accrued interest is payable after the conversion to a permanent loan.</w:t>
      </w:r>
    </w:p>
    <w:p>
      <w:pPr>
        <w:spacing w:after="0" w:line="169"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significant assets of Sunoma are parenthesized in the consolidated balance sheets as December 31, 2021 and December 31, 2020. Refer to Note 16 Variable Interest Entities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OPAL term loan</w:t>
      </w:r>
    </w:p>
    <w:p>
      <w:pPr>
        <w:spacing w:after="0" w:line="197" w:lineRule="exact"/>
        <w:rPr>
          <w:sz w:val="20"/>
          <w:szCs w:val="20"/>
          <w:color w:val="auto"/>
        </w:rPr>
      </w:pPr>
    </w:p>
    <w:p>
      <w:pPr>
        <w:jc w:val="both"/>
        <w:ind w:firstLine="283"/>
        <w:spacing w:after="0" w:line="316" w:lineRule="auto"/>
        <w:rPr>
          <w:sz w:val="20"/>
          <w:szCs w:val="20"/>
          <w:color w:val="auto"/>
        </w:rPr>
      </w:pPr>
      <w:r>
        <w:rPr>
          <w:rFonts w:ascii="Arial" w:cs="Arial" w:eastAsia="Arial" w:hAnsi="Arial"/>
          <w:sz w:val="13"/>
          <w:szCs w:val="13"/>
          <w:color w:val="auto"/>
        </w:rPr>
        <w:t>On October 22, 2021, the Company executed a Term Loan at a newly formed entity, OPAL Fuels Intermediate Holding Company LLC (“OPAL Intermediate Holdco”) as the borrower and Bank of America N.A., Customers Bank, Citi Bank N.A., Barclays Bank PLC as lenders (“Lenders”), Bank of 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and the remainder will be used for general corporate purposes, including investments in RNG projects being developed by the Company.</w:t>
      </w:r>
    </w:p>
    <w:p>
      <w:pPr>
        <w:spacing w:after="0" w:line="130" w:lineRule="exact"/>
        <w:rPr>
          <w:sz w:val="20"/>
          <w:szCs w:val="20"/>
          <w:color w:val="auto"/>
        </w:rPr>
      </w:pPr>
    </w:p>
    <w:p>
      <w:pPr>
        <w:jc w:val="both"/>
        <w:ind w:right="20" w:firstLine="283"/>
        <w:spacing w:after="0" w:line="281" w:lineRule="auto"/>
        <w:rPr>
          <w:sz w:val="20"/>
          <w:szCs w:val="20"/>
          <w:color w:val="auto"/>
        </w:rPr>
      </w:pPr>
      <w:r>
        <w:rPr>
          <w:rFonts w:ascii="Arial" w:cs="Arial" w:eastAsia="Arial" w:hAnsi="Arial"/>
          <w:sz w:val="15"/>
          <w:szCs w:val="15"/>
          <w:color w:val="auto"/>
        </w:rPr>
        <w:t>Pursuant to the above, the Company borrowed $75,000 in October 2021 and an another $15,000 in February 2022 pursuant to an amendment allowing the Company to drawdown later than the original commitment date. The loan matures April 22, 2025 and bears interest at 3.0% plus LIBOR. Pursuant to the terms of the facility, OPAL Intermediate Holdco is required to repay 1.79% or $1,342 per month beginning March 2022 and an additional $700 per month beginning September 2022.</w:t>
      </w:r>
    </w:p>
    <w:p>
      <w:pPr>
        <w:spacing w:after="0" w:line="148"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The OPAL term loan contains certain financial covenants which require OPAL Intermediate Holdco to maintain a (i) minimum liquidity of $15.0 million until March 31, 2022 and $10.0 million thereafter and (ii) leverage ratio not to exceed 4 to 1. As of December 31, 2021,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Municipality loan</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Borrowings </w:t>
      </w:r>
      <w:r>
        <w:rPr>
          <w:rFonts w:ascii="Arial" w:cs="Arial" w:eastAsia="Arial" w:hAnsi="Arial"/>
          <w:sz w:val="16"/>
          <w:szCs w:val="16"/>
          <w:color w:val="auto"/>
        </w:rPr>
        <w:t>(cont.)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from Affiliate and Line of Credit from Affiliate</w:t>
      </w:r>
    </w:p>
    <w:p>
      <w:pPr>
        <w:spacing w:after="0" w:line="197"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3"/>
          <w:szCs w:val="13"/>
          <w:color w:val="auto"/>
        </w:rPr>
        <w:t>In June 2015, the Ultimate Parent made a $5,000 loan to the Company with an annual interest rate of 10% compounded monthly. This loan, which had an original maturity date of June 26, 2016, was subsequently renewed annually. As of December 31, 2019, the full amount of this loan was outstanding. On December 31, 2020, the outstanding loan balance of $5,000 was assigned to the Ultimate Parent and the assignment of this loan to the related party was accounted for as a capital contribution to the Company.</w:t>
      </w:r>
    </w:p>
    <w:p>
      <w:pPr>
        <w:spacing w:after="0" w:line="115"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In April 2017, the Ultimate Parent extended a $5,000 revolving line of credit to the Company for general working capital. This loan, which had an original maturity date of September 9, 2018, was subsequently renewed annually by the affiliate. Borrowings under the line of credit bore interest at an annual rate of 10% compounded monthly. Additional drawings under this credit line were available once per month in minimum amounts of $250. The credit line included a commitment fee of 2% on the loan amount and interest of 1% on the undrawn amount, due quarterly. As of December 31, 2019, the full amount of this line of credit was outstanding. On December 31, 2020, the outstanding line of credit amount of $5,000 was assigned to the Parent and the assignment of this loan to the related party was accounted for as a capital contribution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w:t>
      </w:r>
    </w:p>
    <w:p>
      <w:pPr>
        <w:spacing w:after="0" w:line="193" w:lineRule="exact"/>
        <w:rPr>
          <w:sz w:val="20"/>
          <w:szCs w:val="20"/>
          <w:color w:val="auto"/>
        </w:rPr>
      </w:pPr>
    </w:p>
    <w:p>
      <w:pPr>
        <w:jc w:val="both"/>
        <w:ind w:right="20" w:firstLine="283"/>
        <w:spacing w:after="0" w:line="300" w:lineRule="auto"/>
        <w:rPr>
          <w:sz w:val="20"/>
          <w:szCs w:val="20"/>
          <w:color w:val="auto"/>
        </w:rPr>
      </w:pPr>
      <w:r>
        <w:rPr>
          <w:rFonts w:ascii="Arial" w:cs="Arial" w:eastAsia="Arial" w:hAnsi="Arial"/>
          <w:sz w:val="15"/>
          <w:szCs w:val="15"/>
          <w:color w:val="auto"/>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the year ended December 31, 2021, the interest rate on TruStar Revolver Credit Facility including a margin plus LIBOR was 1.52%.</w:t>
      </w:r>
    </w:p>
    <w:p>
      <w:pPr>
        <w:spacing w:after="0" w:line="193"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For the year ended December 31, 2021, the paid-in-kind interest rate on Convertible note payable was 8%. The change in fair value of the Note recorded as interest expense between May 1, 2021 and December 31, 2021 was $3,300.</w:t>
      </w:r>
    </w:p>
    <w:p>
      <w:pPr>
        <w:spacing w:after="0" w:line="15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For the year end December 31, 2021, the interest rate on OPAL term loan was 4% and commitment fees of 0.5% on the undrawn portion of the facility. The weighted average effective interest rate including the amortization of debt issuance costs for this period was 4.9%.</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the year ended December 31, 2021, the weighted average effective interest rate on the Sunoma Credit Facility was 7.75%.</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the year ended December 31, 2021, the weighted average interest rate on Municipality Loan was 3.0%.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w:t>
      </w:r>
    </w:p>
    <w:p>
      <w:pPr>
        <w:spacing w:after="0" w:line="193" w:lineRule="exact"/>
        <w:rPr>
          <w:sz w:val="20"/>
          <w:szCs w:val="20"/>
          <w:color w:val="auto"/>
        </w:rPr>
      </w:pPr>
    </w:p>
    <w:p>
      <w:pPr>
        <w:jc w:val="both"/>
        <w:ind w:right="20" w:firstLine="283"/>
        <w:spacing w:after="0" w:line="300" w:lineRule="auto"/>
        <w:rPr>
          <w:sz w:val="20"/>
          <w:szCs w:val="20"/>
          <w:color w:val="auto"/>
        </w:rPr>
      </w:pPr>
      <w:r>
        <w:rPr>
          <w:rFonts w:ascii="Arial" w:cs="Arial" w:eastAsia="Arial" w:hAnsi="Arial"/>
          <w:sz w:val="15"/>
          <w:szCs w:val="15"/>
          <w:color w:val="auto"/>
        </w:rPr>
        <w:t>For the year ended December 31, 2020, the interest rate on Senior Secured Facility included a margin plus LIBOR and commitment fees of 0.75% on unused portion of the Working Capital Facility. The weighted average effective interest rate including the amortization of debt issuance costs for this period was 3.25%.</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the year ended December 31, 2020, the interest rate on TruStar Revolver Credit Facility including a margin plus LIBOR was 2.1%.</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the year ended December 31, 2020, the weighted average effective interest rate on the Sunoma Credit Facility was 7.75%.</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the year ended December 31, 2020, the weighted average interest rate on Municipality Loan was 3.0%.</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55" w:name="page256"/>
    <w:bookmarkEnd w:id="255"/>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ind w:left="286" w:hanging="286"/>
        <w:spacing w:after="0"/>
        <w:tabs>
          <w:tab w:leader="none" w:pos="286"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color w:val="auto"/>
        </w:rPr>
        <w:t>(cont.)</w:t>
      </w:r>
    </w:p>
    <w:p>
      <w:pPr>
        <w:spacing w:after="0" w:line="196" w:lineRule="exact"/>
        <w:rPr>
          <w:rFonts w:ascii="Arial" w:cs="Arial" w:eastAsia="Arial" w:hAnsi="Arial"/>
          <w:sz w:val="16"/>
          <w:szCs w:val="16"/>
          <w:b w:val="1"/>
          <w:bCs w:val="1"/>
          <w:color w:val="auto"/>
        </w:rPr>
      </w:pPr>
    </w:p>
    <w:p>
      <w:pPr>
        <w:ind w:left="286"/>
        <w:spacing w:after="0"/>
        <w:rPr>
          <w:rFonts w:ascii="Arial" w:cs="Arial" w:eastAsia="Arial" w:hAnsi="Arial"/>
          <w:sz w:val="16"/>
          <w:szCs w:val="16"/>
          <w:b w:val="1"/>
          <w:bCs w:val="1"/>
          <w:color w:val="auto"/>
        </w:rPr>
      </w:pPr>
      <w:r>
        <w:rPr>
          <w:rFonts w:ascii="Arial" w:cs="Arial" w:eastAsia="Arial" w:hAnsi="Arial"/>
          <w:sz w:val="16"/>
          <w:szCs w:val="16"/>
          <w:color w:val="auto"/>
        </w:rPr>
        <w:t>For the year ended December 31, 2020, the weighted average interest rate on Line of Credit and Loan from Affiliate was 10%.</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2019</w:t>
      </w:r>
    </w:p>
    <w:p>
      <w:pPr>
        <w:spacing w:after="0" w:line="193" w:lineRule="exact"/>
        <w:rPr>
          <w:sz w:val="20"/>
          <w:szCs w:val="20"/>
          <w:color w:val="auto"/>
        </w:rPr>
      </w:pPr>
    </w:p>
    <w:p>
      <w:pPr>
        <w:ind w:left="6" w:firstLine="283"/>
        <w:spacing w:after="0" w:line="300" w:lineRule="auto"/>
        <w:rPr>
          <w:sz w:val="20"/>
          <w:szCs w:val="20"/>
          <w:color w:val="auto"/>
        </w:rPr>
      </w:pPr>
      <w:r>
        <w:rPr>
          <w:rFonts w:ascii="Arial" w:cs="Arial" w:eastAsia="Arial" w:hAnsi="Arial"/>
          <w:sz w:val="15"/>
          <w:szCs w:val="15"/>
          <w:color w:val="auto"/>
        </w:rPr>
        <w:t>For the year ended December 31, 2019, the interest rate on Senior Secured Facility included a margin plus LIBOR and commitment fees of 0.75 % on unused portion of the Working Capital Facility. The weighted average effective interest rate including the amortization of debt issuance costs for this period was 4.94 %.</w:t>
      </w:r>
    </w:p>
    <w:p>
      <w:pPr>
        <w:spacing w:after="0" w:line="134" w:lineRule="exact"/>
        <w:rPr>
          <w:sz w:val="20"/>
          <w:szCs w:val="20"/>
          <w:color w:val="auto"/>
        </w:rPr>
      </w:pPr>
    </w:p>
    <w:p>
      <w:pPr>
        <w:ind w:left="286"/>
        <w:spacing w:after="0"/>
        <w:rPr>
          <w:sz w:val="20"/>
          <w:szCs w:val="20"/>
          <w:color w:val="auto"/>
        </w:rPr>
      </w:pPr>
      <w:r>
        <w:rPr>
          <w:rFonts w:ascii="Arial" w:cs="Arial" w:eastAsia="Arial" w:hAnsi="Arial"/>
          <w:sz w:val="16"/>
          <w:szCs w:val="16"/>
          <w:color w:val="auto"/>
        </w:rPr>
        <w:t>For the year ended December 31, 2019, the interest rate on TruStar Revolver Credit Facility including a margin plus LIBOR was 2.1%.</w:t>
      </w:r>
    </w:p>
    <w:p>
      <w:pPr>
        <w:spacing w:after="0" w:line="193" w:lineRule="exact"/>
        <w:rPr>
          <w:sz w:val="20"/>
          <w:szCs w:val="20"/>
          <w:color w:val="auto"/>
        </w:rPr>
      </w:pPr>
    </w:p>
    <w:p>
      <w:pPr>
        <w:ind w:left="286"/>
        <w:spacing w:after="0"/>
        <w:rPr>
          <w:sz w:val="20"/>
          <w:szCs w:val="20"/>
          <w:color w:val="auto"/>
        </w:rPr>
      </w:pPr>
      <w:r>
        <w:rPr>
          <w:rFonts w:ascii="Arial" w:cs="Arial" w:eastAsia="Arial" w:hAnsi="Arial"/>
          <w:sz w:val="16"/>
          <w:szCs w:val="16"/>
          <w:color w:val="auto"/>
        </w:rPr>
        <w:t>For the year ended December 31, 2019, the weighted average interest rate on Municipality Loan was 3.0%.</w:t>
      </w:r>
    </w:p>
    <w:p>
      <w:pPr>
        <w:spacing w:after="0" w:line="193" w:lineRule="exact"/>
        <w:rPr>
          <w:sz w:val="20"/>
          <w:szCs w:val="20"/>
          <w:color w:val="auto"/>
        </w:rPr>
      </w:pPr>
    </w:p>
    <w:p>
      <w:pPr>
        <w:ind w:left="286"/>
        <w:spacing w:after="0"/>
        <w:rPr>
          <w:sz w:val="20"/>
          <w:szCs w:val="20"/>
          <w:color w:val="auto"/>
        </w:rPr>
      </w:pPr>
      <w:r>
        <w:rPr>
          <w:rFonts w:ascii="Arial" w:cs="Arial" w:eastAsia="Arial" w:hAnsi="Arial"/>
          <w:sz w:val="16"/>
          <w:szCs w:val="16"/>
          <w:color w:val="auto"/>
        </w:rPr>
        <w:t>For the year ended December 31, 2019, the weighted average interest rate on Line of Credit and Loan from Affiliate was 10%.</w:t>
      </w:r>
    </w:p>
    <w:p>
      <w:pPr>
        <w:spacing w:after="0" w:line="193"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7320" w:type="dxa"/>
            <w:vAlign w:val="bottom"/>
          </w:tcPr>
          <w:p>
            <w:pPr>
              <w:ind w:left="280"/>
              <w:spacing w:after="0"/>
              <w:rPr>
                <w:sz w:val="20"/>
                <w:szCs w:val="20"/>
                <w:color w:val="auto"/>
              </w:rPr>
            </w:pPr>
            <w:r>
              <w:rPr>
                <w:rFonts w:ascii="Arial" w:cs="Arial" w:eastAsia="Arial" w:hAnsi="Arial"/>
                <w:sz w:val="16"/>
                <w:szCs w:val="16"/>
                <w:color w:val="auto"/>
              </w:rPr>
              <w:t>The following table summarizes the Company’s total interest and financing expense, net for</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w w:val="88"/>
              </w:rPr>
              <w:t>Fiscal Years Ended</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320"/>
              <w:spacing w:after="0" w:line="172" w:lineRule="exact"/>
              <w:rPr>
                <w:sz w:val="20"/>
                <w:szCs w:val="20"/>
                <w:color w:val="auto"/>
              </w:rPr>
            </w:pPr>
            <w:r>
              <w:rPr>
                <w:rFonts w:ascii="Arial" w:cs="Arial" w:eastAsia="Arial" w:hAnsi="Arial"/>
                <w:sz w:val="16"/>
                <w:szCs w:val="16"/>
                <w:b w:val="1"/>
                <w:bCs w:val="1"/>
                <w:color w:val="auto"/>
                <w:w w:val="86"/>
              </w:rPr>
              <w:t>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right"/>
              <w:ind w:right="4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Municipality loan</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Trustar revolver credit facility</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Convertible note payable</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3,300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OPAL term loan</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Line of credit/Loan from Affiliate</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1,010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Commitment fees and other finance fees</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962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Amortization of debt issuance costs</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1,086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860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Total interest expense</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3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7,467</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6,655</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286" w:hanging="286"/>
        <w:spacing w:after="0" w:line="266" w:lineRule="auto"/>
        <w:tabs>
          <w:tab w:leader="none" w:pos="28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Interest expense on Senior secured facility is presented net of patronage dividends received of $628, $136 and $131 for the years ended December 31, 2021, 2020 and 2019, respectively.</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11. Leases</w:t>
      </w:r>
    </w:p>
    <w:p>
      <w:pPr>
        <w:spacing w:after="0" w:line="197" w:lineRule="exact"/>
        <w:rPr>
          <w:sz w:val="20"/>
          <w:szCs w:val="20"/>
          <w:color w:val="auto"/>
        </w:rPr>
      </w:pPr>
    </w:p>
    <w:p>
      <w:pPr>
        <w:jc w:val="both"/>
        <w:ind w:left="6" w:right="20" w:firstLine="283"/>
        <w:spacing w:after="0" w:line="252" w:lineRule="auto"/>
        <w:rPr>
          <w:sz w:val="20"/>
          <w:szCs w:val="20"/>
          <w:color w:val="auto"/>
        </w:rPr>
      </w:pPr>
      <w:r>
        <w:rPr>
          <w:rFonts w:ascii="Arial" w:cs="Arial" w:eastAsia="Arial" w:hAnsi="Arial"/>
          <w:sz w:val="16"/>
          <w:szCs w:val="16"/>
          <w:color w:val="auto"/>
        </w:rPr>
        <w:t>During 2018, the Company renewed a lease for office and warehouse space that became effective upon the termination of the original lease term on January 31, 2018. The term of the lease renewal was thirty-six months and contained an option to renew for an additional twenty-four months. In September 2020, the Company exercised this option. In addition, the Company maintains a fleet of vehicles under lease with terms ranging from forty-eight to sixty months and with lease expiration dates ranging from April 2021 to February 2025.</w:t>
      </w:r>
    </w:p>
    <w:p>
      <w:pPr>
        <w:spacing w:after="0" w:line="169"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9920" w:type="dxa"/>
            <w:vAlign w:val="bottom"/>
          </w:tcPr>
          <w:p>
            <w:pPr>
              <w:ind w:left="280"/>
              <w:spacing w:after="0"/>
              <w:rPr>
                <w:sz w:val="20"/>
                <w:szCs w:val="20"/>
                <w:color w:val="auto"/>
              </w:rPr>
            </w:pPr>
            <w:r>
              <w:rPr>
                <w:rFonts w:ascii="Arial" w:cs="Arial" w:eastAsia="Arial" w:hAnsi="Arial"/>
                <w:sz w:val="16"/>
                <w:szCs w:val="16"/>
                <w:color w:val="auto"/>
              </w:rPr>
              <w:t>Future minimum lease payments are as follows:</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3"/>
        </w:trPr>
        <w:tc>
          <w:tcPr>
            <w:tcW w:w="9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188"/>
        </w:trPr>
        <w:tc>
          <w:tcPr>
            <w:tcW w:w="992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540" w:type="dxa"/>
            <w:vAlign w:val="bottom"/>
            <w:gridSpan w:val="2"/>
            <w:shd w:val="clear" w:color="auto" w:fill="CCEEFF"/>
          </w:tcPr>
          <w:p>
            <w:pPr>
              <w:jc w:val="right"/>
              <w:ind w:right="287"/>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690</w:t>
            </w:r>
          </w:p>
        </w:tc>
      </w:tr>
      <w:tr>
        <w:trPr>
          <w:trHeight w:val="188"/>
        </w:trPr>
        <w:tc>
          <w:tcPr>
            <w:tcW w:w="9920" w:type="dxa"/>
            <w:vAlign w:val="bottom"/>
          </w:tcPr>
          <w:p>
            <w:pP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283</w:t>
            </w:r>
          </w:p>
        </w:tc>
      </w:tr>
      <w:tr>
        <w:trPr>
          <w:trHeight w:val="188"/>
        </w:trPr>
        <w:tc>
          <w:tcPr>
            <w:tcW w:w="992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r>
      <w:tr>
        <w:trPr>
          <w:trHeight w:val="200"/>
        </w:trPr>
        <w:tc>
          <w:tcPr>
            <w:tcW w:w="9920" w:type="dxa"/>
            <w:vAlign w:val="bottom"/>
          </w:tcPr>
          <w:p>
            <w:pP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r>
      <w:tr>
        <w:trPr>
          <w:trHeight w:val="24"/>
        </w:trPr>
        <w:tc>
          <w:tcPr>
            <w:tcW w:w="9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9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Company incurred rent expense of $1,098, $1,242 and $1,464, in 2021, 2020 and 2019, respectively.</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56" w:name="page257"/>
    <w:bookmarkEnd w:id="256"/>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ind w:left="286" w:right="8760" w:hanging="286"/>
        <w:spacing w:after="0" w:line="527" w:lineRule="auto"/>
        <w:tabs>
          <w:tab w:leader="none" w:pos="286" w:val="left"/>
        </w:tabs>
        <w:numPr>
          <w:ilvl w:val="0"/>
          <w:numId w:val="14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Derivative Financial Instruments </w:t>
      </w:r>
      <w:r>
        <w:rPr>
          <w:rFonts w:ascii="Arial" w:cs="Arial" w:eastAsia="Arial" w:hAnsi="Arial"/>
          <w:sz w:val="15"/>
          <w:szCs w:val="15"/>
          <w:i w:val="1"/>
          <w:iCs w:val="1"/>
          <w:color w:val="auto"/>
        </w:rPr>
        <w:t>Interest rate swaps</w:t>
      </w:r>
    </w:p>
    <w:p>
      <w:pPr>
        <w:jc w:val="both"/>
        <w:ind w:left="6" w:right="20" w:firstLine="283"/>
        <w:spacing w:after="0" w:line="342" w:lineRule="auto"/>
        <w:rPr>
          <w:sz w:val="20"/>
          <w:szCs w:val="20"/>
          <w:color w:val="auto"/>
        </w:rPr>
      </w:pPr>
      <w:r>
        <w:rPr>
          <w:rFonts w:ascii="Arial" w:cs="Arial" w:eastAsia="Arial" w:hAnsi="Arial"/>
          <w:sz w:val="13"/>
          <w:szCs w:val="13"/>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consolidated statements of operations.</w:t>
      </w:r>
    </w:p>
    <w:p>
      <w:pPr>
        <w:spacing w:after="0" w:line="115"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location and amounts of derivatives fair values in the balance sheet are:</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vMerge w:val="restart"/>
          </w:tcPr>
          <w:p>
            <w:pPr>
              <w:jc w:val="right"/>
              <w:ind w:right="7"/>
              <w:spacing w:after="0"/>
              <w:rPr>
                <w:sz w:val="20"/>
                <w:szCs w:val="20"/>
                <w:color w:val="auto"/>
              </w:rPr>
            </w:pPr>
            <w:r>
              <w:rPr>
                <w:rFonts w:ascii="Arial" w:cs="Arial" w:eastAsia="Arial" w:hAnsi="Arial"/>
                <w:sz w:val="16"/>
                <w:szCs w:val="16"/>
                <w:b w:val="1"/>
                <w:bCs w:val="1"/>
                <w:color w:val="auto"/>
              </w:rPr>
              <w:t>Fair Value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88"/>
              </w:rPr>
              <w:t>Location of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vMerge w:val="continue"/>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89"/>
              </w:rPr>
              <w:t>Fair Value Recognized</w:t>
            </w:r>
          </w:p>
        </w:tc>
        <w:tc>
          <w:tcPr>
            <w:tcW w:w="0" w:type="dxa"/>
            <w:vAlign w:val="bottom"/>
          </w:tcPr>
          <w:p>
            <w:pPr>
              <w:spacing w:after="0"/>
              <w:rPr>
                <w:sz w:val="1"/>
                <w:szCs w:val="1"/>
                <w:color w:val="auto"/>
              </w:rPr>
            </w:pPr>
          </w:p>
        </w:tc>
      </w:tr>
      <w:tr>
        <w:trPr>
          <w:trHeight w:val="204"/>
        </w:trPr>
        <w:tc>
          <w:tcPr>
            <w:tcW w:w="406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7"/>
                <w:szCs w:val="17"/>
                <w:color w:val="auto"/>
              </w:rPr>
            </w:pPr>
          </w:p>
        </w:tc>
        <w:tc>
          <w:tcPr>
            <w:tcW w:w="900" w:type="dxa"/>
            <w:vAlign w:val="bottom"/>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85"/>
              </w:rPr>
              <w:t>in Balance Sheet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Derivatives designated as economic hedges</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portion of interest rate swaps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(992)</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(1,689)</w:t>
            </w:r>
          </w:p>
        </w:tc>
        <w:tc>
          <w:tcPr>
            <w:tcW w:w="4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Derivative financial liability, current portion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rPr>
              <w:t>Interest rate swaps, net of current portion</w:t>
            </w:r>
          </w:p>
        </w:tc>
        <w:tc>
          <w:tcPr>
            <w:tcW w:w="240" w:type="dxa"/>
            <w:vAlign w:val="bottom"/>
          </w:tcPr>
          <w:p>
            <w:pPr>
              <w:spacing w:after="0"/>
              <w:rPr>
                <w:sz w:val="17"/>
                <w:szCs w:val="17"/>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5520" w:type="dxa"/>
            <w:vAlign w:val="bottom"/>
            <w:gridSpan w:val="4"/>
          </w:tcPr>
          <w:p>
            <w:pPr>
              <w:ind w:left="400"/>
              <w:spacing w:after="0"/>
              <w:rPr>
                <w:sz w:val="20"/>
                <w:szCs w:val="20"/>
                <w:color w:val="auto"/>
              </w:rPr>
            </w:pPr>
            <w:r>
              <w:rPr>
                <w:rFonts w:ascii="Arial" w:cs="Arial" w:eastAsia="Arial" w:hAnsi="Arial"/>
                <w:sz w:val="16"/>
                <w:szCs w:val="16"/>
                <w:color w:val="auto"/>
              </w:rPr>
              <w:t>(1,096)  Derivative financial liability, non-current portion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(2,785</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5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effect of interest rate swaps on our consolidated statement of operations was:</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7"/>
          </w:tcPr>
          <w:p>
            <w:pPr>
              <w:jc w:val="right"/>
              <w:ind w:right="87"/>
              <w:spacing w:after="0"/>
              <w:rPr>
                <w:sz w:val="20"/>
                <w:szCs w:val="20"/>
                <w:color w:val="auto"/>
              </w:rPr>
            </w:pPr>
            <w:r>
              <w:rPr>
                <w:rFonts w:ascii="Arial" w:cs="Arial" w:eastAsia="Arial" w:hAnsi="Arial"/>
                <w:sz w:val="16"/>
                <w:szCs w:val="16"/>
                <w:b w:val="1"/>
                <w:bCs w:val="1"/>
                <w:color w:val="auto"/>
              </w:rPr>
              <w:t>(Loss) Gain Recognized in</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40" w:type="dxa"/>
            <w:vAlign w:val="bottom"/>
          </w:tcPr>
          <w:p>
            <w:pPr>
              <w:jc w:val="center"/>
              <w:spacing w:after="0"/>
              <w:rPr>
                <w:sz w:val="20"/>
                <w:szCs w:val="20"/>
                <w:color w:val="auto"/>
              </w:rPr>
            </w:pPr>
            <w:r>
              <w:rPr>
                <w:rFonts w:ascii="Arial" w:cs="Arial" w:eastAsia="Arial" w:hAnsi="Arial"/>
                <w:sz w:val="16"/>
                <w:szCs w:val="16"/>
                <w:b w:val="1"/>
                <w:bCs w:val="1"/>
                <w:color w:val="auto"/>
                <w:w w:val="87"/>
              </w:rPr>
              <w:t>Location of (Loss)</w:t>
            </w:r>
          </w:p>
        </w:tc>
      </w:tr>
      <w:tr>
        <w:trPr>
          <w:trHeight w:val="232"/>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gridSpan w:val="9"/>
          </w:tcPr>
          <w:p>
            <w:pPr>
              <w:jc w:val="right"/>
              <w:ind w:right="842"/>
              <w:spacing w:after="0"/>
              <w:rPr>
                <w:sz w:val="20"/>
                <w:szCs w:val="20"/>
                <w:color w:val="auto"/>
              </w:rPr>
            </w:pPr>
            <w:r>
              <w:rPr>
                <w:rFonts w:ascii="Arial" w:cs="Arial" w:eastAsia="Arial" w:hAnsi="Arial"/>
                <w:sz w:val="16"/>
                <w:szCs w:val="16"/>
                <w:b w:val="1"/>
                <w:bCs w:val="1"/>
                <w:color w:val="auto"/>
              </w:rPr>
              <w:t>Operations from interest rate swaps</w:t>
            </w:r>
          </w:p>
        </w:tc>
        <w:tc>
          <w:tcPr>
            <w:tcW w:w="4840" w:type="dxa"/>
            <w:vAlign w:val="bottom"/>
          </w:tcPr>
          <w:p>
            <w:pPr>
              <w:jc w:val="center"/>
              <w:spacing w:after="0"/>
              <w:rPr>
                <w:sz w:val="20"/>
                <w:szCs w:val="20"/>
                <w:color w:val="auto"/>
              </w:rPr>
            </w:pPr>
            <w:r>
              <w:rPr>
                <w:rFonts w:ascii="Arial" w:cs="Arial" w:eastAsia="Arial" w:hAnsi="Arial"/>
                <w:sz w:val="16"/>
                <w:szCs w:val="16"/>
                <w:b w:val="1"/>
                <w:bCs w:val="1"/>
                <w:color w:val="auto"/>
                <w:w w:val="88"/>
              </w:rPr>
              <w:t>Gain Recognized in Operations</w:t>
            </w:r>
          </w:p>
        </w:tc>
      </w:tr>
      <w:tr>
        <w:trPr>
          <w:trHeight w:val="204"/>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7"/>
                <w:szCs w:val="17"/>
                <w:color w:val="auto"/>
              </w:rPr>
            </w:pPr>
          </w:p>
        </w:tc>
        <w:tc>
          <w:tcPr>
            <w:tcW w:w="4840" w:type="dxa"/>
            <w:vAlign w:val="bottom"/>
          </w:tcPr>
          <w:p>
            <w:pPr>
              <w:jc w:val="center"/>
              <w:spacing w:after="0"/>
              <w:rPr>
                <w:sz w:val="20"/>
                <w:szCs w:val="20"/>
                <w:color w:val="auto"/>
              </w:rPr>
            </w:pPr>
            <w:r>
              <w:rPr>
                <w:rFonts w:ascii="Arial" w:cs="Arial" w:eastAsia="Arial" w:hAnsi="Arial"/>
                <w:sz w:val="16"/>
                <w:szCs w:val="16"/>
                <w:b w:val="1"/>
                <w:bCs w:val="1"/>
                <w:color w:val="auto"/>
                <w:w w:val="89"/>
              </w:rPr>
              <w:t>from Derivatives</w:t>
            </w:r>
          </w:p>
        </w:tc>
      </w:tr>
      <w:tr>
        <w:trPr>
          <w:trHeight w:val="188"/>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w w:val="78"/>
              </w:rPr>
              <w:t>(1,050)</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220" w:type="dxa"/>
            <w:vAlign w:val="bottom"/>
            <w:tcBorders>
              <w:top w:val="single" w:sz="8" w:color="CCEEFF"/>
            </w:tcBorders>
            <w:shd w:val="clear" w:color="auto" w:fill="CCEEFF"/>
          </w:tcPr>
          <w:p>
            <w:pPr>
              <w:spacing w:after="0"/>
              <w:rPr>
                <w:sz w:val="16"/>
                <w:szCs w:val="16"/>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Change in value of derivative financial instruments</w:t>
            </w:r>
          </w:p>
        </w:tc>
      </w:tr>
      <w:tr>
        <w:trPr>
          <w:trHeight w:val="204"/>
        </w:trPr>
        <w:tc>
          <w:tcPr>
            <w:tcW w:w="2380" w:type="dxa"/>
            <w:vAlign w:val="bottom"/>
            <w:gridSpan w:val="2"/>
          </w:tcPr>
          <w:p>
            <w:pPr>
              <w:spacing w:after="0"/>
              <w:rPr>
                <w:sz w:val="20"/>
                <w:szCs w:val="20"/>
                <w:color w:val="auto"/>
              </w:rPr>
            </w:pPr>
            <w:r>
              <w:rPr>
                <w:rFonts w:ascii="Arial" w:cs="Arial" w:eastAsia="Arial" w:hAnsi="Arial"/>
                <w:sz w:val="16"/>
                <w:szCs w:val="16"/>
                <w:color w:val="auto"/>
              </w:rPr>
              <w:t>Net periodic settlements</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(1,694)</w:t>
            </w:r>
          </w:p>
        </w:tc>
        <w:tc>
          <w:tcPr>
            <w:tcW w:w="240" w:type="dxa"/>
            <w:vAlign w:val="bottom"/>
          </w:tcPr>
          <w:p>
            <w:pPr>
              <w:spacing w:after="0"/>
              <w:rPr>
                <w:sz w:val="17"/>
                <w:szCs w:val="17"/>
                <w:color w:val="auto"/>
              </w:rPr>
            </w:pPr>
          </w:p>
        </w:tc>
        <w:tc>
          <w:tcPr>
            <w:tcW w:w="1000" w:type="dxa"/>
            <w:vAlign w:val="bottom"/>
            <w:gridSpan w:val="2"/>
          </w:tcPr>
          <w:p>
            <w:pPr>
              <w:ind w:left="460"/>
              <w:spacing w:after="0"/>
              <w:rPr>
                <w:sz w:val="20"/>
                <w:szCs w:val="20"/>
                <w:color w:val="auto"/>
              </w:rPr>
            </w:pPr>
            <w:r>
              <w:rPr>
                <w:rFonts w:ascii="Arial" w:cs="Arial" w:eastAsia="Arial" w:hAnsi="Arial"/>
                <w:sz w:val="16"/>
                <w:szCs w:val="16"/>
                <w:color w:val="auto"/>
              </w:rPr>
              <w:t>(1,147)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2"/>
              <w:spacing w:after="0"/>
              <w:rPr>
                <w:sz w:val="20"/>
                <w:szCs w:val="20"/>
                <w:color w:val="auto"/>
              </w:rPr>
            </w:pPr>
            <w:r>
              <w:rPr>
                <w:rFonts w:ascii="Arial" w:cs="Arial" w:eastAsia="Arial" w:hAnsi="Arial"/>
                <w:sz w:val="16"/>
                <w:szCs w:val="16"/>
                <w:color w:val="auto"/>
              </w:rPr>
              <w:t>185</w:t>
            </w:r>
          </w:p>
        </w:tc>
        <w:tc>
          <w:tcPr>
            <w:tcW w:w="4840" w:type="dxa"/>
            <w:vAlign w:val="bottom"/>
          </w:tcPr>
          <w:p>
            <w:pPr>
              <w:spacing w:after="0"/>
              <w:rPr>
                <w:sz w:val="20"/>
                <w:szCs w:val="20"/>
                <w:color w:val="auto"/>
              </w:rPr>
            </w:pPr>
            <w:r>
              <w:rPr>
                <w:rFonts w:ascii="Arial" w:cs="Arial" w:eastAsia="Arial" w:hAnsi="Arial"/>
                <w:sz w:val="16"/>
                <w:szCs w:val="16"/>
                <w:color w:val="auto"/>
              </w:rPr>
              <w:t>Change in value of derivative financial instruments</w:t>
            </w:r>
          </w:p>
        </w:tc>
      </w:tr>
      <w:tr>
        <w:trPr>
          <w:trHeight w:val="216"/>
        </w:trPr>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w w:val="88"/>
              </w:rPr>
              <w:t>(2,197</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48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6" w:firstLine="283"/>
        <w:spacing w:after="0" w:line="274" w:lineRule="auto"/>
        <w:rPr>
          <w:sz w:val="20"/>
          <w:szCs w:val="20"/>
          <w:color w:val="auto"/>
        </w:rPr>
      </w:pPr>
      <w:r>
        <w:rPr>
          <w:rFonts w:ascii="Arial" w:cs="Arial" w:eastAsia="Arial" w:hAnsi="Arial"/>
          <w:sz w:val="15"/>
          <w:szCs w:val="15"/>
          <w:color w:val="auto"/>
        </w:rPr>
        <w:t>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55" w:lineRule="exact"/>
        <w:rPr>
          <w:sz w:val="20"/>
          <w:szCs w:val="20"/>
          <w:color w:val="auto"/>
        </w:rPr>
      </w:pPr>
    </w:p>
    <w:p>
      <w:pPr>
        <w:jc w:val="both"/>
        <w:ind w:left="6" w:right="20" w:firstLine="283"/>
        <w:spacing w:after="0" w:line="281" w:lineRule="auto"/>
        <w:rPr>
          <w:sz w:val="20"/>
          <w:szCs w:val="20"/>
          <w:color w:val="auto"/>
        </w:rPr>
      </w:pPr>
      <w:r>
        <w:rPr>
          <w:rFonts w:ascii="Arial" w:cs="Arial" w:eastAsia="Arial" w:hAnsi="Arial"/>
          <w:sz w:val="15"/>
          <w:szCs w:val="15"/>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 following tables summarize the fair value of derivative instruments on the Company’s consolidated balance sheets and the effect of netting arrangements and collateral on its financial position:</w:t>
      </w:r>
    </w:p>
    <w:p>
      <w:pPr>
        <w:spacing w:after="0" w:line="144"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Net Amounts</w:t>
            </w:r>
          </w:p>
        </w:tc>
      </w:tr>
      <w:tr>
        <w:trPr>
          <w:trHeight w:val="188"/>
        </w:trPr>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of</w:t>
            </w:r>
          </w:p>
        </w:tc>
      </w:tr>
      <w:tr>
        <w:trPr>
          <w:trHeight w:val="188"/>
        </w:trPr>
        <w:tc>
          <w:tcPr>
            <w:tcW w:w="7240" w:type="dxa"/>
            <w:vAlign w:val="bottom"/>
          </w:tcPr>
          <w:p>
            <w:pPr>
              <w:spacing w:after="0"/>
              <w:rPr>
                <w:sz w:val="16"/>
                <w:szCs w:val="16"/>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6"/>
              </w:rPr>
              <w:t>Gross Amounts</w:t>
            </w:r>
          </w:p>
        </w:tc>
        <w:tc>
          <w:tcPr>
            <w:tcW w:w="8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6"/>
              </w:rPr>
              <w:t>Gross Amounts</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Assets/(Liabilities)</w:t>
            </w:r>
          </w:p>
        </w:tc>
      </w:tr>
      <w:tr>
        <w:trPr>
          <w:trHeight w:val="188"/>
        </w:trPr>
        <w:tc>
          <w:tcPr>
            <w:tcW w:w="7240" w:type="dxa"/>
            <w:vAlign w:val="bottom"/>
          </w:tcPr>
          <w:p>
            <w:pPr>
              <w:spacing w:after="0"/>
              <w:rPr>
                <w:sz w:val="16"/>
                <w:szCs w:val="16"/>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5"/>
              </w:rPr>
              <w:t>of Recognized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Offset in the</w:t>
            </w:r>
          </w:p>
        </w:tc>
        <w:tc>
          <w:tcPr>
            <w:tcW w:w="6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Presented in the</w:t>
            </w:r>
          </w:p>
        </w:tc>
      </w:tr>
      <w:tr>
        <w:trPr>
          <w:trHeight w:val="188"/>
        </w:trPr>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Assets/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Consolidated</w:t>
            </w:r>
          </w:p>
        </w:tc>
        <w:tc>
          <w:tcPr>
            <w:tcW w:w="6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Consolidated</w:t>
            </w:r>
          </w:p>
        </w:tc>
      </w:tr>
      <w:tr>
        <w:trPr>
          <w:trHeight w:val="209"/>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4"/>
              </w:rPr>
              <w:t>Balance Sheet</w:t>
            </w:r>
          </w:p>
        </w:tc>
        <w:tc>
          <w:tcPr>
            <w:tcW w:w="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Balance Sheet</w:t>
            </w:r>
          </w:p>
        </w:tc>
      </w:tr>
      <w:tr>
        <w:trPr>
          <w:trHeight w:val="187"/>
        </w:trPr>
        <w:tc>
          <w:tcPr>
            <w:tcW w:w="7240" w:type="dxa"/>
            <w:vAlign w:val="bottom"/>
          </w:tcPr>
          <w:p>
            <w:pPr>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(992)</w:t>
            </w:r>
          </w:p>
        </w:tc>
      </w:tr>
      <w:tr>
        <w:trPr>
          <w:trHeight w:val="188"/>
        </w:trPr>
        <w:tc>
          <w:tcPr>
            <w:tcW w:w="724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(2,785)</w:t>
            </w:r>
          </w:p>
        </w:tc>
      </w:tr>
    </w:tbl>
    <w:p>
      <w:pPr>
        <w:spacing w:after="0" w:line="176"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There were no collateral balances with counterparties outstanding as of the period-end dates.</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9" w:right="319" w:bottom="1440" w:gutter="0" w:footer="0" w:header="0"/>
        </w:sectPr>
      </w:pPr>
    </w:p>
    <w:bookmarkStart w:id="257" w:name="page258"/>
    <w:bookmarkEnd w:id="257"/>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12. Derivative Financial Instruments </w:t>
      </w:r>
      <w:r>
        <w:rPr>
          <w:rFonts w:ascii="Arial" w:cs="Arial" w:eastAsia="Arial" w:hAnsi="Arial"/>
          <w:sz w:val="16"/>
          <w:szCs w:val="16"/>
          <w:color w:val="auto"/>
        </w:rPr>
        <w:t>(cont.)</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Commodity swap contracts</w:t>
      </w:r>
    </w:p>
    <w:p>
      <w:pPr>
        <w:spacing w:after="0" w:line="193" w:lineRule="exact"/>
        <w:rPr>
          <w:sz w:val="20"/>
          <w:szCs w:val="20"/>
          <w:color w:val="auto"/>
        </w:rPr>
      </w:pPr>
    </w:p>
    <w:p>
      <w:pPr>
        <w:jc w:val="both"/>
        <w:ind w:left="6" w:firstLine="283"/>
        <w:spacing w:after="0" w:line="267" w:lineRule="auto"/>
        <w:rPr>
          <w:sz w:val="20"/>
          <w:szCs w:val="20"/>
          <w:color w:val="auto"/>
        </w:rPr>
      </w:pPr>
      <w:r>
        <w:rPr>
          <w:rFonts w:ascii="Arial" w:cs="Arial" w:eastAsia="Arial" w:hAnsi="Arial"/>
          <w:sz w:val="15"/>
          <w:szCs w:val="15"/>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 party creating a market risk that the market price is higher the contract price causing loss of higher revenues.</w:t>
      </w:r>
    </w:p>
    <w:p>
      <w:pPr>
        <w:spacing w:after="0" w:line="161" w:lineRule="exact"/>
        <w:rPr>
          <w:sz w:val="20"/>
          <w:szCs w:val="20"/>
          <w:color w:val="auto"/>
        </w:rPr>
      </w:pPr>
    </w:p>
    <w:p>
      <w:pPr>
        <w:jc w:val="both"/>
        <w:ind w:left="6" w:firstLine="283"/>
        <w:spacing w:after="0" w:line="329" w:lineRule="auto"/>
        <w:rPr>
          <w:sz w:val="20"/>
          <w:szCs w:val="20"/>
          <w:color w:val="auto"/>
        </w:rPr>
      </w:pPr>
      <w:r>
        <w:rPr>
          <w:rFonts w:ascii="Arial" w:cs="Arial" w:eastAsia="Arial" w:hAnsi="Arial"/>
          <w:sz w:val="13"/>
          <w:szCs w:val="13"/>
          <w:color w:val="auto"/>
        </w:rPr>
        <w:t>In December 2018, the Company signed an amendment that converted an existing PPA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 party in November 2019. Pursuant to the agreement, the Company entered into swaps with contract prices ranging between $35.75 and $51.25 per Mwh.</w:t>
      </w:r>
    </w:p>
    <w:p>
      <w:pPr>
        <w:spacing w:after="0" w:line="122"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following table summarizes the commodity swaps in place as of December 31, 2021 and 2020:</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Notional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Average</w:t>
            </w:r>
          </w:p>
        </w:tc>
      </w:tr>
      <w:tr>
        <w:trPr>
          <w:trHeight w:val="188"/>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quantity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Contract</w:t>
            </w:r>
          </w:p>
        </w:tc>
      </w:tr>
      <w:tr>
        <w:trPr>
          <w:trHeight w:val="188"/>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 year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price</w:t>
            </w:r>
          </w:p>
        </w:tc>
      </w:tr>
      <w:tr>
        <w:trPr>
          <w:trHeight w:val="209"/>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Trade date</w:t>
            </w:r>
          </w:p>
        </w:tc>
        <w:tc>
          <w:tcPr>
            <w:tcW w:w="2060" w:type="dxa"/>
            <w:vAlign w:val="bottom"/>
            <w:gridSpan w:val="2"/>
          </w:tcPr>
          <w:p>
            <w:pPr>
              <w:ind w:left="480"/>
              <w:spacing w:after="0"/>
              <w:rPr>
                <w:sz w:val="20"/>
                <w:szCs w:val="20"/>
                <w:color w:val="auto"/>
              </w:rPr>
            </w:pPr>
            <w:r>
              <w:rPr>
                <w:rFonts w:ascii="Arial" w:cs="Arial" w:eastAsia="Arial" w:hAnsi="Arial"/>
                <w:sz w:val="16"/>
                <w:szCs w:val="16"/>
                <w:b w:val="1"/>
                <w:bCs w:val="1"/>
                <w:color w:val="auto"/>
              </w:rPr>
              <w:t>Period From</w:t>
            </w:r>
          </w:p>
        </w:tc>
        <w:tc>
          <w:tcPr>
            <w:tcW w:w="2020" w:type="dxa"/>
            <w:vAlign w:val="bottom"/>
            <w:gridSpan w:val="2"/>
          </w:tcPr>
          <w:p>
            <w:pPr>
              <w:ind w:left="600"/>
              <w:spacing w:after="0"/>
              <w:rPr>
                <w:sz w:val="20"/>
                <w:szCs w:val="20"/>
                <w:color w:val="auto"/>
              </w:rPr>
            </w:pPr>
            <w:r>
              <w:rPr>
                <w:rFonts w:ascii="Arial" w:cs="Arial" w:eastAsia="Arial" w:hAnsi="Arial"/>
                <w:sz w:val="16"/>
                <w:szCs w:val="16"/>
                <w:b w:val="1"/>
                <w:bCs w:val="1"/>
                <w:color w:val="auto"/>
              </w:rPr>
              <w:t>Period to</w:t>
            </w: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(“Mwh”)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(per Mwh)</w:t>
            </w:r>
          </w:p>
        </w:tc>
      </w:tr>
      <w:tr>
        <w:trPr>
          <w:trHeight w:val="188"/>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14, 2018</w:t>
            </w:r>
          </w:p>
        </w:tc>
        <w:tc>
          <w:tcPr>
            <w:tcW w:w="1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January 1, 2019</w:t>
            </w:r>
          </w:p>
        </w:tc>
        <w:tc>
          <w:tcPr>
            <w:tcW w:w="24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September 30,2022</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79"/>
              </w:rPr>
              <w:t>66.12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620" w:type="dxa"/>
            <w:vAlign w:val="bottom"/>
            <w:gridSpan w:val="2"/>
          </w:tcPr>
          <w:p>
            <w:pPr>
              <w:spacing w:after="0"/>
              <w:rPr>
                <w:sz w:val="20"/>
                <w:szCs w:val="20"/>
                <w:color w:val="auto"/>
              </w:rPr>
            </w:pPr>
            <w:r>
              <w:rPr>
                <w:rFonts w:ascii="Arial" w:cs="Arial" w:eastAsia="Arial" w:hAnsi="Arial"/>
                <w:sz w:val="16"/>
                <w:szCs w:val="16"/>
                <w:color w:val="auto"/>
              </w:rPr>
              <w:t>November 22, 2019</w:t>
            </w:r>
          </w:p>
        </w:tc>
        <w:tc>
          <w:tcPr>
            <w:tcW w:w="2060" w:type="dxa"/>
            <w:vAlign w:val="bottom"/>
            <w:gridSpan w:val="2"/>
          </w:tcPr>
          <w:p>
            <w:pPr>
              <w:ind w:left="460"/>
              <w:spacing w:after="0"/>
              <w:rPr>
                <w:sz w:val="20"/>
                <w:szCs w:val="20"/>
                <w:color w:val="auto"/>
              </w:rPr>
            </w:pPr>
            <w:r>
              <w:rPr>
                <w:rFonts w:ascii="Arial" w:cs="Arial" w:eastAsia="Arial" w:hAnsi="Arial"/>
                <w:sz w:val="16"/>
                <w:szCs w:val="16"/>
                <w:color w:val="auto"/>
              </w:rPr>
              <w:t>January 1, 2020</w:t>
            </w:r>
          </w:p>
        </w:tc>
        <w:tc>
          <w:tcPr>
            <w:tcW w:w="2020" w:type="dxa"/>
            <w:vAlign w:val="bottom"/>
            <w:gridSpan w:val="2"/>
          </w:tcPr>
          <w:p>
            <w:pPr>
              <w:ind w:left="340"/>
              <w:spacing w:after="0"/>
              <w:rPr>
                <w:sz w:val="20"/>
                <w:szCs w:val="20"/>
                <w:color w:val="auto"/>
              </w:rPr>
            </w:pPr>
            <w:r>
              <w:rPr>
                <w:rFonts w:ascii="Arial" w:cs="Arial" w:eastAsia="Arial" w:hAnsi="Arial"/>
                <w:sz w:val="16"/>
                <w:szCs w:val="16"/>
                <w:color w:val="auto"/>
              </w:rPr>
              <w:t>December 31, 2021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43,860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640"/>
              <w:spacing w:after="0"/>
              <w:rPr>
                <w:sz w:val="20"/>
                <w:szCs w:val="20"/>
                <w:color w:val="auto"/>
              </w:rPr>
            </w:pPr>
            <w:r>
              <w:rPr>
                <w:rFonts w:ascii="Arial" w:cs="Arial" w:eastAsia="Arial" w:hAnsi="Arial"/>
                <w:sz w:val="16"/>
                <w:szCs w:val="16"/>
                <w:color w:val="auto"/>
              </w:rPr>
              <w:t>35.75</w:t>
            </w:r>
          </w:p>
        </w:tc>
      </w:tr>
      <w:tr>
        <w:trPr>
          <w:trHeight w:val="188"/>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October 28, 2021</w:t>
            </w:r>
          </w:p>
        </w:tc>
        <w:tc>
          <w:tcPr>
            <w:tcW w:w="2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November 1, 2021</w:t>
            </w:r>
          </w:p>
        </w:tc>
        <w:tc>
          <w:tcPr>
            <w:tcW w:w="20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December 31, 2022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48.75</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December 27, 2021</w:t>
            </w:r>
          </w:p>
        </w:tc>
        <w:tc>
          <w:tcPr>
            <w:tcW w:w="2060" w:type="dxa"/>
            <w:vAlign w:val="bottom"/>
            <w:gridSpan w:val="2"/>
          </w:tcPr>
          <w:p>
            <w:pPr>
              <w:ind w:left="460"/>
              <w:spacing w:after="0"/>
              <w:rPr>
                <w:sz w:val="20"/>
                <w:szCs w:val="20"/>
                <w:color w:val="auto"/>
              </w:rPr>
            </w:pPr>
            <w:r>
              <w:rPr>
                <w:rFonts w:ascii="Arial" w:cs="Arial" w:eastAsia="Arial" w:hAnsi="Arial"/>
                <w:sz w:val="16"/>
                <w:szCs w:val="16"/>
                <w:color w:val="auto"/>
              </w:rPr>
              <w:t>January 1, 2022</w:t>
            </w:r>
          </w:p>
        </w:tc>
        <w:tc>
          <w:tcPr>
            <w:tcW w:w="2020" w:type="dxa"/>
            <w:vAlign w:val="bottom"/>
            <w:gridSpan w:val="2"/>
          </w:tcPr>
          <w:p>
            <w:pPr>
              <w:ind w:left="340"/>
              <w:spacing w:after="0"/>
              <w:rPr>
                <w:sz w:val="20"/>
                <w:szCs w:val="20"/>
                <w:color w:val="auto"/>
              </w:rPr>
            </w:pPr>
            <w:r>
              <w:rPr>
                <w:rFonts w:ascii="Arial" w:cs="Arial" w:eastAsia="Arial" w:hAnsi="Arial"/>
                <w:sz w:val="16"/>
                <w:szCs w:val="16"/>
                <w:color w:val="auto"/>
              </w:rPr>
              <w:t>December 31, 2022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26,280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640"/>
              <w:spacing w:after="0"/>
              <w:rPr>
                <w:sz w:val="20"/>
                <w:szCs w:val="20"/>
                <w:color w:val="auto"/>
              </w:rPr>
            </w:pPr>
            <w:r>
              <w:rPr>
                <w:rFonts w:ascii="Arial" w:cs="Arial" w:eastAsia="Arial" w:hAnsi="Arial"/>
                <w:sz w:val="16"/>
                <w:szCs w:val="16"/>
                <w:color w:val="auto"/>
              </w:rPr>
              <w:t>50.75</w:t>
            </w:r>
          </w:p>
        </w:tc>
      </w:tr>
    </w:tbl>
    <w:p>
      <w:pPr>
        <w:spacing w:after="0" w:line="164"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effect of commodity swaps on the consolidated statements of operations for the years ended December 31, 2021, 2020 and 2019.</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7"/>
              </w:rPr>
              <w:t>Fiscal Years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40" w:type="dxa"/>
            <w:vAlign w:val="bottom"/>
            <w:vMerge w:val="restart"/>
          </w:tcPr>
          <w:p>
            <w:pPr>
              <w:spacing w:after="0"/>
              <w:rPr>
                <w:sz w:val="20"/>
                <w:szCs w:val="20"/>
                <w:color w:val="auto"/>
              </w:rPr>
            </w:pPr>
            <w:r>
              <w:rPr>
                <w:rFonts w:ascii="Arial" w:cs="Arial" w:eastAsia="Arial" w:hAnsi="Arial"/>
                <w:sz w:val="16"/>
                <w:szCs w:val="16"/>
                <w:b w:val="1"/>
                <w:bCs w:val="1"/>
                <w:color w:val="auto"/>
              </w:rPr>
              <w:t>Derivatives not designated as</w:t>
            </w:r>
          </w:p>
        </w:tc>
        <w:tc>
          <w:tcPr>
            <w:tcW w:w="120" w:type="dxa"/>
            <w:vAlign w:val="bottom"/>
          </w:tcPr>
          <w:p>
            <w:pPr>
              <w:spacing w:after="0"/>
              <w:rPr>
                <w:sz w:val="18"/>
                <w:szCs w:val="18"/>
                <w:color w:val="auto"/>
              </w:rPr>
            </w:pPr>
          </w:p>
        </w:tc>
        <w:tc>
          <w:tcPr>
            <w:tcW w:w="23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6"/>
              </w:rPr>
              <w:t>Location of (loss) gain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20"/>
                <w:szCs w:val="20"/>
                <w:color w:val="auto"/>
              </w:rPr>
            </w:pPr>
            <w:r>
              <w:rPr>
                <w:rFonts w:ascii="Arial" w:cs="Arial" w:eastAsia="Arial" w:hAnsi="Arial"/>
                <w:sz w:val="16"/>
                <w:szCs w:val="16"/>
                <w:b w:val="1"/>
                <w:bCs w:val="1"/>
                <w:color w:val="auto"/>
              </w:rPr>
              <w:t>hedging instruments</w:t>
            </w: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recognized</w:t>
            </w:r>
          </w:p>
        </w:tc>
        <w:tc>
          <w:tcPr>
            <w:tcW w:w="240" w:type="dxa"/>
            <w:vAlign w:val="bottom"/>
          </w:tcPr>
          <w:p>
            <w:pPr>
              <w:spacing w:after="0"/>
              <w:rPr>
                <w:sz w:val="18"/>
                <w:szCs w:val="18"/>
                <w:color w:val="auto"/>
              </w:rPr>
            </w:pPr>
          </w:p>
        </w:tc>
        <w:tc>
          <w:tcPr>
            <w:tcW w:w="900" w:type="dxa"/>
            <w:vAlign w:val="bottom"/>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2"/>
              <w:spacing w:after="0" w:line="223" w:lineRule="exact"/>
              <w:rPr>
                <w:sz w:val="20"/>
                <w:szCs w:val="20"/>
                <w:color w:val="auto"/>
              </w:rPr>
            </w:pPr>
            <w:r>
              <w:rPr>
                <w:rFonts w:ascii="Arial" w:cs="Arial" w:eastAsia="Arial" w:hAnsi="Arial"/>
                <w:sz w:val="15"/>
                <w:szCs w:val="15"/>
                <w:color w:val="auto"/>
                <w:w w:val="88"/>
              </w:rPr>
              <w:t>(Restated)</w:t>
            </w:r>
            <w:r>
              <w:rPr>
                <w:rFonts w:ascii="Arial" w:cs="Arial" w:eastAsia="Arial" w:hAnsi="Arial"/>
                <w:sz w:val="25"/>
                <w:szCs w:val="25"/>
                <w:color w:val="auto"/>
                <w:w w:val="88"/>
                <w:vertAlign w:val="superscript"/>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22"/>
              <w:spacing w:after="0" w:line="223" w:lineRule="exact"/>
              <w:rPr>
                <w:sz w:val="20"/>
                <w:szCs w:val="20"/>
                <w:color w:val="auto"/>
              </w:rPr>
            </w:pPr>
            <w:r>
              <w:rPr>
                <w:rFonts w:ascii="Arial" w:cs="Arial" w:eastAsia="Arial" w:hAnsi="Arial"/>
                <w:sz w:val="15"/>
                <w:szCs w:val="15"/>
                <w:color w:val="auto"/>
                <w:w w:val="88"/>
              </w:rPr>
              <w:t>(Restated)</w:t>
            </w:r>
            <w:r>
              <w:rPr>
                <w:rFonts w:ascii="Arial" w:cs="Arial" w:eastAsia="Arial" w:hAnsi="Arial"/>
                <w:sz w:val="25"/>
                <w:szCs w:val="25"/>
                <w:color w:val="auto"/>
                <w:w w:val="88"/>
                <w:vertAlign w:val="superscript"/>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Commodity swaps – realized (loss) gain</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Renewable Power 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200"/>
        </w:trPr>
        <w:tc>
          <w:tcPr>
            <w:tcW w:w="4840" w:type="dxa"/>
            <w:vAlign w:val="bottom"/>
          </w:tcPr>
          <w:p>
            <w:pPr>
              <w:spacing w:after="0"/>
              <w:rPr>
                <w:sz w:val="20"/>
                <w:szCs w:val="20"/>
                <w:color w:val="auto"/>
              </w:rPr>
            </w:pPr>
            <w:r>
              <w:rPr>
                <w:rFonts w:ascii="Arial" w:cs="Arial" w:eastAsia="Arial" w:hAnsi="Arial"/>
                <w:sz w:val="16"/>
                <w:szCs w:val="16"/>
                <w:color w:val="auto"/>
              </w:rPr>
              <w:t>Commodity swaps – unrealized (loss)</w:t>
            </w:r>
          </w:p>
        </w:tc>
        <w:tc>
          <w:tcPr>
            <w:tcW w:w="2500" w:type="dxa"/>
            <w:vAlign w:val="bottom"/>
            <w:gridSpan w:val="3"/>
          </w:tcPr>
          <w:p>
            <w:pPr>
              <w:ind w:left="120"/>
              <w:spacing w:after="0"/>
              <w:rPr>
                <w:sz w:val="20"/>
                <w:szCs w:val="20"/>
                <w:color w:val="auto"/>
              </w:rPr>
            </w:pPr>
            <w:r>
              <w:rPr>
                <w:rFonts w:ascii="Arial" w:cs="Arial" w:eastAsia="Arial" w:hAnsi="Arial"/>
                <w:sz w:val="16"/>
                <w:szCs w:val="16"/>
                <w:color w:val="auto"/>
              </w:rPr>
              <w:t>Renewable Power Revenues</w:t>
            </w:r>
          </w:p>
        </w:tc>
        <w:tc>
          <w:tcPr>
            <w:tcW w:w="240" w:type="dxa"/>
            <w:vAlign w:val="bottom"/>
          </w:tcPr>
          <w:p>
            <w:pPr>
              <w:spacing w:after="0"/>
              <w:rPr>
                <w:sz w:val="17"/>
                <w:szCs w:val="17"/>
                <w:color w:val="auto"/>
              </w:rPr>
            </w:pPr>
          </w:p>
        </w:tc>
        <w:tc>
          <w:tcPr>
            <w:tcW w:w="1120" w:type="dxa"/>
            <w:vAlign w:val="bottom"/>
            <w:gridSpan w:val="2"/>
          </w:tcPr>
          <w:p>
            <w:pPr>
              <w:jc w:val="right"/>
              <w:ind w:right="82"/>
              <w:spacing w:after="0"/>
              <w:rPr>
                <w:sz w:val="20"/>
                <w:szCs w:val="20"/>
                <w:color w:val="auto"/>
              </w:rPr>
            </w:pPr>
            <w:r>
              <w:rPr>
                <w:rFonts w:ascii="Arial" w:cs="Arial" w:eastAsia="Arial" w:hAnsi="Arial"/>
                <w:sz w:val="16"/>
                <w:szCs w:val="16"/>
                <w:color w:val="auto"/>
              </w:rPr>
              <w:t>(1,148)</w:t>
            </w:r>
          </w:p>
        </w:tc>
        <w:tc>
          <w:tcPr>
            <w:tcW w:w="8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(1,176)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4"/>
        </w:trPr>
        <w:tc>
          <w:tcPr>
            <w:tcW w:w="48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realized and unrealized(loss) gain</w:t>
            </w:r>
          </w:p>
        </w:tc>
        <w:tc>
          <w:tcPr>
            <w:tcW w:w="2500" w:type="dxa"/>
            <w:vAlign w:val="bottom"/>
            <w:gridSpan w:val="3"/>
            <w:vMerge w:val="restart"/>
            <w:shd w:val="clear" w:color="auto" w:fill="CCEEFF"/>
          </w:tcPr>
          <w:p>
            <w:pPr>
              <w:ind w:left="120"/>
              <w:spacing w:after="0"/>
              <w:rPr>
                <w:sz w:val="20"/>
                <w:szCs w:val="20"/>
                <w:color w:val="auto"/>
              </w:rPr>
            </w:pPr>
            <w:r>
              <w:rPr>
                <w:rFonts w:ascii="Arial" w:cs="Arial" w:eastAsia="Arial" w:hAnsi="Arial"/>
                <w:sz w:val="16"/>
                <w:szCs w:val="16"/>
                <w:color w:val="auto"/>
              </w:rPr>
              <w:t>Renewable Power Revenues</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vMerge w:val="continue"/>
            <w:shd w:val="clear" w:color="auto" w:fill="CCEEFF"/>
          </w:tcPr>
          <w:p>
            <w:pPr>
              <w:spacing w:after="0"/>
              <w:rPr>
                <w:sz w:val="18"/>
                <w:szCs w:val="18"/>
                <w:color w:val="auto"/>
              </w:rPr>
            </w:pPr>
          </w:p>
        </w:tc>
        <w:tc>
          <w:tcPr>
            <w:tcW w:w="2500" w:type="dxa"/>
            <w:vAlign w:val="bottom"/>
            <w:gridSpan w:val="3"/>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178752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380" w:lineRule="exact"/>
        <w:rPr>
          <w:sz w:val="20"/>
          <w:szCs w:val="20"/>
          <w:color w:val="auto"/>
        </w:rPr>
      </w:pPr>
    </w:p>
    <w:p>
      <w:pPr>
        <w:ind w:left="286" w:hanging="286"/>
        <w:spacing w:after="0" w:line="266" w:lineRule="auto"/>
        <w:tabs>
          <w:tab w:leader="none" w:pos="28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Revenues for the years ended December 31, 2020 and 2019 were restated to record unrealized loss of $1,176 and $373, respectively. Please see Note 2 Restatement of financial statements for additional information.</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58" w:name="page259"/>
    <w:bookmarkEnd w:id="258"/>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ind w:left="286" w:hanging="286"/>
        <w:spacing w:after="0"/>
        <w:tabs>
          <w:tab w:leader="none" w:pos="286"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Financial Instruments </w:t>
      </w:r>
      <w:r>
        <w:rPr>
          <w:rFonts w:ascii="Arial" w:cs="Arial" w:eastAsia="Arial" w:hAnsi="Arial"/>
          <w:sz w:val="16"/>
          <w:szCs w:val="16"/>
          <w:color w:val="auto"/>
        </w:rPr>
        <w:t>(cont.)</w:t>
      </w:r>
    </w:p>
    <w:p>
      <w:pPr>
        <w:spacing w:after="0" w:line="196" w:lineRule="exact"/>
        <w:rPr>
          <w:rFonts w:ascii="Arial" w:cs="Arial" w:eastAsia="Arial" w:hAnsi="Arial"/>
          <w:sz w:val="16"/>
          <w:szCs w:val="16"/>
          <w:b w:val="1"/>
          <w:bCs w:val="1"/>
          <w:color w:val="auto"/>
        </w:rPr>
      </w:pPr>
    </w:p>
    <w:p>
      <w:pPr>
        <w:ind w:left="286"/>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shows the derivative assets and liabilities related to commodity swaps as of December 31, 2021 and 2020:</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88"/>
              </w:rPr>
              <w:t>Location of</w:t>
            </w:r>
          </w:p>
        </w:tc>
      </w:tr>
      <w:tr>
        <w:trPr>
          <w:trHeight w:val="22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6"/>
                <w:szCs w:val="16"/>
                <w:b w:val="1"/>
                <w:bCs w:val="1"/>
                <w:color w:val="auto"/>
              </w:rPr>
              <w:t>Fair Value</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87"/>
              </w:rPr>
              <w:t>Fair Value Recognized</w:t>
            </w:r>
          </w:p>
        </w:tc>
      </w:tr>
      <w:tr>
        <w:trPr>
          <w:trHeight w:val="204"/>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85"/>
              </w:rPr>
              <w:t>in Balance Sheet</w:t>
            </w:r>
          </w:p>
        </w:tc>
      </w:tr>
      <w:tr>
        <w:trPr>
          <w:trHeight w:val="188"/>
        </w:trPr>
        <w:tc>
          <w:tcPr>
            <w:tcW w:w="20" w:type="dxa"/>
            <w:vAlign w:val="bottom"/>
          </w:tcPr>
          <w:p>
            <w:pPr>
              <w:spacing w:after="0"/>
              <w:rPr>
                <w:sz w:val="16"/>
                <w:szCs w:val="16"/>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Derivatives designated as economic hedges</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unrealized gain on commodity swaps</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382</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810</w:t>
            </w: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asset – current portion</w:t>
            </w:r>
          </w:p>
        </w:tc>
      </w:tr>
      <w:tr>
        <w:trPr>
          <w:trHeight w:val="176"/>
        </w:trPr>
        <w:tc>
          <w:tcPr>
            <w:tcW w:w="2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Arial" w:cs="Arial" w:eastAsia="Arial" w:hAnsi="Arial"/>
                <w:sz w:val="16"/>
                <w:szCs w:val="16"/>
                <w:color w:val="auto"/>
              </w:rPr>
              <w:t>Unrealized gain on commodity swaps, net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6"/>
                <w:szCs w:val="16"/>
                <w:color w:val="auto"/>
              </w:rPr>
              <w:t>of current portion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719</w:t>
            </w:r>
          </w:p>
        </w:tc>
        <w:tc>
          <w:tcPr>
            <w:tcW w:w="3940" w:type="dxa"/>
            <w:vAlign w:val="bottom"/>
          </w:tcPr>
          <w:p>
            <w:pPr>
              <w:spacing w:after="0"/>
              <w:rPr>
                <w:sz w:val="20"/>
                <w:szCs w:val="20"/>
                <w:color w:val="auto"/>
              </w:rPr>
            </w:pPr>
            <w:r>
              <w:rPr>
                <w:rFonts w:ascii="Arial" w:cs="Arial" w:eastAsia="Arial" w:hAnsi="Arial"/>
                <w:sz w:val="16"/>
                <w:szCs w:val="16"/>
                <w:color w:val="auto"/>
              </w:rPr>
              <w:t>Derivative financial asset – non-current</w:t>
            </w:r>
          </w:p>
        </w:tc>
      </w:tr>
      <w:tr>
        <w:trPr>
          <w:trHeight w:val="24"/>
        </w:trPr>
        <w:tc>
          <w:tcPr>
            <w:tcW w:w="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382</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4"/>
              </w:rPr>
              <w:t>1,529</w:t>
            </w:r>
          </w:p>
        </w:tc>
        <w:tc>
          <w:tcPr>
            <w:tcW w:w="39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13. Related Parties</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6"/>
          <w:szCs w:val="16"/>
          <w:color w:val="auto"/>
        </w:rPr>
        <w:t>Related parties are represented by our Ultimate Parent and other affiliates, subsidiaries and other entities under common control with the Ultimate Parent.</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Capital contributions and distribution from and to members</w:t>
      </w:r>
    </w:p>
    <w:p>
      <w:pPr>
        <w:spacing w:after="0" w:line="193" w:lineRule="exact"/>
        <w:rPr>
          <w:sz w:val="20"/>
          <w:szCs w:val="20"/>
          <w:color w:val="auto"/>
        </w:rPr>
      </w:pPr>
    </w:p>
    <w:p>
      <w:pPr>
        <w:ind w:left="286"/>
        <w:spacing w:after="0"/>
        <w:rPr>
          <w:sz w:val="20"/>
          <w:szCs w:val="20"/>
          <w:color w:val="auto"/>
        </w:rPr>
      </w:pPr>
      <w:r>
        <w:rPr>
          <w:rFonts w:ascii="Arial" w:cs="Arial" w:eastAsia="Arial" w:hAnsi="Arial"/>
          <w:sz w:val="13"/>
          <w:szCs w:val="13"/>
          <w:color w:val="auto"/>
        </w:rPr>
        <w:t>During the years ended December 31, 2021, 2020 and 2019, the Company received contributions from its Ultimate Parent of $7,531, $15,128 and $30,057, respectively.</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Additionally, the Company made distributions to its Ultimate Parent of $3,695, $852 and $404 for the years ended December 31, 2021, 2020 and 2019.</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Sale of non-controlling interests to Related Parties</w:t>
      </w:r>
    </w:p>
    <w:p>
      <w:pPr>
        <w:spacing w:after="0" w:line="193" w:lineRule="exact"/>
        <w:rPr>
          <w:sz w:val="20"/>
          <w:szCs w:val="20"/>
          <w:color w:val="auto"/>
        </w:rPr>
      </w:pPr>
    </w:p>
    <w:p>
      <w:pPr>
        <w:jc w:val="both"/>
        <w:ind w:left="6" w:right="20" w:firstLine="283"/>
        <w:spacing w:after="0" w:line="342" w:lineRule="auto"/>
        <w:rPr>
          <w:sz w:val="20"/>
          <w:szCs w:val="20"/>
          <w:color w:val="auto"/>
        </w:rPr>
      </w:pPr>
      <w:r>
        <w:rPr>
          <w:rFonts w:ascii="Arial" w:cs="Arial" w:eastAsia="Arial" w:hAnsi="Arial"/>
          <w:sz w:val="13"/>
          <w:szCs w:val="13"/>
          <w:color w:val="auto"/>
        </w:rPr>
        <w:t xml:space="preserve">During the year ended December 31, 2021, the Company sold non-controlling interests in four RNG projects to Hillman for total proceeds of $30,000. On November 29, 2021, as part of an exchange agreement (“Hillman exchange”), the Company issued 14 newly authorized common units and 300,000 Series A-1 preferred units to Hillman in return for Hillman’s non-controlling interest in four RNG project subsidiaries. Please see Note 18, </w:t>
      </w:r>
      <w:r>
        <w:rPr>
          <w:rFonts w:ascii="Arial" w:cs="Arial" w:eastAsia="Arial" w:hAnsi="Arial"/>
          <w:sz w:val="13"/>
          <w:szCs w:val="13"/>
          <w:i w:val="1"/>
          <w:iCs w:val="1"/>
          <w:color w:val="auto"/>
        </w:rPr>
        <w:t>Redeemable Preferred Units and Equity</w:t>
      </w:r>
      <w:r>
        <w:rPr>
          <w:rFonts w:ascii="Arial" w:cs="Arial" w:eastAsia="Arial" w:hAnsi="Arial"/>
          <w:sz w:val="13"/>
          <w:szCs w:val="13"/>
          <w:color w:val="auto"/>
        </w:rPr>
        <w:t xml:space="preserve"> for additional information.</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Purchase of investments from Related Parties</w:t>
      </w:r>
    </w:p>
    <w:p>
      <w:pPr>
        <w:spacing w:after="0" w:line="193" w:lineRule="exact"/>
        <w:rPr>
          <w:sz w:val="20"/>
          <w:szCs w:val="20"/>
          <w:color w:val="auto"/>
        </w:rPr>
      </w:pPr>
    </w:p>
    <w:p>
      <w:pPr>
        <w:jc w:val="both"/>
        <w:ind w:left="6" w:firstLine="283"/>
        <w:spacing w:after="0" w:line="269" w:lineRule="auto"/>
        <w:rPr>
          <w:sz w:val="20"/>
          <w:szCs w:val="20"/>
          <w:color w:val="auto"/>
        </w:rPr>
      </w:pPr>
      <w:r>
        <w:rPr>
          <w:rFonts w:ascii="Arial" w:cs="Arial" w:eastAsia="Arial" w:hAnsi="Arial"/>
          <w:sz w:val="15"/>
          <w:szCs w:val="15"/>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25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 Related Parties </w:t>
      </w:r>
      <w:r>
        <w:rPr>
          <w:rFonts w:ascii="Arial" w:cs="Arial" w:eastAsia="Arial" w:hAnsi="Arial"/>
          <w:sz w:val="16"/>
          <w:szCs w:val="16"/>
          <w:color w:val="auto"/>
        </w:rPr>
        <w:t>(cont.)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commitment letters</w:t>
      </w:r>
    </w:p>
    <w:p>
      <w:pPr>
        <w:spacing w:after="0" w:line="193"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During 2021 and 2020, the Ultimate Parent entered into three equity commitment agreements totaling $57,066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three equity commitment letters to the contractor hired to construct these RNG projects. The equity commitments for Pine Bend and Noble Road have been fulfilled during 2021 and there is no outstanding commitment amounts on these projects as of December 31,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distributed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under the</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Equity</w:t>
            </w: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Equity</w:t>
            </w:r>
          </w:p>
        </w:tc>
        <w:tc>
          <w:tcPr>
            <w:tcW w:w="1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r>
      <w:tr>
        <w:trPr>
          <w:trHeight w:val="188"/>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Commitment</w:t>
            </w: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commitment</w:t>
            </w: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5"/>
              </w:rPr>
              <w:t>outstanding yet</w:t>
            </w:r>
          </w:p>
        </w:tc>
      </w:tr>
      <w:tr>
        <w:trPr>
          <w:trHeight w:val="209"/>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Letters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letters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to be fulfilled</w:t>
            </w:r>
          </w:p>
        </w:tc>
      </w:tr>
      <w:tr>
        <w:trPr>
          <w:trHeight w:val="187"/>
        </w:trPr>
        <w:tc>
          <w:tcPr>
            <w:tcW w:w="7320" w:type="dxa"/>
            <w:vAlign w:val="bottom"/>
          </w:tcPr>
          <w:p>
            <w:pPr>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Noble Road RNG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Pine Bend RNG</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21,504</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21,504</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New River RNG</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16,562</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8,789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7,773</w:t>
            </w:r>
          </w:p>
        </w:tc>
        <w:tc>
          <w:tcPr>
            <w:tcW w:w="120" w:type="dxa"/>
            <w:vAlign w:val="bottom"/>
            <w:shd w:val="clear" w:color="auto" w:fill="CCEEFF"/>
          </w:tcPr>
          <w:p>
            <w:pPr>
              <w:spacing w:after="0"/>
              <w:rPr>
                <w:sz w:val="17"/>
                <w:szCs w:val="17"/>
                <w:color w:val="auto"/>
              </w:rPr>
            </w:pPr>
          </w:p>
        </w:tc>
      </w:tr>
      <w:tr>
        <w:trPr>
          <w:trHeight w:val="24"/>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57,066</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49,293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7,773</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contracts with Related Parties</w:t>
      </w:r>
    </w:p>
    <w:p>
      <w:pPr>
        <w:spacing w:after="0" w:line="193"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the period from September 1, 2020 to December 31, 2020, the Company earned environmental processing fees of $428, net of intersegment elimination, under this agreement which are included in fuel station service revenues in the consolidated statements of operation. During 2021, the Company acquired the remaining interests in Beacon. Therefore, all environmental fees earned after May 1, 2021 is eliminated in the consolidated statements of operations. For the period between January 1 and April 30, 2021, the company earned environmental processing fees of $632, net of intersegment elimination.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agreements with Related Parties</w:t>
      </w:r>
    </w:p>
    <w:p>
      <w:pPr>
        <w:spacing w:after="0" w:line="193"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In 2020, Trustar and FM3, two wholly-owned subsidiaries of the Company had two management service agreements with the Ultimate Parent to provide for management, operations and maintenance services. The agreement provided for a pass-through of the actual costs incurred.</w:t>
      </w:r>
    </w:p>
    <w:p>
      <w:pPr>
        <w:spacing w:after="0" w:line="157" w:lineRule="exact"/>
        <w:rPr>
          <w:sz w:val="20"/>
          <w:szCs w:val="20"/>
          <w:color w:val="auto"/>
        </w:rPr>
      </w:pPr>
    </w:p>
    <w:p>
      <w:pPr>
        <w:jc w:val="both"/>
        <w:ind w:firstLine="283"/>
        <w:spacing w:after="0" w:line="329" w:lineRule="auto"/>
        <w:rPr>
          <w:sz w:val="20"/>
          <w:szCs w:val="20"/>
          <w:color w:val="auto"/>
        </w:rPr>
      </w:pPr>
      <w:r>
        <w:rPr>
          <w:rFonts w:ascii="Arial" w:cs="Arial" w:eastAsia="Arial" w:hAnsi="Arial"/>
          <w:sz w:val="13"/>
          <w:szCs w:val="13"/>
          <w:color w:val="auto"/>
        </w:rPr>
        <w:t>On December 31, 2020, the Company terminated the above two agreements and signed a new management, operations, and maintenance services agreement (“Administrative services agreement”)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a pass-through of actual costs incurred and a fixed annual payment of $580,000 per year adjusted annually for inflation.</w:t>
      </w:r>
    </w:p>
    <w:p>
      <w:pPr>
        <w:spacing w:after="0" w:line="122" w:lineRule="exact"/>
        <w:rPr>
          <w:sz w:val="20"/>
          <w:szCs w:val="20"/>
          <w:color w:val="auto"/>
        </w:rPr>
      </w:pPr>
    </w:p>
    <w:p>
      <w:pPr>
        <w:jc w:val="both"/>
        <w:ind w:right="20" w:firstLine="283"/>
        <w:spacing w:after="0" w:line="329" w:lineRule="auto"/>
        <w:rPr>
          <w:sz w:val="20"/>
          <w:szCs w:val="20"/>
          <w:color w:val="auto"/>
        </w:rPr>
      </w:pPr>
      <w:r>
        <w:rPr>
          <w:rFonts w:ascii="Arial" w:cs="Arial" w:eastAsia="Arial" w:hAnsi="Arial"/>
          <w:sz w:val="13"/>
          <w:szCs w:val="13"/>
          <w:color w:val="auto"/>
        </w:rPr>
        <w:t>In June 2021, the company entered into an management services agreement with Costar Partners LLC (“Costar”), an affiliate of the Ultimate Parent. As per the agreement, Costar provides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60" w:name="page261"/>
    <w:bookmarkEnd w:id="260"/>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ind w:left="286" w:hanging="286"/>
        <w:spacing w:after="0"/>
        <w:tabs>
          <w:tab w:leader="none" w:pos="286"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Parties </w:t>
      </w:r>
      <w:r>
        <w:rPr>
          <w:rFonts w:ascii="Arial" w:cs="Arial" w:eastAsia="Arial" w:hAnsi="Arial"/>
          <w:sz w:val="16"/>
          <w:szCs w:val="16"/>
          <w:color w:val="auto"/>
        </w:rPr>
        <w:t>(cont.)</w:t>
      </w:r>
    </w:p>
    <w:p>
      <w:pPr>
        <w:spacing w:after="0" w:line="196" w:lineRule="exact"/>
        <w:rPr>
          <w:rFonts w:ascii="Arial" w:cs="Arial" w:eastAsia="Arial" w:hAnsi="Arial"/>
          <w:sz w:val="16"/>
          <w:szCs w:val="16"/>
          <w:b w:val="1"/>
          <w:bCs w:val="1"/>
          <w:color w:val="auto"/>
        </w:rPr>
      </w:pPr>
    </w:p>
    <w:p>
      <w:pPr>
        <w:ind w:left="286"/>
        <w:spacing w:after="0"/>
        <w:rPr>
          <w:rFonts w:ascii="Arial" w:cs="Arial" w:eastAsia="Arial" w:hAnsi="Arial"/>
          <w:sz w:val="16"/>
          <w:szCs w:val="16"/>
          <w:b w:val="1"/>
          <w:bCs w:val="1"/>
          <w:color w:val="auto"/>
        </w:rPr>
      </w:pPr>
      <w:r>
        <w:rPr>
          <w:rFonts w:ascii="Arial" w:cs="Arial" w:eastAsia="Arial" w:hAnsi="Arial"/>
          <w:sz w:val="15"/>
          <w:szCs w:val="15"/>
          <w:color w:val="auto"/>
        </w:rPr>
        <w:t>The following table summarizes the various fees recorded under the agreements described above which are included in our Selling, general administrative expenses:</w:t>
      </w:r>
    </w:p>
    <w:p>
      <w:pPr>
        <w:spacing w:after="0" w:line="212"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8"/>
              </w:rPr>
              <w:t>Fiscal Years Ended</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40"/>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line="172" w:lineRule="exact"/>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2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Staffing and management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8,393</w:t>
            </w: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IT services</w:t>
            </w: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1,497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Managements services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1,354</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Guaranty fees</w:t>
            </w: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Interest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Environmental processing fees</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7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For the years ended December 31, 2021 and December 31, 2020 the company had accounts payable, related party in the amounts of $166 and $1,579, respectively. As of December 31, 2021, the Company recorded $676 payable to Costar as part of accrued expenses in its consolidated balance sheet</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14. Benefit Plan</w:t>
      </w:r>
    </w:p>
    <w:p>
      <w:pPr>
        <w:spacing w:after="0" w:line="197" w:lineRule="exact"/>
        <w:rPr>
          <w:sz w:val="20"/>
          <w:szCs w:val="20"/>
          <w:color w:val="auto"/>
        </w:rPr>
      </w:pPr>
    </w:p>
    <w:p>
      <w:pPr>
        <w:jc w:val="both"/>
        <w:ind w:left="6" w:right="20" w:firstLine="283"/>
        <w:spacing w:after="0" w:line="274" w:lineRule="auto"/>
        <w:rPr>
          <w:sz w:val="20"/>
          <w:szCs w:val="20"/>
          <w:color w:val="auto"/>
        </w:rPr>
      </w:pPr>
      <w:r>
        <w:rPr>
          <w:rFonts w:ascii="Arial" w:cs="Arial" w:eastAsia="Arial" w:hAnsi="Arial"/>
          <w:sz w:val="15"/>
          <w:szCs w:val="15"/>
          <w:color w:val="auto"/>
        </w:rPr>
        <w:t>The Company maintains a qualified 401(k) benefit plan (the “Plan”) covering substantially all its employees who meet the eligibility requirements. All employees are eligible to participate in the Plan starting with the first day of the month following three months of service. Eligible employees may contribute up to 50% of their compensation on a pre-tax basis to the Plan, up to statutory limits. The Company matches 100% on the first 3% and 50% of the next 2% of eligible employees’ contributions. The Company’s contributions vest immediately. The Company’s contributions to the Plan were $374, $293 and $276 in 2021, 2020 and 2019, respectively.</w:t>
      </w:r>
    </w:p>
    <w:p>
      <w:pPr>
        <w:spacing w:after="0" w:line="15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15. Reportable Segments and Geographic Information</w:t>
      </w:r>
    </w:p>
    <w:p>
      <w:pPr>
        <w:spacing w:after="0" w:line="197"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The Company is organized into six operating segments based on the characteristics of its Renewable Power generation and dispensing portfolio and the nature of other products and services:</w:t>
      </w:r>
    </w:p>
    <w:p>
      <w:pPr>
        <w:spacing w:after="0" w:line="153" w:lineRule="exact"/>
        <w:rPr>
          <w:sz w:val="20"/>
          <w:szCs w:val="20"/>
          <w:color w:val="auto"/>
        </w:rPr>
      </w:pPr>
    </w:p>
    <w:p>
      <w:pPr>
        <w:ind w:left="566" w:right="20" w:hanging="283"/>
        <w:spacing w:after="0" w:line="271" w:lineRule="auto"/>
        <w:tabs>
          <w:tab w:leader="none" w:pos="566"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Renewable Power 3 Portfolio. </w:t>
      </w:r>
      <w:r>
        <w:rPr>
          <w:rFonts w:ascii="Arial" w:cs="Arial" w:eastAsia="Arial" w:hAnsi="Arial"/>
          <w:sz w:val="16"/>
          <w:szCs w:val="16"/>
          <w:color w:val="auto"/>
        </w:rPr>
        <w:t>The Renewable Power 3 (“RP3”) portfolio generates electricity through methane-rich landfills and digester gas collection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located in Southern California. RP3 sells renewable electricity to public utilities throughout the United States.</w:t>
      </w:r>
    </w:p>
    <w:p>
      <w:pPr>
        <w:spacing w:after="0" w:line="149" w:lineRule="exact"/>
        <w:rPr>
          <w:rFonts w:ascii="Arial" w:cs="Arial" w:eastAsia="Arial" w:hAnsi="Arial"/>
          <w:sz w:val="16"/>
          <w:szCs w:val="16"/>
          <w:color w:val="auto"/>
        </w:rPr>
      </w:pPr>
    </w:p>
    <w:p>
      <w:pPr>
        <w:ind w:left="566" w:hanging="283"/>
        <w:spacing w:after="0" w:line="271" w:lineRule="auto"/>
        <w:tabs>
          <w:tab w:leader="none" w:pos="566"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Renewable Power 4 Portfolio. </w:t>
      </w:r>
      <w:r>
        <w:rPr>
          <w:rFonts w:ascii="Arial" w:cs="Arial" w:eastAsia="Arial" w:hAnsi="Arial"/>
          <w:sz w:val="16"/>
          <w:szCs w:val="16"/>
          <w:color w:val="auto"/>
        </w:rPr>
        <w:t>The Renewable Power 4 (“RP4”) portfolio generates electricity through methane-rich landfills and digester gas collection systems. RP4</w:t>
      </w:r>
      <w:r>
        <w:rPr>
          <w:rFonts w:ascii="Arial" w:cs="Arial" w:eastAsia="Arial" w:hAnsi="Arial"/>
          <w:sz w:val="16"/>
          <w:szCs w:val="16"/>
          <w:b w:val="1"/>
          <w:bCs w:val="1"/>
          <w:color w:val="auto"/>
        </w:rPr>
        <w:t xml:space="preserve"> </w:t>
      </w:r>
      <w:r>
        <w:rPr>
          <w:rFonts w:ascii="Arial" w:cs="Arial" w:eastAsia="Arial" w:hAnsi="Arial"/>
          <w:sz w:val="16"/>
          <w:szCs w:val="16"/>
          <w:color w:val="auto"/>
        </w:rPr>
        <w:t>sells renewable electricity to public utilities throughout the United States.</w:t>
      </w:r>
    </w:p>
    <w:p>
      <w:pPr>
        <w:spacing w:after="0" w:line="149" w:lineRule="exact"/>
        <w:rPr>
          <w:rFonts w:ascii="Arial" w:cs="Arial" w:eastAsia="Arial" w:hAnsi="Arial"/>
          <w:sz w:val="16"/>
          <w:szCs w:val="16"/>
          <w:color w:val="auto"/>
        </w:rPr>
      </w:pPr>
    </w:p>
    <w:p>
      <w:pPr>
        <w:jc w:val="both"/>
        <w:ind w:left="566" w:hanging="283"/>
        <w:spacing w:after="0" w:line="249" w:lineRule="auto"/>
        <w:tabs>
          <w:tab w:leader="none" w:pos="566"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RNG Fuel Supply. </w:t>
      </w:r>
      <w:r>
        <w:rPr>
          <w:rFonts w:ascii="Arial" w:cs="Arial" w:eastAsia="Arial" w:hAnsi="Arial"/>
          <w:sz w:val="16"/>
          <w:szCs w:val="16"/>
          <w:color w:val="auto"/>
        </w:rPr>
        <w:t>The RNG Fuel portfolio consists of the Company’s interests in Beacon, Noble Road, Sunoma, GREP and other RNG projects under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Beacon captures and converts methane gas to RNG from two landfills located in western Pennsylvania and sells the captured gas to public utilities and separately monetizes environmental attributes through sales to third parties. For the year ended December 31, 2020 and for the period from March 11, 2019 through December 31, 2019, the Company accounted for its interest in Beacon under the equity method of accounting. In May 2021, the Company acquired the remaining interests in Beacon and consolidated Beacon’s results for the period between May and December 31, 2021. The Company accounted for its interests in Pine Bend and Noble Road on a fully consolidated basis for the first nine months of 2021 and converted to equity method of accounting in December and November, 2021, respectively. The Company accounted for its interest in Sunoma on a consolidated basis for the year ended December 31, 2021. Please see note 17 Variable Interest Entities for additional information.</w:t>
      </w:r>
    </w:p>
    <w:p>
      <w:pPr>
        <w:spacing w:after="0" w:line="26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61" w:name="page262"/>
    <w:bookmarkEnd w:id="261"/>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ind w:left="286" w:hanging="286"/>
        <w:spacing w:after="0"/>
        <w:tabs>
          <w:tab w:leader="none" w:pos="286"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Reportable Segments and Geographic Information </w:t>
      </w:r>
      <w:r>
        <w:rPr>
          <w:rFonts w:ascii="Arial" w:cs="Arial" w:eastAsia="Arial" w:hAnsi="Arial"/>
          <w:sz w:val="16"/>
          <w:szCs w:val="16"/>
          <w:color w:val="auto"/>
        </w:rPr>
        <w:t>(cont.)</w:t>
      </w:r>
    </w:p>
    <w:p>
      <w:pPr>
        <w:spacing w:after="0" w:line="192" w:lineRule="exact"/>
        <w:rPr>
          <w:rFonts w:ascii="Arial" w:cs="Arial" w:eastAsia="Arial" w:hAnsi="Arial"/>
          <w:sz w:val="16"/>
          <w:szCs w:val="16"/>
          <w:b w:val="1"/>
          <w:bCs w:val="1"/>
          <w:color w:val="auto"/>
        </w:rPr>
      </w:pPr>
    </w:p>
    <w:p>
      <w:pPr>
        <w:ind w:left="566" w:hanging="283"/>
        <w:spacing w:after="0" w:line="271" w:lineRule="auto"/>
        <w:tabs>
          <w:tab w:leader="none" w:pos="566" w:val="left"/>
        </w:tabs>
        <w:numPr>
          <w:ilvl w:val="1"/>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RNG Fuel Dispensing. </w:t>
      </w:r>
      <w:r>
        <w:rPr>
          <w:rFonts w:ascii="Arial" w:cs="Arial" w:eastAsia="Arial" w:hAnsi="Arial"/>
          <w:sz w:val="16"/>
          <w:szCs w:val="16"/>
          <w:color w:val="auto"/>
        </w:rPr>
        <w:t>The Company owns and operates CNG fueling stations that are strategically located to supply fuel to third-party vehicle fleets throughout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CNG Fueling Operations also supplies CNG vehicle fuel to stations owned by third parties.</w:t>
      </w:r>
    </w:p>
    <w:p>
      <w:pPr>
        <w:spacing w:after="0" w:line="149" w:lineRule="exact"/>
        <w:rPr>
          <w:rFonts w:ascii="Arial" w:cs="Arial" w:eastAsia="Arial" w:hAnsi="Arial"/>
          <w:sz w:val="16"/>
          <w:szCs w:val="16"/>
          <w:b w:val="1"/>
          <w:bCs w:val="1"/>
          <w:color w:val="auto"/>
        </w:rPr>
      </w:pPr>
    </w:p>
    <w:p>
      <w:pPr>
        <w:ind w:left="566" w:hanging="283"/>
        <w:spacing w:after="0"/>
        <w:tabs>
          <w:tab w:leader="none" w:pos="566" w:val="left"/>
        </w:tabs>
        <w:numPr>
          <w:ilvl w:val="1"/>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Fuel Construction Services.  </w:t>
      </w:r>
      <w:r>
        <w:rPr>
          <w:rFonts w:ascii="Arial" w:cs="Arial" w:eastAsia="Arial" w:hAnsi="Arial"/>
          <w:sz w:val="16"/>
          <w:szCs w:val="16"/>
          <w:color w:val="auto"/>
        </w:rPr>
        <w:t>The Company also provides design and construction services to third parties for vehicle fueling stations.</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1"/>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Fuel Station Services.  </w:t>
      </w:r>
      <w:r>
        <w:rPr>
          <w:rFonts w:ascii="Arial" w:cs="Arial" w:eastAsia="Arial" w:hAnsi="Arial"/>
          <w:sz w:val="16"/>
          <w:szCs w:val="16"/>
          <w:color w:val="auto"/>
        </w:rPr>
        <w:t>The Company also provides maintenance services to third-party owners of vehicle fueling stations.</w:t>
      </w:r>
    </w:p>
    <w:p>
      <w:pPr>
        <w:spacing w:after="0" w:line="197" w:lineRule="exact"/>
        <w:rPr>
          <w:sz w:val="20"/>
          <w:szCs w:val="20"/>
          <w:color w:val="auto"/>
        </w:rPr>
      </w:pPr>
    </w:p>
    <w:p>
      <w:pPr>
        <w:jc w:val="both"/>
        <w:ind w:left="6" w:right="20" w:firstLine="283"/>
        <w:spacing w:after="0" w:line="251" w:lineRule="auto"/>
        <w:rPr>
          <w:sz w:val="20"/>
          <w:szCs w:val="20"/>
          <w:color w:val="auto"/>
        </w:rPr>
      </w:pPr>
      <w:r>
        <w:rPr>
          <w:rFonts w:ascii="Arial" w:cs="Arial" w:eastAsia="Arial" w:hAnsi="Arial"/>
          <w:sz w:val="16"/>
          <w:szCs w:val="16"/>
          <w:color w:val="auto"/>
        </w:rPr>
        <w:t>The Co-Chief Executive Officers serve as the Company’s chief operating decision maker (“CODM”) and jointly manage the six operating segments based on regular reviews of the segment information presented below. This information is used by the CODM to evaluate the performance of each operating segment and allocate the Company’s resources among segments. The Company determined that each of the six operating segments meets the characteristics of a reportable segment in U.S. GAAP. The Company activities and assets that are not associated with the six reportable segments are summarized in the “Other” category below. These include corporate investment income, interest income and interest expense, income tax expense and other non-allocated costs.</w:t>
      </w:r>
    </w:p>
    <w:p>
      <w:pPr>
        <w:spacing w:after="0" w:line="169"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With the exception of the Beacon Portfolio, segment disclosures are prepared on the same basis described in the summary of significant accounting policies. The CODM reviews the Beacon Portfolio segment based on its standalone, consolidated financial reports. As such, a reconciliation is provided below of the Beacon Portfolio segment information to the Company’s equity method accounting for its interest in Beacon under U.S. GAAP.</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w w:val="88"/>
              </w:rPr>
              <w:t>Fiscal Years Ended</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320"/>
              <w:spacing w:after="0" w:line="172" w:lineRule="exact"/>
              <w:rPr>
                <w:sz w:val="20"/>
                <w:szCs w:val="20"/>
                <w:color w:val="auto"/>
              </w:rPr>
            </w:pPr>
            <w:r>
              <w:rPr>
                <w:rFonts w:ascii="Arial" w:cs="Arial" w:eastAsia="Arial" w:hAnsi="Arial"/>
                <w:sz w:val="16"/>
                <w:szCs w:val="16"/>
                <w:b w:val="1"/>
                <w:bCs w:val="1"/>
                <w:color w:val="auto"/>
                <w:w w:val="86"/>
              </w:rPr>
              <w:t>December 31,</w:t>
            </w:r>
          </w:p>
        </w:tc>
        <w:tc>
          <w:tcPr>
            <w:tcW w:w="80" w:type="dxa"/>
            <w:vAlign w:val="bottom"/>
          </w:tcPr>
          <w:p>
            <w:pPr>
              <w:spacing w:after="0"/>
              <w:rPr>
                <w:sz w:val="14"/>
                <w:szCs w:val="14"/>
                <w:color w:val="auto"/>
              </w:rPr>
            </w:pPr>
          </w:p>
        </w:tc>
        <w:tc>
          <w:tcPr>
            <w:tcW w:w="1060" w:type="dxa"/>
            <w:vAlign w:val="bottom"/>
          </w:tcPr>
          <w:p>
            <w:pPr>
              <w:jc w:val="right"/>
              <w:ind w:right="6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320" w:type="dxa"/>
            <w:vAlign w:val="bottom"/>
            <w:vMerge w:val="restart"/>
          </w:tcPr>
          <w:p>
            <w:pPr>
              <w:spacing w:after="0"/>
              <w:rPr>
                <w:sz w:val="20"/>
                <w:szCs w:val="20"/>
                <w:color w:val="auto"/>
              </w:rPr>
            </w:pPr>
            <w:r>
              <w:rPr>
                <w:rFonts w:ascii="Arial" w:cs="Arial" w:eastAsia="Arial" w:hAnsi="Arial"/>
                <w:sz w:val="16"/>
                <w:szCs w:val="16"/>
                <w:b w:val="1"/>
                <w:bCs w:val="1"/>
                <w:color w:val="auto"/>
              </w:rPr>
              <w:t>Revenues: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w w:val="94"/>
              </w:rPr>
              <w:t>(Restated)</w:t>
            </w:r>
            <w:r>
              <w:rPr>
                <w:rFonts w:ascii="Arial" w:cs="Arial" w:eastAsia="Arial" w:hAnsi="Arial"/>
                <w:sz w:val="26"/>
                <w:szCs w:val="26"/>
                <w:b w:val="1"/>
                <w:bCs w:val="1"/>
                <w:color w:val="auto"/>
                <w:w w:val="94"/>
                <w:vertAlign w:val="superscript"/>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w w:val="94"/>
              </w:rPr>
              <w:t>(Restated)</w:t>
            </w:r>
            <w:r>
              <w:rPr>
                <w:rFonts w:ascii="Arial" w:cs="Arial" w:eastAsia="Arial" w:hAnsi="Arial"/>
                <w:sz w:val="26"/>
                <w:szCs w:val="26"/>
                <w:b w:val="1"/>
                <w:bCs w:val="1"/>
                <w:color w:val="auto"/>
                <w:w w:val="94"/>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3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43,857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45,922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50,597</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Renewable Power 4</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3,460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4,579</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RNG Fuel Supply</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60,097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14,772</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12,366</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RNG Fuel Dispensing</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30,385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11,545</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Fuel Construction Services</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33,385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40,567</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43,449</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Fuel Station Services</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17,058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18,637</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14,842</w:t>
            </w: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(2)</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1,016</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Intersegment</w:t>
            </w:r>
          </w:p>
        </w:tc>
        <w:tc>
          <w:tcPr>
            <w:tcW w:w="8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(8,066)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(4,293)</w:t>
            </w: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(15,039)</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(12,366)</w:t>
            </w:r>
          </w:p>
        </w:tc>
        <w:tc>
          <w:tcPr>
            <w:tcW w:w="0" w:type="dxa"/>
            <w:vAlign w:val="bottom"/>
          </w:tcPr>
          <w:p>
            <w:pPr>
              <w:spacing w:after="0"/>
              <w:rPr>
                <w:sz w:val="1"/>
                <w:szCs w:val="1"/>
                <w:color w:val="auto"/>
              </w:rPr>
            </w:pPr>
          </w:p>
        </w:tc>
      </w:tr>
      <w:tr>
        <w:trPr>
          <w:trHeight w:val="24"/>
        </w:trPr>
        <w:tc>
          <w:tcPr>
            <w:tcW w:w="73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166,124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117,706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119,702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286" w:hanging="286"/>
        <w:spacing w:after="0"/>
        <w:tabs>
          <w:tab w:leader="none" w:pos="286" w:val="left"/>
        </w:tabs>
        <w:numPr>
          <w:ilvl w:val="0"/>
          <w:numId w:val="151"/>
        </w:numPr>
        <w:rPr>
          <w:rFonts w:ascii="Arial" w:cs="Arial" w:eastAsia="Arial" w:hAnsi="Arial"/>
          <w:sz w:val="13"/>
          <w:szCs w:val="13"/>
          <w:color w:val="auto"/>
        </w:rPr>
      </w:pPr>
      <w:r>
        <w:rPr>
          <w:rFonts w:ascii="Arial" w:cs="Arial" w:eastAsia="Arial" w:hAnsi="Arial"/>
          <w:sz w:val="13"/>
          <w:szCs w:val="13"/>
          <w:color w:val="auto"/>
        </w:rPr>
        <w:t>Revenues in Renewable Power 3 and RNG Fuel Dispensing segments have been restated. Please see Note 2 Restatement of financial statements for additional information.</w:t>
      </w:r>
    </w:p>
    <w:p>
      <w:pPr>
        <w:spacing w:after="0" w:line="50" w:lineRule="exact"/>
        <w:rPr>
          <w:rFonts w:ascii="Arial" w:cs="Arial" w:eastAsia="Arial" w:hAnsi="Arial"/>
          <w:sz w:val="13"/>
          <w:szCs w:val="13"/>
          <w:color w:val="auto"/>
        </w:rPr>
      </w:pPr>
    </w:p>
    <w:p>
      <w:pPr>
        <w:ind w:left="286" w:hanging="286"/>
        <w:spacing w:after="0"/>
        <w:tabs>
          <w:tab w:leader="none" w:pos="28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Other includes revenues of Fortistar Contracting LLC.</w:t>
      </w:r>
    </w:p>
    <w:p>
      <w:pPr>
        <w:spacing w:after="0" w:line="27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62" w:name="page263"/>
    <w:bookmarkEnd w:id="262"/>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7320" w:type="dxa"/>
            <w:vAlign w:val="bottom"/>
          </w:tcPr>
          <w:p>
            <w:pPr>
              <w:spacing w:after="0"/>
              <w:rPr>
                <w:sz w:val="20"/>
                <w:szCs w:val="20"/>
                <w:color w:val="auto"/>
              </w:rPr>
            </w:pPr>
            <w:r>
              <w:rPr>
                <w:rFonts w:ascii="Arial" w:cs="Arial" w:eastAsia="Arial" w:hAnsi="Arial"/>
                <w:sz w:val="16"/>
                <w:szCs w:val="16"/>
                <w:b w:val="1"/>
                <w:bCs w:val="1"/>
                <w:color w:val="auto"/>
              </w:rPr>
              <w:t xml:space="preserve">15. Reportable Segments and Geographic Information </w:t>
            </w:r>
            <w:r>
              <w:rPr>
                <w:rFonts w:ascii="Arial" w:cs="Arial" w:eastAsia="Arial" w:hAnsi="Arial"/>
                <w:sz w:val="16"/>
                <w:szCs w:val="16"/>
                <w:color w:val="auto"/>
              </w:rPr>
              <w:t>(cont.)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3"/>
        </w:trPr>
        <w:tc>
          <w:tcPr>
            <w:tcW w:w="7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w w:val="87"/>
              </w:rPr>
              <w:t>Fiscal Years Ended</w:t>
            </w: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12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20"/>
              <w:spacing w:after="0" w:line="172" w:lineRule="exact"/>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4"/>
                <w:szCs w:val="14"/>
                <w:color w:val="auto"/>
              </w:rPr>
            </w:pPr>
          </w:p>
        </w:tc>
        <w:tc>
          <w:tcPr>
            <w:tcW w:w="1060" w:type="dxa"/>
            <w:vAlign w:val="bottom"/>
          </w:tcPr>
          <w:p>
            <w:pPr>
              <w:jc w:val="right"/>
              <w:ind w:right="6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4"/>
                <w:szCs w:val="14"/>
                <w:color w:val="auto"/>
              </w:rPr>
            </w:pPr>
          </w:p>
        </w:tc>
      </w:tr>
      <w:tr>
        <w:trPr>
          <w:trHeight w:val="209"/>
        </w:trPr>
        <w:tc>
          <w:tcPr>
            <w:tcW w:w="7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187"/>
        </w:trPr>
        <w:tc>
          <w:tcPr>
            <w:tcW w:w="7320" w:type="dxa"/>
            <w:vAlign w:val="bottom"/>
          </w:tcPr>
          <w:p>
            <w:pPr>
              <w:spacing w:after="0"/>
              <w:rPr>
                <w:sz w:val="20"/>
                <w:szCs w:val="20"/>
                <w:color w:val="auto"/>
              </w:rPr>
            </w:pPr>
            <w:r>
              <w:rPr>
                <w:rFonts w:ascii="Arial" w:cs="Arial" w:eastAsia="Arial" w:hAnsi="Arial"/>
                <w:sz w:val="16"/>
                <w:szCs w:val="16"/>
                <w:b w:val="1"/>
                <w:bCs w:val="1"/>
                <w:color w:val="auto"/>
              </w:rPr>
              <w:t>Interest and Financing Expense, Net:</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6,325</w:t>
            </w:r>
          </w:p>
        </w:tc>
        <w:tc>
          <w:tcPr>
            <w:tcW w:w="100" w:type="dxa"/>
            <w:vAlign w:val="bottom"/>
            <w:shd w:val="clear" w:color="auto" w:fill="CCEEFF"/>
          </w:tcPr>
          <w:p>
            <w:pPr>
              <w:spacing w:after="0"/>
              <w:rPr>
                <w:sz w:val="16"/>
                <w:szCs w:val="16"/>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Renewable Power 4</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6"/>
        </w:trPr>
        <w:tc>
          <w:tcPr>
            <w:tcW w:w="732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(1)</w:t>
            </w:r>
          </w:p>
        </w:tc>
        <w:tc>
          <w:tcPr>
            <w:tcW w:w="8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1,678</w:t>
            </w:r>
          </w:p>
        </w:tc>
        <w:tc>
          <w:tcPr>
            <w:tcW w:w="8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100" w:type="dxa"/>
            <w:vAlign w:val="bottom"/>
            <w:shd w:val="clear" w:color="auto" w:fill="CCEEFF"/>
          </w:tcPr>
          <w:p>
            <w:pPr>
              <w:spacing w:after="0"/>
              <w:rPr>
                <w:sz w:val="20"/>
                <w:szCs w:val="20"/>
                <w:color w:val="auto"/>
              </w:rPr>
            </w:pPr>
          </w:p>
        </w:tc>
      </w:tr>
      <w:tr>
        <w:trPr>
          <w:trHeight w:val="24"/>
        </w:trPr>
        <w:tc>
          <w:tcPr>
            <w:tcW w:w="73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7,467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6,655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8,026</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286" w:right="20" w:hanging="286"/>
        <w:spacing w:after="0" w:line="266" w:lineRule="auto"/>
        <w:tabs>
          <w:tab w:leader="none" w:pos="28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Other includes interest expense associated with RNG Fuel Dispensing, Fuel Construction Services, and Fuel Station Services, as the Company does not maintain segment-level records for these balances.</w:t>
      </w:r>
    </w:p>
    <w:p>
      <w:pPr>
        <w:spacing w:after="0" w:line="165"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61"/>
              <w:spacing w:after="0"/>
              <w:rPr>
                <w:sz w:val="20"/>
                <w:szCs w:val="20"/>
                <w:color w:val="auto"/>
              </w:rPr>
            </w:pPr>
            <w:r>
              <w:rPr>
                <w:rFonts w:ascii="Arial" w:cs="Arial" w:eastAsia="Arial" w:hAnsi="Arial"/>
                <w:sz w:val="16"/>
                <w:szCs w:val="16"/>
                <w:b w:val="1"/>
                <w:bCs w:val="1"/>
                <w:color w:val="auto"/>
                <w:w w:val="87"/>
              </w:rPr>
              <w:t>Fiscal Years Ended</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81"/>
              <w:spacing w:after="0" w:line="172" w:lineRule="exact"/>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4"/>
                <w:szCs w:val="14"/>
                <w:color w:val="auto"/>
              </w:rPr>
            </w:pPr>
          </w:p>
        </w:tc>
        <w:tc>
          <w:tcPr>
            <w:tcW w:w="1040" w:type="dxa"/>
            <w:vAlign w:val="bottom"/>
          </w:tcPr>
          <w:p>
            <w:pPr>
              <w:jc w:val="center"/>
              <w:ind w:right="2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Depreciation, Amortization, and Accretion:</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6,093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6,265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Renewable Power 4</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442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RNG Fuel Supply</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3,306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3,112</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RNG Fuel Dispensing</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1,662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1,468</w:t>
            </w: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Fuel Construction Services</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Fuel Station Services</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line="223"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(1)</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Equity Method Investment</w:t>
            </w:r>
          </w:p>
        </w:tc>
        <w:tc>
          <w:tcPr>
            <w:tcW w:w="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(1,060)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(3,112)</w:t>
            </w:r>
          </w:p>
        </w:tc>
        <w:tc>
          <w:tcPr>
            <w:tcW w:w="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8,338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8,031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32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(1) Other includes amortization of intangible</w:t>
            </w:r>
          </w:p>
        </w:tc>
        <w:tc>
          <w:tcPr>
            <w:tcW w:w="4520" w:type="dxa"/>
            <w:vAlign w:val="bottom"/>
          </w:tcPr>
          <w:p>
            <w:pPr>
              <w:ind w:left="100"/>
              <w:spacing w:after="0"/>
              <w:rPr>
                <w:sz w:val="20"/>
                <w:szCs w:val="20"/>
                <w:color w:val="auto"/>
              </w:rPr>
            </w:pPr>
            <w:r>
              <w:rPr>
                <w:rFonts w:ascii="Arial" w:cs="Arial" w:eastAsia="Arial" w:hAnsi="Arial"/>
                <w:sz w:val="16"/>
                <w:szCs w:val="16"/>
                <w:color w:val="auto"/>
                <w:w w:val="98"/>
              </w:rPr>
              <w:t>assets and depreciation expense not allocated to any segment.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61"/>
              <w:spacing w:after="0"/>
              <w:rPr>
                <w:sz w:val="20"/>
                <w:szCs w:val="20"/>
                <w:color w:val="auto"/>
              </w:rPr>
            </w:pPr>
            <w:r>
              <w:rPr>
                <w:rFonts w:ascii="Arial" w:cs="Arial" w:eastAsia="Arial" w:hAnsi="Arial"/>
                <w:sz w:val="16"/>
                <w:szCs w:val="16"/>
                <w:b w:val="1"/>
                <w:bCs w:val="1"/>
                <w:color w:val="auto"/>
                <w:w w:val="87"/>
              </w:rPr>
              <w:t>Fiscal Years Ended</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81"/>
              <w:spacing w:after="0" w:line="172" w:lineRule="exact"/>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4"/>
                <w:szCs w:val="14"/>
                <w:color w:val="auto"/>
              </w:rPr>
            </w:pPr>
          </w:p>
        </w:tc>
        <w:tc>
          <w:tcPr>
            <w:tcW w:w="1040" w:type="dxa"/>
            <w:vAlign w:val="bottom"/>
          </w:tcPr>
          <w:p>
            <w:pPr>
              <w:jc w:val="center"/>
              <w:ind w:right="2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3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w w:val="94"/>
              </w:rPr>
              <w:t>(Restated)</w:t>
            </w:r>
            <w:r>
              <w:rPr>
                <w:rFonts w:ascii="Arial" w:cs="Arial" w:eastAsia="Arial" w:hAnsi="Arial"/>
                <w:sz w:val="26"/>
                <w:szCs w:val="26"/>
                <w:b w:val="1"/>
                <w:bCs w:val="1"/>
                <w:color w:val="auto"/>
                <w:w w:val="94"/>
                <w:vertAlign w:val="superscript"/>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w w:val="94"/>
              </w:rPr>
              <w:t>(Restated)</w:t>
            </w:r>
            <w:r>
              <w:rPr>
                <w:rFonts w:ascii="Arial" w:cs="Arial" w:eastAsia="Arial" w:hAnsi="Arial"/>
                <w:sz w:val="26"/>
                <w:szCs w:val="26"/>
                <w:b w:val="1"/>
                <w:bCs w:val="1"/>
                <w:color w:val="auto"/>
                <w:w w:val="94"/>
                <w:vertAlign w:val="superscript"/>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3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(26,447)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Renewable Power 4</w:t>
            </w:r>
          </w:p>
        </w:tc>
        <w:tc>
          <w:tcPr>
            <w:tcW w:w="8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(2,603)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(754)</w:t>
            </w:r>
          </w:p>
        </w:tc>
        <w:tc>
          <w:tcPr>
            <w:tcW w:w="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(3,261)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RNG Fuel Supply</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55,402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(1,821)</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RNG Fuel Dispensing</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6,298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2,950</w:t>
            </w: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Fuel Construction Services</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2,708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4,700</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4,378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Fuel Station Services</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4,441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4,723</w:t>
            </w:r>
          </w:p>
        </w:tc>
        <w:tc>
          <w:tcPr>
            <w:tcW w:w="80" w:type="dxa"/>
            <w:vAlign w:val="bottom"/>
          </w:tcPr>
          <w:p>
            <w:pPr>
              <w:spacing w:after="0"/>
              <w:rPr>
                <w:sz w:val="16"/>
                <w:szCs w:val="16"/>
                <w:color w:val="auto"/>
              </w:rPr>
            </w:pP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3,367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line="223"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(2)</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(23,103)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(8,247)</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(9,181)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Equity Method Investment</w:t>
            </w: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2,268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(475)</w:t>
            </w:r>
          </w:p>
        </w:tc>
        <w:tc>
          <w:tcPr>
            <w:tcW w:w="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40,769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(25,371</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286" w:hanging="286"/>
        <w:spacing w:after="0" w:line="253" w:lineRule="auto"/>
        <w:tabs>
          <w:tab w:leader="none" w:pos="28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Net loss for the Renewable Power 3 segment has been restated to record unrealized losses on commodity swap contracts. Please see Note 2 Restatement of financial statements for additional information.</w:t>
      </w:r>
    </w:p>
    <w:p>
      <w:pPr>
        <w:ind w:left="286" w:right="20" w:hanging="286"/>
        <w:spacing w:after="0" w:line="251" w:lineRule="auto"/>
        <w:tabs>
          <w:tab w:leader="none" w:pos="28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Other includes Fortistar Contracting LLC as well as interest expense and selling, general and administrative expenses associated with RNG Fuel Dispensing, Fuel Construction Services, and Fuel Station Services, as the Company does not maintain segment-level records for these balances.</w:t>
      </w:r>
    </w:p>
    <w:p>
      <w:pPr>
        <w:spacing w:after="0" w:line="26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63" w:name="page264"/>
    <w:bookmarkEnd w:id="263"/>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6400" w:type="dxa"/>
            <w:vAlign w:val="bottom"/>
          </w:tcPr>
          <w:p>
            <w:pPr>
              <w:spacing w:after="0"/>
              <w:rPr>
                <w:sz w:val="20"/>
                <w:szCs w:val="20"/>
                <w:color w:val="auto"/>
              </w:rPr>
            </w:pPr>
            <w:r>
              <w:rPr>
                <w:rFonts w:ascii="Arial" w:cs="Arial" w:eastAsia="Arial" w:hAnsi="Arial"/>
                <w:sz w:val="16"/>
                <w:szCs w:val="16"/>
                <w:b w:val="1"/>
                <w:bCs w:val="1"/>
                <w:color w:val="auto"/>
              </w:rPr>
              <w:t xml:space="preserve">15. Reportable Segments and Geographic Information </w:t>
            </w:r>
            <w:r>
              <w:rPr>
                <w:rFonts w:ascii="Arial" w:cs="Arial" w:eastAsia="Arial" w:hAnsi="Arial"/>
                <w:sz w:val="16"/>
                <w:szCs w:val="16"/>
                <w:color w:val="auto"/>
              </w:rPr>
              <w:t>(cont.)</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6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9"/>
        </w:trPr>
        <w:tc>
          <w:tcPr>
            <w:tcW w:w="6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400" w:type="dxa"/>
            <w:vAlign w:val="bottom"/>
            <w:vMerge w:val="restart"/>
          </w:tcPr>
          <w:p>
            <w:pPr>
              <w:spacing w:after="0"/>
              <w:rPr>
                <w:sz w:val="20"/>
                <w:szCs w:val="20"/>
                <w:color w:val="auto"/>
              </w:rPr>
            </w:pPr>
            <w:r>
              <w:rPr>
                <w:rFonts w:ascii="Arial" w:cs="Arial" w:eastAsia="Arial" w:hAnsi="Arial"/>
                <w:sz w:val="16"/>
                <w:szCs w:val="16"/>
                <w:b w:val="1"/>
                <w:bCs w:val="1"/>
                <w:color w:val="auto"/>
              </w:rPr>
              <w:t>Total Assets:</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ind w:right="22"/>
              <w:spacing w:after="0"/>
              <w:rPr>
                <w:sz w:val="20"/>
                <w:szCs w:val="20"/>
                <w:color w:val="auto"/>
              </w:rPr>
            </w:pPr>
            <w:r>
              <w:rPr>
                <w:rFonts w:ascii="Arial" w:cs="Arial" w:eastAsia="Arial" w:hAnsi="Arial"/>
                <w:sz w:val="16"/>
                <w:szCs w:val="16"/>
                <w:b w:val="1"/>
                <w:bCs w:val="1"/>
                <w:color w:val="auto"/>
                <w:w w:val="84"/>
              </w:rPr>
              <w:t>(Restated)</w:t>
            </w:r>
            <w:r>
              <w:rPr>
                <w:rFonts w:ascii="Arial" w:cs="Arial" w:eastAsia="Arial" w:hAnsi="Arial"/>
                <w:sz w:val="26"/>
                <w:szCs w:val="26"/>
                <w:b w:val="1"/>
                <w:bCs w:val="1"/>
                <w:color w:val="auto"/>
                <w:w w:val="84"/>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400" w:type="dxa"/>
            <w:vAlign w:val="bottom"/>
            <w:vMerge w:val="continue"/>
          </w:tcPr>
          <w:p>
            <w:pPr>
              <w:spacing w:after="0"/>
              <w:rPr>
                <w:sz w:val="5"/>
                <w:szCs w:val="5"/>
                <w:color w:val="auto"/>
              </w:rPr>
            </w:pPr>
          </w:p>
        </w:tc>
        <w:tc>
          <w:tcPr>
            <w:tcW w:w="2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40,901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54,860</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20"/>
                <w:szCs w:val="20"/>
                <w:color w:val="auto"/>
              </w:rPr>
            </w:pPr>
            <w:r>
              <w:rPr>
                <w:rFonts w:ascii="Arial" w:cs="Arial" w:eastAsia="Arial" w:hAnsi="Arial"/>
                <w:sz w:val="16"/>
                <w:szCs w:val="16"/>
                <w:color w:val="auto"/>
              </w:rPr>
              <w:t>Renewable Power 4</w:t>
            </w: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2,827</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RNG Fuel Supply</w:t>
            </w:r>
          </w:p>
        </w:tc>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191,464</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26,238</w:t>
            </w:r>
          </w:p>
        </w:tc>
        <w:tc>
          <w:tcPr>
            <w:tcW w:w="0" w:type="dxa"/>
            <w:vAlign w:val="bottom"/>
          </w:tcPr>
          <w:p>
            <w:pPr>
              <w:spacing w:after="0"/>
              <w:rPr>
                <w:sz w:val="1"/>
                <w:szCs w:val="1"/>
                <w:color w:val="auto"/>
              </w:rPr>
            </w:pPr>
          </w:p>
        </w:tc>
      </w:tr>
      <w:tr>
        <w:trPr>
          <w:trHeight w:val="224"/>
        </w:trPr>
        <w:tc>
          <w:tcPr>
            <w:tcW w:w="6400" w:type="dxa"/>
            <w:vAlign w:val="bottom"/>
          </w:tcPr>
          <w:p>
            <w:pPr>
              <w:spacing w:after="0" w:line="223"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(2)</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98,502</w:t>
            </w: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59,671</w:t>
            </w:r>
          </w:p>
        </w:tc>
        <w:tc>
          <w:tcPr>
            <w:tcW w:w="0" w:type="dxa"/>
            <w:vAlign w:val="bottom"/>
          </w:tcPr>
          <w:p>
            <w:pPr>
              <w:spacing w:after="0"/>
              <w:rPr>
                <w:sz w:val="1"/>
                <w:szCs w:val="1"/>
                <w:color w:val="auto"/>
              </w:rPr>
            </w:pPr>
          </w:p>
        </w:tc>
      </w:tr>
      <w:tr>
        <w:trPr>
          <w:trHeight w:val="200"/>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w:t>
            </w:r>
          </w:p>
        </w:tc>
        <w:tc>
          <w:tcPr>
            <w:tcW w:w="2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25,573</w:t>
            </w:r>
          </w:p>
        </w:tc>
        <w:tc>
          <w:tcPr>
            <w:tcW w:w="0" w:type="dxa"/>
            <w:vAlign w:val="bottom"/>
          </w:tcPr>
          <w:p>
            <w:pPr>
              <w:spacing w:after="0"/>
              <w:rPr>
                <w:sz w:val="1"/>
                <w:szCs w:val="1"/>
                <w:color w:val="auto"/>
              </w:rPr>
            </w:pPr>
          </w:p>
        </w:tc>
      </w:tr>
      <w:tr>
        <w:trPr>
          <w:trHeight w:val="24"/>
        </w:trPr>
        <w:tc>
          <w:tcPr>
            <w:tcW w:w="64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380,844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169,458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286" w:hanging="286"/>
        <w:spacing w:after="0" w:line="253" w:lineRule="auto"/>
        <w:tabs>
          <w:tab w:leader="none" w:pos="28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The total assets for Renewable Power 3 as of December 31, 2020 have been restated to record Derivative financial asset — current and Derivative financial asset — non-current of $810 and $719, respectively. Please see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for additional information.</w:t>
      </w:r>
    </w:p>
    <w:p>
      <w:pPr>
        <w:ind w:left="286" w:right="20" w:hanging="286"/>
        <w:spacing w:after="0" w:line="251" w:lineRule="auto"/>
        <w:tabs>
          <w:tab w:leader="none" w:pos="28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Other includes total assets associated with Fortistar Contracting LLC, RNG Fuel Dispensing, Fuel Construction Services, and Fuel Station Services, as the Company does not maintain segment-level records for these balances.</w:t>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w w:val="87"/>
              </w:rPr>
              <w:t>Fiscal Years Ended</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2"/>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12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20"/>
              <w:spacing w:after="0" w:line="172" w:lineRule="exact"/>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4"/>
                <w:szCs w:val="14"/>
                <w:color w:val="auto"/>
              </w:rPr>
            </w:pPr>
          </w:p>
        </w:tc>
        <w:tc>
          <w:tcPr>
            <w:tcW w:w="1040" w:type="dxa"/>
            <w:vAlign w:val="bottom"/>
          </w:tcPr>
          <w:p>
            <w:pPr>
              <w:jc w:val="center"/>
              <w:ind w:right="2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tcPr>
          <w:p>
            <w:pPr>
              <w:spacing w:after="0"/>
              <w:rPr>
                <w:sz w:val="14"/>
                <w:szCs w:val="14"/>
                <w:color w:val="auto"/>
              </w:rPr>
            </w:pPr>
          </w:p>
        </w:tc>
      </w:tr>
      <w:tr>
        <w:trPr>
          <w:trHeight w:val="209"/>
        </w:trPr>
        <w:tc>
          <w:tcPr>
            <w:tcW w:w="7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87"/>
        </w:trPr>
        <w:tc>
          <w:tcPr>
            <w:tcW w:w="7320" w:type="dxa"/>
            <w:vAlign w:val="bottom"/>
          </w:tcPr>
          <w:p>
            <w:pPr>
              <w:spacing w:after="0"/>
              <w:rPr>
                <w:sz w:val="20"/>
                <w:szCs w:val="20"/>
                <w:color w:val="auto"/>
              </w:rPr>
            </w:pPr>
            <w:r>
              <w:rPr>
                <w:rFonts w:ascii="Arial" w:cs="Arial" w:eastAsia="Arial" w:hAnsi="Arial"/>
                <w:sz w:val="16"/>
                <w:szCs w:val="16"/>
                <w:b w:val="1"/>
                <w:bCs w:val="1"/>
                <w:color w:val="auto"/>
              </w:rPr>
              <w:t>Cash Paid for Purchases of Property, Plant and Equipment:</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Renewable Power 4</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RNG Fuel Supply</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78,854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17,886</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1,001</w:t>
            </w: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RNG Fuel Dispensing</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10,792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6,902</w:t>
            </w: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4,431</w:t>
            </w:r>
          </w:p>
        </w:tc>
      </w:tr>
      <w:tr>
        <w:trPr>
          <w:trHeight w:val="24"/>
        </w:trPr>
        <w:tc>
          <w:tcPr>
            <w:tcW w:w="73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24,940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5,469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ind w:left="286"/>
        <w:spacing w:after="0"/>
        <w:tabs>
          <w:tab w:leader="none" w:pos="1985" w:val="left"/>
        </w:tabs>
        <w:rPr>
          <w:sz w:val="20"/>
          <w:szCs w:val="20"/>
          <w:color w:val="auto"/>
        </w:rPr>
      </w:pPr>
      <w:r>
        <w:rPr>
          <w:rFonts w:ascii="Arial" w:cs="Arial" w:eastAsia="Arial" w:hAnsi="Arial"/>
          <w:sz w:val="16"/>
          <w:szCs w:val="16"/>
          <w:color w:val="auto"/>
        </w:rPr>
        <w:t>Geographic Information:</w:t>
      </w:r>
      <w:r>
        <w:rPr>
          <w:sz w:val="20"/>
          <w:szCs w:val="20"/>
          <w:color w:val="auto"/>
        </w:rPr>
        <w:tab/>
      </w:r>
      <w:r>
        <w:rPr>
          <w:rFonts w:ascii="Arial" w:cs="Arial" w:eastAsia="Arial" w:hAnsi="Arial"/>
          <w:sz w:val="13"/>
          <w:szCs w:val="13"/>
          <w:color w:val="auto"/>
        </w:rPr>
        <w:t>The Company’s assets and revenue generating activities are domiciled in the United States.</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16. Stock-Based Compensation</w:t>
      </w:r>
    </w:p>
    <w:p>
      <w:pPr>
        <w:spacing w:after="0" w:line="197" w:lineRule="exact"/>
        <w:rPr>
          <w:sz w:val="20"/>
          <w:szCs w:val="20"/>
          <w:color w:val="auto"/>
        </w:rPr>
      </w:pPr>
    </w:p>
    <w:p>
      <w:pPr>
        <w:jc w:val="both"/>
        <w:ind w:left="6" w:right="20" w:firstLine="283"/>
        <w:spacing w:after="0" w:line="251" w:lineRule="auto"/>
        <w:rPr>
          <w:sz w:val="20"/>
          <w:szCs w:val="20"/>
          <w:color w:val="auto"/>
        </w:rPr>
      </w:pPr>
      <w:r>
        <w:rPr>
          <w:rFonts w:ascii="Arial" w:cs="Arial" w:eastAsia="Arial" w:hAnsi="Arial"/>
          <w:sz w:val="16"/>
          <w:szCs w:val="16"/>
          <w:color w:val="auto"/>
        </w:rPr>
        <w:t>During the years ended December 31, 2020 and 2019, the Ultimate Parent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the Ultimate Parent’s indirect ownership in the Company, rather than in the Ultimate Parent’s ownership interest in Company subsidiaries. There were no new residual equity interest grants during the year ended December 31, 2021.</w:t>
      </w:r>
    </w:p>
    <w:p>
      <w:pPr>
        <w:spacing w:after="0" w:line="169" w:lineRule="exact"/>
        <w:rPr>
          <w:sz w:val="20"/>
          <w:szCs w:val="20"/>
          <w:color w:val="auto"/>
        </w:rPr>
      </w:pPr>
    </w:p>
    <w:p>
      <w:pPr>
        <w:jc w:val="both"/>
        <w:ind w:left="6" w:right="20" w:firstLine="283"/>
        <w:spacing w:after="0" w:line="342" w:lineRule="auto"/>
        <w:rPr>
          <w:sz w:val="20"/>
          <w:szCs w:val="20"/>
          <w:color w:val="auto"/>
        </w:rPr>
      </w:pPr>
      <w:r>
        <w:rPr>
          <w:rFonts w:ascii="Arial" w:cs="Arial" w:eastAsia="Arial" w:hAnsi="Arial"/>
          <w:sz w:val="13"/>
          <w:szCs w:val="13"/>
          <w:color w:val="auto"/>
        </w:rPr>
        <w:t xml:space="preserve">During the years ended December 31, 2020 and 2019, the percentage of Profit Interests issued in the investment entities that were established to grant the incentive units ranged between 34%-37% in the four wholly-owned subsidiaries. These Profit Interests vest ratably over a period of five years from the grant date. In accordance with ASC 718 </w:t>
      </w:r>
      <w:r>
        <w:rPr>
          <w:rFonts w:ascii="Arial" w:cs="Arial" w:eastAsia="Arial" w:hAnsi="Arial"/>
          <w:sz w:val="13"/>
          <w:szCs w:val="13"/>
          <w:i w:val="1"/>
          <w:iCs w:val="1"/>
          <w:color w:val="auto"/>
        </w:rPr>
        <w:t>Compensation — Stock Compensation</w:t>
      </w:r>
      <w:r>
        <w:rPr>
          <w:rFonts w:ascii="Arial" w:cs="Arial" w:eastAsia="Arial" w:hAnsi="Arial"/>
          <w:sz w:val="13"/>
          <w:szCs w:val="13"/>
          <w:color w:val="auto"/>
        </w:rPr>
        <w:t>, the Profits Interests are valued at their fair value when issued and such fair value is expensed over the service vesting period.</w:t>
      </w:r>
    </w:p>
    <w:p>
      <w:pPr>
        <w:spacing w:after="0" w:line="20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16. Stock-Based Compensation </w:t>
      </w:r>
      <w:r>
        <w:rPr>
          <w:rFonts w:ascii="Arial" w:cs="Arial" w:eastAsia="Arial" w:hAnsi="Arial"/>
          <w:sz w:val="16"/>
          <w:szCs w:val="16"/>
          <w:color w:val="auto"/>
        </w:rPr>
        <w:t>(cont.)</w:t>
      </w:r>
    </w:p>
    <w:p>
      <w:pPr>
        <w:spacing w:after="0" w:line="197" w:lineRule="exact"/>
        <w:rPr>
          <w:sz w:val="20"/>
          <w:szCs w:val="20"/>
          <w:color w:val="auto"/>
        </w:rPr>
      </w:pPr>
    </w:p>
    <w:p>
      <w:pPr>
        <w:jc w:val="both"/>
        <w:ind w:right="20" w:firstLine="283"/>
        <w:spacing w:after="0" w:line="256" w:lineRule="auto"/>
        <w:rPr>
          <w:sz w:val="20"/>
          <w:szCs w:val="20"/>
          <w:color w:val="auto"/>
        </w:rPr>
      </w:pPr>
      <w:r>
        <w:rPr>
          <w:rFonts w:ascii="Arial" w:cs="Arial" w:eastAsia="Arial" w:hAnsi="Arial"/>
          <w:sz w:val="16"/>
          <w:szCs w:val="16"/>
          <w:color w:val="auto"/>
        </w:rPr>
        <w:t>In accordance with ASC 718 “ Stock-compensation”, the expense for the above Profit Interests was amortized on a straight-line basis over the five year period. For the years ended December 31, 2021, 2020 and 2019, , the Company incurred compensation costs of $639, $510 and $315, respectively, which was recorded as a component of Selling, General and Administrative expenses within the consolidated statements of operations.</w:t>
      </w:r>
    </w:p>
    <w:p>
      <w:pPr>
        <w:spacing w:after="0" w:line="165"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As of December 31, 2021, 46% of the Profit Interests issued vested and there were 54% of Profit Interests unvested. There were no forfeitures during the year ended December 31, 2021.</w:t>
      </w:r>
    </w:p>
    <w:p>
      <w:pPr>
        <w:spacing w:after="0" w:line="15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As of December 31, 2020, 25% of the Profit Interests issued vested and there were 75% of Profit Interests unvested. There were 0 forfeitures during the year ended December 31, 2020.</w:t>
      </w:r>
    </w:p>
    <w:p>
      <w:pPr>
        <w:spacing w:after="0" w:line="15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The future compensation to be recognized for the above grants as of December 31, 2021 is $1,731 and will be recognized the remaining vesting period which ranges from one to four years.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Variable Interest Entities</w:t>
      </w:r>
    </w:p>
    <w:p>
      <w:pPr>
        <w:spacing w:after="0" w:line="197" w:lineRule="exact"/>
        <w:rPr>
          <w:sz w:val="20"/>
          <w:szCs w:val="20"/>
          <w:color w:val="auto"/>
        </w:rPr>
      </w:pPr>
    </w:p>
    <w:p>
      <w:pPr>
        <w:jc w:val="both"/>
        <w:ind w:firstLine="283"/>
        <w:spacing w:after="0" w:line="249" w:lineRule="auto"/>
        <w:rPr>
          <w:sz w:val="20"/>
          <w:szCs w:val="20"/>
          <w:color w:val="auto"/>
        </w:rPr>
      </w:pPr>
      <w:r>
        <w:rPr>
          <w:rFonts w:ascii="Arial" w:cs="Arial" w:eastAsia="Arial" w:hAnsi="Arial"/>
          <w:sz w:val="16"/>
          <w:szCs w:val="16"/>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71"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6"/>
          <w:szCs w:val="16"/>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69"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57"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During 2021, the Company held equity interests in six VIEs — Sunoma, Pine Bend, Noble Road, Emerald, Sapphire and Central Valley as the Company sold non-controlling interests ranging between 11% to 50% in each of these entities. The Company determined that each of these entities are VIEs and in its capacity as a managing member, the Company is the primary beneficiary. These entities do not have any employees and the Company conducts the operations under specific operations and maintenance contracts with third parties and other affiliates of the Company. The Company is deemed as a primary beneficiary based on two conditions</w:t>
      </w:r>
    </w:p>
    <w:p>
      <w:pPr>
        <w:spacing w:after="0" w:line="155" w:lineRule="exact"/>
        <w:rPr>
          <w:sz w:val="20"/>
          <w:szCs w:val="20"/>
          <w:color w:val="auto"/>
        </w:rPr>
      </w:pPr>
    </w:p>
    <w:p>
      <w:pPr>
        <w:ind w:left="560" w:hanging="283"/>
        <w:spacing w:after="0" w:line="266" w:lineRule="auto"/>
        <w:tabs>
          <w:tab w:leader="none" w:pos="5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57" w:lineRule="exact"/>
        <w:rPr>
          <w:rFonts w:ascii="Arial" w:cs="Arial" w:eastAsia="Arial" w:hAnsi="Arial"/>
          <w:sz w:val="16"/>
          <w:szCs w:val="16"/>
          <w:color w:val="auto"/>
        </w:rPr>
      </w:pPr>
    </w:p>
    <w:p>
      <w:pPr>
        <w:ind w:left="560" w:hanging="283"/>
        <w:spacing w:after="0"/>
        <w:tabs>
          <w:tab w:leader="none" w:pos="5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has the obligation to absorb the potential losses for the right to receive potential benefits, which could be significant to the VIE;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65" w:name="page266"/>
    <w:bookmarkEnd w:id="265"/>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ind w:left="286" w:hanging="286"/>
        <w:spacing w:after="0"/>
        <w:tabs>
          <w:tab w:leader="none" w:pos="286"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Variable Interest Entities </w:t>
      </w:r>
      <w:r>
        <w:rPr>
          <w:rFonts w:ascii="Arial" w:cs="Arial" w:eastAsia="Arial" w:hAnsi="Arial"/>
          <w:sz w:val="16"/>
          <w:szCs w:val="16"/>
          <w:color w:val="auto"/>
        </w:rPr>
        <w:t>(cont.)</w:t>
      </w:r>
    </w:p>
    <w:p>
      <w:pPr>
        <w:spacing w:after="0" w:line="196" w:lineRule="exact"/>
        <w:rPr>
          <w:rFonts w:ascii="Arial" w:cs="Arial" w:eastAsia="Arial" w:hAnsi="Arial"/>
          <w:sz w:val="16"/>
          <w:szCs w:val="16"/>
          <w:b w:val="1"/>
          <w:bCs w:val="1"/>
          <w:color w:val="auto"/>
        </w:rPr>
      </w:pPr>
    </w:p>
    <w:p>
      <w:pPr>
        <w:ind w:left="286"/>
        <w:spacing w:after="0"/>
        <w:rPr>
          <w:rFonts w:ascii="Arial" w:cs="Arial" w:eastAsia="Arial" w:hAnsi="Arial"/>
          <w:sz w:val="16"/>
          <w:szCs w:val="16"/>
          <w:b w:val="1"/>
          <w:bCs w:val="1"/>
          <w:color w:val="auto"/>
        </w:rPr>
      </w:pPr>
      <w:r>
        <w:rPr>
          <w:rFonts w:ascii="Arial" w:cs="Arial" w:eastAsia="Arial" w:hAnsi="Arial"/>
          <w:sz w:val="16"/>
          <w:szCs w:val="16"/>
          <w:color w:val="auto"/>
        </w:rPr>
        <w:t>As of December 31, 2021, there was no activity in Emerald and Sapphire.</w:t>
      </w:r>
    </w:p>
    <w:p>
      <w:pPr>
        <w:spacing w:after="0" w:line="193" w:lineRule="exact"/>
        <w:rPr>
          <w:sz w:val="20"/>
          <w:szCs w:val="20"/>
          <w:color w:val="auto"/>
        </w:rPr>
      </w:pPr>
    </w:p>
    <w:p>
      <w:pPr>
        <w:jc w:val="both"/>
        <w:ind w:left="6" w:firstLine="283"/>
        <w:spacing w:after="0" w:line="249" w:lineRule="auto"/>
        <w:rPr>
          <w:sz w:val="20"/>
          <w:szCs w:val="20"/>
          <w:color w:val="auto"/>
        </w:rPr>
      </w:pPr>
      <w:r>
        <w:rPr>
          <w:rFonts w:ascii="Arial" w:cs="Arial" w:eastAsia="Arial" w:hAnsi="Arial"/>
          <w:sz w:val="16"/>
          <w:szCs w:val="16"/>
          <w:color w:val="auto"/>
        </w:rPr>
        <w:t xml:space="preserve">In Pine Bend, and Noble Road, the Company had equity commitment letters that were not fully funded during the year 2021 which allowed for step funding as the construction progresses. As of December 31, 2021, the two entities were fully funded, are no longer thinly capitalized, and have sufficient equity at risk.These entities do not have any employees and the Company conducts the operations in these entities under specific operations and maintenance contracts with third parties and other affiliates of the Company. Therefore, the two entities did not meet the variable interest entities criteria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As the Company has the ability to exercise significant influence, but not control, over the two entities, they were accounted for under the equity method of accounting under ASC 323</w:t>
      </w:r>
      <w:r>
        <w:rPr>
          <w:rFonts w:ascii="Arial" w:cs="Arial" w:eastAsia="Arial" w:hAnsi="Arial"/>
          <w:sz w:val="16"/>
          <w:szCs w:val="16"/>
          <w:i w:val="1"/>
          <w:iCs w:val="1"/>
          <w:color w:val="auto"/>
        </w:rPr>
        <w:t>, Investments Equity Method and Joint Ventures.</w:t>
      </w:r>
      <w:r>
        <w:rPr>
          <w:rFonts w:ascii="Arial" w:cs="Arial" w:eastAsia="Arial" w:hAnsi="Arial"/>
          <w:sz w:val="16"/>
          <w:szCs w:val="16"/>
          <w:color w:val="auto"/>
        </w:rPr>
        <w:t xml:space="preserve"> </w:t>
      </w:r>
      <w:r>
        <w:rPr>
          <w:rFonts w:ascii="Arial" w:cs="Arial" w:eastAsia="Arial" w:hAnsi="Arial"/>
          <w:sz w:val="16"/>
          <w:szCs w:val="16"/>
          <w:i w:val="1"/>
          <w:iCs w:val="1"/>
          <w:color w:val="auto"/>
        </w:rPr>
        <w:t>See Note 6, Investment in Other Entities for additional information</w:t>
      </w:r>
      <w:r>
        <w:rPr>
          <w:rFonts w:ascii="Arial" w:cs="Arial" w:eastAsia="Arial" w:hAnsi="Arial"/>
          <w:sz w:val="16"/>
          <w:szCs w:val="16"/>
          <w:color w:val="auto"/>
        </w:rPr>
        <w:t>.</w:t>
      </w:r>
    </w:p>
    <w:p>
      <w:pPr>
        <w:spacing w:after="0" w:line="174" w:lineRule="exact"/>
        <w:rPr>
          <w:sz w:val="20"/>
          <w:szCs w:val="20"/>
          <w:color w:val="auto"/>
        </w:rPr>
      </w:pPr>
    </w:p>
    <w:p>
      <w:pPr>
        <w:jc w:val="both"/>
        <w:ind w:left="6" w:firstLine="283"/>
        <w:spacing w:after="0" w:line="322" w:lineRule="auto"/>
        <w:rPr>
          <w:sz w:val="20"/>
          <w:szCs w:val="20"/>
          <w:color w:val="auto"/>
        </w:rPr>
      </w:pPr>
      <w:r>
        <w:rPr>
          <w:rFonts w:ascii="Arial" w:cs="Arial" w:eastAsia="Arial" w:hAnsi="Arial"/>
          <w:sz w:val="13"/>
          <w:szCs w:val="13"/>
          <w:color w:val="auto"/>
        </w:rPr>
        <w:t>During the third and fourth quarters of 2021, Hillman, a related party, invested $30,000 in the four VIEs mentioned above which represented non-controlling interests ranging between 11% to 50% in those entities. On November 29, 2021, the Company entered into an exchange agreement with Hillman whereby Hillman exchanged its ownership interests in the four RNG projects into 300,000 Series A-1 preferred units at a par value of $100 and 1.4% of the common units in the Company. On the date of the exchange, the Company reversed the book value of the non-controlling interests of $29,913 attributable to Hillman and recorded the fair value of the preferred units of $30,000 as Redeemable Preferred Units and $87 to member’s equity in the consolidated statement of changes in member’s equity for the fiscal year ended December 31, 2021.</w:t>
      </w:r>
    </w:p>
    <w:p>
      <w:pPr>
        <w:spacing w:after="0" w:line="128" w:lineRule="exact"/>
        <w:rPr>
          <w:sz w:val="20"/>
          <w:szCs w:val="20"/>
          <w:color w:val="auto"/>
        </w:rPr>
      </w:pPr>
    </w:p>
    <w:p>
      <w:pPr>
        <w:jc w:val="both"/>
        <w:ind w:left="6" w:firstLine="283"/>
        <w:spacing w:after="0" w:line="271" w:lineRule="auto"/>
        <w:rPr>
          <w:sz w:val="20"/>
          <w:szCs w:val="20"/>
          <w:color w:val="auto"/>
        </w:rPr>
      </w:pPr>
      <w:r>
        <w:rPr>
          <w:rFonts w:ascii="Arial" w:cs="Arial" w:eastAsia="Arial" w:hAnsi="Arial"/>
          <w:sz w:val="15"/>
          <w:szCs w:val="15"/>
          <w:color w:val="auto"/>
        </w:rPr>
        <w:t xml:space="preserve">Central Valley owns three RNG facilities which are currently under construction. In November 2021, the Company acquired 10% outstanding non-controlling interests in two entities directly owned by Central Valley from the joint venture partner for $9,456 and became 100% owner of the two entities. $5,000 of the total consideration has been paid in cash and the Company recorded the fair value of the contingent consideration of $4,456 as a component of Other long-term liabilities in its consolidated balance sheet as of December 31, 2021. As of December 31, 2021, the joint venture partner owns 10% of the third RNG facility owned by Central Valley. As a primary beneficiary, the Company consolidated Central Valley in accordance with the variable interest entity model guidance under ASC 810, </w:t>
      </w:r>
      <w:r>
        <w:rPr>
          <w:rFonts w:ascii="Arial" w:cs="Arial" w:eastAsia="Arial" w:hAnsi="Arial"/>
          <w:sz w:val="15"/>
          <w:szCs w:val="15"/>
          <w:i w:val="1"/>
          <w:iCs w:val="1"/>
          <w:color w:val="auto"/>
        </w:rPr>
        <w:t>Consolidation.</w:t>
      </w:r>
    </w:p>
    <w:p>
      <w:pPr>
        <w:spacing w:after="0" w:line="157" w:lineRule="exact"/>
        <w:rPr>
          <w:sz w:val="20"/>
          <w:szCs w:val="20"/>
          <w:color w:val="auto"/>
        </w:rPr>
      </w:pPr>
    </w:p>
    <w:p>
      <w:pPr>
        <w:jc w:val="both"/>
        <w:ind w:left="6" w:right="20" w:firstLine="283"/>
        <w:spacing w:after="0" w:line="252" w:lineRule="auto"/>
        <w:rPr>
          <w:sz w:val="20"/>
          <w:szCs w:val="20"/>
          <w:color w:val="auto"/>
        </w:rPr>
      </w:pPr>
      <w:r>
        <w:rPr>
          <w:rFonts w:ascii="Arial" w:cs="Arial" w:eastAsia="Arial" w:hAnsi="Arial"/>
          <w:sz w:val="16"/>
          <w:szCs w:val="16"/>
          <w:color w:val="auto"/>
        </w:rPr>
        <w:t>In 2020, the Company acquired a variable interest in Sunoma in a joint venture with a third 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consolidated balance sheets as December 31, 2021 and December 31, 2020.</w:t>
      </w:r>
    </w:p>
    <w:p>
      <w:pPr>
        <w:spacing w:after="0" w:line="169"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The following table summarizes the major consolidated balance sheet items for consolidated VIEs as of December 31, 2021 and 2020. The VIE information below is presented on an aggregate basis based on similar risk and reward characteristics and the nature of our involvement with the VIEs such as</w:t>
      </w:r>
    </w:p>
    <w:p>
      <w:pPr>
        <w:spacing w:after="0" w:line="157" w:lineRule="exact"/>
        <w:rPr>
          <w:sz w:val="20"/>
          <w:szCs w:val="20"/>
          <w:color w:val="auto"/>
        </w:rPr>
      </w:pPr>
    </w:p>
    <w:p>
      <w:pPr>
        <w:ind w:left="566" w:hanging="283"/>
        <w:spacing w:after="0"/>
        <w:tabs>
          <w:tab w:leader="none" w:pos="56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of the VIEs are RNG facilities under construction except Sunoma and they are reported under RNG fuel supply segment;</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nature of our interest in these entities is primarily equity based and therefore carry similar risk and reward characteristics;</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66" w:name="page267"/>
    <w:bookmarkEnd w:id="266"/>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17. Variable Interest Entities </w:t>
      </w:r>
      <w:r>
        <w:rPr>
          <w:rFonts w:ascii="Arial" w:cs="Arial" w:eastAsia="Arial" w:hAnsi="Arial"/>
          <w:sz w:val="16"/>
          <w:szCs w:val="16"/>
          <w:color w:val="auto"/>
        </w:rPr>
        <w:t>(cont.)</w:t>
      </w:r>
    </w:p>
    <w:p>
      <w:pPr>
        <w:spacing w:after="0" w:line="197" w:lineRule="exact"/>
        <w:rPr>
          <w:sz w:val="20"/>
          <w:szCs w:val="20"/>
          <w:color w:val="auto"/>
        </w:rPr>
      </w:pPr>
    </w:p>
    <w:p>
      <w:pPr>
        <w:ind w:left="6" w:right="20" w:firstLine="283"/>
        <w:spacing w:after="0" w:line="266" w:lineRule="auto"/>
        <w:rPr>
          <w:sz w:val="20"/>
          <w:szCs w:val="20"/>
          <w:color w:val="auto"/>
        </w:rPr>
      </w:pPr>
      <w:r>
        <w:rPr>
          <w:rFonts w:ascii="Arial" w:cs="Arial" w:eastAsia="Arial" w:hAnsi="Arial"/>
          <w:sz w:val="16"/>
          <w:szCs w:val="16"/>
          <w:color w:val="auto"/>
        </w:rPr>
        <w:t>The amount of assets that can only be used to settle obligations of the VIEs, and the amount of VIE liabilities with lack of recourse against the Company’s general credit, are parenthesized in the consolidated balance sheets and are included in the asset totals listed in the table below.</w:t>
      </w:r>
    </w:p>
    <w:p>
      <w:pPr>
        <w:spacing w:after="0" w:line="165"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5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7"/>
          </w:tcPr>
          <w:p>
            <w:pPr>
              <w:ind w:left="5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57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w w:val="88"/>
              </w:rPr>
              <w:t>(Restated)</w:t>
            </w:r>
            <w:r>
              <w:rPr>
                <w:rFonts w:ascii="Arial" w:cs="Arial" w:eastAsia="Arial" w:hAnsi="Arial"/>
                <w:sz w:val="26"/>
                <w:szCs w:val="26"/>
                <w:b w:val="1"/>
                <w:bCs w:val="1"/>
                <w:color w:val="auto"/>
                <w:w w:val="88"/>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5700" w:type="dxa"/>
            <w:vAlign w:val="bottom"/>
            <w:vMerge w:val="continue"/>
          </w:tcPr>
          <w:p>
            <w:pPr>
              <w:spacing w:after="0"/>
              <w:rPr>
                <w:sz w:val="4"/>
                <w:szCs w:val="4"/>
                <w:color w:val="auto"/>
              </w:rPr>
            </w:pPr>
          </w:p>
        </w:tc>
        <w:tc>
          <w:tcPr>
            <w:tcW w:w="2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7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1,991</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5,088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700" w:type="dxa"/>
            <w:vAlign w:val="bottom"/>
            <w:tcBorders>
              <w:top w:val="single" w:sz="8" w:color="CCEEFF"/>
              <w:bottom w:val="single" w:sz="8" w:color="CCEEFF"/>
            </w:tcBorders>
          </w:tcPr>
          <w:p>
            <w:pPr>
              <w:ind w:left="280"/>
              <w:spacing w:after="0" w:line="172" w:lineRule="exact"/>
              <w:rPr>
                <w:sz w:val="20"/>
                <w:szCs w:val="20"/>
                <w:color w:val="auto"/>
              </w:rPr>
            </w:pPr>
            <w:r>
              <w:rPr>
                <w:rFonts w:ascii="Arial" w:cs="Arial" w:eastAsia="Arial" w:hAnsi="Arial"/>
                <w:sz w:val="16"/>
                <w:szCs w:val="16"/>
                <w:color w:val="auto"/>
              </w:rPr>
              <w:t>Total current assets</w:t>
            </w:r>
          </w:p>
        </w:tc>
        <w:tc>
          <w:tcPr>
            <w:tcW w:w="29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2,144</w:t>
            </w:r>
          </w:p>
        </w:tc>
        <w:tc>
          <w:tcPr>
            <w:tcW w:w="20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5,088</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w:t>
            </w:r>
          </w:p>
        </w:tc>
        <w:tc>
          <w:tcPr>
            <w:tcW w:w="29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31,101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 and equity (deficit)</w:t>
            </w:r>
          </w:p>
        </w:tc>
        <w:tc>
          <w:tcPr>
            <w:tcW w:w="2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2,266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Sunoma loan – current portion</w:t>
            </w:r>
          </w:p>
        </w:tc>
        <w:tc>
          <w:tcPr>
            <w:tcW w:w="2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70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00" w:type="dxa"/>
            <w:vAlign w:val="bottom"/>
            <w:tcBorders>
              <w:bottom w:val="single" w:sz="8" w:color="CCEEFF"/>
            </w:tcBorders>
          </w:tcPr>
          <w:p>
            <w:pPr>
              <w:ind w:left="140"/>
              <w:spacing w:after="0" w:line="172" w:lineRule="exact"/>
              <w:rPr>
                <w:sz w:val="20"/>
                <w:szCs w:val="20"/>
                <w:color w:val="auto"/>
              </w:rPr>
            </w:pPr>
            <w:r>
              <w:rPr>
                <w:rFonts w:ascii="Arial" w:cs="Arial" w:eastAsia="Arial" w:hAnsi="Arial"/>
                <w:sz w:val="16"/>
                <w:szCs w:val="16"/>
                <w:color w:val="auto"/>
              </w:rPr>
              <w:t>Sunoma loan, net of debt issuance costs</w:t>
            </w:r>
          </w:p>
        </w:tc>
        <w:tc>
          <w:tcPr>
            <w:tcW w:w="29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16,199</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470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700" w:type="dxa"/>
            <w:vAlign w:val="bottom"/>
          </w:tcPr>
          <w:p>
            <w:pPr>
              <w:ind w:left="140"/>
              <w:spacing w:after="0" w:line="171" w:lineRule="exact"/>
              <w:rPr>
                <w:sz w:val="20"/>
                <w:szCs w:val="20"/>
                <w:color w:val="auto"/>
              </w:rPr>
            </w:pPr>
            <w:r>
              <w:rPr>
                <w:rFonts w:ascii="Arial" w:cs="Arial" w:eastAsia="Arial" w:hAnsi="Arial"/>
                <w:sz w:val="16"/>
                <w:szCs w:val="16"/>
                <w:color w:val="auto"/>
              </w:rPr>
              <w:t>Members’ equity</w:t>
            </w: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OPAL Fuels LLC – equity</w:t>
            </w:r>
          </w:p>
        </w:tc>
        <w:tc>
          <w:tcPr>
            <w:tcW w:w="2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10,692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6"/>
                <w:szCs w:val="16"/>
                <w:color w:val="auto"/>
              </w:rPr>
              <w:t>Non controlling interest in subsidiaries</w:t>
            </w: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1,188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members’ equity</w:t>
            </w: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00" w:type="dxa"/>
            <w:vAlign w:val="bottom"/>
          </w:tcPr>
          <w:p>
            <w:pPr>
              <w:spacing w:after="0" w:line="180" w:lineRule="exact"/>
              <w:rPr>
                <w:sz w:val="20"/>
                <w:szCs w:val="20"/>
                <w:color w:val="auto"/>
              </w:rPr>
            </w:pPr>
            <w:r>
              <w:rPr>
                <w:rFonts w:ascii="Arial" w:cs="Arial" w:eastAsia="Arial" w:hAnsi="Arial"/>
                <w:sz w:val="16"/>
                <w:szCs w:val="16"/>
                <w:color w:val="auto"/>
              </w:rPr>
              <w:t>Total liabilities and members’ equity</w:t>
            </w:r>
          </w:p>
        </w:tc>
        <w:tc>
          <w:tcPr>
            <w:tcW w:w="322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31,101</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26,121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286" w:right="20" w:hanging="286"/>
        <w:spacing w:after="0" w:line="266" w:lineRule="auto"/>
        <w:tabs>
          <w:tab w:leader="none" w:pos="28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 ended December 31, 2020 and 2019.</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18. Redeemable Preferred Units and Equity</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i w:val="1"/>
          <w:iCs w:val="1"/>
          <w:u w:val="single" w:color="auto"/>
          <w:color w:val="auto"/>
        </w:rPr>
        <w:t>Conversion of membership interests</w:t>
      </w:r>
    </w:p>
    <w:p>
      <w:pPr>
        <w:spacing w:after="0" w:line="193"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 xml:space="preserve">As described in Note 1, </w:t>
      </w:r>
      <w:r>
        <w:rPr>
          <w:rFonts w:ascii="Arial" w:cs="Arial" w:eastAsia="Arial" w:hAnsi="Arial"/>
          <w:sz w:val="16"/>
          <w:szCs w:val="16"/>
          <w:i w:val="1"/>
          <w:iCs w:val="1"/>
          <w:color w:val="auto"/>
        </w:rPr>
        <w:t>Description of Business</w:t>
      </w:r>
      <w:r>
        <w:rPr>
          <w:rFonts w:ascii="Arial" w:cs="Arial" w:eastAsia="Arial" w:hAnsi="Arial"/>
          <w:sz w:val="16"/>
          <w:szCs w:val="16"/>
          <w:color w:val="auto"/>
        </w:rPr>
        <w:t xml:space="preserve"> and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on November 29, 2021, the Company amended its LLCA which converted the outstanding membership interest into 986 common units without par value. The total 986 common units were held by the Parent. Upon the conversion of membership interest into common units, the Company presented the net income (loss) per unit on a retrospective basis for all periods presented in the consolidated financial statements.</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i w:val="1"/>
          <w:iCs w:val="1"/>
          <w:u w:val="single" w:color="auto"/>
          <w:color w:val="auto"/>
        </w:rPr>
        <w:t>Authorization and Issuance of Common Units and Preferred Units</w:t>
      </w:r>
    </w:p>
    <w:p>
      <w:pPr>
        <w:spacing w:after="0" w:line="193" w:lineRule="exact"/>
        <w:rPr>
          <w:sz w:val="20"/>
          <w:szCs w:val="20"/>
          <w:color w:val="auto"/>
        </w:rPr>
      </w:pPr>
    </w:p>
    <w:p>
      <w:pPr>
        <w:jc w:val="both"/>
        <w:ind w:left="6" w:firstLine="283"/>
        <w:spacing w:after="0" w:line="300" w:lineRule="auto"/>
        <w:rPr>
          <w:sz w:val="20"/>
          <w:szCs w:val="20"/>
          <w:color w:val="auto"/>
        </w:rPr>
      </w:pPr>
      <w:r>
        <w:rPr>
          <w:rFonts w:ascii="Arial" w:cs="Arial" w:eastAsia="Arial" w:hAnsi="Arial"/>
          <w:sz w:val="15"/>
          <w:szCs w:val="15"/>
          <w:color w:val="auto"/>
        </w:rPr>
        <w:t>Subsequently, on the same day and in contemplation of the proposed Business Combination with ArcLight, the Company authorized an additional 14 common units without par, and authorized 600,000 Series A-1 preferred units with par value of $100 and 2,000,000 Series A preferred units with par value of $100.</w:t>
      </w:r>
    </w:p>
    <w:p>
      <w:pPr>
        <w:spacing w:after="0" w:line="22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67" w:name="page268"/>
    <w:bookmarkEnd w:id="267"/>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18. Redeemable Preferred Units and Equity </w:t>
      </w:r>
      <w:r>
        <w:rPr>
          <w:rFonts w:ascii="Arial" w:cs="Arial" w:eastAsia="Arial" w:hAnsi="Arial"/>
          <w:sz w:val="16"/>
          <w:szCs w:val="16"/>
          <w:color w:val="auto"/>
        </w:rPr>
        <w:t>(cont.)</w:t>
      </w:r>
    </w:p>
    <w:p>
      <w:pPr>
        <w:spacing w:after="0" w:line="197"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On November 29, 2021, as part of an exchange agreement (“Hillman exchange”), the Company issued the 14 newly authorized common units and 300,000 Series A-1 preferred units to Hillman in return for Hillman’s non-controlling interest in four RNG project subsidiaries.</w:t>
      </w:r>
    </w:p>
    <w:p>
      <w:pPr>
        <w:spacing w:after="0" w:line="157"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In March 2022, the Company had drawn 250,000 units out of the 1,000,000 units subscribed to, for $25,000.</w:t>
      </w:r>
    </w:p>
    <w:p>
      <w:pPr>
        <w:spacing w:after="0" w:line="165"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following table summarizes the changes in the redeemable preferred units from the December 31, 2020 to December 31, 2021:</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Series A-1</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4"/>
              </w:rPr>
              <w:t>Series A</w:t>
            </w:r>
          </w:p>
        </w:tc>
      </w:tr>
      <w:tr>
        <w:trPr>
          <w:trHeight w:val="209"/>
        </w:trPr>
        <w:tc>
          <w:tcPr>
            <w:tcW w:w="86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preferred units</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preferred units</w:t>
            </w:r>
          </w:p>
        </w:tc>
      </w:tr>
      <w:tr>
        <w:trPr>
          <w:trHeight w:val="188"/>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2020</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6"/>
                <w:szCs w:val="16"/>
                <w:color w:val="auto"/>
              </w:rPr>
            </w:pPr>
          </w:p>
        </w:tc>
      </w:tr>
    </w:tbl>
    <w:p>
      <w:pPr>
        <w:spacing w:after="0" w:line="176" w:lineRule="exact"/>
        <w:rPr>
          <w:sz w:val="20"/>
          <w:szCs w:val="20"/>
          <w:color w:val="auto"/>
        </w:rPr>
      </w:pPr>
    </w:p>
    <w:p>
      <w:pPr>
        <w:sectPr>
          <w:pgSz w:w="11900" w:h="16838" w:orient="portrait"/>
          <w:cols w:equalWidth="0" w:num="1">
            <w:col w:w="11266"/>
          </w:cols>
          <w:pgMar w:left="314" w:top="688" w:right="319" w:bottom="1440" w:gutter="0" w:footer="0" w:header="0"/>
        </w:sectPr>
      </w:pPr>
    </w:p>
    <w:p>
      <w:pPr>
        <w:ind w:left="6"/>
        <w:spacing w:after="0"/>
        <w:rPr>
          <w:sz w:val="20"/>
          <w:szCs w:val="20"/>
          <w:color w:val="auto"/>
        </w:rPr>
      </w:pPr>
      <w:r>
        <w:rPr>
          <w:rFonts w:ascii="Arial" w:cs="Arial" w:eastAsia="Arial" w:hAnsi="Arial"/>
          <w:sz w:val="13"/>
          <w:szCs w:val="13"/>
          <w:color w:val="auto"/>
        </w:rPr>
        <w:t>Hillman exchange – 300,000 Series A-1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150100" cy="1193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line="30" w:lineRule="exact"/>
        <w:rPr>
          <w:sz w:val="20"/>
          <w:szCs w:val="20"/>
          <w:color w:val="auto"/>
        </w:rPr>
      </w:pPr>
    </w:p>
    <w:p>
      <w:pPr>
        <w:ind w:left="6"/>
        <w:spacing w:after="0"/>
        <w:rPr>
          <w:sz w:val="20"/>
          <w:szCs w:val="20"/>
          <w:color w:val="auto"/>
        </w:rPr>
      </w:pPr>
      <w:r>
        <w:rPr>
          <w:rFonts w:ascii="Arial" w:cs="Arial" w:eastAsia="Arial" w:hAnsi="Arial"/>
          <w:sz w:val="13"/>
          <w:szCs w:val="13"/>
          <w:color w:val="auto"/>
        </w:rPr>
        <w:t>Paid-in-kind dividends on issued and outstanding units</w:t>
      </w:r>
    </w:p>
    <w:p>
      <w:pPr>
        <w:spacing w:after="0" w:line="4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50100" cy="164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0100" cy="164465"/>
                    </a:xfrm>
                    <a:prstGeom prst="rect">
                      <a:avLst/>
                    </a:prstGeom>
                    <a:noFill/>
                  </pic:spPr>
                </pic:pic>
              </a:graphicData>
            </a:graphic>
          </wp:anchor>
        </w:drawing>
      </w:r>
    </w:p>
    <w:p>
      <w:pPr>
        <w:spacing w:after="0" w:line="271"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Terms of Redeemable Preferred Units</w:t>
      </w:r>
    </w:p>
    <w:p>
      <w:pPr>
        <w:spacing w:after="0" w:line="20" w:lineRule="exact"/>
        <w:rPr>
          <w:sz w:val="20"/>
          <w:szCs w:val="20"/>
          <w:color w:val="auto"/>
        </w:rPr>
      </w:pPr>
      <w:r>
        <w:rPr>
          <w:sz w:val="20"/>
          <w:szCs w:val="20"/>
          <w:color w:val="auto"/>
        </w:rPr>
        <w:br w:type="column"/>
      </w:r>
    </w:p>
    <w:p>
      <w:pPr>
        <w:jc w:val="both"/>
        <w:ind w:left="700"/>
        <w:spacing w:after="0"/>
        <w:tabs>
          <w:tab w:leader="none" w:pos="2300" w:val="left"/>
        </w:tabs>
        <w:rPr>
          <w:sz w:val="20"/>
          <w:szCs w:val="20"/>
          <w:color w:val="auto"/>
        </w:rPr>
      </w:pPr>
      <w:r>
        <w:rPr>
          <w:rFonts w:ascii="Arial" w:cs="Arial" w:eastAsia="Arial" w:hAnsi="Arial"/>
          <w:sz w:val="16"/>
          <w:szCs w:val="16"/>
          <w:color w:val="auto"/>
        </w:rPr>
        <w:t>30,000</w:t>
      </w:r>
      <w:r>
        <w:rPr>
          <w:sz w:val="20"/>
          <w:szCs w:val="20"/>
          <w:color w:val="auto"/>
        </w:rPr>
        <w:tab/>
      </w:r>
      <w:r>
        <w:rPr>
          <w:rFonts w:ascii="Arial" w:cs="Arial" w:eastAsia="Arial" w:hAnsi="Arial"/>
          <w:sz w:val="16"/>
          <w:szCs w:val="16"/>
          <w:color w:val="auto"/>
        </w:rPr>
        <w:t>—</w:t>
      </w:r>
    </w:p>
    <w:p>
      <w:pPr>
        <w:spacing w:after="0" w:line="16" w:lineRule="exact"/>
        <w:rPr>
          <w:sz w:val="20"/>
          <w:szCs w:val="20"/>
          <w:color w:val="auto"/>
        </w:rPr>
      </w:pPr>
    </w:p>
    <w:p>
      <w:pPr>
        <w:jc w:val="both"/>
        <w:ind w:left="900"/>
        <w:spacing w:after="0"/>
        <w:tabs>
          <w:tab w:leader="none" w:pos="230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6"/>
          <w:szCs w:val="16"/>
          <w:color w:val="auto"/>
        </w:rPr>
        <w:t>—</w:t>
      </w:r>
    </w:p>
    <w:p>
      <w:pPr>
        <w:spacing w:after="0" w:line="52" w:lineRule="exact"/>
        <w:rPr>
          <w:sz w:val="20"/>
          <w:szCs w:val="20"/>
          <w:color w:val="auto"/>
        </w:rPr>
      </w:pPr>
    </w:p>
    <w:p>
      <w:pPr>
        <w:spacing w:after="0"/>
        <w:tabs>
          <w:tab w:leader="none" w:pos="680" w:val="left"/>
          <w:tab w:leader="none" w:pos="1320" w:val="left"/>
          <w:tab w:leader="none" w:pos="2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30,210</w:t>
        <w:tab/>
        <w: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1570355"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70355" cy="15240"/>
                    </a:xfrm>
                    <a:prstGeom prst="rect">
                      <a:avLst/>
                    </a:prstGeom>
                    <a:noFill/>
                  </pic:spPr>
                </pic:pic>
              </a:graphicData>
            </a:graphic>
          </wp:anchor>
        </w:drawing>
      </w:r>
    </w:p>
    <w:p>
      <w:pPr>
        <w:spacing w:after="0" w:line="628" w:lineRule="exact"/>
        <w:rPr>
          <w:sz w:val="20"/>
          <w:szCs w:val="20"/>
          <w:color w:val="auto"/>
        </w:rPr>
      </w:pPr>
    </w:p>
    <w:p>
      <w:pPr>
        <w:sectPr>
          <w:pgSz w:w="11900" w:h="16838" w:orient="portrait"/>
          <w:cols w:equalWidth="0" w:num="2">
            <w:col w:w="7966" w:space="720"/>
            <w:col w:w="2580"/>
          </w:cols>
          <w:pgMar w:left="314" w:top="688" w:right="319" w:bottom="1440" w:gutter="0" w:footer="0" w:header="0"/>
          <w:type w:val="continuous"/>
        </w:sectPr>
      </w:pPr>
    </w:p>
    <w:p>
      <w:pPr>
        <w:ind w:left="286"/>
        <w:spacing w:after="0"/>
        <w:rPr>
          <w:sz w:val="20"/>
          <w:szCs w:val="20"/>
          <w:color w:val="auto"/>
        </w:rPr>
      </w:pPr>
      <w:r>
        <w:rPr>
          <w:rFonts w:ascii="Arial" w:cs="Arial" w:eastAsia="Arial" w:hAnsi="Arial"/>
          <w:sz w:val="16"/>
          <w:szCs w:val="16"/>
          <w:color w:val="auto"/>
        </w:rPr>
        <w:t>The Series A and Series A-1 preferred units (together the “Preferred Units”) have substantially the same terms and features which are listed below:</w:t>
      </w:r>
    </w:p>
    <w:p>
      <w:pPr>
        <w:spacing w:after="0" w:line="193"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b w:val="1"/>
          <w:bCs w:val="1"/>
          <w:i w:val="1"/>
          <w:iCs w:val="1"/>
          <w:color w:val="auto"/>
        </w:rPr>
        <w:t xml:space="preserve">Voting: </w:t>
      </w:r>
      <w:r>
        <w:rPr>
          <w:rFonts w:ascii="Arial" w:cs="Arial" w:eastAsia="Arial" w:hAnsi="Arial"/>
          <w:sz w:val="16"/>
          <w:szCs w:val="16"/>
          <w:color w:val="auto"/>
        </w:rPr>
        <w:t>The Series A-1 preferred units to Hillman do not have any voting rights. The Series A preferred units issued to NextEra have limited rights to prevent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165" w:lineRule="exact"/>
        <w:rPr>
          <w:sz w:val="20"/>
          <w:szCs w:val="20"/>
          <w:color w:val="auto"/>
        </w:rPr>
      </w:pPr>
    </w:p>
    <w:p>
      <w:pPr>
        <w:jc w:val="both"/>
        <w:ind w:left="6" w:firstLine="283"/>
        <w:spacing w:after="0" w:line="25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The Preferred Units are entitled to receive dividends at the rate of 8% per annum. Dividends begin accruing for each unit from the date of issuance and are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the period November 29, 2021 to December 31, 2021 on Series A-1 preferred units. In the occurrence of certain events of default, the annual dividend rate increases to 12%. Additionally, the dividend rate increases by 2% for each unrelated uncured event of default up to a maximum of 20%.</w:t>
      </w:r>
    </w:p>
    <w:p>
      <w:pPr>
        <w:spacing w:after="0" w:line="169" w:lineRule="exact"/>
        <w:rPr>
          <w:sz w:val="20"/>
          <w:szCs w:val="20"/>
          <w:color w:val="auto"/>
        </w:rPr>
      </w:pPr>
    </w:p>
    <w:p>
      <w:pPr>
        <w:jc w:val="both"/>
        <w:ind w:left="6" w:right="20" w:firstLine="283"/>
        <w:spacing w:after="0" w:line="281" w:lineRule="auto"/>
        <w:rPr>
          <w:sz w:val="20"/>
          <w:szCs w:val="20"/>
          <w:color w:val="auto"/>
        </w:rPr>
      </w:pPr>
      <w:r>
        <w:rPr>
          <w:rFonts w:ascii="Arial" w:cs="Arial" w:eastAsia="Arial" w:hAnsi="Arial"/>
          <w:sz w:val="15"/>
          <w:szCs w:val="15"/>
          <w:b w:val="1"/>
          <w:bCs w:val="1"/>
          <w:i w:val="1"/>
          <w:iCs w:val="1"/>
          <w:color w:val="auto"/>
        </w:rPr>
        <w:t xml:space="preserve">Liquidation preference: </w:t>
      </w:r>
      <w:r>
        <w:rPr>
          <w:rFonts w:ascii="Arial" w:cs="Arial" w:eastAsia="Arial" w:hAnsi="Arial"/>
          <w:sz w:val="15"/>
          <w:szCs w:val="15"/>
          <w:color w:val="auto"/>
        </w:rPr>
        <w:t>In the event of liquidation of the Company, each holder of a unit of Series A and Series A-1 is entitled to be paid on pro-rata basis the original issue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price of $100 per unit plus any accrued and unpaid dividends out of the assets of the Company available for distribution after payment of the Company’s debt and liabilities and liquidation expenses, payments to holders of any senior units senior to the Preferred Units, of which none are existing as of December 31, 2021.</w:t>
      </w:r>
    </w:p>
    <w:p>
      <w:pPr>
        <w:spacing w:after="0" w:line="148" w:lineRule="exact"/>
        <w:rPr>
          <w:sz w:val="20"/>
          <w:szCs w:val="20"/>
          <w:color w:val="auto"/>
        </w:rPr>
      </w:pPr>
    </w:p>
    <w:p>
      <w:pPr>
        <w:jc w:val="both"/>
        <w:ind w:left="6" w:right="20" w:firstLine="283"/>
        <w:spacing w:after="0" w:line="311" w:lineRule="auto"/>
        <w:rPr>
          <w:sz w:val="20"/>
          <w:szCs w:val="20"/>
          <w:color w:val="auto"/>
        </w:rPr>
      </w:pPr>
      <w:r>
        <w:rPr>
          <w:rFonts w:ascii="Arial" w:cs="Arial" w:eastAsia="Arial" w:hAnsi="Arial"/>
          <w:sz w:val="13"/>
          <w:szCs w:val="13"/>
          <w:b w:val="1"/>
          <w:bCs w:val="1"/>
          <w:i w:val="1"/>
          <w:iCs w:val="1"/>
          <w:color w:val="auto"/>
        </w:rPr>
        <w:t xml:space="preserve">Redemption: </w:t>
      </w:r>
      <w:r>
        <w:rPr>
          <w:rFonts w:ascii="Arial" w:cs="Arial" w:eastAsia="Arial" w:hAnsi="Arial"/>
          <w:sz w:val="13"/>
          <w:szCs w:val="13"/>
          <w:color w:val="auto"/>
        </w:rPr>
        <w:t>At any time after issuance, the Company may redeem the Redeemable preferred units for a price equal to original issue price of $100 per unit plus any accrued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unpaid dividends. Holders of the Preferred Units may redeem for an amount equal to original issue price of $100 per unit plus any accrued and unpaid dividends upon</w:t>
      </w:r>
    </w:p>
    <w:p>
      <w:pPr>
        <w:spacing w:after="0" w:line="1" w:lineRule="exact"/>
        <w:rPr>
          <w:sz w:val="20"/>
          <w:szCs w:val="20"/>
          <w:color w:val="auto"/>
        </w:rPr>
      </w:pPr>
    </w:p>
    <w:p>
      <w:pPr>
        <w:jc w:val="both"/>
        <w:ind w:left="6" w:hanging="6"/>
        <w:spacing w:after="0" w:line="269" w:lineRule="auto"/>
        <w:tabs>
          <w:tab w:leader="none" w:pos="196" w:val="left"/>
        </w:tabs>
        <w:numPr>
          <w:ilvl w:val="0"/>
          <w:numId w:val="159"/>
        </w:numPr>
        <w:rPr>
          <w:rFonts w:ascii="Arial" w:cs="Arial" w:eastAsia="Arial" w:hAnsi="Arial"/>
          <w:sz w:val="15"/>
          <w:szCs w:val="15"/>
          <w:color w:val="auto"/>
        </w:rPr>
      </w:pPr>
      <w:r>
        <w:rPr>
          <w:rFonts w:ascii="Arial" w:cs="Arial" w:eastAsia="Arial" w:hAnsi="Arial"/>
          <w:sz w:val="15"/>
          <w:szCs w:val="15"/>
          <w:color w:val="auto"/>
        </w:rPr>
        <w:t>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type w:val="continuous"/>
        </w:sectPr>
      </w:pPr>
    </w:p>
    <w:bookmarkStart w:id="268" w:name="page269"/>
    <w:bookmarkEnd w:id="268"/>
    <w:p>
      <w:pPr>
        <w:jc w:val="center"/>
        <w:ind w:right="-5"/>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18. Redeemable Preferred Units and Equity </w:t>
      </w:r>
      <w:r>
        <w:rPr>
          <w:rFonts w:ascii="Arial" w:cs="Arial" w:eastAsia="Arial" w:hAnsi="Arial"/>
          <w:sz w:val="16"/>
          <w:szCs w:val="16"/>
          <w:color w:val="auto"/>
        </w:rPr>
        <w:t>(cont.)</w:t>
      </w:r>
    </w:p>
    <w:p>
      <w:pPr>
        <w:spacing w:after="0" w:line="197" w:lineRule="exact"/>
        <w:rPr>
          <w:sz w:val="20"/>
          <w:szCs w:val="20"/>
          <w:color w:val="auto"/>
        </w:rPr>
      </w:pPr>
    </w:p>
    <w:p>
      <w:pPr>
        <w:jc w:val="both"/>
        <w:ind w:left="6" w:firstLine="283"/>
        <w:spacing w:after="0" w:line="297" w:lineRule="auto"/>
        <w:rPr>
          <w:sz w:val="20"/>
          <w:szCs w:val="20"/>
          <w:color w:val="auto"/>
        </w:rPr>
      </w:pPr>
      <w:r>
        <w:rPr>
          <w:rFonts w:ascii="Arial" w:cs="Arial" w:eastAsia="Arial" w:hAnsi="Arial"/>
          <w:sz w:val="14"/>
          <w:szCs w:val="14"/>
          <w:b w:val="1"/>
          <w:bCs w:val="1"/>
          <w:i w:val="1"/>
          <w:iCs w:val="1"/>
          <w:color w:val="auto"/>
        </w:rPr>
        <w:t xml:space="preserve">Conversion: </w:t>
      </w:r>
      <w:r>
        <w:rPr>
          <w:rFonts w:ascii="Arial" w:cs="Arial" w:eastAsia="Arial" w:hAnsi="Arial"/>
          <w:sz w:val="14"/>
          <w:szCs w:val="14"/>
          <w:color w:val="auto"/>
        </w:rPr>
        <w:t>Holder’s may elect to convert Preferred Units into common units in the limited chance that the Company fails to redeem the Preferred Units under an optional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year, and a 30% discount thereafter:</w:t>
      </w:r>
    </w:p>
    <w:p>
      <w:pPr>
        <w:spacing w:after="0" w:line="31" w:lineRule="exact"/>
        <w:rPr>
          <w:sz w:val="20"/>
          <w:szCs w:val="20"/>
          <w:color w:val="auto"/>
        </w:rPr>
      </w:pPr>
    </w:p>
    <w:p>
      <w:pPr>
        <w:ind w:left="566" w:hanging="283"/>
        <w:spacing w:after="0"/>
        <w:tabs>
          <w:tab w:leader="none" w:pos="56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Using 20-day volume-weighted average price (“VWAP”) if common units are publicly traded</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Using 20-day VWAP of public company common shares if the common units are exchangeable into public company shares</w:t>
      </w:r>
    </w:p>
    <w:p>
      <w:pPr>
        <w:spacing w:after="0" w:line="192" w:lineRule="exact"/>
        <w:rPr>
          <w:rFonts w:ascii="Arial" w:cs="Arial" w:eastAsia="Arial" w:hAnsi="Arial"/>
          <w:sz w:val="16"/>
          <w:szCs w:val="16"/>
          <w:color w:val="auto"/>
        </w:rPr>
      </w:pPr>
    </w:p>
    <w:p>
      <w:pPr>
        <w:ind w:left="566" w:hanging="283"/>
        <w:spacing w:after="0"/>
        <w:tabs>
          <w:tab w:leader="none" w:pos="566" w:val="left"/>
        </w:tabs>
        <w:numPr>
          <w:ilvl w:val="0"/>
          <w:numId w:val="160"/>
        </w:numPr>
        <w:rPr>
          <w:rFonts w:ascii="Arial" w:cs="Arial" w:eastAsia="Arial" w:hAnsi="Arial"/>
          <w:sz w:val="15"/>
          <w:szCs w:val="15"/>
          <w:color w:val="auto"/>
        </w:rPr>
      </w:pPr>
      <w:r>
        <w:rPr>
          <w:rFonts w:ascii="Arial" w:cs="Arial" w:eastAsia="Arial" w:hAnsi="Arial"/>
          <w:sz w:val="15"/>
          <w:szCs w:val="15"/>
          <w:color w:val="auto"/>
        </w:rPr>
        <w:t>Otherwise the estimated proceeds to be received by the holder of a common unit if the net assets of the Company were sold at fair market value and distributed</w:t>
      </w:r>
    </w:p>
    <w:p>
      <w:pPr>
        <w:spacing w:after="0" w:line="204" w:lineRule="exact"/>
        <w:rPr>
          <w:sz w:val="20"/>
          <w:szCs w:val="20"/>
          <w:color w:val="auto"/>
        </w:rPr>
      </w:pPr>
    </w:p>
    <w:p>
      <w:pPr>
        <w:ind w:left="6" w:firstLine="283"/>
        <w:spacing w:after="0" w:line="266" w:lineRule="auto"/>
        <w:rPr>
          <w:sz w:val="20"/>
          <w:szCs w:val="20"/>
          <w:color w:val="auto"/>
        </w:rPr>
      </w:pPr>
      <w:r>
        <w:rPr>
          <w:rFonts w:ascii="Arial" w:cs="Arial" w:eastAsia="Arial" w:hAnsi="Arial"/>
          <w:sz w:val="16"/>
          <w:szCs w:val="16"/>
          <w:color w:val="auto"/>
        </w:rPr>
        <w:t>The Company’s common units received by any holder upon conversion will be “paired” with an equivalent number of non-economic voting shares of the Company’s public registrant, as applicable.</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6"/>
          <w:szCs w:val="16"/>
          <w:i w:val="1"/>
          <w:iCs w:val="1"/>
          <w:u w:val="single" w:color="auto"/>
          <w:color w:val="auto"/>
        </w:rPr>
        <w:t>Non-Controlling Interests</w:t>
      </w:r>
    </w:p>
    <w:p>
      <w:pPr>
        <w:spacing w:after="0" w:line="193"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following table discloses the effects of changes in the Company’s ownership interest in its subsidiaries on the Members’ equity:</w:t>
      </w:r>
    </w:p>
    <w:p>
      <w:pPr>
        <w:spacing w:after="0" w:line="201"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86"/>
              </w:rPr>
              <w:t>December 31,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r>
      <w:tr>
        <w:trPr>
          <w:trHeight w:val="224"/>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63"/>
              <w:spacing w:after="0" w:line="223" w:lineRule="exact"/>
              <w:rPr>
                <w:sz w:val="20"/>
                <w:szCs w:val="20"/>
                <w:color w:val="auto"/>
              </w:rPr>
            </w:pPr>
            <w:r>
              <w:rPr>
                <w:rFonts w:ascii="Arial" w:cs="Arial" w:eastAsia="Arial" w:hAnsi="Arial"/>
                <w:sz w:val="15"/>
                <w:szCs w:val="15"/>
                <w:b w:val="1"/>
                <w:bCs w:val="1"/>
                <w:color w:val="auto"/>
                <w:w w:val="93"/>
              </w:rPr>
              <w:t>(Restated)</w:t>
            </w:r>
            <w:r>
              <w:rPr>
                <w:rFonts w:ascii="Arial" w:cs="Arial" w:eastAsia="Arial" w:hAnsi="Arial"/>
                <w:sz w:val="25"/>
                <w:szCs w:val="25"/>
                <w:b w:val="1"/>
                <w:bCs w:val="1"/>
                <w:color w:val="auto"/>
                <w:w w:val="93"/>
                <w:vertAlign w:val="superscript"/>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43"/>
              <w:spacing w:after="0" w:line="223" w:lineRule="exact"/>
              <w:rPr>
                <w:sz w:val="20"/>
                <w:szCs w:val="20"/>
                <w:color w:val="auto"/>
              </w:rPr>
            </w:pPr>
            <w:r>
              <w:rPr>
                <w:rFonts w:ascii="Arial" w:cs="Arial" w:eastAsia="Arial" w:hAnsi="Arial"/>
                <w:sz w:val="15"/>
                <w:szCs w:val="15"/>
                <w:b w:val="1"/>
                <w:bCs w:val="1"/>
                <w:color w:val="auto"/>
                <w:w w:val="89"/>
              </w:rPr>
              <w:t>(Restated)</w:t>
            </w:r>
            <w:r>
              <w:rPr>
                <w:rFonts w:ascii="Arial" w:cs="Arial" w:eastAsia="Arial" w:hAnsi="Arial"/>
                <w:sz w:val="25"/>
                <w:szCs w:val="25"/>
                <w:b w:val="1"/>
                <w:bCs w:val="1"/>
                <w:color w:val="auto"/>
                <w:w w:val="89"/>
                <w:vertAlign w:val="superscript"/>
              </w:rPr>
              <w:t>(1)</w:t>
            </w:r>
          </w:p>
        </w:tc>
        <w:tc>
          <w:tcPr>
            <w:tcW w:w="120" w:type="dxa"/>
            <w:vAlign w:val="bottom"/>
          </w:tcPr>
          <w:p>
            <w:pPr>
              <w:spacing w:after="0"/>
              <w:rPr>
                <w:sz w:val="19"/>
                <w:szCs w:val="19"/>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OPAL Fuels LLC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41,363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(25,358)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(5,249)</w:t>
            </w: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Transfers (to) from the non-controlling interest: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OPAL Fuels LLC Member’s Equity for sale of non-controlling interest</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(715)</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Increase in OPAL Fuels LLC Member’s Equity for contributions from non-controlling interest</w:t>
            </w:r>
          </w:p>
        </w:tc>
        <w:tc>
          <w:tcPr>
            <w:tcW w:w="240" w:type="dxa"/>
            <w:vAlign w:val="bottom"/>
          </w:tcPr>
          <w:p>
            <w:pPr>
              <w:spacing w:after="0"/>
              <w:rPr>
                <w:sz w:val="16"/>
                <w:szCs w:val="16"/>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3,873</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56"/>
        </w:trPr>
        <w:tc>
          <w:tcPr>
            <w:tcW w:w="732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Decrease in OPAL Fuels LLC Member’s Equity for purchase of non-controlling interest</w:t>
            </w:r>
            <w:r>
              <w:rPr>
                <w:rFonts w:ascii="Arial" w:cs="Arial" w:eastAsia="Arial" w:hAnsi="Arial"/>
                <w:sz w:val="26"/>
                <w:szCs w:val="26"/>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(9,211)</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6"/>
        </w:trPr>
        <w:tc>
          <w:tcPr>
            <w:tcW w:w="732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Net transfers (to) from non-controlling interest</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(6,053</w:t>
            </w:r>
          </w:p>
        </w:tc>
        <w:tc>
          <w:tcPr>
            <w:tcW w:w="240" w:type="dxa"/>
            <w:vAlign w:val="bottom"/>
            <w:tcBorders>
              <w:top w:val="single" w:sz="8" w:color="CCEEFF"/>
              <w:bottom w:val="single" w:sz="8" w:color="CCEEFF"/>
            </w:tcBorders>
          </w:tcPr>
          <w:p>
            <w:pPr>
              <w:jc w:val="right"/>
              <w:ind w:right="102"/>
              <w:spacing w:after="0" w:line="172"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1,834</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ind w:left="860"/>
              <w:spacing w:after="0" w:line="172"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5"/>
                <w:szCs w:val="15"/>
                <w:color w:val="auto"/>
              </w:rPr>
            </w:pPr>
          </w:p>
        </w:tc>
      </w:tr>
      <w:tr>
        <w:trPr>
          <w:trHeight w:val="164"/>
        </w:trPr>
        <w:tc>
          <w:tcPr>
            <w:tcW w:w="732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7"/>
              </w:rPr>
              <w:t>Change from net income attributable to OPAL Fuels LLC Member’s and transfers (to) from non-controlling</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40"/>
        </w:trPr>
        <w:tc>
          <w:tcPr>
            <w:tcW w:w="7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35,310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line="236" w:lineRule="exact"/>
              <w:rPr>
                <w:sz w:val="20"/>
                <w:szCs w:val="20"/>
                <w:color w:val="auto"/>
              </w:rPr>
            </w:pPr>
            <w:r>
              <w:rPr>
                <w:rFonts w:ascii="Arial" w:cs="Arial" w:eastAsia="Arial" w:hAnsi="Arial"/>
                <w:sz w:val="14"/>
                <w:szCs w:val="14"/>
                <w:color w:val="auto"/>
              </w:rPr>
              <w:t>(23,524</w:t>
            </w:r>
            <w:r>
              <w:rPr>
                <w:rFonts w:ascii="Arial" w:cs="Arial" w:eastAsia="Arial" w:hAnsi="Arial"/>
                <w:sz w:val="27"/>
                <w:szCs w:val="27"/>
                <w:color w:val="auto"/>
                <w:vertAlign w:val="superscript"/>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line="236" w:lineRule="exact"/>
              <w:rPr>
                <w:sz w:val="20"/>
                <w:szCs w:val="20"/>
                <w:color w:val="auto"/>
              </w:rPr>
            </w:pPr>
            <w:r>
              <w:rPr>
                <w:rFonts w:ascii="Arial" w:cs="Arial" w:eastAsia="Arial" w:hAnsi="Arial"/>
                <w:sz w:val="14"/>
                <w:szCs w:val="14"/>
                <w:color w:val="auto"/>
              </w:rPr>
              <w:t>(5,249</w:t>
            </w:r>
            <w:r>
              <w:rPr>
                <w:rFonts w:ascii="Arial" w:cs="Arial" w:eastAsia="Arial" w:hAnsi="Arial"/>
                <w:sz w:val="27"/>
                <w:szCs w:val="27"/>
                <w:color w:val="auto"/>
                <w:vertAlign w:val="superscript"/>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87525"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191" w:lineRule="exact"/>
        <w:rPr>
          <w:sz w:val="20"/>
          <w:szCs w:val="20"/>
          <w:color w:val="auto"/>
        </w:rPr>
      </w:pPr>
    </w:p>
    <w:p>
      <w:pPr>
        <w:ind w:left="286" w:right="20" w:hanging="286"/>
        <w:spacing w:after="0" w:line="253" w:lineRule="auto"/>
        <w:tabs>
          <w:tab w:leader="none" w:pos="28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years ended December 31, 2020 and 2019.</w:t>
      </w:r>
    </w:p>
    <w:p>
      <w:pPr>
        <w:ind w:left="286" w:hanging="286"/>
        <w:spacing w:after="0"/>
        <w:tabs>
          <w:tab w:leader="none" w:pos="286" w:val="left"/>
        </w:tabs>
        <w:numPr>
          <w:ilvl w:val="0"/>
          <w:numId w:val="161"/>
        </w:numPr>
        <w:rPr>
          <w:rFonts w:ascii="Arial" w:cs="Arial" w:eastAsia="Arial" w:hAnsi="Arial"/>
          <w:sz w:val="15"/>
          <w:szCs w:val="15"/>
          <w:color w:val="auto"/>
        </w:rPr>
      </w:pPr>
      <w:r>
        <w:rPr>
          <w:rFonts w:ascii="Arial" w:cs="Arial" w:eastAsia="Arial" w:hAnsi="Arial"/>
          <w:sz w:val="15"/>
          <w:szCs w:val="15"/>
          <w:color w:val="auto"/>
        </w:rPr>
        <w:t>Includes $87 decrease in Members’ equity relating to the Hillman exchange and $9,124 relating to redemption of non-controlling interest in one RNG project.</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Net Income (Loss) Per Unit</w:t>
      </w:r>
    </w:p>
    <w:p>
      <w:pPr>
        <w:spacing w:after="0" w:line="197"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On November 29, 2021, the Company amended and restated the limited liability agreement (“A&amp;R LLCA”) to provide for the creation and issuance of multiple classes and series of units and admission of additional members to the Company in connection with the proposed business combination. Accordingly, the membership interests were converted to 1000 common units which include the 14 units issued to Hillman and authorizing 600,000 Series A-1 preferred units and 300,000 Series A preferred units. As of December 31, 2021, only 300,000 Series A preferred units are issued and outstanding. Upon the conversion of membership interests into units, the Company presented the net income (loss) per unit on a retrospective basis for all periods presented in the consolidated financial statements.</w:t>
      </w:r>
    </w:p>
    <w:p>
      <w:pPr>
        <w:spacing w:after="0" w:line="157" w:lineRule="exact"/>
        <w:rPr>
          <w:sz w:val="20"/>
          <w:szCs w:val="20"/>
          <w:color w:val="auto"/>
        </w:rPr>
      </w:pPr>
    </w:p>
    <w:p>
      <w:pPr>
        <w:jc w:val="both"/>
        <w:ind w:right="20" w:firstLine="283"/>
        <w:spacing w:after="0" w:line="281" w:lineRule="auto"/>
        <w:rPr>
          <w:sz w:val="20"/>
          <w:szCs w:val="20"/>
          <w:color w:val="auto"/>
        </w:rPr>
      </w:pPr>
      <w:r>
        <w:rPr>
          <w:rFonts w:ascii="Arial" w:cs="Arial" w:eastAsia="Arial" w:hAnsi="Arial"/>
          <w:sz w:val="15"/>
          <w:szCs w:val="15"/>
          <w:color w:val="auto"/>
        </w:rPr>
        <w:t>The Basic income (loss) per unit attributable to members of OPAL Fuels LLC for the years ended December 31, 2021,2020 and 2019 is computed by dividing the net income (loss) attributable to OPAL Fuels LLC by the weighted-average number of common units outstanding during the period. Diluted net income for the year ended December 31, 2021 does not include 300,000 Series A preferred units because the substantive contingency for conversion has not been met as of December 31,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w w:val="91"/>
              </w:rPr>
              <w:t>Fiscal Years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2"/>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00"/>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line="172" w:lineRule="exact"/>
              <w:rPr>
                <w:sz w:val="20"/>
                <w:szCs w:val="20"/>
                <w:color w:val="auto"/>
              </w:rPr>
            </w:pPr>
            <w:r>
              <w:rPr>
                <w:rFonts w:ascii="Arial" w:cs="Arial" w:eastAsia="Arial" w:hAnsi="Arial"/>
                <w:sz w:val="16"/>
                <w:szCs w:val="16"/>
                <w:b w:val="1"/>
                <w:bCs w:val="1"/>
                <w:color w:val="auto"/>
                <w:w w:val="88"/>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
              <w:spacing w:after="0" w:line="172" w:lineRule="exact"/>
              <w:rPr>
                <w:sz w:val="20"/>
                <w:szCs w:val="20"/>
                <w:color w:val="auto"/>
              </w:rPr>
            </w:pPr>
            <w:r>
              <w:rPr>
                <w:rFonts w:ascii="Arial" w:cs="Arial" w:eastAsia="Arial" w:hAnsi="Arial"/>
                <w:sz w:val="16"/>
                <w:szCs w:val="16"/>
                <w:b w:val="1"/>
                <w:bCs w:val="1"/>
                <w:color w:val="auto"/>
                <w:w w:val="86"/>
              </w:rPr>
              <w:t>December 31,</w:t>
            </w:r>
          </w:p>
        </w:tc>
        <w:tc>
          <w:tcPr>
            <w:tcW w:w="120" w:type="dxa"/>
            <w:vAlign w:val="bottom"/>
          </w:tcPr>
          <w:p>
            <w:pPr>
              <w:spacing w:after="0"/>
              <w:rPr>
                <w:sz w:val="14"/>
                <w:szCs w:val="14"/>
                <w:color w:val="auto"/>
              </w:rPr>
            </w:pPr>
          </w:p>
        </w:tc>
      </w:tr>
      <w:tr>
        <w:trPr>
          <w:trHeight w:val="209"/>
        </w:trPr>
        <w:tc>
          <w:tcPr>
            <w:tcW w:w="7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8"/>
                <w:szCs w:val="18"/>
                <w:color w:val="auto"/>
              </w:rPr>
            </w:pPr>
          </w:p>
        </w:tc>
      </w:tr>
      <w:tr>
        <w:trPr>
          <w:trHeight w:val="224"/>
        </w:trPr>
        <w:tc>
          <w:tcPr>
            <w:tcW w:w="7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2"/>
              <w:spacing w:after="0" w:line="223" w:lineRule="exact"/>
              <w:rPr>
                <w:sz w:val="20"/>
                <w:szCs w:val="20"/>
                <w:color w:val="auto"/>
              </w:rPr>
            </w:pPr>
            <w:r>
              <w:rPr>
                <w:rFonts w:ascii="Arial" w:cs="Arial" w:eastAsia="Arial" w:hAnsi="Arial"/>
                <w:sz w:val="15"/>
                <w:szCs w:val="15"/>
                <w:b w:val="1"/>
                <w:bCs w:val="1"/>
                <w:color w:val="auto"/>
                <w:w w:val="89"/>
              </w:rPr>
              <w:t>(Restated)</w:t>
            </w:r>
            <w:r>
              <w:rPr>
                <w:rFonts w:ascii="Arial" w:cs="Arial" w:eastAsia="Arial" w:hAnsi="Arial"/>
                <w:sz w:val="25"/>
                <w:szCs w:val="25"/>
                <w:b w:val="1"/>
                <w:bCs w:val="1"/>
                <w:color w:val="auto"/>
                <w:w w:val="89"/>
                <w:vertAlign w:val="superscript"/>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22"/>
              <w:spacing w:after="0" w:line="223" w:lineRule="exact"/>
              <w:rPr>
                <w:sz w:val="20"/>
                <w:szCs w:val="20"/>
                <w:color w:val="auto"/>
              </w:rPr>
            </w:pPr>
            <w:r>
              <w:rPr>
                <w:rFonts w:ascii="Arial" w:cs="Arial" w:eastAsia="Arial" w:hAnsi="Arial"/>
                <w:sz w:val="15"/>
                <w:szCs w:val="15"/>
                <w:b w:val="1"/>
                <w:bCs w:val="1"/>
                <w:color w:val="auto"/>
                <w:w w:val="89"/>
              </w:rPr>
              <w:t>(Restated)</w:t>
            </w:r>
            <w:r>
              <w:rPr>
                <w:rFonts w:ascii="Arial" w:cs="Arial" w:eastAsia="Arial" w:hAnsi="Arial"/>
                <w:sz w:val="25"/>
                <w:szCs w:val="25"/>
                <w:b w:val="1"/>
                <w:bCs w:val="1"/>
                <w:color w:val="auto"/>
                <w:w w:val="89"/>
                <w:vertAlign w:val="superscript"/>
              </w:rPr>
              <w:t>(1)</w:t>
            </w:r>
          </w:p>
        </w:tc>
        <w:tc>
          <w:tcPr>
            <w:tcW w:w="120" w:type="dxa"/>
            <w:vAlign w:val="bottom"/>
          </w:tcPr>
          <w:p>
            <w:pPr>
              <w:spacing w:after="0"/>
              <w:rPr>
                <w:sz w:val="19"/>
                <w:szCs w:val="19"/>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OPAL Fuels LLC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41,363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(25,358)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(5,249)</w:t>
            </w:r>
          </w:p>
        </w:tc>
      </w:tr>
      <w:tr>
        <w:trPr>
          <w:trHeight w:val="188"/>
        </w:trPr>
        <w:tc>
          <w:tcPr>
            <w:tcW w:w="7320" w:type="dxa"/>
            <w:vAlign w:val="bottom"/>
          </w:tcPr>
          <w:p>
            <w:pPr>
              <w:spacing w:after="0"/>
              <w:rPr>
                <w:sz w:val="20"/>
                <w:szCs w:val="20"/>
                <w:color w:val="auto"/>
              </w:rPr>
            </w:pPr>
            <w:r>
              <w:rPr>
                <w:rFonts w:ascii="Arial" w:cs="Arial" w:eastAsia="Arial" w:hAnsi="Arial"/>
                <w:sz w:val="16"/>
                <w:szCs w:val="16"/>
                <w:color w:val="auto"/>
              </w:rPr>
              <w:t>Weighted average units – Basic</w:t>
            </w:r>
          </w:p>
        </w:tc>
        <w:tc>
          <w:tcPr>
            <w:tcW w:w="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987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986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986</w:t>
            </w:r>
          </w:p>
        </w:tc>
      </w:tr>
      <w:tr>
        <w:trPr>
          <w:trHeight w:val="22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units – Diluted</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986</w:t>
            </w:r>
          </w:p>
        </w:tc>
      </w:tr>
      <w:tr>
        <w:trPr>
          <w:trHeight w:val="172"/>
        </w:trPr>
        <w:tc>
          <w:tcPr>
            <w:tcW w:w="7320" w:type="dxa"/>
            <w:vAlign w:val="bottom"/>
            <w:tcBorders>
              <w:top w:val="single" w:sz="8" w:color="CCEEFF"/>
            </w:tcBorders>
          </w:tcPr>
          <w:p>
            <w:pPr>
              <w:spacing w:after="0" w:line="172" w:lineRule="exact"/>
              <w:rPr>
                <w:sz w:val="20"/>
                <w:szCs w:val="20"/>
                <w:color w:val="auto"/>
              </w:rPr>
            </w:pPr>
            <w:r>
              <w:rPr>
                <w:rFonts w:ascii="Arial" w:cs="Arial" w:eastAsia="Arial" w:hAnsi="Arial"/>
                <w:sz w:val="16"/>
                <w:szCs w:val="16"/>
                <w:color w:val="auto"/>
              </w:rPr>
              <w:t>Basic net income (loss) per unit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41,908</w:t>
            </w:r>
          </w:p>
        </w:tc>
        <w:tc>
          <w:tcPr>
            <w:tcW w:w="6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(25,718)</w:t>
            </w: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(5,324)</w:t>
            </w:r>
          </w:p>
        </w:tc>
        <w:tc>
          <w:tcPr>
            <w:tcW w:w="120" w:type="dxa"/>
            <w:vAlign w:val="bottom"/>
            <w:tcBorders>
              <w:top w:val="single" w:sz="8" w:color="CCEEFF"/>
            </w:tcBorders>
          </w:tcPr>
          <w:p>
            <w:pPr>
              <w:spacing w:after="0"/>
              <w:rPr>
                <w:sz w:val="14"/>
                <w:szCs w:val="14"/>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Diluted net income (loss) per unit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41,908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(25,718)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(5,324)</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w:t>
      </w:r>
    </w:p>
    <w:p>
      <w:pPr>
        <w:spacing w:after="0" w:line="197" w:lineRule="exact"/>
        <w:rPr>
          <w:sz w:val="20"/>
          <w:szCs w:val="20"/>
          <w:color w:val="auto"/>
        </w:rPr>
      </w:pPr>
    </w:p>
    <w:p>
      <w:pPr>
        <w:jc w:val="both"/>
        <w:ind w:firstLine="283"/>
        <w:spacing w:after="0" w:line="281" w:lineRule="auto"/>
        <w:rPr>
          <w:sz w:val="20"/>
          <w:szCs w:val="20"/>
          <w:color w:val="auto"/>
        </w:rPr>
      </w:pPr>
      <w:r>
        <w:rPr>
          <w:rFonts w:ascii="Arial" w:cs="Arial" w:eastAsia="Arial" w:hAnsi="Arial"/>
          <w:sz w:val="15"/>
          <w:szCs w:val="15"/>
          <w:color w:val="auto"/>
        </w:rPr>
        <w:t>As of December 31, 2021 and 2020, the Company was required to maintain eight standby letters of credit totaling $9,023, and $8,552,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Options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5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plant and equipment and is being depreciated over the contract term.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Commitments and Contingencies </w:t>
      </w:r>
      <w:r>
        <w:rPr>
          <w:rFonts w:ascii="Arial" w:cs="Arial" w:eastAsia="Arial" w:hAnsi="Arial"/>
          <w:sz w:val="16"/>
          <w:szCs w:val="16"/>
          <w:color w:val="auto"/>
        </w:rPr>
        <w:t>(cont.)</w:t>
      </w:r>
    </w:p>
    <w:p>
      <w:pPr>
        <w:spacing w:after="0" w:line="197" w:lineRule="exact"/>
        <w:rPr>
          <w:sz w:val="20"/>
          <w:szCs w:val="20"/>
          <w:color w:val="auto"/>
        </w:rPr>
      </w:pPr>
    </w:p>
    <w:p>
      <w:pPr>
        <w:jc w:val="both"/>
        <w:ind w:firstLine="283"/>
        <w:spacing w:after="0" w:line="314" w:lineRule="auto"/>
        <w:rPr>
          <w:sz w:val="20"/>
          <w:szCs w:val="20"/>
          <w:color w:val="auto"/>
        </w:rPr>
      </w:pPr>
      <w:r>
        <w:rPr>
          <w:rFonts w:ascii="Arial" w:cs="Arial" w:eastAsia="Arial" w:hAnsi="Arial"/>
          <w:sz w:val="13"/>
          <w:szCs w:val="13"/>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27" w:lineRule="exact"/>
        <w:rPr>
          <w:sz w:val="20"/>
          <w:szCs w:val="20"/>
          <w:color w:val="auto"/>
        </w:rPr>
      </w:pPr>
    </w:p>
    <w:p>
      <w:pPr>
        <w:jc w:val="both"/>
        <w:ind w:firstLine="283"/>
        <w:spacing w:after="0" w:line="315" w:lineRule="auto"/>
        <w:rPr>
          <w:sz w:val="20"/>
          <w:szCs w:val="20"/>
          <w:color w:val="auto"/>
        </w:rPr>
      </w:pPr>
      <w:r>
        <w:rPr>
          <w:rFonts w:ascii="Arial" w:cs="Arial" w:eastAsia="Arial" w:hAnsi="Arial"/>
          <w:sz w:val="13"/>
          <w:szCs w:val="13"/>
          <w:color w:val="auto"/>
        </w:rPr>
        <w:t>On June 26, 2020, Richmond Energy LLC (“</w:t>
      </w:r>
      <w:r>
        <w:rPr>
          <w:rFonts w:ascii="Arial" w:cs="Arial" w:eastAsia="Arial" w:hAnsi="Arial"/>
          <w:sz w:val="13"/>
          <w:szCs w:val="13"/>
          <w:b w:val="1"/>
          <w:bCs w:val="1"/>
          <w:color w:val="auto"/>
        </w:rPr>
        <w:t>Richmond</w:t>
      </w:r>
      <w:r>
        <w:rPr>
          <w:rFonts w:ascii="Arial" w:cs="Arial" w:eastAsia="Arial" w:hAnsi="Arial"/>
          <w:sz w:val="13"/>
          <w:szCs w:val="13"/>
          <w:color w:val="auto"/>
        </w:rPr>
        <w:t>”) declared a Force Majeure event under its Power Purchase Agreement with Old Dominion Electric Cooperative (“</w:t>
      </w:r>
      <w:r>
        <w:rPr>
          <w:rFonts w:ascii="Arial" w:cs="Arial" w:eastAsia="Arial" w:hAnsi="Arial"/>
          <w:sz w:val="13"/>
          <w:szCs w:val="13"/>
          <w:b w:val="1"/>
          <w:bCs w:val="1"/>
          <w:color w:val="auto"/>
        </w:rPr>
        <w:t>ODEC</w:t>
      </w:r>
      <w:r>
        <w:rPr>
          <w:rFonts w:ascii="Arial" w:cs="Arial" w:eastAsia="Arial" w:hAnsi="Arial"/>
          <w:sz w:val="13"/>
          <w:szCs w:val="13"/>
          <w:color w:val="auto"/>
        </w:rPr>
        <w:t>”), dated as of November 3, 2010 (the “</w:t>
      </w:r>
      <w:r>
        <w:rPr>
          <w:rFonts w:ascii="Arial" w:cs="Arial" w:eastAsia="Arial" w:hAnsi="Arial"/>
          <w:sz w:val="13"/>
          <w:szCs w:val="13"/>
          <w:b w:val="1"/>
          <w:bCs w:val="1"/>
          <w:color w:val="auto"/>
        </w:rPr>
        <w:t>PPA</w:t>
      </w:r>
      <w:r>
        <w:rPr>
          <w:rFonts w:ascii="Arial" w:cs="Arial" w:eastAsia="Arial" w:hAnsi="Arial"/>
          <w:sz w:val="13"/>
          <w:szCs w:val="13"/>
          <w:color w:val="auto"/>
        </w:rPr>
        <w:t>”). The Force Majeure declaration stated that inspections of its Old Dominion landfill gas-to-electric facility (the “</w:t>
      </w:r>
      <w:r>
        <w:rPr>
          <w:rFonts w:ascii="Arial" w:cs="Arial" w:eastAsia="Arial" w:hAnsi="Arial"/>
          <w:sz w:val="13"/>
          <w:szCs w:val="13"/>
          <w:b w:val="1"/>
          <w:bCs w:val="1"/>
          <w:color w:val="auto"/>
        </w:rPr>
        <w:t>OD</w:t>
      </w:r>
      <w:r>
        <w:rPr>
          <w:rFonts w:ascii="Arial" w:cs="Arial" w:eastAsia="Arial" w:hAnsi="Arial"/>
          <w:sz w:val="13"/>
          <w:szCs w:val="13"/>
          <w:color w:val="auto"/>
        </w:rPr>
        <w:t xml:space="preserve"> </w:t>
      </w:r>
      <w:r>
        <w:rPr>
          <w:rFonts w:ascii="Arial" w:cs="Arial" w:eastAsia="Arial" w:hAnsi="Arial"/>
          <w:sz w:val="13"/>
          <w:szCs w:val="13"/>
          <w:b w:val="1"/>
          <w:bCs w:val="1"/>
          <w:color w:val="auto"/>
        </w:rPr>
        <w:t>Facility</w:t>
      </w:r>
      <w:r>
        <w:rPr>
          <w:rFonts w:ascii="Arial" w:cs="Arial" w:eastAsia="Arial" w:hAnsi="Arial"/>
          <w:sz w:val="13"/>
          <w:szCs w:val="13"/>
          <w:color w:val="auto"/>
        </w:rPr>
        <w:t>”) under a scheduled maintenance outage revealed extensive damage to the engine generator sets. Richmond is currently undertaking significant capital expenditures, in</w:t>
      </w:r>
      <w:r>
        <w:rPr>
          <w:rFonts w:ascii="Arial" w:cs="Arial" w:eastAsia="Arial" w:hAnsi="Arial"/>
          <w:sz w:val="13"/>
          <w:szCs w:val="13"/>
          <w:b w:val="1"/>
          <w:bCs w:val="1"/>
          <w:color w:val="auto"/>
        </w:rPr>
        <w:t xml:space="preserve"> </w:t>
      </w:r>
      <w:r>
        <w:rPr>
          <w:rFonts w:ascii="Arial" w:cs="Arial" w:eastAsia="Arial" w:hAnsi="Arial"/>
          <w:sz w:val="13"/>
          <w:szCs w:val="13"/>
          <w:color w:val="auto"/>
        </w:rPr>
        <w:t>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$467,320.74. Richmond and ODEC entered into a settlement agreement whereby Richmond would pay ODEC the specified damages for calendar years 2020 and 2021, as well as those to be assessed for calendar year 2022 (“</w:t>
      </w:r>
      <w:r>
        <w:rPr>
          <w:rFonts w:ascii="Arial" w:cs="Arial" w:eastAsia="Arial" w:hAnsi="Arial"/>
          <w:sz w:val="13"/>
          <w:szCs w:val="13"/>
          <w:b w:val="1"/>
          <w:bCs w:val="1"/>
          <w:color w:val="auto"/>
        </w:rPr>
        <w:t>Settlement Agreement</w:t>
      </w:r>
      <w:r>
        <w:rPr>
          <w:rFonts w:ascii="Arial" w:cs="Arial" w:eastAsia="Arial" w:hAnsi="Arial"/>
          <w:sz w:val="13"/>
          <w:szCs w:val="13"/>
          <w:color w:val="auto"/>
        </w:rPr>
        <w:t>”). On February 8, 2022, Richmond paid ODEC $467,320.74 pursuant to the Settlement Agreement; liquidated damages for calendar year 2022, if any, will be assessed by ODEC during the first quarter of 2023.</w:t>
      </w:r>
    </w:p>
    <w:p>
      <w:pPr>
        <w:spacing w:after="0" w:line="130" w:lineRule="exact"/>
        <w:rPr>
          <w:sz w:val="20"/>
          <w:szCs w:val="20"/>
          <w:color w:val="auto"/>
        </w:rPr>
      </w:pPr>
    </w:p>
    <w:p>
      <w:pPr>
        <w:jc w:val="both"/>
        <w:ind w:right="20" w:firstLine="283"/>
        <w:spacing w:after="0" w:line="383" w:lineRule="auto"/>
        <w:rPr>
          <w:sz w:val="20"/>
          <w:szCs w:val="20"/>
          <w:color w:val="auto"/>
        </w:rPr>
      </w:pPr>
      <w:r>
        <w:rPr>
          <w:rFonts w:ascii="Arial" w:cs="Arial" w:eastAsia="Arial" w:hAnsi="Arial"/>
          <w:sz w:val="13"/>
          <w:szCs w:val="13"/>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197" w:lineRule="exact"/>
        <w:rPr>
          <w:sz w:val="20"/>
          <w:szCs w:val="20"/>
          <w:color w:val="auto"/>
        </w:rPr>
      </w:pPr>
    </w:p>
    <w:p>
      <w:pPr>
        <w:jc w:val="both"/>
        <w:ind w:firstLine="283"/>
        <w:spacing w:after="0" w:line="322" w:lineRule="auto"/>
        <w:rPr>
          <w:sz w:val="20"/>
          <w:szCs w:val="20"/>
          <w:color w:val="auto"/>
        </w:rPr>
      </w:pPr>
      <w:r>
        <w:rPr>
          <w:rFonts w:ascii="Arial" w:cs="Arial" w:eastAsia="Arial" w:hAnsi="Arial"/>
          <w:sz w:val="13"/>
          <w:szCs w:val="13"/>
          <w:color w:val="auto"/>
        </w:rPr>
        <w:t>The Company is subject to certain environmental laws and regulations. In March 2020, the Company received an enforcement letter from a governmental agency pertaining to emissions exceedances at one of the Company’s facilities. In May 2021, the Company settled the issues raised in the enforcement letter via consent decree. The settlement includes a penalty of $750 payable in three installments over two years and requires the Company to install a sulfur treatment system. In December 2021, the consent decree was formally entered by the court and the Company recorded $325 to accrued expenses and other current liabilities and $325 as a component of other long term liabilities in the consolidated balance sheet. The Company believes its other operations comply, in all material respects, with applicable environmental laws and regulations.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6"/>
          <w:szCs w:val="16"/>
          <w:b w:val="1"/>
          <w:bCs w:val="1"/>
          <w:color w:val="auto"/>
        </w:rPr>
        <w:t>Independent Auditor’s Report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Members of Beacon RNG LLC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Beacon RNG LLC</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White Plains, 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w:t>
      </w:r>
    </w:p>
    <w:p>
      <w:pPr>
        <w:spacing w:after="0" w:line="193" w:lineRule="exact"/>
        <w:rPr>
          <w:sz w:val="20"/>
          <w:szCs w:val="20"/>
          <w:color w:val="auto"/>
        </w:rPr>
      </w:pPr>
    </w:p>
    <w:p>
      <w:pPr>
        <w:jc w:val="both"/>
        <w:ind w:firstLine="377"/>
        <w:spacing w:after="0" w:line="252" w:lineRule="auto"/>
        <w:rPr>
          <w:sz w:val="20"/>
          <w:szCs w:val="20"/>
          <w:color w:val="auto"/>
        </w:rPr>
      </w:pPr>
      <w:r>
        <w:rPr>
          <w:rFonts w:ascii="Arial" w:cs="Arial" w:eastAsia="Arial" w:hAnsi="Arial"/>
          <w:sz w:val="16"/>
          <w:szCs w:val="16"/>
          <w:color w:val="auto"/>
        </w:rPr>
        <w:t>We have audited the consolidated financial statements of Beacon RNG LLC and its subsidiaries (the Company), which comprise the consolidated balance sheets as of April 30, 2021, December 31, 2020 and December 31, 2019, and the related consolidated statement of operations, changes in members’ equity, and cash flows for the four-month period ended April 30, 2021 and for the year ended December 31, 2020 and for the period from March 11, 2019 (Inception) through December 31, 2019, and the related notes to the consolidated financial statements.</w:t>
      </w:r>
    </w:p>
    <w:p>
      <w:pPr>
        <w:spacing w:after="0" w:line="169" w:lineRule="exact"/>
        <w:rPr>
          <w:sz w:val="20"/>
          <w:szCs w:val="20"/>
          <w:color w:val="auto"/>
        </w:rPr>
      </w:pPr>
    </w:p>
    <w:p>
      <w:pPr>
        <w:jc w:val="both"/>
        <w:ind w:right="20" w:firstLine="377"/>
        <w:spacing w:after="0" w:line="252" w:lineRule="auto"/>
        <w:rPr>
          <w:sz w:val="20"/>
          <w:szCs w:val="20"/>
          <w:color w:val="auto"/>
        </w:rPr>
      </w:pPr>
      <w:r>
        <w:rPr>
          <w:rFonts w:ascii="Arial" w:cs="Arial" w:eastAsia="Arial" w:hAnsi="Arial"/>
          <w:sz w:val="16"/>
          <w:szCs w:val="16"/>
          <w:color w:val="auto"/>
        </w:rPr>
        <w:t>In our opinion, the accompanying consolidated financial statements present fairly, in all material respects, the financial position of the Company as of April 30, 2021 and as of December 31, 2020 and December 31, 2019 and the results of its operations and its cash flows for the four-month period ended April 30, 2021 and for the year ended December 31, 2020 and for the period from March 11, 2019 (Inception) through December 31, 2019 in accordance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Emphasis of Matter — Related Parties</w:t>
      </w:r>
    </w:p>
    <w:p>
      <w:pPr>
        <w:spacing w:after="0" w:line="193" w:lineRule="exact"/>
        <w:rPr>
          <w:sz w:val="20"/>
          <w:szCs w:val="20"/>
          <w:color w:val="auto"/>
        </w:rPr>
      </w:pPr>
    </w:p>
    <w:p>
      <w:pPr>
        <w:jc w:val="both"/>
        <w:ind w:right="20" w:firstLine="377"/>
        <w:spacing w:after="0" w:line="266" w:lineRule="auto"/>
        <w:rPr>
          <w:sz w:val="20"/>
          <w:szCs w:val="20"/>
          <w:color w:val="auto"/>
        </w:rPr>
      </w:pPr>
      <w:r>
        <w:rPr>
          <w:rFonts w:ascii="Arial" w:cs="Arial" w:eastAsia="Arial" w:hAnsi="Arial"/>
          <w:sz w:val="16"/>
          <w:szCs w:val="16"/>
          <w:color w:val="auto"/>
        </w:rPr>
        <w:t>As discussed in Note 7 “Ownership and Related Parties” to the consolidated financial statements, the Company has entered into significant transactions with Fortistar Beacon LLC, its managing member. Our opinion is not modified with respect to this matter.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193" w:lineRule="exact"/>
        <w:rPr>
          <w:sz w:val="20"/>
          <w:szCs w:val="20"/>
          <w:color w:val="auto"/>
        </w:rPr>
      </w:pPr>
    </w:p>
    <w:p>
      <w:pPr>
        <w:jc w:val="both"/>
        <w:ind w:right="20" w:firstLine="377"/>
        <w:spacing w:after="0" w:line="252"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Responsibilities of Management for the Financial Statements</w:t>
      </w:r>
    </w:p>
    <w:p>
      <w:pPr>
        <w:spacing w:after="0" w:line="193"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165"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6"/>
          <w:szCs w:val="16"/>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72" w:name="page273"/>
    <w:bookmarkEnd w:id="272"/>
    <w:p>
      <w:pPr>
        <w:spacing w:after="0"/>
        <w:rPr>
          <w:sz w:val="20"/>
          <w:szCs w:val="20"/>
          <w:color w:val="auto"/>
        </w:rPr>
      </w:pPr>
      <w:r>
        <w:rPr>
          <w:rFonts w:ascii="Arial" w:cs="Arial" w:eastAsia="Arial" w:hAnsi="Arial"/>
          <w:sz w:val="16"/>
          <w:szCs w:val="16"/>
          <w:b w:val="1"/>
          <w:bCs w:val="1"/>
          <w:i w:val="1"/>
          <w:iCs w:val="1"/>
          <w:color w:val="auto"/>
        </w:rPr>
        <w:t>Auditor’s Responsibilities for the Audit of the Financial Statements</w:t>
      </w:r>
    </w:p>
    <w:p>
      <w:pPr>
        <w:spacing w:after="0" w:line="193" w:lineRule="exact"/>
        <w:rPr>
          <w:sz w:val="20"/>
          <w:szCs w:val="20"/>
          <w:color w:val="auto"/>
        </w:rPr>
      </w:pPr>
    </w:p>
    <w:p>
      <w:pPr>
        <w:jc w:val="both"/>
        <w:ind w:firstLine="377"/>
        <w:spacing w:after="0" w:line="249" w:lineRule="auto"/>
        <w:rPr>
          <w:sz w:val="20"/>
          <w:szCs w:val="20"/>
          <w:color w:val="auto"/>
        </w:rPr>
      </w:pPr>
      <w:r>
        <w:rPr>
          <w:rFonts w:ascii="Arial" w:cs="Arial" w:eastAsia="Arial" w:hAnsi="Arial"/>
          <w:sz w:val="16"/>
          <w:szCs w:val="16"/>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performing an audit in accordance with GAAS, we:</w:t>
      </w:r>
    </w:p>
    <w:p>
      <w:pPr>
        <w:spacing w:after="0" w:line="193" w:lineRule="exact"/>
        <w:rPr>
          <w:sz w:val="20"/>
          <w:szCs w:val="20"/>
          <w:color w:val="auto"/>
        </w:rPr>
      </w:pPr>
    </w:p>
    <w:p>
      <w:pPr>
        <w:ind w:left="840" w:hanging="280"/>
        <w:spacing w:after="0"/>
        <w:tabs>
          <w:tab w:leader="none" w:pos="8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Exercise professional judgment and maintain professional skepticism throughout the audit.</w:t>
      </w:r>
    </w:p>
    <w:p>
      <w:pPr>
        <w:spacing w:after="0" w:line="192" w:lineRule="exact"/>
        <w:rPr>
          <w:rFonts w:ascii="Arial" w:cs="Arial" w:eastAsia="Arial" w:hAnsi="Arial"/>
          <w:sz w:val="16"/>
          <w:szCs w:val="16"/>
          <w:color w:val="auto"/>
        </w:rPr>
      </w:pPr>
    </w:p>
    <w:p>
      <w:pPr>
        <w:jc w:val="both"/>
        <w:ind w:left="840" w:right="20" w:hanging="280"/>
        <w:spacing w:after="0" w:line="256" w:lineRule="auto"/>
        <w:tabs>
          <w:tab w:leader="none" w:pos="8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65" w:lineRule="exact"/>
        <w:rPr>
          <w:rFonts w:ascii="Arial" w:cs="Arial" w:eastAsia="Arial" w:hAnsi="Arial"/>
          <w:sz w:val="16"/>
          <w:szCs w:val="16"/>
          <w:color w:val="auto"/>
        </w:rPr>
      </w:pPr>
    </w:p>
    <w:p>
      <w:pPr>
        <w:ind w:left="840" w:right="20" w:hanging="280"/>
        <w:spacing w:after="0" w:line="266" w:lineRule="auto"/>
        <w:tabs>
          <w:tab w:leader="none" w:pos="8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57" w:lineRule="exact"/>
        <w:rPr>
          <w:rFonts w:ascii="Arial" w:cs="Arial" w:eastAsia="Arial" w:hAnsi="Arial"/>
          <w:sz w:val="16"/>
          <w:szCs w:val="16"/>
          <w:color w:val="auto"/>
        </w:rPr>
      </w:pPr>
    </w:p>
    <w:p>
      <w:pPr>
        <w:ind w:left="840" w:right="20" w:hanging="280"/>
        <w:spacing w:after="0" w:line="266" w:lineRule="auto"/>
        <w:tabs>
          <w:tab w:leader="none" w:pos="8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57" w:lineRule="exact"/>
        <w:rPr>
          <w:rFonts w:ascii="Arial" w:cs="Arial" w:eastAsia="Arial" w:hAnsi="Arial"/>
          <w:sz w:val="16"/>
          <w:szCs w:val="16"/>
          <w:color w:val="auto"/>
        </w:rPr>
      </w:pPr>
    </w:p>
    <w:p>
      <w:pPr>
        <w:ind w:left="840" w:right="20" w:hanging="280"/>
        <w:spacing w:after="0" w:line="266" w:lineRule="auto"/>
        <w:tabs>
          <w:tab w:leader="none" w:pos="8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Conclude whether, in our judgment, there are conditions or events, considered in the aggregate, that raise substantial doubt about the Company’s ability to continue as a going concern for a reasonable period of time.</w:t>
      </w:r>
    </w:p>
    <w:p>
      <w:pPr>
        <w:spacing w:after="0" w:line="157" w:lineRule="exact"/>
        <w:rPr>
          <w:sz w:val="20"/>
          <w:szCs w:val="20"/>
          <w:color w:val="auto"/>
        </w:rPr>
      </w:pPr>
    </w:p>
    <w:p>
      <w:pPr>
        <w:ind w:firstLine="377"/>
        <w:spacing w:after="0" w:line="266" w:lineRule="auto"/>
        <w:rPr>
          <w:sz w:val="20"/>
          <w:szCs w:val="20"/>
          <w:color w:val="auto"/>
        </w:rPr>
      </w:pPr>
      <w:r>
        <w:rPr>
          <w:rFonts w:ascii="Arial" w:cs="Arial" w:eastAsia="Arial" w:hAnsi="Arial"/>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Stamford, Connecticut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April 15, 2022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273" w:name="page274"/>
    <w:bookmarkEnd w:id="273"/>
    <w:p>
      <w:pPr>
        <w:jc w:val="center"/>
        <w:ind w:left="1940"/>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left="1940"/>
        <w:spacing w:after="0"/>
        <w:rPr>
          <w:sz w:val="20"/>
          <w:szCs w:val="20"/>
          <w:color w:val="auto"/>
        </w:rPr>
      </w:pPr>
      <w:r>
        <w:rPr>
          <w:rFonts w:ascii="Arial" w:cs="Arial" w:eastAsia="Arial" w:hAnsi="Arial"/>
          <w:sz w:val="15"/>
          <w:szCs w:val="15"/>
          <w:b w:val="1"/>
          <w:bCs w:val="1"/>
          <w:color w:val="auto"/>
        </w:rPr>
        <w:t>CONSOLIDATED BALANCE SHEETS</w:t>
      </w:r>
    </w:p>
    <w:p>
      <w:pPr>
        <w:spacing w:after="0" w:line="16"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Accounts receivable and accrued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50100" cy="142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0100" cy="14224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Prepaid Expense and other current assets</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50100" cy="134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Property and equipment, net</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50100" cy="142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0100" cy="14224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Capital spares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42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0100" cy="14224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Members’ Equity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Accrued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50100" cy="1498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100" cy="149860"/>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50100" cy="1498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0100" cy="149860"/>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 (Note 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Members’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April 30,</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0565" cy="152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0565" cy="15240"/>
                    </a:xfrm>
                    <a:prstGeom prst="rect">
                      <a:avLst/>
                    </a:prstGeom>
                    <a:noFill/>
                  </pic:spPr>
                </pic:pic>
              </a:graphicData>
            </a:graphic>
          </wp:anchor>
        </w:drawing>
      </w:r>
    </w:p>
    <w:p>
      <w:pPr>
        <w:spacing w:after="0" w:line="373" w:lineRule="exact"/>
        <w:rPr>
          <w:sz w:val="20"/>
          <w:szCs w:val="20"/>
          <w:color w:val="auto"/>
        </w:rPr>
      </w:pPr>
    </w:p>
    <w:p>
      <w:pPr>
        <w:ind w:left="780" w:hanging="771"/>
        <w:spacing w:after="0"/>
        <w:tabs>
          <w:tab w:leader="none" w:pos="78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1,874</w:t>
      </w:r>
    </w:p>
    <w:p>
      <w:pPr>
        <w:spacing w:after="0" w:line="50"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3"/>
          <w:szCs w:val="13"/>
          <w:color w:val="auto"/>
        </w:rPr>
        <w:t>238</w:t>
      </w:r>
    </w:p>
    <w:p>
      <w:pPr>
        <w:spacing w:after="0" w:line="39"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3"/>
          <w:szCs w:val="13"/>
          <w:color w:val="auto"/>
        </w:rPr>
        <w:t>390</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3"/>
          <w:szCs w:val="13"/>
          <w:color w:val="auto"/>
        </w:rPr>
        <w:t>2,502</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56,119</w:t>
      </w:r>
    </w:p>
    <w:p>
      <w:pPr>
        <w:spacing w:after="0" w:line="5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1,208</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166</w:t>
      </w:r>
    </w:p>
    <w:p>
      <w:pPr>
        <w:spacing w:after="0" w:line="52" w:lineRule="exact"/>
        <w:rPr>
          <w:sz w:val="20"/>
          <w:szCs w:val="20"/>
          <w:color w:val="auto"/>
        </w:rPr>
      </w:pPr>
    </w:p>
    <w:p>
      <w:pPr>
        <w:ind w:left="700" w:hanging="691"/>
        <w:spacing w:after="0"/>
        <w:tabs>
          <w:tab w:leader="none" w:pos="70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59,995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10565"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0565" cy="152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780" w:hanging="771"/>
        <w:spacing w:after="0"/>
        <w:tabs>
          <w:tab w:leader="none" w:pos="78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1,805</w:t>
      </w:r>
    </w:p>
    <w:p>
      <w:pPr>
        <w:spacing w:after="0" w:line="50" w:lineRule="exact"/>
        <w:rPr>
          <w:rFonts w:ascii="Arial" w:cs="Arial" w:eastAsia="Arial" w:hAnsi="Arial"/>
          <w:sz w:val="13"/>
          <w:szCs w:val="13"/>
          <w:color w:val="auto"/>
        </w:rPr>
      </w:pPr>
    </w:p>
    <w:p>
      <w:pPr>
        <w:ind w:left="780"/>
        <w:spacing w:after="0"/>
        <w:rPr>
          <w:rFonts w:ascii="Arial" w:cs="Arial" w:eastAsia="Arial" w:hAnsi="Arial"/>
          <w:sz w:val="13"/>
          <w:szCs w:val="13"/>
          <w:color w:val="auto"/>
        </w:rPr>
      </w:pPr>
      <w:r>
        <w:rPr>
          <w:rFonts w:ascii="Arial" w:cs="Arial" w:eastAsia="Arial" w:hAnsi="Arial"/>
          <w:sz w:val="13"/>
          <w:szCs w:val="13"/>
          <w:color w:val="auto"/>
        </w:rPr>
        <w:t>4,196</w:t>
      </w:r>
    </w:p>
    <w:p>
      <w:pPr>
        <w:spacing w:after="0" w:line="62" w:lineRule="exact"/>
        <w:rPr>
          <w:rFonts w:ascii="Arial" w:cs="Arial" w:eastAsia="Arial" w:hAnsi="Arial"/>
          <w:sz w:val="13"/>
          <w:szCs w:val="13"/>
          <w:color w:val="auto"/>
        </w:rPr>
      </w:pPr>
    </w:p>
    <w:p>
      <w:pPr>
        <w:ind w:left="780"/>
        <w:spacing w:after="0"/>
        <w:rPr>
          <w:rFonts w:ascii="Arial" w:cs="Arial" w:eastAsia="Arial" w:hAnsi="Arial"/>
          <w:sz w:val="13"/>
          <w:szCs w:val="13"/>
          <w:color w:val="auto"/>
        </w:rPr>
      </w:pPr>
      <w:r>
        <w:rPr>
          <w:rFonts w:ascii="Arial" w:cs="Arial" w:eastAsia="Arial" w:hAnsi="Arial"/>
          <w:sz w:val="13"/>
          <w:szCs w:val="13"/>
          <w:color w:val="auto"/>
        </w:rPr>
        <w:t>6,001</w:t>
      </w:r>
    </w:p>
    <w:p>
      <w:pPr>
        <w:spacing w:after="0" w:line="62"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3"/>
          <w:szCs w:val="13"/>
          <w:color w:val="auto"/>
        </w:rPr>
        <w:t>279</w:t>
      </w:r>
    </w:p>
    <w:p>
      <w:pPr>
        <w:spacing w:after="0" w:line="62" w:lineRule="exact"/>
        <w:rPr>
          <w:rFonts w:ascii="Arial" w:cs="Arial" w:eastAsia="Arial" w:hAnsi="Arial"/>
          <w:sz w:val="13"/>
          <w:szCs w:val="13"/>
          <w:color w:val="auto"/>
        </w:rPr>
      </w:pPr>
    </w:p>
    <w:p>
      <w:pPr>
        <w:ind w:left="780"/>
        <w:spacing w:after="0"/>
        <w:rPr>
          <w:rFonts w:ascii="Arial" w:cs="Arial" w:eastAsia="Arial" w:hAnsi="Arial"/>
          <w:sz w:val="13"/>
          <w:szCs w:val="13"/>
          <w:color w:val="auto"/>
        </w:rPr>
      </w:pPr>
      <w:r>
        <w:rPr>
          <w:rFonts w:ascii="Arial" w:cs="Arial" w:eastAsia="Arial" w:hAnsi="Arial"/>
          <w:sz w:val="13"/>
          <w:szCs w:val="13"/>
          <w:color w:val="auto"/>
        </w:rPr>
        <w:t>6,280</w:t>
      </w:r>
    </w:p>
    <w:p>
      <w:pPr>
        <w:spacing w:after="0" w:line="200" w:lineRule="exact"/>
        <w:rPr>
          <w:sz w:val="20"/>
          <w:szCs w:val="20"/>
          <w:color w:val="auto"/>
        </w:rPr>
      </w:pPr>
    </w:p>
    <w:p>
      <w:pPr>
        <w:spacing w:after="0" w:line="23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50,487</w:t>
      </w:r>
    </w:p>
    <w:p>
      <w:pPr>
        <w:spacing w:after="0" w:line="33" w:lineRule="exact"/>
        <w:rPr>
          <w:sz w:val="20"/>
          <w:szCs w:val="20"/>
          <w:color w:val="auto"/>
        </w:rPr>
      </w:pPr>
    </w:p>
    <w:p>
      <w:pPr>
        <w:sectPr>
          <w:pgSz w:w="11900" w:h="16838" w:orient="portrait"/>
          <w:cols w:equalWidth="0" w:num="2">
            <w:col w:w="9300" w:space="720"/>
            <w:col w:w="1240"/>
          </w:cols>
          <w:pgMar w:left="320" w:top="688" w:right="319" w:bottom="1440" w:gutter="0" w:footer="0" w:header="0"/>
        </w:sectPr>
      </w:pPr>
    </w:p>
    <w:tbl>
      <w:tblPr>
        <w:tblLayout w:type="fixed"/>
        <w:tblInd w:w="0" w:type="dxa"/>
        <w:tblCellMar>
          <w:top w:w="0" w:type="dxa"/>
          <w:left w:w="0" w:type="dxa"/>
          <w:bottom w:w="0" w:type="dxa"/>
          <w:right w:w="0" w:type="dxa"/>
        </w:tblCellMar>
      </w:tblPr>
      <w:tr>
        <w:trPr>
          <w:trHeight w:val="204"/>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3,228</w:t>
            </w:r>
          </w:p>
        </w:tc>
      </w:tr>
      <w:tr>
        <w:trPr>
          <w:trHeight w:val="176"/>
        </w:trPr>
        <w:tc>
          <w:tcPr>
            <w:tcW w:w="6300" w:type="dxa"/>
            <w:vAlign w:val="bottom"/>
            <w:tcBorders>
              <w:top w:val="single" w:sz="8" w:color="CCEEFF"/>
              <w:bottom w:val="single" w:sz="8" w:color="CCEEFF"/>
            </w:tcBorders>
          </w:tcPr>
          <w:p>
            <w:pPr>
              <w:ind w:left="280"/>
              <w:spacing w:after="0" w:line="172" w:lineRule="exact"/>
              <w:rPr>
                <w:sz w:val="20"/>
                <w:szCs w:val="20"/>
                <w:color w:val="auto"/>
              </w:rPr>
            </w:pPr>
            <w:r>
              <w:rPr>
                <w:rFonts w:ascii="Arial" w:cs="Arial" w:eastAsia="Arial" w:hAnsi="Arial"/>
                <w:sz w:val="16"/>
                <w:szCs w:val="16"/>
                <w:color w:val="auto"/>
              </w:rPr>
              <w:t>Total members’ equity</w:t>
            </w:r>
          </w:p>
        </w:tc>
        <w:tc>
          <w:tcPr>
            <w:tcW w:w="3720" w:type="dxa"/>
            <w:vAlign w:val="bottom"/>
            <w:tcBorders>
              <w:top w:val="single" w:sz="8" w:color="CCEEFF"/>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53,715</w:t>
            </w:r>
          </w:p>
        </w:tc>
        <w:tc>
          <w:tcPr>
            <w:tcW w:w="120" w:type="dxa"/>
            <w:vAlign w:val="bottom"/>
            <w:tcBorders>
              <w:top w:val="single" w:sz="8" w:color="CCEEFF"/>
              <w:bottom w:val="single" w:sz="8" w:color="CCEEFF"/>
            </w:tcBorders>
          </w:tcPr>
          <w:p>
            <w:pPr>
              <w:spacing w:after="0"/>
              <w:rPr>
                <w:sz w:val="15"/>
                <w:szCs w:val="15"/>
                <w:color w:val="auto"/>
              </w:rPr>
            </w:pPr>
          </w:p>
        </w:tc>
      </w:tr>
      <w:tr>
        <w:trPr>
          <w:trHeight w:val="216"/>
        </w:trPr>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 and members’ equity</w:t>
            </w:r>
          </w:p>
        </w:tc>
        <w:tc>
          <w:tcPr>
            <w:tcW w:w="4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59,995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type w:val="continuous"/>
        </w:sectPr>
      </w:pPr>
    </w:p>
    <w:bookmarkStart w:id="274" w:name="page275"/>
    <w:bookmarkEnd w:id="274"/>
    <w:p>
      <w:pPr>
        <w:jc w:val="center"/>
        <w:ind w:right="20"/>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Four Months</w:t>
            </w:r>
          </w:p>
        </w:tc>
      </w:tr>
      <w:tr>
        <w:trPr>
          <w:trHeight w:val="188"/>
        </w:trPr>
        <w:tc>
          <w:tcPr>
            <w:tcW w:w="10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5"/>
              </w:rPr>
              <w:t>Ended</w:t>
            </w:r>
          </w:p>
        </w:tc>
      </w:tr>
      <w:tr>
        <w:trPr>
          <w:trHeight w:val="188"/>
        </w:trPr>
        <w:tc>
          <w:tcPr>
            <w:tcW w:w="10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April 30,</w:t>
            </w:r>
          </w:p>
        </w:tc>
      </w:tr>
      <w:tr>
        <w:trPr>
          <w:trHeight w:val="209"/>
        </w:trPr>
        <w:tc>
          <w:tcPr>
            <w:tcW w:w="10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6"/>
                <w:szCs w:val="16"/>
                <w:b w:val="1"/>
                <w:bCs w:val="1"/>
                <w:color w:val="auto"/>
              </w:rPr>
              <w:t>Operating revenue</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Renewable gas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16"/>
                <w:szCs w:val="16"/>
                <w:color w:val="auto"/>
              </w:rPr>
            </w:pPr>
          </w:p>
        </w:tc>
      </w:tr>
      <w:tr>
        <w:trPr>
          <w:trHeight w:val="188"/>
        </w:trPr>
        <w:tc>
          <w:tcPr>
            <w:tcW w:w="10020" w:type="dxa"/>
            <w:vAlign w:val="bottom"/>
          </w:tcPr>
          <w:p>
            <w:pPr>
              <w:ind w:left="160"/>
              <w:spacing w:after="0"/>
              <w:rPr>
                <w:sz w:val="20"/>
                <w:szCs w:val="20"/>
                <w:color w:val="auto"/>
              </w:rPr>
            </w:pPr>
            <w:r>
              <w:rPr>
                <w:rFonts w:ascii="Arial" w:cs="Arial" w:eastAsia="Arial" w:hAnsi="Arial"/>
                <w:sz w:val="16"/>
                <w:szCs w:val="16"/>
                <w:color w:val="auto"/>
              </w:rPr>
              <w:t>RIN sales</w:t>
            </w:r>
          </w:p>
        </w:tc>
        <w:tc>
          <w:tcPr>
            <w:tcW w:w="10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12,101</w:t>
            </w:r>
          </w:p>
        </w:tc>
      </w:tr>
      <w:tr>
        <w:trPr>
          <w:trHeight w:val="220"/>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Transportation sales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r>
      <w:tr>
        <w:trPr>
          <w:trHeight w:val="176"/>
        </w:trPr>
        <w:tc>
          <w:tcPr>
            <w:tcW w:w="10020" w:type="dxa"/>
            <w:vAlign w:val="bottom"/>
            <w:tcBorders>
              <w:top w:val="single" w:sz="8" w:color="CCEEFF"/>
              <w:bottom w:val="single" w:sz="8" w:color="CCEEFF"/>
            </w:tcBorders>
          </w:tcPr>
          <w:p>
            <w:pPr>
              <w:ind w:left="300"/>
              <w:spacing w:after="0" w:line="172" w:lineRule="exact"/>
              <w:rPr>
                <w:sz w:val="20"/>
                <w:szCs w:val="20"/>
                <w:color w:val="auto"/>
              </w:rPr>
            </w:pPr>
            <w:r>
              <w:rPr>
                <w:rFonts w:ascii="Arial" w:cs="Arial" w:eastAsia="Arial" w:hAnsi="Arial"/>
                <w:sz w:val="16"/>
                <w:szCs w:val="16"/>
                <w:color w:val="auto"/>
              </w:rPr>
              <w:t>Total operating revenue</w:t>
            </w: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13,312</w:t>
            </w:r>
          </w:p>
        </w:tc>
        <w:tc>
          <w:tcPr>
            <w:tcW w:w="120" w:type="dxa"/>
            <w:vAlign w:val="bottom"/>
            <w:tcBorders>
              <w:top w:val="single" w:sz="8" w:color="CCEEFF"/>
              <w:bottom w:val="single" w:sz="8" w:color="CCEEFF"/>
            </w:tcBorders>
            <w:gridSpan w:val="2"/>
          </w:tcPr>
          <w:p>
            <w:pPr>
              <w:spacing w:after="0"/>
              <w:rPr>
                <w:sz w:val="15"/>
                <w:szCs w:val="15"/>
                <w:color w:val="auto"/>
              </w:rPr>
            </w:pP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1002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5,937</w:t>
            </w:r>
          </w:p>
        </w:tc>
        <w:tc>
          <w:tcPr>
            <w:tcW w:w="100" w:type="dxa"/>
            <w:vAlign w:val="bottom"/>
          </w:tcPr>
          <w:p>
            <w:pPr>
              <w:spacing w:after="0"/>
              <w:rPr>
                <w:sz w:val="16"/>
                <w:szCs w:val="16"/>
                <w:color w:val="auto"/>
              </w:rPr>
            </w:pPr>
          </w:p>
        </w:tc>
      </w:tr>
      <w:tr>
        <w:trPr>
          <w:trHeight w:val="188"/>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Repairs and maintenance</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6"/>
                <w:szCs w:val="16"/>
                <w:color w:val="auto"/>
              </w:rPr>
            </w:pPr>
          </w:p>
        </w:tc>
      </w:tr>
      <w:tr>
        <w:trPr>
          <w:trHeight w:val="188"/>
        </w:trPr>
        <w:tc>
          <w:tcPr>
            <w:tcW w:w="10020" w:type="dxa"/>
            <w:vAlign w:val="bottom"/>
          </w:tcPr>
          <w:p>
            <w:pPr>
              <w:ind w:left="160"/>
              <w:spacing w:after="0"/>
              <w:rPr>
                <w:sz w:val="20"/>
                <w:szCs w:val="20"/>
                <w:color w:val="auto"/>
              </w:rPr>
            </w:pPr>
            <w:r>
              <w:rPr>
                <w:rFonts w:ascii="Arial" w:cs="Arial" w:eastAsia="Arial" w:hAnsi="Arial"/>
                <w:sz w:val="16"/>
                <w:szCs w:val="16"/>
                <w:color w:val="auto"/>
              </w:rPr>
              <w:t>Environmental credit processing services</w:t>
            </w: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6"/>
                <w:szCs w:val="16"/>
                <w:color w:val="auto"/>
              </w:rPr>
            </w:pPr>
          </w:p>
        </w:tc>
      </w:tr>
      <w:tr>
        <w:trPr>
          <w:trHeight w:val="188"/>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6"/>
                <w:szCs w:val="16"/>
                <w:color w:val="auto"/>
              </w:rPr>
            </w:pPr>
          </w:p>
        </w:tc>
      </w:tr>
      <w:tr>
        <w:trPr>
          <w:trHeight w:val="188"/>
        </w:trPr>
        <w:tc>
          <w:tcPr>
            <w:tcW w:w="10020" w:type="dxa"/>
            <w:vAlign w:val="bottom"/>
          </w:tcPr>
          <w:p>
            <w:pPr>
              <w:ind w:left="16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16"/>
                <w:szCs w:val="16"/>
                <w:color w:val="auto"/>
              </w:rPr>
            </w:pPr>
          </w:p>
        </w:tc>
      </w:tr>
      <w:tr>
        <w:trPr>
          <w:trHeight w:val="188"/>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 retirement obligation accretion</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r>
      <w:tr>
        <w:trPr>
          <w:trHeight w:val="204"/>
        </w:trPr>
        <w:tc>
          <w:tcPr>
            <w:tcW w:w="10020" w:type="dxa"/>
            <w:vAlign w:val="bottom"/>
          </w:tcPr>
          <w:p>
            <w:pPr>
              <w:ind w:left="160"/>
              <w:spacing w:after="0"/>
              <w:rPr>
                <w:sz w:val="20"/>
                <w:szCs w:val="20"/>
                <w:color w:val="auto"/>
              </w:rPr>
            </w:pPr>
            <w:r>
              <w:rPr>
                <w:rFonts w:ascii="Arial" w:cs="Arial" w:eastAsia="Arial" w:hAnsi="Arial"/>
                <w:sz w:val="16"/>
                <w:szCs w:val="16"/>
                <w:color w:val="auto"/>
              </w:rPr>
              <w:t>Insurance</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r>
      <w:tr>
        <w:trPr>
          <w:trHeight w:val="208"/>
        </w:trPr>
        <w:tc>
          <w:tcPr>
            <w:tcW w:w="100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2"/>
        </w:trPr>
        <w:tc>
          <w:tcPr>
            <w:tcW w:w="10020" w:type="dxa"/>
            <w:vAlign w:val="bottom"/>
          </w:tcPr>
          <w:p>
            <w:pPr>
              <w:spacing w:after="0" w:line="172" w:lineRule="exact"/>
              <w:rPr>
                <w:sz w:val="20"/>
                <w:szCs w:val="20"/>
                <w:color w:val="auto"/>
              </w:rPr>
            </w:pPr>
            <w:r>
              <w:rPr>
                <w:rFonts w:ascii="Arial" w:cs="Arial" w:eastAsia="Arial" w:hAnsi="Arial"/>
                <w:sz w:val="16"/>
                <w:szCs w:val="16"/>
                <w:b w:val="1"/>
                <w:bCs w:val="1"/>
                <w:color w:val="auto"/>
              </w:rPr>
              <w:t>Other income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10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9"/>
        </w:trPr>
        <w:tc>
          <w:tcPr>
            <w:tcW w:w="10020" w:type="dxa"/>
            <w:vAlign w:val="bottom"/>
          </w:tcPr>
          <w:p>
            <w:pPr>
              <w:ind w:left="300"/>
              <w:spacing w:after="0" w:line="180" w:lineRule="exact"/>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5,399</w:t>
            </w:r>
          </w:p>
        </w:tc>
        <w:tc>
          <w:tcPr>
            <w:tcW w:w="10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75" w:name="page276"/>
    <w:bookmarkEnd w:id="275"/>
    <w:p>
      <w:pPr>
        <w:jc w:val="center"/>
        <w:ind w:right="20"/>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CHANGES IN MEMBERS’ EQUITY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ARCC</w:t>
            </w:r>
          </w:p>
        </w:tc>
        <w:tc>
          <w:tcPr>
            <w:tcW w:w="10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Fortistar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2"/>
              </w:rPr>
              <w:t>Beacon LLC</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Beacon LLC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32,208</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25,573</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57,781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ind w:left="160"/>
              <w:spacing w:after="0"/>
              <w:rPr>
                <w:sz w:val="20"/>
                <w:szCs w:val="20"/>
                <w:color w:val="auto"/>
              </w:rPr>
            </w:pPr>
            <w:r>
              <w:rPr>
                <w:rFonts w:ascii="Arial" w:cs="Arial" w:eastAsia="Arial" w:hAnsi="Arial"/>
                <w:sz w:val="16"/>
                <w:szCs w:val="16"/>
                <w:color w:val="auto"/>
              </w:rPr>
              <w:t>Distributions</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(5,770)</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(3,695)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(9,465)</w:t>
            </w: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3,008</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2,391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April 30, 2021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3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29,446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24,269</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53,715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76" w:name="page277"/>
    <w:bookmarkEnd w:id="276"/>
    <w:p>
      <w:pPr>
        <w:jc w:val="center"/>
        <w:ind w:left="1940"/>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left="194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6"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Adjustments to reconcile net income to net cash provided by operations: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Accretion of asset retirement obligation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Change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Accounts receivable and accrued revenues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Prepaid expense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Accounts payable and accrued expenses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Accrued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42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0100" cy="142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50100" cy="134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Four Months</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Ended</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April 30,</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0565" cy="152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0565" cy="15240"/>
                    </a:xfrm>
                    <a:prstGeom prst="rect">
                      <a:avLst/>
                    </a:prstGeom>
                    <a:noFill/>
                  </pic:spPr>
                </pic:pic>
              </a:graphicData>
            </a:graphic>
          </wp:anchor>
        </w:drawing>
      </w:r>
    </w:p>
    <w:p>
      <w:pPr>
        <w:spacing w:after="0" w:line="185" w:lineRule="exact"/>
        <w:rPr>
          <w:sz w:val="20"/>
          <w:szCs w:val="20"/>
          <w:color w:val="auto"/>
        </w:rPr>
      </w:pPr>
    </w:p>
    <w:p>
      <w:pPr>
        <w:ind w:left="780" w:hanging="771"/>
        <w:spacing w:after="0"/>
        <w:tabs>
          <w:tab w:leader="none" w:pos="78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5,399</w:t>
      </w:r>
    </w:p>
    <w:p>
      <w:pPr>
        <w:spacing w:after="0" w:line="204"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5"/>
          <w:szCs w:val="15"/>
          <w:color w:val="auto"/>
        </w:rPr>
        <w:t>1,049</w:t>
      </w:r>
    </w:p>
    <w:p>
      <w:pPr>
        <w:spacing w:after="0" w:line="27"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6"/>
          <w:szCs w:val="16"/>
          <w:color w:val="auto"/>
        </w:rPr>
        <w:t>11</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16</w:t>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(71)</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676</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5"/>
          <w:szCs w:val="15"/>
          <w:color w:val="auto"/>
        </w:rPr>
        <w:t>2,929</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10,009</w:t>
      </w:r>
    </w:p>
    <w:p>
      <w:pPr>
        <w:spacing w:after="0" w:line="239" w:lineRule="exact"/>
        <w:rPr>
          <w:sz w:val="20"/>
          <w:szCs w:val="20"/>
          <w:color w:val="auto"/>
        </w:rPr>
      </w:pPr>
    </w:p>
    <w:p>
      <w:pPr>
        <w:sectPr>
          <w:pgSz w:w="11900" w:h="16838" w:orient="portrait"/>
          <w:cols w:equalWidth="0" w:num="2">
            <w:col w:w="9300" w:space="720"/>
            <w:col w:w="1240"/>
          </w:cols>
          <w:pgMar w:left="320" w:top="688" w:right="319" w:bottom="1440" w:gutter="0" w:footer="0" w:header="0"/>
        </w:sectPr>
      </w:pPr>
    </w:p>
    <w:tbl>
      <w:tblPr>
        <w:tblLayout w:type="fixed"/>
        <w:tblInd w:w="0" w:type="dxa"/>
        <w:tblCellMar>
          <w:top w:w="0" w:type="dxa"/>
          <w:left w:w="0" w:type="dxa"/>
          <w:bottom w:w="0" w:type="dxa"/>
          <w:right w:w="0" w:type="dxa"/>
        </w:tblCellMar>
      </w:tblPr>
      <w:tr>
        <w:trPr>
          <w:trHeight w:val="190"/>
        </w:trPr>
        <w:tc>
          <w:tcPr>
            <w:tcW w:w="10020" w:type="dxa"/>
            <w:vAlign w:val="bottom"/>
          </w:tcPr>
          <w:p>
            <w:pPr>
              <w:ind w:left="160"/>
              <w:spacing w:after="0"/>
              <w:rPr>
                <w:sz w:val="20"/>
                <w:szCs w:val="20"/>
                <w:color w:val="auto"/>
              </w:rPr>
            </w:pPr>
            <w:r>
              <w:rPr>
                <w:rFonts w:ascii="Arial" w:cs="Arial" w:eastAsia="Arial" w:hAnsi="Arial"/>
                <w:sz w:val="16"/>
                <w:szCs w:val="16"/>
                <w:color w:val="auto"/>
              </w:rPr>
              <w:t>Purchase of plant and equipment</w:t>
            </w:r>
          </w:p>
        </w:tc>
        <w:tc>
          <w:tcPr>
            <w:tcW w:w="40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(346)</w:t>
            </w:r>
          </w:p>
        </w:tc>
      </w:tr>
      <w:tr>
        <w:trPr>
          <w:trHeight w:val="220"/>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 of capital spares inventory</w:t>
            </w:r>
          </w:p>
        </w:tc>
        <w:tc>
          <w:tcPr>
            <w:tcW w:w="4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r>
      <w:tr>
        <w:trPr>
          <w:trHeight w:val="176"/>
        </w:trPr>
        <w:tc>
          <w:tcPr>
            <w:tcW w:w="1002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Net Cash used in investing activities</w:t>
            </w:r>
          </w:p>
        </w:tc>
        <w:tc>
          <w:tcPr>
            <w:tcW w:w="4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(445</w:t>
            </w:r>
          </w:p>
        </w:tc>
        <w:tc>
          <w:tcPr>
            <w:tcW w:w="120" w:type="dxa"/>
            <w:vAlign w:val="bottom"/>
            <w:tcBorders>
              <w:top w:val="single" w:sz="8" w:color="CCEEFF"/>
              <w:bottom w:val="single" w:sz="8" w:color="CCEEFF"/>
            </w:tcBorders>
            <w:gridSpan w:val="2"/>
          </w:tcPr>
          <w:p>
            <w:pPr>
              <w:jc w:val="right"/>
              <w:ind w:right="60"/>
              <w:spacing w:after="0" w:line="172" w:lineRule="exact"/>
              <w:rPr>
                <w:sz w:val="20"/>
                <w:szCs w:val="20"/>
                <w:color w:val="auto"/>
              </w:rPr>
            </w:pPr>
            <w:r>
              <w:rPr>
                <w:rFonts w:ascii="Arial" w:cs="Arial" w:eastAsia="Arial" w:hAnsi="Arial"/>
                <w:sz w:val="16"/>
                <w:szCs w:val="16"/>
                <w:color w:val="auto"/>
                <w:w w:val="74"/>
              </w:rPr>
              <w:t>)</w:t>
            </w: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10020" w:type="dxa"/>
            <w:vAlign w:val="bottom"/>
          </w:tcPr>
          <w:p>
            <w:pPr>
              <w:ind w:left="160"/>
              <w:spacing w:after="0"/>
              <w:rPr>
                <w:sz w:val="20"/>
                <w:szCs w:val="20"/>
                <w:color w:val="auto"/>
              </w:rPr>
            </w:pPr>
            <w:r>
              <w:rPr>
                <w:rFonts w:ascii="Arial" w:cs="Arial" w:eastAsia="Arial" w:hAnsi="Arial"/>
                <w:sz w:val="16"/>
                <w:szCs w:val="16"/>
                <w:color w:val="auto"/>
              </w:rPr>
              <w:t>Distributions to members</w:t>
            </w:r>
          </w:p>
        </w:tc>
        <w:tc>
          <w:tcPr>
            <w:tcW w:w="4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(9,465)</w:t>
            </w:r>
          </w:p>
        </w:tc>
      </w:tr>
      <w:tr>
        <w:trPr>
          <w:trHeight w:val="208"/>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(9,465</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172"/>
        </w:trPr>
        <w:tc>
          <w:tcPr>
            <w:tcW w:w="10020" w:type="dxa"/>
            <w:vAlign w:val="bottom"/>
          </w:tcPr>
          <w:p>
            <w:pPr>
              <w:spacing w:after="0" w:line="172" w:lineRule="exact"/>
              <w:rPr>
                <w:sz w:val="20"/>
                <w:szCs w:val="20"/>
                <w:color w:val="auto"/>
              </w:rPr>
            </w:pPr>
            <w:r>
              <w:rPr>
                <w:rFonts w:ascii="Arial" w:cs="Arial" w:eastAsia="Arial" w:hAnsi="Arial"/>
                <w:sz w:val="16"/>
                <w:szCs w:val="16"/>
                <w:color w:val="auto"/>
              </w:rPr>
              <w:t>Net increase in cash and restricted cash</w:t>
            </w:r>
          </w:p>
        </w:tc>
        <w:tc>
          <w:tcPr>
            <w:tcW w:w="40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6"/>
                <w:szCs w:val="16"/>
                <w:color w:val="auto"/>
              </w:rPr>
              <w:t>99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restricted cash,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9"/>
        </w:trPr>
        <w:tc>
          <w:tcPr>
            <w:tcW w:w="10020" w:type="dxa"/>
            <w:vAlign w:val="bottom"/>
          </w:tcPr>
          <w:p>
            <w:pPr>
              <w:spacing w:after="0" w:line="180" w:lineRule="exact"/>
              <w:rPr>
                <w:sz w:val="20"/>
                <w:szCs w:val="20"/>
                <w:color w:val="auto"/>
              </w:rPr>
            </w:pPr>
            <w:r>
              <w:rPr>
                <w:rFonts w:ascii="Arial" w:cs="Arial" w:eastAsia="Arial" w:hAnsi="Arial"/>
                <w:sz w:val="16"/>
                <w:szCs w:val="16"/>
                <w:color w:val="auto"/>
              </w:rPr>
              <w:t>Cash and restricted cash, end of period</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3,082</w:t>
            </w:r>
          </w:p>
        </w:tc>
        <w:tc>
          <w:tcPr>
            <w:tcW w:w="10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type w:val="continuous"/>
        </w:sectPr>
      </w:pPr>
    </w:p>
    <w:bookmarkStart w:id="277" w:name="page278"/>
    <w:bookmarkEnd w:id="277"/>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Business</w:t>
      </w:r>
    </w:p>
    <w:p>
      <w:pPr>
        <w:spacing w:after="0" w:line="197"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Along with the two facilities, the Company acquired landfill gas rights, a gas sales agreement, and other agreements. The Company’s managing member is Fortistar Beacon LLC (“Managing Member”).</w:t>
      </w:r>
    </w:p>
    <w:p>
      <w:pPr>
        <w:spacing w:after="0" w:line="165" w:lineRule="exact"/>
        <w:rPr>
          <w:sz w:val="20"/>
          <w:szCs w:val="20"/>
          <w:color w:val="auto"/>
        </w:rPr>
      </w:pPr>
    </w:p>
    <w:p>
      <w:pPr>
        <w:ind w:left="6" w:right="8040" w:hanging="6"/>
        <w:spacing w:after="0" w:line="608" w:lineRule="auto"/>
        <w:tabs>
          <w:tab w:leader="none" w:pos="288" w:val="left"/>
        </w:tabs>
        <w:numPr>
          <w:ilvl w:val="0"/>
          <w:numId w:val="16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 Principles of Consolidation and Presentation</w:t>
      </w:r>
    </w:p>
    <w:p>
      <w:pPr>
        <w:jc w:val="both"/>
        <w:ind w:left="6" w:firstLine="283"/>
        <w:spacing w:after="0" w:line="251" w:lineRule="auto"/>
        <w:rPr>
          <w:sz w:val="20"/>
          <w:szCs w:val="20"/>
          <w:color w:val="auto"/>
        </w:rPr>
      </w:pPr>
      <w:r>
        <w:rPr>
          <w:rFonts w:ascii="Arial" w:cs="Arial" w:eastAsia="Arial" w:hAnsi="Arial"/>
          <w:sz w:val="16"/>
          <w:szCs w:val="16"/>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Risks and Uncertainties</w:t>
      </w:r>
    </w:p>
    <w:p>
      <w:pPr>
        <w:spacing w:after="0" w:line="197" w:lineRule="exact"/>
        <w:rPr>
          <w:sz w:val="20"/>
          <w:szCs w:val="20"/>
          <w:color w:val="auto"/>
        </w:rPr>
      </w:pPr>
    </w:p>
    <w:p>
      <w:pPr>
        <w:jc w:val="both"/>
        <w:ind w:left="6" w:firstLine="283"/>
        <w:spacing w:after="0" w:line="274" w:lineRule="auto"/>
        <w:rPr>
          <w:sz w:val="20"/>
          <w:szCs w:val="20"/>
          <w:color w:val="auto"/>
        </w:rPr>
      </w:pPr>
      <w:r>
        <w:rPr>
          <w:rFonts w:ascii="Arial" w:cs="Arial" w:eastAsia="Arial" w:hAnsi="Arial"/>
          <w:sz w:val="15"/>
          <w:szCs w:val="15"/>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for the four months ended April 30, 2021.</w:t>
      </w:r>
    </w:p>
    <w:p>
      <w:pPr>
        <w:spacing w:after="0" w:line="155" w:lineRule="exact"/>
        <w:rPr>
          <w:sz w:val="20"/>
          <w:szCs w:val="20"/>
          <w:color w:val="auto"/>
        </w:rPr>
      </w:pPr>
    </w:p>
    <w:p>
      <w:pPr>
        <w:jc w:val="both"/>
        <w:ind w:left="6" w:firstLine="283"/>
        <w:spacing w:after="0" w:line="281" w:lineRule="auto"/>
        <w:rPr>
          <w:sz w:val="20"/>
          <w:szCs w:val="20"/>
          <w:color w:val="auto"/>
        </w:rPr>
      </w:pPr>
      <w:r>
        <w:rPr>
          <w:rFonts w:ascii="Arial" w:cs="Arial" w:eastAsia="Arial" w:hAnsi="Arial"/>
          <w:sz w:val="15"/>
          <w:szCs w:val="15"/>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Cash</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Company periodically maintains cash in bank accounts more than the established limits insured by the Federal Deposit Insurance Corporation.</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Restricted Cash</w:t>
      </w:r>
    </w:p>
    <w:p>
      <w:pPr>
        <w:spacing w:after="0" w:line="197"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The Company’s restricted cash as of April 30, 2021 was $1.2 million. This certificate of deposit serves as collateral for a letter of credit issued by a financial institution on behalf of the Company. The letter of credit provides credit support for the Company relating to a gas transportation contract.</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78" w:name="page279"/>
    <w:bookmarkEnd w:id="278"/>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Accounts Receivable and Allowance for Doubtful Accounts</w:t>
      </w:r>
    </w:p>
    <w:p>
      <w:pPr>
        <w:spacing w:after="0" w:line="197"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April 30, 2021.</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Capital Spares</w:t>
      </w:r>
    </w:p>
    <w:p>
      <w:pPr>
        <w:spacing w:after="0" w:line="197"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Plant and Equipment</w:t>
      </w:r>
    </w:p>
    <w:p>
      <w:pPr>
        <w:spacing w:after="0" w:line="197" w:lineRule="exact"/>
        <w:rPr>
          <w:sz w:val="20"/>
          <w:szCs w:val="20"/>
          <w:color w:val="auto"/>
        </w:rPr>
      </w:pPr>
    </w:p>
    <w:p>
      <w:pPr>
        <w:jc w:val="both"/>
        <w:ind w:left="6" w:firstLine="283"/>
        <w:spacing w:after="0" w:line="322" w:lineRule="auto"/>
        <w:rPr>
          <w:sz w:val="20"/>
          <w:szCs w:val="20"/>
          <w:color w:val="auto"/>
        </w:rPr>
      </w:pPr>
      <w:r>
        <w:rPr>
          <w:rFonts w:ascii="Arial" w:cs="Arial" w:eastAsia="Arial" w:hAnsi="Arial"/>
          <w:sz w:val="13"/>
          <w:szCs w:val="13"/>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Accounts Payable and Accrued Expenses</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5"/>
          <w:szCs w:val="15"/>
          <w:color w:val="auto"/>
        </w:rPr>
        <w:t>Accounts payable and accrued expenses are costs related to the Company, which are due to vendors, for goods or services received or incurred as of April 30, 2021.</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Impairment of Long-Lived Assets</w:t>
      </w:r>
    </w:p>
    <w:p>
      <w:pPr>
        <w:spacing w:after="0" w:line="197" w:lineRule="exact"/>
        <w:rPr>
          <w:sz w:val="20"/>
          <w:szCs w:val="20"/>
          <w:color w:val="auto"/>
        </w:rPr>
      </w:pPr>
    </w:p>
    <w:p>
      <w:pPr>
        <w:jc w:val="both"/>
        <w:ind w:left="6" w:firstLine="283"/>
        <w:spacing w:after="0" w:line="329" w:lineRule="auto"/>
        <w:rPr>
          <w:sz w:val="20"/>
          <w:szCs w:val="20"/>
          <w:color w:val="auto"/>
        </w:rPr>
      </w:pPr>
      <w:r>
        <w:rPr>
          <w:rFonts w:ascii="Arial" w:cs="Arial" w:eastAsia="Arial" w:hAnsi="Arial"/>
          <w:sz w:val="13"/>
          <w:szCs w:val="13"/>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period ended April 30, 2021.</w:t>
      </w:r>
    </w:p>
    <w:p>
      <w:pPr>
        <w:spacing w:after="0" w:line="21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79" w:name="page280"/>
    <w:bookmarkEnd w:id="279"/>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Asset Retirement Obligation</w:t>
      </w:r>
    </w:p>
    <w:p>
      <w:pPr>
        <w:spacing w:after="0" w:line="197" w:lineRule="exact"/>
        <w:rPr>
          <w:sz w:val="20"/>
          <w:szCs w:val="20"/>
          <w:color w:val="auto"/>
        </w:rPr>
      </w:pPr>
    </w:p>
    <w:p>
      <w:pPr>
        <w:jc w:val="both"/>
        <w:ind w:left="6" w:firstLine="283"/>
        <w:spacing w:after="0" w:line="316" w:lineRule="auto"/>
        <w:rPr>
          <w:sz w:val="20"/>
          <w:szCs w:val="20"/>
          <w:color w:val="auto"/>
        </w:rPr>
      </w:pPr>
      <w:r>
        <w:rPr>
          <w:rFonts w:ascii="Arial" w:cs="Arial" w:eastAsia="Arial" w:hAnsi="Arial"/>
          <w:sz w:val="13"/>
          <w:szCs w:val="13"/>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130"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At April 30, 2021, the Company estimated the value of its total asset retirement obligations to be $279 based on a projected future liability of $2,095. Changes in the asset retirement obligations were as follows for the periods ended April 30, 2021:</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56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April 30,</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44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00" w:type="dxa"/>
            <w:vAlign w:val="bottom"/>
          </w:tcPr>
          <w:p>
            <w:pPr>
              <w:spacing w:after="0"/>
              <w:rPr>
                <w:sz w:val="20"/>
                <w:szCs w:val="20"/>
                <w:color w:val="auto"/>
              </w:rPr>
            </w:pPr>
            <w:r>
              <w:rPr>
                <w:rFonts w:ascii="Arial" w:cs="Arial" w:eastAsia="Arial" w:hAnsi="Arial"/>
                <w:sz w:val="16"/>
                <w:szCs w:val="16"/>
                <w:color w:val="auto"/>
              </w:rPr>
              <w:t>Accretion expense</w:t>
            </w:r>
          </w:p>
        </w:tc>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
        </w:trPr>
        <w:tc>
          <w:tcPr>
            <w:tcW w:w="56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4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vMerge w:val="continue"/>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Revenue Recognition</w:t>
      </w:r>
    </w:p>
    <w:p>
      <w:pPr>
        <w:spacing w:after="0" w:line="197" w:lineRule="exact"/>
        <w:rPr>
          <w:sz w:val="20"/>
          <w:szCs w:val="20"/>
          <w:color w:val="auto"/>
        </w:rPr>
      </w:pPr>
    </w:p>
    <w:p>
      <w:pPr>
        <w:jc w:val="both"/>
        <w:ind w:left="6" w:firstLine="283"/>
        <w:spacing w:after="0" w:line="268" w:lineRule="auto"/>
        <w:rPr>
          <w:sz w:val="20"/>
          <w:szCs w:val="20"/>
          <w:color w:val="auto"/>
        </w:rPr>
      </w:pPr>
      <w:r>
        <w:rPr>
          <w:rFonts w:ascii="Arial" w:cs="Arial" w:eastAsia="Arial" w:hAnsi="Arial"/>
          <w:sz w:val="15"/>
          <w:szCs w:val="15"/>
          <w:color w:val="auto"/>
        </w:rPr>
        <w:t>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59" w:lineRule="exact"/>
        <w:rPr>
          <w:sz w:val="20"/>
          <w:szCs w:val="20"/>
          <w:color w:val="auto"/>
        </w:rPr>
      </w:pPr>
    </w:p>
    <w:p>
      <w:pPr>
        <w:jc w:val="both"/>
        <w:ind w:left="6" w:firstLine="283"/>
        <w:spacing w:after="0" w:line="269" w:lineRule="auto"/>
        <w:rPr>
          <w:sz w:val="20"/>
          <w:szCs w:val="20"/>
          <w:color w:val="auto"/>
        </w:rPr>
      </w:pPr>
      <w:r>
        <w:rPr>
          <w:rFonts w:ascii="Arial" w:cs="Arial" w:eastAsia="Arial" w:hAnsi="Arial"/>
          <w:sz w:val="15"/>
          <w:szCs w:val="15"/>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59" w:lineRule="exact"/>
        <w:rPr>
          <w:sz w:val="20"/>
          <w:szCs w:val="20"/>
          <w:color w:val="auto"/>
        </w:rPr>
      </w:pPr>
    </w:p>
    <w:p>
      <w:pPr>
        <w:jc w:val="both"/>
        <w:ind w:left="6" w:right="20" w:firstLine="283"/>
        <w:spacing w:after="0" w:line="300" w:lineRule="auto"/>
        <w:rPr>
          <w:sz w:val="20"/>
          <w:szCs w:val="20"/>
          <w:color w:val="auto"/>
        </w:rPr>
      </w:pPr>
      <w:r>
        <w:rPr>
          <w:rFonts w:ascii="Arial" w:cs="Arial" w:eastAsia="Arial" w:hAnsi="Arial"/>
          <w:sz w:val="15"/>
          <w:szCs w:val="15"/>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34"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26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80" w:name="page281"/>
    <w:bookmarkEnd w:id="280"/>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Use of Estimates</w:t>
      </w:r>
    </w:p>
    <w:p>
      <w:pPr>
        <w:spacing w:after="0" w:line="197"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Recurring Fair Value Measurements</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3"/>
          <w:szCs w:val="13"/>
          <w:color w:val="auto"/>
        </w:rPr>
        <w:t>The Company has cash, accounts receivable, and accounts payable for which the carrying value approximates fair value due to the short-term nature of these instruments.</w:t>
      </w:r>
    </w:p>
    <w:p>
      <w:pPr>
        <w:spacing w:after="0" w:line="22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Income Taxes</w:t>
      </w:r>
    </w:p>
    <w:p>
      <w:pPr>
        <w:spacing w:after="0" w:line="197"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Concentrations</w:t>
      </w:r>
    </w:p>
    <w:p>
      <w:pPr>
        <w:spacing w:after="0" w:line="197"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For the four months ended April 30, 2021, one customer accounted for 92% of revenue. There were no individual customers which accounted for more than 10% of total Account Receivable as of April 30, 2021.</w:t>
      </w:r>
    </w:p>
    <w:p>
      <w:pPr>
        <w:spacing w:after="0" w:line="157"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For the four months ended April 30, 2021, no vendors accounted for more than 10% of overall purchases. Six vendors accounted for 84% of the accounts payable and accrued expenses balance as of April 30, 2021.</w:t>
      </w:r>
    </w:p>
    <w:p>
      <w:pPr>
        <w:spacing w:after="0" w:line="157"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The Company deposits its cash in high credit quality financial institutions located in the United States of America. Deposits with one financial institution exceeded federally insured limits as of April 30, 2021.</w:t>
      </w:r>
    </w:p>
    <w:p>
      <w:pPr>
        <w:spacing w:after="0" w:line="153" w:lineRule="exact"/>
        <w:rPr>
          <w:sz w:val="20"/>
          <w:szCs w:val="20"/>
          <w:color w:val="auto"/>
        </w:rPr>
      </w:pPr>
    </w:p>
    <w:p>
      <w:pPr>
        <w:ind w:left="6" w:right="9140" w:hanging="6"/>
        <w:spacing w:after="0" w:line="608" w:lineRule="auto"/>
        <w:tabs>
          <w:tab w:leader="none" w:pos="288" w:val="left"/>
        </w:tabs>
        <w:numPr>
          <w:ilvl w:val="0"/>
          <w:numId w:val="172"/>
        </w:numPr>
        <w:rPr>
          <w:rFonts w:ascii="Arial" w:cs="Arial" w:eastAsia="Arial" w:hAnsi="Arial"/>
          <w:sz w:val="13"/>
          <w:szCs w:val="13"/>
          <w:b w:val="1"/>
          <w:bCs w:val="1"/>
          <w:color w:val="auto"/>
        </w:rPr>
      </w:pPr>
      <w:r>
        <w:rPr>
          <w:rFonts w:ascii="Arial" w:cs="Arial" w:eastAsia="Arial" w:hAnsi="Arial"/>
          <w:sz w:val="13"/>
          <w:szCs w:val="13"/>
          <w:b w:val="1"/>
          <w:bCs w:val="1"/>
          <w:color w:val="auto"/>
        </w:rPr>
        <w:t>Company Operations RNG and RIN Sales Agreement</w:t>
      </w:r>
    </w:p>
    <w:p>
      <w:pPr>
        <w:jc w:val="both"/>
        <w:ind w:left="6" w:firstLine="283"/>
        <w:spacing w:after="0" w:line="252" w:lineRule="auto"/>
        <w:rPr>
          <w:sz w:val="20"/>
          <w:szCs w:val="20"/>
          <w:color w:val="auto"/>
        </w:rPr>
      </w:pPr>
      <w:r>
        <w:rPr>
          <w:rFonts w:ascii="Arial" w:cs="Arial" w:eastAsia="Arial" w:hAnsi="Arial"/>
          <w:sz w:val="16"/>
          <w:szCs w:val="16"/>
          <w:color w:val="auto"/>
        </w:rPr>
        <w:t>In September 2020, the Company commenced an arrangement with a gas marketer to sell only RNG. Under this arrangement, RNG is sold at the pipeline index price, less a fixed per MMBtu fee. In June 2020, the Company contracted with (“TruStar”), a related party, to generate and market RINs from RNG produced by Company starting with September 2020 operations. During April 2021, RNG and the share received from the gas marketer’s RIN sales under the new agreements were $1,137 for RNG sales and $12,101 for RIN sales.</w:t>
      </w:r>
    </w:p>
    <w:p>
      <w:pPr>
        <w:spacing w:after="0" w:line="169"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During the four months ended April 30, 2021, the Company recorded $1,134 of environmental credit processing services to operating expenses and an offsetting gain on non-monetary RINs transferred to TruStar in payment for these services to other income within the statements of operations.</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81" w:name="page282"/>
    <w:bookmarkEnd w:id="281"/>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 Operations </w:t>
      </w:r>
      <w:r>
        <w:rPr>
          <w:rFonts w:ascii="Arial" w:cs="Arial" w:eastAsia="Arial" w:hAnsi="Arial"/>
          <w:sz w:val="16"/>
          <w:szCs w:val="16"/>
          <w:color w:val="auto"/>
        </w:rPr>
        <w:t>(cont.)</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Gas Transportation Sales Agreement</w:t>
      </w:r>
    </w:p>
    <w:p>
      <w:pPr>
        <w:spacing w:after="0" w:line="197" w:lineRule="exact"/>
        <w:rPr>
          <w:sz w:val="20"/>
          <w:szCs w:val="20"/>
          <w:color w:val="auto"/>
        </w:rPr>
      </w:pPr>
    </w:p>
    <w:p>
      <w:pPr>
        <w:jc w:val="both"/>
        <w:ind w:left="6" w:firstLine="283"/>
        <w:spacing w:after="0" w:line="281" w:lineRule="auto"/>
        <w:rPr>
          <w:sz w:val="20"/>
          <w:szCs w:val="20"/>
          <w:color w:val="auto"/>
        </w:rPr>
      </w:pPr>
      <w:r>
        <w:rPr>
          <w:rFonts w:ascii="Arial" w:cs="Arial" w:eastAsia="Arial" w:hAnsi="Arial"/>
          <w:sz w:val="15"/>
          <w:szCs w:val="15"/>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four months ending April 30, 2021 was $74.</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Landfill Gas Rights</w:t>
      </w:r>
    </w:p>
    <w:p>
      <w:pPr>
        <w:spacing w:after="0" w:line="197"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The Company has two agreements with landfill owners whereby the Company obtains rights to the landfill gas in exchange for an amount per MMBtu of gas delivered at Imperial and a royalty based on the percentage of net RNG revenue at Greentree. Please see legal matters below for more information.</w:t>
      </w:r>
    </w:p>
    <w:p>
      <w:pPr>
        <w:spacing w:after="0" w:line="157"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The Company has accrued $4,196 for these royalties as of April 30, 2021 which are included in the consolidated balance sheet. The Company has expensed $3,500 for these royalties as of April 30, 2021 which are included in the consolidated statements of operations under “Operations”.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Gas Transportation Fee</w:t>
      </w:r>
    </w:p>
    <w:p>
      <w:pPr>
        <w:spacing w:after="0" w:line="197" w:lineRule="exact"/>
        <w:rPr>
          <w:sz w:val="20"/>
          <w:szCs w:val="20"/>
          <w:color w:val="auto"/>
        </w:rPr>
      </w:pPr>
    </w:p>
    <w:p>
      <w:pPr>
        <w:jc w:val="both"/>
        <w:ind w:left="6" w:firstLine="283"/>
        <w:spacing w:after="0" w:line="281" w:lineRule="auto"/>
        <w:rPr>
          <w:sz w:val="20"/>
          <w:szCs w:val="20"/>
          <w:color w:val="auto"/>
        </w:rPr>
      </w:pPr>
      <w:r>
        <w:rPr>
          <w:rFonts w:ascii="Arial" w:cs="Arial" w:eastAsia="Arial" w:hAnsi="Arial"/>
          <w:sz w:val="15"/>
          <w:szCs w:val="15"/>
          <w:color w:val="auto"/>
        </w:rPr>
        <w:t>During the period ending April 30, 2021, the Company had seven agreements with the gas pipeline to transport RNG and blending gas at regulated tariff rates. Most of these contracts were year-to-year with 6 – to – 12-month termination notice provisions. Of the seven contracts remaining, three contracts were terminated in Q3 2021, two were extended until 2024 but with a reduction in contracted volumes starting in 2021, one contract’s term ends in 2032, and one contract’s term is indefinite.</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Operations and Maintenance Agreements</w:t>
      </w:r>
    </w:p>
    <w:p>
      <w:pPr>
        <w:spacing w:after="0" w:line="197"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The Company has two operations and maintenance agreements with third-party providers who provide operating services at the two facilities. These agreements were terminated July 2021 and work was moved in house. For the four months ended April 30, 2021, costs related to these contracts were $601 and are recorded in the consolidated statements of operations under “Operations”.</w:t>
      </w:r>
    </w:p>
    <w:p>
      <w:pPr>
        <w:sectPr>
          <w:pgSz w:w="11900" w:h="16838" w:orient="portrait"/>
          <w:cols w:equalWidth="0" w:num="1">
            <w:col w:w="11246"/>
          </w:cols>
          <w:pgMar w:left="314" w:top="688" w:right="339" w:bottom="1440" w:gutter="0" w:footer="0" w:header="0"/>
        </w:sectPr>
      </w:pPr>
    </w:p>
    <w:p>
      <w:pPr>
        <w:spacing w:after="0" w:line="161" w:lineRule="exact"/>
        <w:rPr>
          <w:sz w:val="20"/>
          <w:szCs w:val="20"/>
          <w:color w:val="auto"/>
        </w:rPr>
      </w:pPr>
    </w:p>
    <w:p>
      <w:pPr>
        <w:ind w:left="286" w:hanging="286"/>
        <w:spacing w:after="0"/>
        <w:tabs>
          <w:tab w:leader="none" w:pos="286"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Plant and Equipment</w:t>
      </w:r>
    </w:p>
    <w:p>
      <w:pPr>
        <w:spacing w:after="0" w:line="196" w:lineRule="exact"/>
        <w:rPr>
          <w:rFonts w:ascii="Arial" w:cs="Arial" w:eastAsia="Arial" w:hAnsi="Arial"/>
          <w:sz w:val="16"/>
          <w:szCs w:val="16"/>
          <w:b w:val="1"/>
          <w:bCs w:val="1"/>
          <w:color w:val="auto"/>
        </w:rPr>
      </w:pPr>
    </w:p>
    <w:p>
      <w:pPr>
        <w:ind w:left="286"/>
        <w:spacing w:after="0"/>
        <w:rPr>
          <w:rFonts w:ascii="Arial" w:cs="Arial" w:eastAsia="Arial" w:hAnsi="Arial"/>
          <w:sz w:val="16"/>
          <w:szCs w:val="16"/>
          <w:b w:val="1"/>
          <w:bCs w:val="1"/>
          <w:color w:val="auto"/>
        </w:rPr>
      </w:pPr>
      <w:r>
        <w:rPr>
          <w:rFonts w:ascii="Arial" w:cs="Arial" w:eastAsia="Arial" w:hAnsi="Arial"/>
          <w:sz w:val="13"/>
          <w:szCs w:val="13"/>
          <w:color w:val="auto"/>
        </w:rPr>
        <w:t>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7150100" cy="134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
        <w:spacing w:after="0"/>
        <w:rPr>
          <w:sz w:val="20"/>
          <w:szCs w:val="20"/>
          <w:color w:val="auto"/>
        </w:rPr>
      </w:pPr>
      <w:r>
        <w:rPr>
          <w:rFonts w:ascii="Arial" w:cs="Arial" w:eastAsia="Arial" w:hAnsi="Arial"/>
          <w:sz w:val="16"/>
          <w:szCs w:val="16"/>
          <w:color w:val="auto"/>
        </w:rPr>
        <w:t>Equipment</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H2S removal system</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Wellfield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50100" cy="1193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Pipeline</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50100" cy="1193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Greentree membranes</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Asset retirement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50100" cy="142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0100" cy="142240"/>
                    </a:xfrm>
                    <a:prstGeom prst="rect">
                      <a:avLst/>
                    </a:prstGeom>
                    <a:noFill/>
                  </pic:spPr>
                </pic:pic>
              </a:graphicData>
            </a:graphic>
          </wp:anchor>
        </w:drawing>
      </w:r>
    </w:p>
    <w:p>
      <w:pPr>
        <w:spacing w:after="0" w:line="8" w:lineRule="exact"/>
        <w:rPr>
          <w:sz w:val="20"/>
          <w:szCs w:val="20"/>
          <w:color w:val="auto"/>
        </w:rPr>
      </w:pPr>
    </w:p>
    <w:p>
      <w:pPr>
        <w:ind w:left="166"/>
        <w:spacing w:after="0"/>
        <w:rPr>
          <w:sz w:val="20"/>
          <w:szCs w:val="20"/>
          <w:color w:val="auto"/>
        </w:rPr>
      </w:pPr>
      <w:r>
        <w:rPr>
          <w:rFonts w:ascii="Arial" w:cs="Arial" w:eastAsia="Arial" w:hAnsi="Arial"/>
          <w:sz w:val="16"/>
          <w:szCs w:val="16"/>
          <w:color w:val="auto"/>
        </w:rPr>
        <w:t>Plant and equipment, gross</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50100" cy="1193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Construction-in-progress</w:t>
      </w:r>
    </w:p>
    <w:p>
      <w:pPr>
        <w:spacing w:after="0" w:line="17" w:lineRule="exact"/>
        <w:rPr>
          <w:sz w:val="20"/>
          <w:szCs w:val="20"/>
          <w:color w:val="auto"/>
        </w:rPr>
      </w:pPr>
    </w:p>
    <w:p>
      <w:pPr>
        <w:ind w:left="166"/>
        <w:spacing w:after="0"/>
        <w:rPr>
          <w:sz w:val="20"/>
          <w:szCs w:val="20"/>
          <w:color w:val="auto"/>
        </w:rPr>
      </w:pPr>
      <w:r>
        <w:rPr>
          <w:rFonts w:ascii="Arial" w:cs="Arial" w:eastAsia="Arial" w:hAnsi="Arial"/>
          <w:sz w:val="16"/>
          <w:szCs w:val="16"/>
          <w:color w:val="auto"/>
        </w:rPr>
        <w:t>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50100" cy="164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0100" cy="164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April</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2021</w:t>
      </w:r>
    </w:p>
    <w:p>
      <w:pPr>
        <w:spacing w:after="0" w:line="17" w:lineRule="exact"/>
        <w:rPr>
          <w:sz w:val="20"/>
          <w:szCs w:val="20"/>
          <w:color w:val="auto"/>
        </w:rPr>
      </w:pPr>
    </w:p>
    <w:p>
      <w:pPr>
        <w:ind w:left="700" w:hanging="691"/>
        <w:spacing w:after="0"/>
        <w:tabs>
          <w:tab w:leader="none" w:pos="70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52,048</w:t>
      </w:r>
    </w:p>
    <w:p>
      <w:pPr>
        <w:spacing w:after="0" w:line="27"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5"/>
          <w:szCs w:val="15"/>
          <w:color w:val="auto"/>
        </w:rPr>
        <w:t>5,117</w:t>
      </w:r>
    </w:p>
    <w:p>
      <w:pPr>
        <w:spacing w:after="0" w:line="15"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5"/>
          <w:szCs w:val="15"/>
          <w:color w:val="auto"/>
        </w:rPr>
        <w:t>1,921</w:t>
      </w:r>
    </w:p>
    <w:p>
      <w:pPr>
        <w:spacing w:after="0" w:line="15"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5"/>
          <w:szCs w:val="15"/>
          <w:color w:val="auto"/>
        </w:rPr>
        <w:t>1,828</w:t>
      </w:r>
    </w:p>
    <w:p>
      <w:pPr>
        <w:spacing w:after="0" w:line="15"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839</w:t>
      </w:r>
    </w:p>
    <w:p>
      <w:pPr>
        <w:spacing w:after="0" w:line="4"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301</w:t>
      </w:r>
    </w:p>
    <w:p>
      <w:pPr>
        <w:spacing w:after="0" w:line="4"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217</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62,271</w:t>
      </w:r>
    </w:p>
    <w:p>
      <w:pPr>
        <w:spacing w:after="0" w:line="2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(6,530)</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378</w:t>
      </w:r>
    </w:p>
    <w:p>
      <w:pPr>
        <w:spacing w:after="0" w:line="52" w:lineRule="exact"/>
        <w:rPr>
          <w:sz w:val="20"/>
          <w:szCs w:val="20"/>
          <w:color w:val="auto"/>
        </w:rPr>
      </w:pPr>
    </w:p>
    <w:p>
      <w:pPr>
        <w:ind w:left="700" w:hanging="691"/>
        <w:spacing w:after="0"/>
        <w:tabs>
          <w:tab w:leader="none" w:pos="70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56,119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0565"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0565"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6" w:space="720"/>
            <w:col w:w="1220"/>
          </w:cols>
          <w:pgMar w:left="314" w:top="688" w:right="339" w:bottom="1440" w:gutter="0" w:footer="0" w:header="0"/>
          <w:type w:val="continuous"/>
        </w:sectPr>
      </w:pPr>
    </w:p>
    <w:p>
      <w:pPr>
        <w:spacing w:after="0" w:line="158"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0100"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46"/>
          </w:cols>
          <w:pgMar w:left="314" w:top="688" w:right="339" w:bottom="1440" w:gutter="0" w:footer="0" w:header="0"/>
          <w:type w:val="continuous"/>
        </w:sectPr>
      </w:pPr>
    </w:p>
    <w:bookmarkStart w:id="282" w:name="page283"/>
    <w:bookmarkEnd w:id="282"/>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Plant and Equipment </w:t>
      </w:r>
      <w:r>
        <w:rPr>
          <w:rFonts w:ascii="Arial" w:cs="Arial" w:eastAsia="Arial" w:hAnsi="Arial"/>
          <w:sz w:val="16"/>
          <w:szCs w:val="16"/>
          <w:color w:val="auto"/>
        </w:rPr>
        <w:t>(cont.)</w:t>
      </w:r>
    </w:p>
    <w:p>
      <w:pPr>
        <w:spacing w:after="0" w:line="197" w:lineRule="exact"/>
        <w:rPr>
          <w:sz w:val="20"/>
          <w:szCs w:val="20"/>
          <w:color w:val="auto"/>
        </w:rPr>
      </w:pPr>
    </w:p>
    <w:p>
      <w:pPr>
        <w:ind w:left="6" w:right="20" w:firstLine="283"/>
        <w:spacing w:after="0" w:line="266" w:lineRule="auto"/>
        <w:rPr>
          <w:sz w:val="20"/>
          <w:szCs w:val="20"/>
          <w:color w:val="auto"/>
        </w:rPr>
      </w:pPr>
      <w:r>
        <w:rPr>
          <w:rFonts w:ascii="Arial" w:cs="Arial" w:eastAsia="Arial" w:hAnsi="Arial"/>
          <w:sz w:val="16"/>
          <w:szCs w:val="16"/>
          <w:color w:val="auto"/>
        </w:rPr>
        <w:t>At April 30, 2021, construction in progress consisted of costs related to the thermal oxidizer. The project was completed in December of 2021. Depreciation expense on plant and equipment for the period ending April 30, 2021 was $1,049.</w:t>
      </w:r>
    </w:p>
    <w:p>
      <w:pPr>
        <w:spacing w:after="0" w:line="153" w:lineRule="exact"/>
        <w:rPr>
          <w:sz w:val="20"/>
          <w:szCs w:val="20"/>
          <w:color w:val="auto"/>
        </w:rPr>
      </w:pPr>
    </w:p>
    <w:p>
      <w:pPr>
        <w:ind w:left="286" w:hanging="286"/>
        <w:spacing w:after="0"/>
        <w:tabs>
          <w:tab w:leader="none" w:pos="286"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Ownership and Related Parties</w:t>
      </w:r>
    </w:p>
    <w:p>
      <w:pPr>
        <w:spacing w:after="0" w:line="197" w:lineRule="exact"/>
        <w:rPr>
          <w:sz w:val="20"/>
          <w:szCs w:val="20"/>
          <w:color w:val="auto"/>
        </w:rPr>
      </w:pPr>
    </w:p>
    <w:p>
      <w:pPr>
        <w:jc w:val="both"/>
        <w:ind w:left="6" w:right="20" w:firstLine="283"/>
        <w:spacing w:after="0" w:line="342" w:lineRule="auto"/>
        <w:rPr>
          <w:sz w:val="20"/>
          <w:szCs w:val="20"/>
          <w:color w:val="auto"/>
        </w:rPr>
      </w:pPr>
      <w:r>
        <w:rPr>
          <w:rFonts w:ascii="Arial" w:cs="Arial" w:eastAsia="Arial" w:hAnsi="Arial"/>
          <w:sz w:val="13"/>
          <w:szCs w:val="13"/>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 On May 1 2021, the managing member purchased all the interest in the company. Please see subsequent events for more information.</w:t>
      </w:r>
    </w:p>
    <w:p>
      <w:pPr>
        <w:spacing w:after="0" w:line="115" w:lineRule="exact"/>
        <w:rPr>
          <w:sz w:val="20"/>
          <w:szCs w:val="20"/>
          <w:color w:val="auto"/>
        </w:rPr>
      </w:pPr>
    </w:p>
    <w:p>
      <w:pPr>
        <w:jc w:val="both"/>
        <w:ind w:left="6" w:firstLine="283"/>
        <w:spacing w:after="0" w:line="281" w:lineRule="auto"/>
        <w:rPr>
          <w:sz w:val="20"/>
          <w:szCs w:val="20"/>
          <w:color w:val="auto"/>
        </w:rPr>
      </w:pPr>
      <w:r>
        <w:rPr>
          <w:rFonts w:ascii="Arial" w:cs="Arial" w:eastAsia="Arial" w:hAnsi="Arial"/>
          <w:sz w:val="15"/>
          <w:szCs w:val="15"/>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For the period ended April 30, 2021, the Company incurred $262 of Management Costs of which $218 was expensed in operations and $44 was capitalized in plant and equipment.</w:t>
      </w:r>
    </w:p>
    <w:p>
      <w:pPr>
        <w:spacing w:after="0" w:line="148" w:lineRule="exact"/>
        <w:rPr>
          <w:sz w:val="20"/>
          <w:szCs w:val="20"/>
          <w:color w:val="auto"/>
        </w:rPr>
      </w:pPr>
    </w:p>
    <w:p>
      <w:pPr>
        <w:jc w:val="both"/>
        <w:ind w:left="6" w:firstLine="283"/>
        <w:spacing w:after="0" w:line="249" w:lineRule="auto"/>
        <w:rPr>
          <w:sz w:val="20"/>
          <w:szCs w:val="20"/>
          <w:color w:val="auto"/>
        </w:rPr>
      </w:pPr>
      <w:r>
        <w:rPr>
          <w:rFonts w:ascii="Arial" w:cs="Arial" w:eastAsia="Arial" w:hAnsi="Arial"/>
          <w:sz w:val="16"/>
          <w:szCs w:val="16"/>
          <w:color w:val="auto"/>
        </w:rPr>
        <w:t>In June 2020, the Company contracted with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70" w:lineRule="exact"/>
        <w:rPr>
          <w:sz w:val="20"/>
          <w:szCs w:val="20"/>
          <w:color w:val="auto"/>
        </w:rPr>
      </w:pPr>
    </w:p>
    <w:p>
      <w:pPr>
        <w:ind w:left="6" w:right="8820" w:hanging="6"/>
        <w:spacing w:after="0" w:line="494" w:lineRule="auto"/>
        <w:tabs>
          <w:tab w:leader="none" w:pos="288"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 and Contingencies Legal Matters</w:t>
      </w:r>
    </w:p>
    <w:p>
      <w:pPr>
        <w:jc w:val="both"/>
        <w:ind w:left="6" w:firstLine="283"/>
        <w:spacing w:after="0" w:line="314" w:lineRule="auto"/>
        <w:rPr>
          <w:sz w:val="20"/>
          <w:szCs w:val="20"/>
          <w:color w:val="auto"/>
        </w:rPr>
      </w:pPr>
      <w:r>
        <w:rPr>
          <w:rFonts w:ascii="Arial" w:cs="Arial" w:eastAsia="Arial" w:hAnsi="Arial"/>
          <w:sz w:val="13"/>
          <w:szCs w:val="13"/>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31"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53" w:lineRule="exact"/>
        <w:rPr>
          <w:sz w:val="20"/>
          <w:szCs w:val="20"/>
          <w:color w:val="auto"/>
        </w:rPr>
      </w:pPr>
    </w:p>
    <w:p>
      <w:pPr>
        <w:ind w:left="286" w:hanging="286"/>
        <w:spacing w:after="0"/>
        <w:tabs>
          <w:tab w:leader="none" w:pos="286"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7" w:lineRule="exact"/>
        <w:rPr>
          <w:sz w:val="20"/>
          <w:szCs w:val="20"/>
          <w:color w:val="auto"/>
        </w:rPr>
      </w:pPr>
    </w:p>
    <w:p>
      <w:pPr>
        <w:ind w:left="6" w:right="20" w:firstLine="283"/>
        <w:spacing w:after="0" w:line="266" w:lineRule="auto"/>
        <w:rPr>
          <w:sz w:val="20"/>
          <w:szCs w:val="20"/>
          <w:color w:val="auto"/>
        </w:rPr>
      </w:pPr>
      <w:r>
        <w:rPr>
          <w:rFonts w:ascii="Arial" w:cs="Arial" w:eastAsia="Arial" w:hAnsi="Arial"/>
          <w:sz w:val="16"/>
          <w:szCs w:val="16"/>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57" w:lineRule="exact"/>
        <w:rPr>
          <w:sz w:val="20"/>
          <w:szCs w:val="20"/>
          <w:color w:val="auto"/>
        </w:rPr>
      </w:pPr>
    </w:p>
    <w:p>
      <w:pPr>
        <w:ind w:left="6" w:firstLine="283"/>
        <w:spacing w:after="0" w:line="266" w:lineRule="auto"/>
        <w:rPr>
          <w:sz w:val="20"/>
          <w:szCs w:val="20"/>
          <w:color w:val="auto"/>
        </w:rPr>
      </w:pPr>
      <w:r>
        <w:rPr>
          <w:rFonts w:ascii="Arial" w:cs="Arial" w:eastAsia="Arial" w:hAnsi="Arial"/>
          <w:sz w:val="16"/>
          <w:szCs w:val="16"/>
          <w:color w:val="auto"/>
        </w:rPr>
        <w:t>Subsequent events were considered through April 15, 2022, the date on which the Company’s consolidated financial statements were available to be issued, for events requiring recording or disclosure in the consolidated financial statements for the four months ended April 30, 2021.</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83" w:name="page284"/>
    <w:bookmarkEnd w:id="283"/>
    <w:p>
      <w:pPr>
        <w:jc w:val="center"/>
        <w:ind w:right="20"/>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As of December 31,</w:t>
            </w:r>
          </w:p>
        </w:tc>
      </w:tr>
      <w:tr>
        <w:trPr>
          <w:trHeight w:val="204"/>
        </w:trPr>
        <w:tc>
          <w:tcPr>
            <w:tcW w:w="57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5740" w:type="dxa"/>
            <w:vAlign w:val="bottom"/>
          </w:tcPr>
          <w:p>
            <w:pPr>
              <w:spacing w:after="0" w:line="176" w:lineRule="exact"/>
              <w:rPr>
                <w:sz w:val="20"/>
                <w:szCs w:val="20"/>
                <w:color w:val="auto"/>
              </w:rPr>
            </w:pPr>
            <w:r>
              <w:rPr>
                <w:rFonts w:ascii="Arial" w:cs="Arial" w:eastAsia="Arial" w:hAnsi="Arial"/>
                <w:sz w:val="16"/>
                <w:szCs w:val="16"/>
                <w:b w:val="1"/>
                <w:bCs w:val="1"/>
                <w:color w:val="auto"/>
              </w:rPr>
              <w:t>Assets</w:t>
            </w:r>
          </w:p>
        </w:tc>
        <w:tc>
          <w:tcPr>
            <w:tcW w:w="2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0"/>
        </w:trPr>
        <w:tc>
          <w:tcPr>
            <w:tcW w:w="5740" w:type="dxa"/>
            <w:vAlign w:val="bottom"/>
          </w:tcPr>
          <w:p>
            <w:pPr>
              <w:spacing w:after="0"/>
              <w:rPr>
                <w:sz w:val="20"/>
                <w:szCs w:val="20"/>
                <w:color w:val="auto"/>
              </w:rPr>
            </w:pPr>
            <w:r>
              <w:rPr>
                <w:rFonts w:ascii="Arial" w:cs="Arial" w:eastAsia="Arial" w:hAnsi="Arial"/>
                <w:sz w:val="16"/>
                <w:szCs w:val="16"/>
                <w:color w:val="auto"/>
              </w:rPr>
              <w:t>Current Assets:</w:t>
            </w: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5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w:t>
            </w:r>
          </w:p>
        </w:tc>
        <w:tc>
          <w:tcPr>
            <w:tcW w:w="3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1,641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3,116</w:t>
            </w:r>
          </w:p>
        </w:tc>
        <w:tc>
          <w:tcPr>
            <w:tcW w:w="100" w:type="dxa"/>
            <w:vAlign w:val="bottom"/>
            <w:shd w:val="clear" w:color="auto" w:fill="CCEEFF"/>
          </w:tcPr>
          <w:p>
            <w:pPr>
              <w:spacing w:after="0"/>
              <w:rPr>
                <w:sz w:val="16"/>
                <w:szCs w:val="16"/>
                <w:color w:val="auto"/>
              </w:rPr>
            </w:pPr>
          </w:p>
        </w:tc>
      </w:tr>
      <w:tr>
        <w:trPr>
          <w:trHeight w:val="188"/>
        </w:trPr>
        <w:tc>
          <w:tcPr>
            <w:tcW w:w="5740" w:type="dxa"/>
            <w:vAlign w:val="bottom"/>
          </w:tcPr>
          <w:p>
            <w:pPr>
              <w:ind w:left="160"/>
              <w:spacing w:after="0"/>
              <w:rPr>
                <w:sz w:val="20"/>
                <w:szCs w:val="20"/>
                <w:color w:val="auto"/>
              </w:rPr>
            </w:pPr>
            <w:r>
              <w:rPr>
                <w:rFonts w:ascii="Arial" w:cs="Arial" w:eastAsia="Arial" w:hAnsi="Arial"/>
                <w:sz w:val="16"/>
                <w:szCs w:val="16"/>
                <w:color w:val="auto"/>
              </w:rPr>
              <w:t>Accounts receivable and accrued revenues</w:t>
            </w: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256</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6"/>
                <w:szCs w:val="16"/>
                <w:color w:val="auto"/>
              </w:rPr>
            </w:pPr>
          </w:p>
        </w:tc>
      </w:tr>
      <w:tr>
        <w:trPr>
          <w:trHeight w:val="220"/>
        </w:trPr>
        <w:tc>
          <w:tcPr>
            <w:tcW w:w="5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Prepaid Expense and other current assets</w:t>
            </w:r>
          </w:p>
        </w:tc>
        <w:tc>
          <w:tcPr>
            <w:tcW w:w="2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r>
      <w:tr>
        <w:trPr>
          <w:trHeight w:val="176"/>
        </w:trPr>
        <w:tc>
          <w:tcPr>
            <w:tcW w:w="5740" w:type="dxa"/>
            <w:vAlign w:val="bottom"/>
            <w:tcBorders>
              <w:top w:val="single" w:sz="8" w:color="CCEEFF"/>
              <w:bottom w:val="single" w:sz="8" w:color="CCEEFF"/>
            </w:tcBorders>
          </w:tcPr>
          <w:p>
            <w:pPr>
              <w:ind w:left="300"/>
              <w:spacing w:after="0" w:line="172" w:lineRule="exact"/>
              <w:rPr>
                <w:sz w:val="20"/>
                <w:szCs w:val="20"/>
                <w:color w:val="auto"/>
              </w:rPr>
            </w:pPr>
            <w:r>
              <w:rPr>
                <w:rFonts w:ascii="Arial" w:cs="Arial" w:eastAsia="Arial" w:hAnsi="Arial"/>
                <w:sz w:val="16"/>
                <w:szCs w:val="16"/>
                <w:color w:val="auto"/>
              </w:rPr>
              <w:t>Total current assets</w:t>
            </w:r>
          </w:p>
        </w:tc>
        <w:tc>
          <w:tcPr>
            <w:tcW w:w="29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2,216</w:t>
            </w:r>
          </w:p>
        </w:tc>
        <w:tc>
          <w:tcPr>
            <w:tcW w:w="2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4,415</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88"/>
        </w:trPr>
        <w:tc>
          <w:tcPr>
            <w:tcW w:w="5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cash</w:t>
            </w:r>
          </w:p>
        </w:tc>
        <w:tc>
          <w:tcPr>
            <w:tcW w:w="2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5740" w:type="dxa"/>
            <w:vAlign w:val="bottom"/>
          </w:tcPr>
          <w:p>
            <w:pPr>
              <w:ind w:left="160"/>
              <w:spacing w:after="0"/>
              <w:rPr>
                <w:sz w:val="20"/>
                <w:szCs w:val="20"/>
                <w:color w:val="auto"/>
              </w:rPr>
            </w:pPr>
            <w:r>
              <w:rPr>
                <w:rFonts w:ascii="Arial" w:cs="Arial" w:eastAsia="Arial" w:hAnsi="Arial"/>
                <w:sz w:val="16"/>
                <w:szCs w:val="16"/>
                <w:color w:val="auto"/>
              </w:rPr>
              <w:t>Capital spares</w:t>
            </w: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6"/>
                <w:szCs w:val="16"/>
                <w:color w:val="auto"/>
              </w:rPr>
            </w:pPr>
          </w:p>
        </w:tc>
      </w:tr>
      <w:tr>
        <w:trPr>
          <w:trHeight w:val="220"/>
        </w:trPr>
        <w:tc>
          <w:tcPr>
            <w:tcW w:w="5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Plant and equipment, net</w:t>
            </w:r>
          </w:p>
        </w:tc>
        <w:tc>
          <w:tcPr>
            <w:tcW w:w="2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56,822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58,845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9"/>
        </w:trPr>
        <w:tc>
          <w:tcPr>
            <w:tcW w:w="5740" w:type="dxa"/>
            <w:vAlign w:val="bottom"/>
          </w:tcPr>
          <w:p>
            <w:pPr>
              <w:ind w:left="300"/>
              <w:spacing w:after="0" w:line="180" w:lineRule="exact"/>
              <w:rPr>
                <w:sz w:val="20"/>
                <w:szCs w:val="20"/>
                <w:color w:val="auto"/>
              </w:rPr>
            </w:pPr>
            <w:r>
              <w:rPr>
                <w:rFonts w:ascii="Arial" w:cs="Arial" w:eastAsia="Arial" w:hAnsi="Arial"/>
                <w:sz w:val="16"/>
                <w:szCs w:val="16"/>
                <w:color w:val="auto"/>
              </w:rPr>
              <w:t>Total assets</w:t>
            </w:r>
          </w:p>
        </w:tc>
        <w:tc>
          <w:tcPr>
            <w:tcW w:w="3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60,448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64,487</w:t>
            </w:r>
          </w:p>
        </w:tc>
        <w:tc>
          <w:tcPr>
            <w:tcW w:w="100" w:type="dxa"/>
            <w:vAlign w:val="bottom"/>
          </w:tcPr>
          <w:p>
            <w:pPr>
              <w:spacing w:after="0"/>
              <w:rPr>
                <w:sz w:val="20"/>
                <w:szCs w:val="20"/>
                <w:color w:val="auto"/>
              </w:rPr>
            </w:pPr>
          </w:p>
        </w:tc>
      </w:tr>
      <w:tr>
        <w:trPr>
          <w:trHeight w:val="184"/>
        </w:trPr>
        <w:tc>
          <w:tcPr>
            <w:tcW w:w="5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Liabilities and Members’ Equity</w:t>
            </w:r>
          </w:p>
        </w:tc>
        <w:tc>
          <w:tcPr>
            <w:tcW w:w="29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8"/>
        </w:trPr>
        <w:tc>
          <w:tcPr>
            <w:tcW w:w="5740" w:type="dxa"/>
            <w:vAlign w:val="bottom"/>
          </w:tcPr>
          <w:p>
            <w:pPr>
              <w:spacing w:after="0"/>
              <w:rPr>
                <w:sz w:val="20"/>
                <w:szCs w:val="20"/>
                <w:color w:val="auto"/>
              </w:rPr>
            </w:pPr>
            <w:r>
              <w:rPr>
                <w:rFonts w:ascii="Arial" w:cs="Arial" w:eastAsia="Arial" w:hAnsi="Arial"/>
                <w:sz w:val="16"/>
                <w:szCs w:val="16"/>
                <w:color w:val="auto"/>
              </w:rPr>
              <w:t>Current liabilities:</w:t>
            </w: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5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and accrued expenses</w:t>
            </w:r>
          </w:p>
        </w:tc>
        <w:tc>
          <w:tcPr>
            <w:tcW w:w="3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1,356</w:t>
            </w:r>
          </w:p>
        </w:tc>
        <w:tc>
          <w:tcPr>
            <w:tcW w:w="100" w:type="dxa"/>
            <w:vAlign w:val="bottom"/>
            <w:shd w:val="clear" w:color="auto" w:fill="CCEEFF"/>
          </w:tcPr>
          <w:p>
            <w:pPr>
              <w:spacing w:after="0"/>
              <w:rPr>
                <w:sz w:val="16"/>
                <w:szCs w:val="16"/>
                <w:color w:val="auto"/>
              </w:rPr>
            </w:pPr>
          </w:p>
        </w:tc>
      </w:tr>
      <w:tr>
        <w:trPr>
          <w:trHeight w:val="188"/>
        </w:trPr>
        <w:tc>
          <w:tcPr>
            <w:tcW w:w="5740" w:type="dxa"/>
            <w:vAlign w:val="bottom"/>
          </w:tcPr>
          <w:p>
            <w:pPr>
              <w:ind w:left="160"/>
              <w:spacing w:after="0"/>
              <w:rPr>
                <w:sz w:val="20"/>
                <w:szCs w:val="20"/>
                <w:color w:val="auto"/>
              </w:rPr>
            </w:pPr>
            <w:r>
              <w:rPr>
                <w:rFonts w:ascii="Arial" w:cs="Arial" w:eastAsia="Arial" w:hAnsi="Arial"/>
                <w:sz w:val="16"/>
                <w:szCs w:val="16"/>
                <w:color w:val="auto"/>
              </w:rPr>
              <w:t>Accounts payable – affiliate</w:t>
            </w: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r>
      <w:tr>
        <w:trPr>
          <w:trHeight w:val="220"/>
        </w:trPr>
        <w:tc>
          <w:tcPr>
            <w:tcW w:w="5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Liability under gas sale agreements</w:t>
            </w:r>
          </w:p>
        </w:tc>
        <w:tc>
          <w:tcPr>
            <w:tcW w:w="2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1,829</w:t>
            </w:r>
          </w:p>
        </w:tc>
        <w:tc>
          <w:tcPr>
            <w:tcW w:w="100" w:type="dxa"/>
            <w:vAlign w:val="bottom"/>
            <w:shd w:val="clear" w:color="auto" w:fill="CCEEFF"/>
          </w:tcPr>
          <w:p>
            <w:pPr>
              <w:spacing w:after="0"/>
              <w:rPr>
                <w:sz w:val="19"/>
                <w:szCs w:val="19"/>
                <w:color w:val="auto"/>
              </w:rPr>
            </w:pPr>
          </w:p>
        </w:tc>
      </w:tr>
      <w:tr>
        <w:trPr>
          <w:trHeight w:val="176"/>
        </w:trPr>
        <w:tc>
          <w:tcPr>
            <w:tcW w:w="5740" w:type="dxa"/>
            <w:vAlign w:val="bottom"/>
            <w:tcBorders>
              <w:top w:val="single" w:sz="8" w:color="CCEEFF"/>
              <w:bottom w:val="single" w:sz="8" w:color="CCEEFF"/>
            </w:tcBorders>
          </w:tcPr>
          <w:p>
            <w:pPr>
              <w:ind w:left="300"/>
              <w:spacing w:after="0" w:line="172" w:lineRule="exact"/>
              <w:rPr>
                <w:sz w:val="20"/>
                <w:szCs w:val="20"/>
                <w:color w:val="auto"/>
              </w:rPr>
            </w:pPr>
            <w:r>
              <w:rPr>
                <w:rFonts w:ascii="Arial" w:cs="Arial" w:eastAsia="Arial" w:hAnsi="Arial"/>
                <w:sz w:val="16"/>
                <w:szCs w:val="16"/>
                <w:color w:val="auto"/>
              </w:rPr>
              <w:t>Total current liabilities</w:t>
            </w:r>
          </w:p>
        </w:tc>
        <w:tc>
          <w:tcPr>
            <w:tcW w:w="29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1,131</w:t>
            </w:r>
          </w:p>
        </w:tc>
        <w:tc>
          <w:tcPr>
            <w:tcW w:w="2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3,210</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88"/>
        </w:trPr>
        <w:tc>
          <w:tcPr>
            <w:tcW w:w="5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 retirement obligation</w:t>
            </w:r>
          </w:p>
        </w:tc>
        <w:tc>
          <w:tcPr>
            <w:tcW w:w="2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5740" w:type="dxa"/>
            <w:vAlign w:val="bottom"/>
          </w:tcPr>
          <w:p>
            <w:pPr>
              <w:ind w:left="160"/>
              <w:spacing w:after="0"/>
              <w:rPr>
                <w:sz w:val="20"/>
                <w:szCs w:val="20"/>
                <w:color w:val="auto"/>
              </w:rPr>
            </w:pPr>
            <w:r>
              <w:rPr>
                <w:rFonts w:ascii="Arial" w:cs="Arial" w:eastAsia="Arial" w:hAnsi="Arial"/>
                <w:sz w:val="16"/>
                <w:szCs w:val="16"/>
                <w:color w:val="auto"/>
              </w:rPr>
              <w:t>Accrued royalties</w:t>
            </w: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1,268</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7"/>
                <w:szCs w:val="17"/>
                <w:color w:val="auto"/>
              </w:rPr>
            </w:pPr>
          </w:p>
        </w:tc>
      </w:tr>
      <w:tr>
        <w:trPr>
          <w:trHeight w:val="208"/>
        </w:trPr>
        <w:tc>
          <w:tcPr>
            <w:tcW w:w="57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liabilities</w:t>
            </w:r>
          </w:p>
        </w:tc>
        <w:tc>
          <w:tcPr>
            <w:tcW w:w="29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2"/>
        </w:trPr>
        <w:tc>
          <w:tcPr>
            <w:tcW w:w="5740" w:type="dxa"/>
            <w:vAlign w:val="bottom"/>
          </w:tcPr>
          <w:p>
            <w:pPr>
              <w:spacing w:after="0" w:line="172" w:lineRule="exact"/>
              <w:rPr>
                <w:sz w:val="20"/>
                <w:szCs w:val="20"/>
                <w:color w:val="auto"/>
              </w:rPr>
            </w:pPr>
            <w:r>
              <w:rPr>
                <w:rFonts w:ascii="Arial" w:cs="Arial" w:eastAsia="Arial" w:hAnsi="Arial"/>
                <w:sz w:val="16"/>
                <w:szCs w:val="16"/>
                <w:color w:val="auto"/>
              </w:rPr>
              <w:t>Members’ equity:</w:t>
            </w: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Members’ capital</w:t>
            </w:r>
          </w:p>
        </w:tc>
        <w:tc>
          <w:tcPr>
            <w:tcW w:w="2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59,952</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61,878</w:t>
            </w:r>
          </w:p>
        </w:tc>
        <w:tc>
          <w:tcPr>
            <w:tcW w:w="100" w:type="dxa"/>
            <w:vAlign w:val="bottom"/>
            <w:shd w:val="clear" w:color="auto" w:fill="CCEEFF"/>
          </w:tcPr>
          <w:p>
            <w:pPr>
              <w:spacing w:after="0"/>
              <w:rPr>
                <w:sz w:val="16"/>
                <w:szCs w:val="16"/>
                <w:color w:val="auto"/>
              </w:rPr>
            </w:pPr>
          </w:p>
        </w:tc>
      </w:tr>
      <w:tr>
        <w:trPr>
          <w:trHeight w:val="204"/>
        </w:trPr>
        <w:tc>
          <w:tcPr>
            <w:tcW w:w="5740" w:type="dxa"/>
            <w:vAlign w:val="bottom"/>
          </w:tcPr>
          <w:p>
            <w:pPr>
              <w:ind w:left="160"/>
              <w:spacing w:after="0"/>
              <w:rPr>
                <w:sz w:val="20"/>
                <w:szCs w:val="20"/>
                <w:color w:val="auto"/>
              </w:rPr>
            </w:pPr>
            <w:r>
              <w:rPr>
                <w:rFonts w:ascii="Arial" w:cs="Arial" w:eastAsia="Arial" w:hAnsi="Arial"/>
                <w:sz w:val="16"/>
                <w:szCs w:val="16"/>
                <w:color w:val="auto"/>
              </w:rPr>
              <w:t>Accumulated deficit</w:t>
            </w: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(2,171)</w:t>
            </w:r>
          </w:p>
        </w:tc>
        <w:tc>
          <w:tcPr>
            <w:tcW w:w="24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(1,099)</w:t>
            </w:r>
          </w:p>
        </w:tc>
      </w:tr>
      <w:tr>
        <w:trPr>
          <w:trHeight w:val="208"/>
        </w:trPr>
        <w:tc>
          <w:tcPr>
            <w:tcW w:w="57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members’ equity</w:t>
            </w:r>
          </w:p>
        </w:tc>
        <w:tc>
          <w:tcPr>
            <w:tcW w:w="29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9"/>
        </w:trPr>
        <w:tc>
          <w:tcPr>
            <w:tcW w:w="5740" w:type="dxa"/>
            <w:vAlign w:val="bottom"/>
          </w:tcPr>
          <w:p>
            <w:pPr>
              <w:ind w:left="300"/>
              <w:spacing w:after="0" w:line="180" w:lineRule="exact"/>
              <w:rPr>
                <w:sz w:val="20"/>
                <w:szCs w:val="20"/>
                <w:color w:val="auto"/>
              </w:rPr>
            </w:pPr>
            <w:r>
              <w:rPr>
                <w:rFonts w:ascii="Arial" w:cs="Arial" w:eastAsia="Arial" w:hAnsi="Arial"/>
                <w:sz w:val="16"/>
                <w:szCs w:val="16"/>
                <w:color w:val="auto"/>
              </w:rPr>
              <w:t>Total liabilities and members’ equity</w:t>
            </w:r>
          </w:p>
        </w:tc>
        <w:tc>
          <w:tcPr>
            <w:tcW w:w="3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60,448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64,487</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76" w:right="319" w:bottom="1440" w:gutter="0" w:footer="0" w:header="0"/>
        </w:sectPr>
      </w:pPr>
    </w:p>
    <w:bookmarkStart w:id="284" w:name="page285"/>
    <w:bookmarkEnd w:id="2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revenue</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Renewable gas sales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RIN sales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Transportation sales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Gas sales agreement liability reduction</w:t>
      </w:r>
    </w:p>
    <w:p>
      <w:pPr>
        <w:spacing w:after="0" w:line="2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operating revenue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Operations</w:t>
      </w:r>
    </w:p>
    <w:p>
      <w:pPr>
        <w:spacing w:after="0" w:line="4"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auto"/>
        </w:rPr>
        <w:t>Repairs and maintenance Environmental credit processing services General and administrative Depreciation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Asset retirement obligation accretion</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Insurance</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Acquisition costs</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operating expenses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income</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br w:type="column"/>
      </w:r>
    </w:p>
    <w:p>
      <w:pPr>
        <w:jc w:val="center"/>
        <w:ind w:right="2840"/>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28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4" w:lineRule="exact"/>
        <w:rPr>
          <w:sz w:val="20"/>
          <w:szCs w:val="20"/>
          <w:color w:val="auto"/>
        </w:rPr>
      </w:pPr>
    </w:p>
    <w:p>
      <w:pPr>
        <w:jc w:val="center"/>
        <w:ind w:right="2840"/>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tbl>
      <w:tblPr>
        <w:tblLayout w:type="fixed"/>
        <w:tblInd w:w="5800" w:type="dxa"/>
        <w:tblCellMar>
          <w:top w:w="0" w:type="dxa"/>
          <w:left w:w="0" w:type="dxa"/>
          <w:bottom w:w="0" w:type="dxa"/>
          <w:right w:w="0" w:type="dxa"/>
        </w:tblCellMar>
      </w:tblPr>
      <w:tr>
        <w:trPr>
          <w:trHeight w:val="188"/>
        </w:trPr>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2"/>
              <w:spacing w:after="0"/>
              <w:rPr>
                <w:sz w:val="20"/>
                <w:szCs w:val="20"/>
                <w:color w:val="auto"/>
              </w:rPr>
            </w:pPr>
            <w:r>
              <w:rPr>
                <w:rFonts w:ascii="Arial" w:cs="Arial" w:eastAsia="Arial" w:hAnsi="Arial"/>
                <w:sz w:val="16"/>
                <w:szCs w:val="16"/>
                <w:b w:val="1"/>
                <w:bCs w:val="1"/>
                <w:color w:val="auto"/>
                <w:w w:val="91"/>
              </w:rPr>
              <w:t>Period from</w:t>
            </w:r>
          </w:p>
        </w:tc>
      </w:tr>
      <w:tr>
        <w:trPr>
          <w:trHeight w:val="188"/>
        </w:trPr>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March 11, 2019</w:t>
            </w:r>
          </w:p>
        </w:tc>
      </w:tr>
      <w:tr>
        <w:trPr>
          <w:trHeight w:val="188"/>
        </w:trPr>
        <w:tc>
          <w:tcPr>
            <w:tcW w:w="100" w:type="dxa"/>
            <w:vAlign w:val="bottom"/>
          </w:tcPr>
          <w:p>
            <w:pPr>
              <w:spacing w:after="0"/>
              <w:rPr>
                <w:sz w:val="16"/>
                <w:szCs w:val="16"/>
                <w:color w:val="auto"/>
              </w:rPr>
            </w:pPr>
          </w:p>
        </w:tc>
        <w:tc>
          <w:tcPr>
            <w:tcW w:w="1240" w:type="dxa"/>
            <w:vAlign w:val="bottom"/>
            <w:gridSpan w:val="2"/>
          </w:tcPr>
          <w:p>
            <w:pPr>
              <w:jc w:val="center"/>
              <w:ind w:right="301"/>
              <w:spacing w:after="0"/>
              <w:rPr>
                <w:sz w:val="20"/>
                <w:szCs w:val="20"/>
                <w:color w:val="auto"/>
              </w:rPr>
            </w:pPr>
            <w:r>
              <w:rPr>
                <w:rFonts w:ascii="Arial" w:cs="Arial" w:eastAsia="Arial" w:hAnsi="Arial"/>
                <w:sz w:val="16"/>
                <w:szCs w:val="16"/>
                <w:b w:val="1"/>
                <w:bCs w:val="1"/>
                <w:color w:val="auto"/>
                <w:w w:val="88"/>
              </w:rPr>
              <w:t>Year Ended</w:t>
            </w:r>
          </w:p>
        </w:tc>
        <w:tc>
          <w:tcPr>
            <w:tcW w:w="100" w:type="dxa"/>
            <w:vAlign w:val="bottom"/>
          </w:tcPr>
          <w:p>
            <w:pPr>
              <w:spacing w:after="0"/>
              <w:rPr>
                <w:sz w:val="16"/>
                <w:szCs w:val="16"/>
                <w:color w:val="auto"/>
              </w:rPr>
            </w:pPr>
          </w:p>
        </w:tc>
        <w:tc>
          <w:tcPr>
            <w:tcW w:w="1080" w:type="dxa"/>
            <w:vAlign w:val="bottom"/>
            <w:gridSpan w:val="2"/>
          </w:tcPr>
          <w:p>
            <w:pPr>
              <w:jc w:val="center"/>
              <w:ind w:right="102"/>
              <w:spacing w:after="0"/>
              <w:rPr>
                <w:sz w:val="20"/>
                <w:szCs w:val="20"/>
                <w:color w:val="auto"/>
              </w:rPr>
            </w:pPr>
            <w:r>
              <w:rPr>
                <w:rFonts w:ascii="Arial" w:cs="Arial" w:eastAsia="Arial" w:hAnsi="Arial"/>
                <w:sz w:val="16"/>
                <w:szCs w:val="16"/>
                <w:b w:val="1"/>
                <w:bCs w:val="1"/>
                <w:color w:val="auto"/>
                <w:w w:val="88"/>
              </w:rPr>
              <w:t>(Inception) to</w:t>
            </w:r>
          </w:p>
        </w:tc>
      </w:tr>
      <w:tr>
        <w:trPr>
          <w:trHeight w:val="188"/>
        </w:trPr>
        <w:tc>
          <w:tcPr>
            <w:tcW w:w="100" w:type="dxa"/>
            <w:vAlign w:val="bottom"/>
          </w:tcPr>
          <w:p>
            <w:pPr>
              <w:spacing w:after="0"/>
              <w:rPr>
                <w:sz w:val="16"/>
                <w:szCs w:val="16"/>
                <w:color w:val="auto"/>
              </w:rPr>
            </w:pPr>
          </w:p>
        </w:tc>
        <w:tc>
          <w:tcPr>
            <w:tcW w:w="1240" w:type="dxa"/>
            <w:vAlign w:val="bottom"/>
            <w:gridSpan w:val="2"/>
          </w:tcPr>
          <w:p>
            <w:pPr>
              <w:jc w:val="center"/>
              <w:ind w:right="281"/>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080" w:type="dxa"/>
            <w:vAlign w:val="bottom"/>
            <w:gridSpan w:val="2"/>
          </w:tcPr>
          <w:p>
            <w:pPr>
              <w:jc w:val="center"/>
              <w:ind w:right="62"/>
              <w:spacing w:after="0"/>
              <w:rPr>
                <w:sz w:val="20"/>
                <w:szCs w:val="20"/>
                <w:color w:val="auto"/>
              </w:rPr>
            </w:pPr>
            <w:r>
              <w:rPr>
                <w:rFonts w:ascii="Arial" w:cs="Arial" w:eastAsia="Arial" w:hAnsi="Arial"/>
                <w:sz w:val="16"/>
                <w:szCs w:val="16"/>
                <w:b w:val="1"/>
                <w:bCs w:val="1"/>
                <w:color w:val="auto"/>
                <w:w w:val="86"/>
              </w:rPr>
              <w:t>December 31,</w:t>
            </w:r>
          </w:p>
        </w:tc>
      </w:tr>
      <w:tr>
        <w:trPr>
          <w:trHeight w:val="209"/>
        </w:trPr>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2019</w:t>
            </w:r>
          </w:p>
        </w:tc>
        <w:tc>
          <w:tcPr>
            <w:tcW w:w="60" w:type="dxa"/>
            <w:vAlign w:val="bottom"/>
          </w:tcPr>
          <w:p>
            <w:pPr>
              <w:spacing w:after="0"/>
              <w:rPr>
                <w:sz w:val="18"/>
                <w:szCs w:val="18"/>
                <w:color w:val="auto"/>
              </w:rPr>
            </w:pPr>
          </w:p>
        </w:tc>
      </w:tr>
      <w:tr>
        <w:trPr>
          <w:trHeight w:val="364"/>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9,522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9,465</w:t>
            </w:r>
          </w:p>
        </w:tc>
        <w:tc>
          <w:tcPr>
            <w:tcW w:w="60" w:type="dxa"/>
            <w:vAlign w:val="bottom"/>
          </w:tcPr>
          <w:p>
            <w:pPr>
              <w:spacing w:after="0"/>
              <w:rPr>
                <w:sz w:val="24"/>
                <w:szCs w:val="24"/>
                <w:color w:val="auto"/>
              </w:rPr>
            </w:pPr>
          </w:p>
        </w:tc>
      </w:tr>
      <w:tr>
        <w:trPr>
          <w:trHeight w:val="188"/>
        </w:trPr>
        <w:tc>
          <w:tcPr>
            <w:tcW w:w="10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3,450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w:t>
            </w:r>
          </w:p>
        </w:tc>
        <w:tc>
          <w:tcPr>
            <w:tcW w:w="60" w:type="dxa"/>
            <w:vAlign w:val="bottom"/>
          </w:tcPr>
          <w:p>
            <w:pPr>
              <w:spacing w:after="0"/>
              <w:rPr>
                <w:sz w:val="16"/>
                <w:szCs w:val="16"/>
                <w:color w:val="auto"/>
              </w:rPr>
            </w:pPr>
          </w:p>
        </w:tc>
      </w:tr>
      <w:tr>
        <w:trPr>
          <w:trHeight w:val="200"/>
        </w:trPr>
        <w:tc>
          <w:tcPr>
            <w:tcW w:w="100" w:type="dxa"/>
            <w:vAlign w:val="bottom"/>
          </w:tcPr>
          <w:p>
            <w:pPr>
              <w:spacing w:after="0"/>
              <w:rPr>
                <w:sz w:val="17"/>
                <w:szCs w:val="17"/>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w:t>
            </w:r>
          </w:p>
        </w:tc>
        <w:tc>
          <w:tcPr>
            <w:tcW w:w="60" w:type="dxa"/>
            <w:vAlign w:val="bottom"/>
          </w:tcPr>
          <w:p>
            <w:pPr>
              <w:spacing w:after="0"/>
              <w:rPr>
                <w:sz w:val="17"/>
                <w:szCs w:val="17"/>
                <w:color w:val="auto"/>
              </w:rPr>
            </w:pPr>
          </w:p>
        </w:tc>
      </w:tr>
      <w:tr>
        <w:trPr>
          <w:trHeight w:val="205"/>
        </w:trPr>
        <w:tc>
          <w:tcPr>
            <w:tcW w:w="100" w:type="dxa"/>
            <w:vAlign w:val="bottom"/>
          </w:tcPr>
          <w:p>
            <w:pPr>
              <w:spacing w:after="0"/>
              <w:rPr>
                <w:sz w:val="17"/>
                <w:szCs w:val="17"/>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2,286</w:t>
            </w:r>
          </w:p>
        </w:tc>
        <w:tc>
          <w:tcPr>
            <w:tcW w:w="60" w:type="dxa"/>
            <w:vAlign w:val="bottom"/>
          </w:tcPr>
          <w:p>
            <w:pPr>
              <w:spacing w:after="0"/>
              <w:rPr>
                <w:sz w:val="17"/>
                <w:szCs w:val="17"/>
                <w:color w:val="auto"/>
              </w:rPr>
            </w:pPr>
          </w:p>
        </w:tc>
      </w:tr>
      <w:tr>
        <w:trPr>
          <w:trHeight w:val="192"/>
        </w:trPr>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15,039</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12,366</w:t>
            </w:r>
          </w:p>
        </w:tc>
        <w:tc>
          <w:tcPr>
            <w:tcW w:w="60" w:type="dxa"/>
            <w:vAlign w:val="bottom"/>
          </w:tcPr>
          <w:p>
            <w:pPr>
              <w:spacing w:after="0"/>
              <w:rPr>
                <w:sz w:val="16"/>
                <w:szCs w:val="16"/>
                <w:color w:val="auto"/>
              </w:rPr>
            </w:pPr>
          </w:p>
        </w:tc>
      </w:tr>
      <w:tr>
        <w:trPr>
          <w:trHeight w:val="364"/>
        </w:trPr>
        <w:tc>
          <w:tcPr>
            <w:tcW w:w="100" w:type="dxa"/>
            <w:vAlign w:val="bottom"/>
          </w:tcPr>
          <w:p>
            <w:pPr>
              <w:spacing w:after="0"/>
              <w:rPr>
                <w:sz w:val="24"/>
                <w:szCs w:val="24"/>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9,729</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7,520</w:t>
            </w:r>
          </w:p>
        </w:tc>
        <w:tc>
          <w:tcPr>
            <w:tcW w:w="60" w:type="dxa"/>
            <w:vAlign w:val="bottom"/>
          </w:tcPr>
          <w:p>
            <w:pPr>
              <w:spacing w:after="0"/>
              <w:rPr>
                <w:sz w:val="24"/>
                <w:szCs w:val="24"/>
                <w:color w:val="auto"/>
              </w:rPr>
            </w:pPr>
          </w:p>
        </w:tc>
      </w:tr>
      <w:tr>
        <w:trPr>
          <w:trHeight w:val="188"/>
        </w:trPr>
        <w:tc>
          <w:tcPr>
            <w:tcW w:w="10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1,591</w:t>
            </w:r>
          </w:p>
        </w:tc>
        <w:tc>
          <w:tcPr>
            <w:tcW w:w="60" w:type="dxa"/>
            <w:vAlign w:val="bottom"/>
          </w:tcPr>
          <w:p>
            <w:pPr>
              <w:spacing w:after="0"/>
              <w:rPr>
                <w:sz w:val="16"/>
                <w:szCs w:val="16"/>
                <w:color w:val="auto"/>
              </w:rPr>
            </w:pPr>
          </w:p>
        </w:tc>
      </w:tr>
      <w:tr>
        <w:trPr>
          <w:trHeight w:val="188"/>
        </w:trPr>
        <w:tc>
          <w:tcPr>
            <w:tcW w:w="10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6"/>
                <w:szCs w:val="16"/>
                <w:color w:val="auto"/>
              </w:rPr>
            </w:pPr>
          </w:p>
        </w:tc>
        <w:tc>
          <w:tcPr>
            <w:tcW w:w="1080" w:type="dxa"/>
            <w:vAlign w:val="bottom"/>
            <w:gridSpan w:val="2"/>
          </w:tcPr>
          <w:p>
            <w:pPr>
              <w:ind w:left="880"/>
              <w:spacing w:after="0"/>
              <w:rPr>
                <w:sz w:val="20"/>
                <w:szCs w:val="20"/>
                <w:color w:val="auto"/>
              </w:rPr>
            </w:pPr>
            <w:r>
              <w:rPr>
                <w:rFonts w:ascii="Arial" w:cs="Arial" w:eastAsia="Arial" w:hAnsi="Arial"/>
                <w:sz w:val="16"/>
                <w:szCs w:val="16"/>
                <w:color w:val="auto"/>
              </w:rPr>
              <w:t>—</w:t>
            </w:r>
          </w:p>
        </w:tc>
      </w:tr>
      <w:tr>
        <w:trPr>
          <w:trHeight w:val="188"/>
        </w:trPr>
        <w:tc>
          <w:tcPr>
            <w:tcW w:w="10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783</w:t>
            </w:r>
          </w:p>
        </w:tc>
        <w:tc>
          <w:tcPr>
            <w:tcW w:w="60" w:type="dxa"/>
            <w:vAlign w:val="bottom"/>
          </w:tcPr>
          <w:p>
            <w:pPr>
              <w:spacing w:after="0"/>
              <w:rPr>
                <w:sz w:val="16"/>
                <w:szCs w:val="16"/>
                <w:color w:val="auto"/>
              </w:rPr>
            </w:pPr>
          </w:p>
        </w:tc>
      </w:tr>
      <w:tr>
        <w:trPr>
          <w:trHeight w:val="188"/>
        </w:trPr>
        <w:tc>
          <w:tcPr>
            <w:tcW w:w="100" w:type="dxa"/>
            <w:vAlign w:val="bottom"/>
          </w:tcPr>
          <w:p>
            <w:pPr>
              <w:spacing w:after="0"/>
              <w:rPr>
                <w:sz w:val="16"/>
                <w:szCs w:val="16"/>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3,112</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2,369</w:t>
            </w:r>
          </w:p>
        </w:tc>
        <w:tc>
          <w:tcPr>
            <w:tcW w:w="60" w:type="dxa"/>
            <w:vAlign w:val="bottom"/>
          </w:tcPr>
          <w:p>
            <w:pPr>
              <w:spacing w:after="0"/>
              <w:rPr>
                <w:sz w:val="16"/>
                <w:szCs w:val="16"/>
                <w:color w:val="auto"/>
              </w:rPr>
            </w:pPr>
          </w:p>
        </w:tc>
      </w:tr>
      <w:tr>
        <w:trPr>
          <w:trHeight w:val="188"/>
        </w:trPr>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6"/>
                <w:szCs w:val="16"/>
                <w:color w:val="auto"/>
              </w:rPr>
            </w:pPr>
          </w:p>
        </w:tc>
      </w:tr>
      <w:tr>
        <w:trPr>
          <w:trHeight w:val="200"/>
        </w:trPr>
        <w:tc>
          <w:tcPr>
            <w:tcW w:w="100" w:type="dxa"/>
            <w:vAlign w:val="bottom"/>
          </w:tcPr>
          <w:p>
            <w:pPr>
              <w:spacing w:after="0"/>
              <w:rPr>
                <w:sz w:val="17"/>
                <w:szCs w:val="17"/>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w:t>
            </w:r>
          </w:p>
        </w:tc>
        <w:tc>
          <w:tcPr>
            <w:tcW w:w="60" w:type="dxa"/>
            <w:vAlign w:val="bottom"/>
          </w:tcPr>
          <w:p>
            <w:pPr>
              <w:spacing w:after="0"/>
              <w:rPr>
                <w:sz w:val="17"/>
                <w:szCs w:val="17"/>
                <w:color w:val="auto"/>
              </w:rPr>
            </w:pPr>
          </w:p>
        </w:tc>
      </w:tr>
      <w:tr>
        <w:trPr>
          <w:trHeight w:val="205"/>
        </w:trPr>
        <w:tc>
          <w:tcPr>
            <w:tcW w:w="100" w:type="dxa"/>
            <w:vAlign w:val="bottom"/>
          </w:tcPr>
          <w:p>
            <w:pPr>
              <w:spacing w:after="0"/>
              <w:rPr>
                <w:sz w:val="17"/>
                <w:szCs w:val="17"/>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1,013</w:t>
            </w:r>
          </w:p>
        </w:tc>
        <w:tc>
          <w:tcPr>
            <w:tcW w:w="60" w:type="dxa"/>
            <w:vAlign w:val="bottom"/>
          </w:tcPr>
          <w:p>
            <w:pPr>
              <w:spacing w:after="0"/>
              <w:rPr>
                <w:sz w:val="17"/>
                <w:szCs w:val="17"/>
                <w:color w:val="auto"/>
              </w:rPr>
            </w:pPr>
          </w:p>
        </w:tc>
      </w:tr>
      <w:tr>
        <w:trPr>
          <w:trHeight w:val="192"/>
        </w:trPr>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16,898</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13,465</w:t>
            </w:r>
          </w:p>
        </w:tc>
        <w:tc>
          <w:tcPr>
            <w:tcW w:w="60" w:type="dxa"/>
            <w:vAlign w:val="bottom"/>
          </w:tcPr>
          <w:p>
            <w:pPr>
              <w:spacing w:after="0"/>
              <w:rPr>
                <w:sz w:val="16"/>
                <w:szCs w:val="16"/>
                <w:color w:val="auto"/>
              </w:rPr>
            </w:pPr>
          </w:p>
        </w:tc>
      </w:tr>
      <w:tr>
        <w:trPr>
          <w:trHeight w:val="376"/>
        </w:trPr>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880"/>
              <w:spacing w:after="0"/>
              <w:rPr>
                <w:sz w:val="20"/>
                <w:szCs w:val="20"/>
                <w:color w:val="auto"/>
              </w:rPr>
            </w:pPr>
            <w:r>
              <w:rPr>
                <w:rFonts w:ascii="Arial" w:cs="Arial" w:eastAsia="Arial" w:hAnsi="Arial"/>
                <w:sz w:val="16"/>
                <w:szCs w:val="16"/>
                <w:color w:val="auto"/>
              </w:rPr>
              <w:t>—</w:t>
            </w:r>
          </w:p>
        </w:tc>
      </w:tr>
      <w:tr>
        <w:trPr>
          <w:trHeight w:val="205"/>
        </w:trPr>
        <w:tc>
          <w:tcPr>
            <w:tcW w:w="100" w:type="dxa"/>
            <w:vAlign w:val="bottom"/>
          </w:tcPr>
          <w:p>
            <w:pPr>
              <w:spacing w:after="0"/>
              <w:rPr>
                <w:sz w:val="17"/>
                <w:szCs w:val="17"/>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7"/>
                <w:szCs w:val="17"/>
                <w:color w:val="auto"/>
              </w:rPr>
            </w:pPr>
          </w:p>
        </w:tc>
        <w:tc>
          <w:tcPr>
            <w:tcW w:w="1080" w:type="dxa"/>
            <w:vAlign w:val="bottom"/>
            <w:gridSpan w:val="2"/>
          </w:tcPr>
          <w:p>
            <w:pPr>
              <w:ind w:left="880"/>
              <w:spacing w:after="0"/>
              <w:rPr>
                <w:sz w:val="20"/>
                <w:szCs w:val="20"/>
                <w:color w:val="auto"/>
              </w:rPr>
            </w:pPr>
            <w:r>
              <w:rPr>
                <w:rFonts w:ascii="Arial" w:cs="Arial" w:eastAsia="Arial" w:hAnsi="Arial"/>
                <w:sz w:val="16"/>
                <w:szCs w:val="16"/>
                <w:color w:val="auto"/>
              </w:rPr>
              <w:t>—</w:t>
            </w:r>
          </w:p>
        </w:tc>
      </w:tr>
      <w:tr>
        <w:trPr>
          <w:trHeight w:val="216"/>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60" w:type="dxa"/>
            <w:vAlign w:val="bottom"/>
          </w:tcPr>
          <w:p>
            <w:pPr>
              <w:jc w:val="right"/>
              <w:spacing w:after="0" w:line="176" w:lineRule="exact"/>
              <w:rPr>
                <w:sz w:val="20"/>
                <w:szCs w:val="20"/>
                <w:color w:val="auto"/>
              </w:rPr>
            </w:pPr>
            <w:r>
              <w:rPr>
                <w:rFonts w:ascii="Arial" w:cs="Arial" w:eastAsia="Arial" w:hAnsi="Arial"/>
                <w:sz w:val="16"/>
                <w:szCs w:val="16"/>
                <w:color w:val="auto"/>
                <w:w w:val="74"/>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-2422525</wp:posOffset>
            </wp:positionV>
            <wp:extent cx="7150100" cy="1193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-2183130</wp:posOffset>
            </wp:positionV>
            <wp:extent cx="7150100" cy="1193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-1929130</wp:posOffset>
            </wp:positionV>
            <wp:extent cx="7150100" cy="134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0100" cy="134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-1666875</wp:posOffset>
            </wp:positionV>
            <wp:extent cx="7150100" cy="1193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-1428115</wp:posOffset>
            </wp:positionV>
            <wp:extent cx="7150100" cy="1193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-1188720</wp:posOffset>
            </wp:positionV>
            <wp:extent cx="7150100" cy="1193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-949325</wp:posOffset>
            </wp:positionV>
            <wp:extent cx="7150100" cy="1193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-694690</wp:posOffset>
            </wp:positionV>
            <wp:extent cx="7150100" cy="134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0100" cy="134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-433070</wp:posOffset>
            </wp:positionV>
            <wp:extent cx="7150100" cy="1193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-179070</wp:posOffset>
            </wp:positionV>
            <wp:extent cx="7150100" cy="156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0100" cy="156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10795</wp:posOffset>
            </wp:positionV>
            <wp:extent cx="7150100"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2">
            <w:col w:w="2740" w:space="140"/>
            <w:col w:w="8320"/>
          </w:cols>
          <w:pgMar w:left="320" w:top="688" w:right="379" w:bottom="1440" w:gutter="0" w:footer="0" w:header="0"/>
        </w:sectPr>
      </w:pPr>
    </w:p>
    <w:bookmarkStart w:id="285" w:name="page286"/>
    <w:bookmarkEnd w:id="285"/>
    <w:p>
      <w:pPr>
        <w:jc w:val="center"/>
        <w:ind w:right="20"/>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CHANGES IN MEMBERS’ EQUITY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ARCC</w:t>
            </w:r>
          </w:p>
        </w:tc>
        <w:tc>
          <w:tcPr>
            <w:tcW w:w="10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Fortistar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2"/>
              </w:rPr>
              <w:t>Beacon LLC</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Beacon LLC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March 11, 2019 (inception)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27,791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62,791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Distributions</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04"/>
        </w:trPr>
        <w:tc>
          <w:tcPr>
            <w:tcW w:w="7320" w:type="dxa"/>
            <w:vAlign w:val="bottom"/>
          </w:tcPr>
          <w:p>
            <w:pPr>
              <w:ind w:left="16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(487)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0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33,879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320" w:type="dxa"/>
            <w:vAlign w:val="bottom"/>
          </w:tcPr>
          <w:p>
            <w:pPr>
              <w:ind w:left="160"/>
              <w:spacing w:after="0" w:line="172" w:lineRule="exact"/>
              <w:rPr>
                <w:sz w:val="20"/>
                <w:szCs w:val="20"/>
                <w:color w:val="auto"/>
              </w:rPr>
            </w:pPr>
            <w:r>
              <w:rPr>
                <w:rFonts w:ascii="Arial" w:cs="Arial" w:eastAsia="Arial" w:hAnsi="Arial"/>
                <w:sz w:val="16"/>
                <w:szCs w:val="16"/>
                <w:color w:val="auto"/>
              </w:rPr>
              <w:t>Distributions</w:t>
            </w:r>
          </w:p>
        </w:tc>
        <w:tc>
          <w:tcPr>
            <w:tcW w:w="12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(1,074)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(852)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Arial" w:cs="Arial" w:eastAsia="Arial" w:hAnsi="Arial"/>
                <w:sz w:val="16"/>
                <w:szCs w:val="16"/>
                <w:color w:val="auto"/>
              </w:rPr>
              <w:t>(1,926)</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December 31, 2020</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3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32,208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25,573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57,781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86" w:name="page287"/>
    <w:bookmarkEnd w:id="286"/>
    <w:p>
      <w:pPr>
        <w:jc w:val="center"/>
        <w:ind w:right="20"/>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March 11, 2019</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61"/>
              <w:spacing w:after="0"/>
              <w:rPr>
                <w:sz w:val="20"/>
                <w:szCs w:val="20"/>
                <w:color w:val="auto"/>
              </w:rPr>
            </w:pPr>
            <w:r>
              <w:rPr>
                <w:rFonts w:ascii="Arial" w:cs="Arial" w:eastAsia="Arial" w:hAnsi="Arial"/>
                <w:sz w:val="16"/>
                <w:szCs w:val="16"/>
                <w:b w:val="1"/>
                <w:bCs w:val="1"/>
                <w:color w:val="auto"/>
                <w:w w:val="88"/>
              </w:rPr>
              <w:t>Year Ended</w:t>
            </w:r>
          </w:p>
        </w:tc>
        <w:tc>
          <w:tcPr>
            <w:tcW w:w="100" w:type="dxa"/>
            <w:vAlign w:val="bottom"/>
          </w:tcPr>
          <w:p>
            <w:pPr>
              <w:spacing w:after="0"/>
              <w:rPr>
                <w:sz w:val="16"/>
                <w:szCs w:val="16"/>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(Inception) to</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81"/>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9"/>
        </w:trPr>
        <w:tc>
          <w:tcPr>
            <w:tcW w:w="7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6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(1,072)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(used in) operations: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3,112</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20" w:type="dxa"/>
            <w:vAlign w:val="bottom"/>
          </w:tcPr>
          <w:p>
            <w:pPr>
              <w:ind w:left="160"/>
              <w:spacing w:after="0"/>
              <w:rPr>
                <w:sz w:val="20"/>
                <w:szCs w:val="20"/>
                <w:color w:val="auto"/>
              </w:rPr>
            </w:pPr>
            <w:r>
              <w:rPr>
                <w:rFonts w:ascii="Arial" w:cs="Arial" w:eastAsia="Arial" w:hAnsi="Arial"/>
                <w:sz w:val="16"/>
                <w:szCs w:val="16"/>
                <w:color w:val="auto"/>
              </w:rPr>
              <w:t>Accretion of asset retirement obligation</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Gas sales agreement liability reduction</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(1,829)</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20"/>
                <w:szCs w:val="20"/>
                <w:color w:val="auto"/>
              </w:rPr>
            </w:pPr>
            <w:r>
              <w:rPr>
                <w:rFonts w:ascii="Arial" w:cs="Arial" w:eastAsia="Arial" w:hAnsi="Arial"/>
                <w:sz w:val="16"/>
                <w:szCs w:val="16"/>
                <w:color w:val="auto"/>
              </w:rPr>
              <w:t>Change in assets and liabilities: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receivable and accrued revenues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20" w:type="dxa"/>
            <w:vAlign w:val="bottom"/>
          </w:tcPr>
          <w:p>
            <w:pPr>
              <w:ind w:left="160"/>
              <w:spacing w:after="0"/>
              <w:rPr>
                <w:sz w:val="20"/>
                <w:szCs w:val="20"/>
                <w:color w:val="auto"/>
              </w:rPr>
            </w:pPr>
            <w:r>
              <w:rPr>
                <w:rFonts w:ascii="Arial" w:cs="Arial" w:eastAsia="Arial" w:hAnsi="Arial"/>
                <w:sz w:val="16"/>
                <w:szCs w:val="16"/>
                <w:color w:val="auto"/>
              </w:rPr>
              <w:t>Prepaid expense and other current assets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88"/>
        </w:trPr>
        <w:tc>
          <w:tcPr>
            <w:tcW w:w="7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and accrued expenses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20" w:type="dxa"/>
            <w:vAlign w:val="bottom"/>
          </w:tcPr>
          <w:p>
            <w:pPr>
              <w:ind w:left="160"/>
              <w:spacing w:after="0"/>
              <w:rPr>
                <w:sz w:val="20"/>
                <w:szCs w:val="20"/>
                <w:color w:val="auto"/>
              </w:rPr>
            </w:pPr>
            <w:r>
              <w:rPr>
                <w:rFonts w:ascii="Arial" w:cs="Arial" w:eastAsia="Arial" w:hAnsi="Arial"/>
                <w:sz w:val="16"/>
                <w:szCs w:val="16"/>
                <w:color w:val="auto"/>
              </w:rPr>
              <w:t>Accounts payable – affiliate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royalties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2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Net cash provided by (used in) operating activities</w:t>
            </w:r>
          </w:p>
        </w:tc>
        <w:tc>
          <w:tcPr>
            <w:tcW w:w="10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1,723</w:t>
            </w:r>
          </w:p>
        </w:tc>
        <w:tc>
          <w:tcPr>
            <w:tcW w:w="2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(693</w:t>
            </w:r>
          </w:p>
        </w:tc>
        <w:tc>
          <w:tcPr>
            <w:tcW w:w="120" w:type="dxa"/>
            <w:vAlign w:val="bottom"/>
            <w:tcBorders>
              <w:top w:val="single" w:sz="8" w:color="CCEEFF"/>
              <w:bottom w:val="single" w:sz="8" w:color="CCEEFF"/>
            </w:tcBorders>
            <w:gridSpan w:val="2"/>
          </w:tcPr>
          <w:p>
            <w:pPr>
              <w:jc w:val="right"/>
              <w:ind w:right="60"/>
              <w:spacing w:after="0" w:line="17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8"/>
        </w:trPr>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20" w:type="dxa"/>
            <w:vAlign w:val="bottom"/>
          </w:tcPr>
          <w:p>
            <w:pPr>
              <w:ind w:left="160"/>
              <w:spacing w:after="0"/>
              <w:rPr>
                <w:sz w:val="20"/>
                <w:szCs w:val="20"/>
                <w:color w:val="auto"/>
              </w:rPr>
            </w:pPr>
            <w:r>
              <w:rPr>
                <w:rFonts w:ascii="Arial" w:cs="Arial" w:eastAsia="Arial" w:hAnsi="Arial"/>
                <w:sz w:val="16"/>
                <w:szCs w:val="16"/>
                <w:color w:val="auto"/>
              </w:rPr>
              <w:t>Purchase of plant and equipment</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(4,361)</w:t>
            </w:r>
          </w:p>
        </w:tc>
        <w:tc>
          <w:tcPr>
            <w:tcW w:w="0" w:type="dxa"/>
            <w:vAlign w:val="bottom"/>
          </w:tcPr>
          <w:p>
            <w:pPr>
              <w:spacing w:after="0"/>
              <w:rPr>
                <w:sz w:val="1"/>
                <w:szCs w:val="1"/>
                <w:color w:val="auto"/>
              </w:rPr>
            </w:pPr>
          </w:p>
        </w:tc>
      </w:tr>
      <w:tr>
        <w:trPr>
          <w:trHeight w:val="188"/>
        </w:trPr>
        <w:tc>
          <w:tcPr>
            <w:tcW w:w="7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paid for Beacon Landfill Gas Holdings LLC acquisition, net of cash and restricted cash acquired</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(52,481)</w:t>
            </w:r>
          </w:p>
        </w:tc>
        <w:tc>
          <w:tcPr>
            <w:tcW w:w="0" w:type="dxa"/>
            <w:vAlign w:val="bottom"/>
          </w:tcPr>
          <w:p>
            <w:pPr>
              <w:spacing w:after="0"/>
              <w:rPr>
                <w:sz w:val="1"/>
                <w:szCs w:val="1"/>
                <w:color w:val="auto"/>
              </w:rPr>
            </w:pPr>
          </w:p>
        </w:tc>
      </w:tr>
      <w:tr>
        <w:trPr>
          <w:trHeight w:val="204"/>
        </w:trPr>
        <w:tc>
          <w:tcPr>
            <w:tcW w:w="7620" w:type="dxa"/>
            <w:vAlign w:val="bottom"/>
          </w:tcPr>
          <w:p>
            <w:pPr>
              <w:ind w:left="160"/>
              <w:spacing w:after="0"/>
              <w:rPr>
                <w:sz w:val="20"/>
                <w:szCs w:val="20"/>
                <w:color w:val="auto"/>
              </w:rPr>
            </w:pPr>
            <w:r>
              <w:rPr>
                <w:rFonts w:ascii="Arial" w:cs="Arial" w:eastAsia="Arial" w:hAnsi="Arial"/>
                <w:sz w:val="16"/>
                <w:szCs w:val="16"/>
                <w:color w:val="auto"/>
              </w:rPr>
              <w:t>Purchase of capital spares inventory</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8"/>
        </w:trPr>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(56,871</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2"/>
        </w:trPr>
        <w:tc>
          <w:tcPr>
            <w:tcW w:w="7620" w:type="dxa"/>
            <w:vAlign w:val="bottom"/>
          </w:tcPr>
          <w:p>
            <w:pPr>
              <w:spacing w:after="0" w:line="172" w:lineRule="exact"/>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Contributions from members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62,791</w:t>
            </w:r>
          </w:p>
        </w:tc>
        <w:tc>
          <w:tcPr>
            <w:tcW w:w="0" w:type="dxa"/>
            <w:vAlign w:val="bottom"/>
          </w:tcPr>
          <w:p>
            <w:pPr>
              <w:spacing w:after="0"/>
              <w:rPr>
                <w:sz w:val="1"/>
                <w:szCs w:val="1"/>
                <w:color w:val="auto"/>
              </w:rPr>
            </w:pPr>
          </w:p>
        </w:tc>
      </w:tr>
      <w:tr>
        <w:trPr>
          <w:trHeight w:val="204"/>
        </w:trPr>
        <w:tc>
          <w:tcPr>
            <w:tcW w:w="7620" w:type="dxa"/>
            <w:vAlign w:val="bottom"/>
          </w:tcPr>
          <w:p>
            <w:pPr>
              <w:ind w:left="160"/>
              <w:spacing w:after="0"/>
              <w:rPr>
                <w:sz w:val="20"/>
                <w:szCs w:val="20"/>
                <w:color w:val="auto"/>
              </w:rPr>
            </w:pPr>
            <w:r>
              <w:rPr>
                <w:rFonts w:ascii="Arial" w:cs="Arial" w:eastAsia="Arial" w:hAnsi="Arial"/>
                <w:sz w:val="16"/>
                <w:szCs w:val="16"/>
                <w:color w:val="auto"/>
              </w:rPr>
              <w:t>Distributions to members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08"/>
        </w:trPr>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61,878</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620" w:type="dxa"/>
            <w:vAlign w:val="bottom"/>
          </w:tcPr>
          <w:p>
            <w:pPr>
              <w:spacing w:after="0" w:line="172" w:lineRule="exact"/>
              <w:rPr>
                <w:sz w:val="20"/>
                <w:szCs w:val="20"/>
                <w:color w:val="auto"/>
              </w:rPr>
            </w:pPr>
            <w:r>
              <w:rPr>
                <w:rFonts w:ascii="Arial" w:cs="Arial" w:eastAsia="Arial" w:hAnsi="Arial"/>
                <w:sz w:val="16"/>
                <w:szCs w:val="16"/>
                <w:color w:val="auto"/>
              </w:rPr>
              <w:t>Net (decrease) increase in cash and restricted cash</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6"/>
                <w:szCs w:val="16"/>
                <w:color w:val="auto"/>
              </w:rPr>
              <w:t>(1,330)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4,314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Cash and restricted cash, beginning of period</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Cash and restricted cash, end of period</w:t>
            </w: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620" w:type="dxa"/>
            <w:vAlign w:val="bottom"/>
            <w:vMerge w:val="continue"/>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1"/>
              <w:spacing w:after="0"/>
              <w:rPr>
                <w:sz w:val="20"/>
                <w:szCs w:val="20"/>
                <w:color w:val="auto"/>
              </w:rPr>
            </w:pPr>
            <w:r>
              <w:rPr>
                <w:rFonts w:ascii="Arial" w:cs="Arial" w:eastAsia="Arial" w:hAnsi="Arial"/>
                <w:sz w:val="16"/>
                <w:szCs w:val="16"/>
                <w:color w:val="auto"/>
              </w:rPr>
              <w:t>2,984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4,314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87" w:name="page288"/>
    <w:bookmarkEnd w:id="287"/>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Business</w:t>
      </w:r>
    </w:p>
    <w:p>
      <w:pPr>
        <w:spacing w:after="0" w:line="185" w:lineRule="exact"/>
        <w:rPr>
          <w:sz w:val="20"/>
          <w:szCs w:val="20"/>
          <w:color w:val="auto"/>
        </w:rPr>
      </w:pPr>
    </w:p>
    <w:p>
      <w:pPr>
        <w:jc w:val="both"/>
        <w:ind w:left="6" w:right="20" w:firstLine="283"/>
        <w:spacing w:after="0" w:line="274" w:lineRule="auto"/>
        <w:rPr>
          <w:sz w:val="20"/>
          <w:szCs w:val="20"/>
          <w:color w:val="auto"/>
        </w:rPr>
      </w:pPr>
      <w:r>
        <w:rPr>
          <w:rFonts w:ascii="Arial" w:cs="Arial" w:eastAsia="Arial" w:hAnsi="Arial"/>
          <w:sz w:val="15"/>
          <w:szCs w:val="15"/>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(see Note 3). Along with the two facilities, the Company acquired landfill gas rights, a gas sales agreement, and other agreements. Prior to August 31, 2020, substantially all the Company’s revenues were generated from one customer contract (see Note 4). The Company’s managing member is Fortistar Beacon LLC (“Managing Member”).</w:t>
      </w:r>
    </w:p>
    <w:p>
      <w:pPr>
        <w:spacing w:after="0" w:line="139" w:lineRule="exact"/>
        <w:rPr>
          <w:sz w:val="20"/>
          <w:szCs w:val="20"/>
          <w:color w:val="auto"/>
        </w:rPr>
      </w:pPr>
    </w:p>
    <w:p>
      <w:pPr>
        <w:ind w:left="6" w:right="8040" w:hanging="6"/>
        <w:spacing w:after="0" w:line="589" w:lineRule="auto"/>
        <w:tabs>
          <w:tab w:leader="none" w:pos="288" w:val="left"/>
        </w:tabs>
        <w:numPr>
          <w:ilvl w:val="0"/>
          <w:numId w:val="182"/>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 Principles of Consolidation and Presentation</w:t>
      </w:r>
    </w:p>
    <w:p>
      <w:pPr>
        <w:jc w:val="both"/>
        <w:ind w:left="6" w:firstLine="283"/>
        <w:spacing w:after="0" w:line="249" w:lineRule="auto"/>
        <w:rPr>
          <w:sz w:val="20"/>
          <w:szCs w:val="20"/>
          <w:color w:val="auto"/>
        </w:rPr>
      </w:pPr>
      <w:r>
        <w:rPr>
          <w:rFonts w:ascii="Arial" w:cs="Arial" w:eastAsia="Arial" w:hAnsi="Arial"/>
          <w:sz w:val="16"/>
          <w:szCs w:val="16"/>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 In accordance with Accounting Standards Codification (“ASC”) 805, the Company’s consolidated financial statements reflect the activities of the Company and its subsidiaries for the year ended December 31, 2020 and the period from March 11, 2019 (inception) to December 31, 2019.</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Risks and Uncertainties</w:t>
      </w:r>
    </w:p>
    <w:p>
      <w:pPr>
        <w:spacing w:after="0" w:line="185" w:lineRule="exact"/>
        <w:rPr>
          <w:sz w:val="20"/>
          <w:szCs w:val="20"/>
          <w:color w:val="auto"/>
        </w:rPr>
      </w:pPr>
    </w:p>
    <w:p>
      <w:pPr>
        <w:jc w:val="both"/>
        <w:ind w:left="6" w:firstLine="283"/>
        <w:spacing w:after="0" w:line="274" w:lineRule="auto"/>
        <w:rPr>
          <w:sz w:val="20"/>
          <w:szCs w:val="20"/>
          <w:color w:val="auto"/>
        </w:rPr>
      </w:pPr>
      <w:r>
        <w:rPr>
          <w:rFonts w:ascii="Arial" w:cs="Arial" w:eastAsia="Arial" w:hAnsi="Arial"/>
          <w:sz w:val="15"/>
          <w:szCs w:val="15"/>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as of, and for the year ended, December 31, 2020.</w:t>
      </w:r>
    </w:p>
    <w:p>
      <w:pPr>
        <w:spacing w:after="0" w:line="143" w:lineRule="exact"/>
        <w:rPr>
          <w:sz w:val="20"/>
          <w:szCs w:val="20"/>
          <w:color w:val="auto"/>
        </w:rPr>
      </w:pPr>
    </w:p>
    <w:p>
      <w:pPr>
        <w:jc w:val="both"/>
        <w:ind w:left="6" w:firstLine="283"/>
        <w:spacing w:after="0" w:line="281" w:lineRule="auto"/>
        <w:rPr>
          <w:sz w:val="20"/>
          <w:szCs w:val="20"/>
          <w:color w:val="auto"/>
        </w:rPr>
      </w:pPr>
      <w:r>
        <w:rPr>
          <w:rFonts w:ascii="Arial" w:cs="Arial" w:eastAsia="Arial" w:hAnsi="Arial"/>
          <w:sz w:val="15"/>
          <w:szCs w:val="15"/>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Cash</w:t>
      </w:r>
    </w:p>
    <w:p>
      <w:pPr>
        <w:spacing w:after="0" w:line="185"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Company periodically maintains cash in bank accounts more than the established limits insured by the Federal Deposit Insurance Corporation.</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Restricted Cash</w:t>
      </w:r>
    </w:p>
    <w:p>
      <w:pPr>
        <w:spacing w:after="0" w:line="185"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The Company’s restricted cash includes a $1.2 million certificate of deposit which serves as collateral for a letter of credit issued by a financial institution on behalf of the Company. The letter of credit provides credit support for the Company relating to a gas transportation contract.</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88" w:name="page289"/>
    <w:bookmarkEnd w:id="288"/>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Accounts Receivable and Allowance for Doubtful Accounts</w:t>
      </w:r>
    </w:p>
    <w:p>
      <w:pPr>
        <w:spacing w:after="0" w:line="197"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December 31, 2020 and 2019.</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Capital Spares</w:t>
      </w:r>
    </w:p>
    <w:p>
      <w:pPr>
        <w:spacing w:after="0" w:line="197"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Plant and Equipment</w:t>
      </w:r>
    </w:p>
    <w:p>
      <w:pPr>
        <w:spacing w:after="0" w:line="197" w:lineRule="exact"/>
        <w:rPr>
          <w:sz w:val="20"/>
          <w:szCs w:val="20"/>
          <w:color w:val="auto"/>
        </w:rPr>
      </w:pPr>
    </w:p>
    <w:p>
      <w:pPr>
        <w:jc w:val="both"/>
        <w:ind w:left="6" w:firstLine="283"/>
        <w:spacing w:after="0" w:line="322" w:lineRule="auto"/>
        <w:rPr>
          <w:sz w:val="20"/>
          <w:szCs w:val="20"/>
          <w:color w:val="auto"/>
        </w:rPr>
      </w:pPr>
      <w:r>
        <w:rPr>
          <w:rFonts w:ascii="Arial" w:cs="Arial" w:eastAsia="Arial" w:hAnsi="Arial"/>
          <w:sz w:val="13"/>
          <w:szCs w:val="13"/>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Accounts Payable and Accrued Expenses</w:t>
      </w:r>
    </w:p>
    <w:p>
      <w:pPr>
        <w:spacing w:after="0" w:line="197"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Accounts payable and accrued expenses are costs related to the Company, which are due to vendors, for goods or services received or incurred as of December 31, 2020 and 2019.</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Liability Under Gas Sales Agreement</w:t>
      </w:r>
    </w:p>
    <w:p>
      <w:pPr>
        <w:spacing w:after="0" w:line="197"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The liability under gas sales agreement is related to a gas sales agreement, obtained at acquisition of the RNG facilities, pursuant to which the Company sells RNG. This intangible liability was amortized using the straight-line method over an 18-month contract period and was fully amortized as of December 31, 2020. Amortization related to this intangible liability is included in gas sales agreement liability reduction in the consolidated statements of operations.</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Impairment of Long-Lived Assets</w:t>
      </w:r>
    </w:p>
    <w:p>
      <w:pPr>
        <w:spacing w:after="0" w:line="197" w:lineRule="exact"/>
        <w:rPr>
          <w:sz w:val="20"/>
          <w:szCs w:val="20"/>
          <w:color w:val="auto"/>
        </w:rPr>
      </w:pPr>
    </w:p>
    <w:p>
      <w:pPr>
        <w:jc w:val="both"/>
        <w:ind w:left="6" w:firstLine="283"/>
        <w:spacing w:after="0" w:line="251"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year ended December 31, 2020 and for the period from March 11, 2019 (inception) to December 31, 2019.</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Asset Retirement Obligation</w:t>
      </w:r>
    </w:p>
    <w:p>
      <w:pPr>
        <w:spacing w:after="0" w:line="197" w:lineRule="exact"/>
        <w:rPr>
          <w:sz w:val="20"/>
          <w:szCs w:val="20"/>
          <w:color w:val="auto"/>
        </w:rPr>
      </w:pPr>
    </w:p>
    <w:p>
      <w:pPr>
        <w:jc w:val="both"/>
        <w:ind w:left="6" w:firstLine="283"/>
        <w:spacing w:after="0" w:line="316" w:lineRule="auto"/>
        <w:rPr>
          <w:sz w:val="20"/>
          <w:szCs w:val="20"/>
          <w:color w:val="auto"/>
        </w:rPr>
      </w:pPr>
      <w:r>
        <w:rPr>
          <w:rFonts w:ascii="Arial" w:cs="Arial" w:eastAsia="Arial" w:hAnsi="Arial"/>
          <w:sz w:val="13"/>
          <w:szCs w:val="13"/>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22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89" w:name="page290"/>
    <w:bookmarkEnd w:id="289"/>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197"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At December 31, 2020 and 2019, the Company estimated the value of its total asset retirement obligations to be $268 and $239, respectively, based on a projected future liability of $2,095. Changes in the asset retirement obligations were as follows for the year ended December 31, 2020 and the period from March 11, 2019 (inception) to December 31, 2019:</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4920" w:type="dxa"/>
            <w:vAlign w:val="bottom"/>
          </w:tcPr>
          <w:p>
            <w:pPr>
              <w:spacing w:after="0"/>
              <w:rPr>
                <w:sz w:val="18"/>
                <w:szCs w:val="18"/>
                <w:color w:val="auto"/>
              </w:rPr>
            </w:pPr>
          </w:p>
        </w:tc>
        <w:tc>
          <w:tcPr>
            <w:tcW w:w="4580" w:type="dxa"/>
            <w:vAlign w:val="bottom"/>
            <w:gridSpan w:val="2"/>
          </w:tcPr>
          <w:p>
            <w:pPr>
              <w:jc w:val="right"/>
              <w:ind w:right="27"/>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7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20" w:type="dxa"/>
            <w:vAlign w:val="bottom"/>
          </w:tcPr>
          <w:p>
            <w:pPr>
              <w:spacing w:after="0"/>
              <w:rPr>
                <w:sz w:val="20"/>
                <w:szCs w:val="20"/>
                <w:color w:val="auto"/>
              </w:rPr>
            </w:pPr>
            <w:r>
              <w:rPr>
                <w:rFonts w:ascii="Arial" w:cs="Arial" w:eastAsia="Arial" w:hAnsi="Arial"/>
                <w:sz w:val="16"/>
                <w:szCs w:val="16"/>
                <w:color w:val="auto"/>
              </w:rPr>
              <w:t>Accretion expense</w:t>
            </w:r>
          </w:p>
        </w:tc>
        <w:tc>
          <w:tcPr>
            <w:tcW w:w="3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
        </w:trPr>
        <w:tc>
          <w:tcPr>
            <w:tcW w:w="49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37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vMerge w:val="continue"/>
            <w:shd w:val="clear" w:color="auto" w:fill="CCEEFF"/>
          </w:tcPr>
          <w:p>
            <w:pPr>
              <w:spacing w:after="0"/>
              <w:rPr>
                <w:sz w:val="18"/>
                <w:szCs w:val="18"/>
                <w:color w:val="auto"/>
              </w:rPr>
            </w:pPr>
          </w:p>
        </w:tc>
        <w:tc>
          <w:tcPr>
            <w:tcW w:w="4580" w:type="dxa"/>
            <w:vAlign w:val="bottom"/>
            <w:gridSpan w:val="2"/>
            <w:shd w:val="clear" w:color="auto" w:fill="CCEEFF"/>
          </w:tcPr>
          <w:p>
            <w:pPr>
              <w:jc w:val="right"/>
              <w:ind w:right="667"/>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Revenue Recognition</w:t>
      </w:r>
    </w:p>
    <w:p>
      <w:pPr>
        <w:spacing w:after="0" w:line="197" w:lineRule="exact"/>
        <w:rPr>
          <w:sz w:val="20"/>
          <w:szCs w:val="20"/>
          <w:color w:val="auto"/>
        </w:rPr>
      </w:pPr>
    </w:p>
    <w:p>
      <w:pPr>
        <w:jc w:val="both"/>
        <w:ind w:left="6" w:firstLine="283"/>
        <w:spacing w:after="0" w:line="248" w:lineRule="auto"/>
        <w:rPr>
          <w:sz w:val="20"/>
          <w:szCs w:val="20"/>
          <w:color w:val="auto"/>
        </w:rPr>
      </w:pPr>
      <w:r>
        <w:rPr>
          <w:rFonts w:ascii="Arial" w:cs="Arial" w:eastAsia="Arial" w:hAnsi="Arial"/>
          <w:sz w:val="16"/>
          <w:szCs w:val="16"/>
          <w:color w:val="auto"/>
        </w:rPr>
        <w:t>The Company adopted ASU 2014-19,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of the beginning of the 2019 period. 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75" w:lineRule="exact"/>
        <w:rPr>
          <w:sz w:val="20"/>
          <w:szCs w:val="20"/>
          <w:color w:val="auto"/>
        </w:rPr>
      </w:pPr>
    </w:p>
    <w:p>
      <w:pPr>
        <w:jc w:val="both"/>
        <w:ind w:left="6" w:firstLine="283"/>
        <w:spacing w:after="0" w:line="269" w:lineRule="auto"/>
        <w:rPr>
          <w:sz w:val="20"/>
          <w:szCs w:val="20"/>
          <w:color w:val="auto"/>
        </w:rPr>
      </w:pPr>
      <w:r>
        <w:rPr>
          <w:rFonts w:ascii="Arial" w:cs="Arial" w:eastAsia="Arial" w:hAnsi="Arial"/>
          <w:sz w:val="15"/>
          <w:szCs w:val="15"/>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59" w:lineRule="exact"/>
        <w:rPr>
          <w:sz w:val="20"/>
          <w:szCs w:val="20"/>
          <w:color w:val="auto"/>
        </w:rPr>
      </w:pPr>
    </w:p>
    <w:p>
      <w:pPr>
        <w:jc w:val="both"/>
        <w:ind w:left="6" w:right="20" w:firstLine="283"/>
        <w:spacing w:after="0" w:line="300" w:lineRule="auto"/>
        <w:rPr>
          <w:sz w:val="20"/>
          <w:szCs w:val="20"/>
          <w:color w:val="auto"/>
        </w:rPr>
      </w:pPr>
      <w:r>
        <w:rPr>
          <w:rFonts w:ascii="Arial" w:cs="Arial" w:eastAsia="Arial" w:hAnsi="Arial"/>
          <w:sz w:val="15"/>
          <w:szCs w:val="15"/>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34" w:lineRule="exact"/>
        <w:rPr>
          <w:sz w:val="20"/>
          <w:szCs w:val="20"/>
          <w:color w:val="auto"/>
        </w:rPr>
      </w:pPr>
    </w:p>
    <w:p>
      <w:pPr>
        <w:jc w:val="both"/>
        <w:ind w:left="6" w:firstLine="283"/>
        <w:spacing w:after="0" w:line="252" w:lineRule="auto"/>
        <w:rPr>
          <w:sz w:val="20"/>
          <w:szCs w:val="20"/>
          <w:color w:val="auto"/>
        </w:rPr>
      </w:pPr>
      <w:r>
        <w:rPr>
          <w:rFonts w:ascii="Arial" w:cs="Arial" w:eastAsia="Arial" w:hAnsi="Arial"/>
          <w:sz w:val="16"/>
          <w:szCs w:val="16"/>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26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90" w:name="page291"/>
    <w:bookmarkEnd w:id="290"/>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Use of Estimates</w:t>
      </w:r>
    </w:p>
    <w:p>
      <w:pPr>
        <w:spacing w:after="0" w:line="197"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Business Combination</w:t>
      </w:r>
    </w:p>
    <w:p>
      <w:pPr>
        <w:spacing w:after="0" w:line="197" w:lineRule="exact"/>
        <w:rPr>
          <w:sz w:val="20"/>
          <w:szCs w:val="20"/>
          <w:color w:val="auto"/>
        </w:rPr>
      </w:pPr>
    </w:p>
    <w:p>
      <w:pPr>
        <w:jc w:val="both"/>
        <w:ind w:left="6" w:firstLine="283"/>
        <w:spacing w:after="0" w:line="274" w:lineRule="auto"/>
        <w:rPr>
          <w:sz w:val="20"/>
          <w:szCs w:val="20"/>
          <w:color w:val="auto"/>
        </w:rPr>
      </w:pPr>
      <w:r>
        <w:rPr>
          <w:rFonts w:ascii="Arial" w:cs="Arial" w:eastAsia="Arial" w:hAnsi="Arial"/>
          <w:sz w:val="15"/>
          <w:szCs w:val="15"/>
          <w:color w:val="auto"/>
        </w:rPr>
        <w:t>The Company accounts for business combinations in accordance with ASC 805, “Business Combinations.” ASC 805 requires business combinations to be accounted for using the acquisition method of accounting and includes specific criteria for recording intangible assets separate from goodwill. Results of operations of acquired businesses are included in the Company’s consolidated financial statements from the effective date of acquisition. Net assets of the acquired company are recorded at their fair value at the date of acquisition. Fair value adjustments after the acquisition date, that are not measurement period adjustments, are recognized in earnings.</w:t>
      </w:r>
    </w:p>
    <w:p>
      <w:pPr>
        <w:spacing w:after="0" w:line="15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Recurring Fair Value Measurements</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3"/>
          <w:szCs w:val="13"/>
          <w:color w:val="auto"/>
        </w:rPr>
        <w:t>The Company has cash, accounts receivable, and accounts payable for which the carrying value approximates fair value due to the short-term nature of these instruments.</w:t>
      </w:r>
    </w:p>
    <w:p>
      <w:pPr>
        <w:spacing w:after="0" w:line="22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Income Taxes</w:t>
      </w:r>
    </w:p>
    <w:p>
      <w:pPr>
        <w:spacing w:after="0" w:line="197"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Concentrations</w:t>
      </w:r>
    </w:p>
    <w:p>
      <w:pPr>
        <w:spacing w:after="0" w:line="197"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For the year ended December 31, 2020, two customers accounted for 95% of revenue. For the period from March 11, 2019 (inception) to December 31, 2019, one customer accounted for 97% of revenue. As of December 31, 2020, one customer accounted for 89% of the accounts receivable balance. As of December 31, 2019, three customers accounted for 96% of the accounts receivable balance.</w:t>
      </w:r>
    </w:p>
    <w:p>
      <w:pPr>
        <w:spacing w:after="0" w:line="165"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The Company deposits its cash in high credit quality financial institutions located in the United States of America. Deposits with one financial institution exceeded federally insured limits as of December 31, 2020 and 2019, respectively.</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Reclassifications</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6"/>
          <w:szCs w:val="16"/>
          <w:color w:val="auto"/>
        </w:rPr>
        <w:t>Certain prior year amounts have been reclassified to conform to current year presentation.</w:t>
      </w:r>
    </w:p>
    <w:p>
      <w:pPr>
        <w:spacing w:after="0" w:line="189" w:lineRule="exact"/>
        <w:rPr>
          <w:sz w:val="20"/>
          <w:szCs w:val="20"/>
          <w:color w:val="auto"/>
        </w:rPr>
      </w:pPr>
    </w:p>
    <w:p>
      <w:pPr>
        <w:ind w:left="286" w:hanging="286"/>
        <w:spacing w:after="0"/>
        <w:tabs>
          <w:tab w:leader="none" w:pos="286"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w:t>
      </w:r>
    </w:p>
    <w:p>
      <w:pPr>
        <w:spacing w:after="0" w:line="197"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On March 11, 2019, the Company acquired BLGH, owner of the Greentree and Imperial facilities. Pursuant to a purchase and sale agreement, the Company purchased 100% of the equity interests in BLGH, for a $53,111 net cash payment. This included an initial cash payment of $53,948 on March 11, 2019 less a $837 working capital true-up payment from the seller on June 20, 2019.</w:t>
      </w:r>
    </w:p>
    <w:p>
      <w:pPr>
        <w:spacing w:after="0" w:line="25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91" w:name="page292"/>
    <w:bookmarkEnd w:id="291"/>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 </w:t>
      </w:r>
      <w:r>
        <w:rPr>
          <w:rFonts w:ascii="Arial" w:cs="Arial" w:eastAsia="Arial" w:hAnsi="Arial"/>
          <w:sz w:val="16"/>
          <w:szCs w:val="16"/>
          <w:color w:val="auto"/>
        </w:rPr>
        <w:t>(cont.)</w:t>
      </w:r>
    </w:p>
    <w:p>
      <w:pPr>
        <w:spacing w:after="0" w:line="196" w:lineRule="exact"/>
        <w:rPr>
          <w:rFonts w:ascii="Arial" w:cs="Arial" w:eastAsia="Arial" w:hAnsi="Arial"/>
          <w:sz w:val="16"/>
          <w:szCs w:val="16"/>
          <w:b w:val="1"/>
          <w:bCs w:val="1"/>
          <w:color w:val="auto"/>
        </w:rPr>
      </w:pPr>
    </w:p>
    <w:p>
      <w:pPr>
        <w:ind w:left="286"/>
        <w:spacing w:after="0"/>
        <w:rPr>
          <w:rFonts w:ascii="Arial" w:cs="Arial" w:eastAsia="Arial" w:hAnsi="Arial"/>
          <w:sz w:val="16"/>
          <w:szCs w:val="16"/>
          <w:b w:val="1"/>
          <w:bCs w:val="1"/>
          <w:color w:val="auto"/>
        </w:rPr>
      </w:pPr>
      <w:r>
        <w:rPr>
          <w:rFonts w:ascii="Arial" w:cs="Arial" w:eastAsia="Arial" w:hAnsi="Arial"/>
          <w:sz w:val="16"/>
          <w:szCs w:val="16"/>
          <w:color w:val="auto"/>
        </w:rPr>
        <w:t xml:space="preserve">The purchase price allocation was performed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assets acquired and the liabilities assumed were:</w:t>
      </w:r>
    </w:p>
    <w:p>
      <w:pPr>
        <w:spacing w:after="0" w:line="193"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6720" w:type="dxa"/>
            <w:vAlign w:val="bottom"/>
          </w:tcPr>
          <w:p>
            <w:pPr>
              <w:spacing w:after="0"/>
              <w:rPr>
                <w:sz w:val="20"/>
                <w:szCs w:val="20"/>
                <w:color w:val="auto"/>
              </w:rPr>
            </w:pPr>
            <w:r>
              <w:rPr>
                <w:rFonts w:ascii="Arial" w:cs="Arial" w:eastAsia="Arial" w:hAnsi="Arial"/>
                <w:sz w:val="16"/>
                <w:szCs w:val="16"/>
                <w:color w:val="auto"/>
              </w:rPr>
              <w:t>Estimated fair value of assets acquired:</w:t>
            </w:r>
          </w:p>
        </w:tc>
        <w:tc>
          <w:tcPr>
            <w:tcW w:w="3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w:t>
            </w:r>
          </w:p>
        </w:tc>
        <w:tc>
          <w:tcPr>
            <w:tcW w:w="3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618</w:t>
            </w:r>
          </w:p>
        </w:tc>
      </w:tr>
      <w:tr>
        <w:trPr>
          <w:trHeight w:val="188"/>
        </w:trPr>
        <w:tc>
          <w:tcPr>
            <w:tcW w:w="6720" w:type="dxa"/>
            <w:vAlign w:val="bottom"/>
          </w:tcPr>
          <w:p>
            <w:pPr>
              <w:ind w:left="160"/>
              <w:spacing w:after="0"/>
              <w:rPr>
                <w:sz w:val="20"/>
                <w:szCs w:val="20"/>
                <w:color w:val="auto"/>
              </w:rPr>
            </w:pPr>
            <w:r>
              <w:rPr>
                <w:rFonts w:ascii="Arial" w:cs="Arial" w:eastAsia="Arial" w:hAnsi="Arial"/>
                <w:sz w:val="16"/>
                <w:szCs w:val="16"/>
                <w:color w:val="auto"/>
              </w:rPr>
              <w:t>Receivables</w:t>
            </w:r>
          </w:p>
        </w:tc>
        <w:tc>
          <w:tcPr>
            <w:tcW w:w="3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1,262</w:t>
            </w:r>
          </w:p>
        </w:tc>
      </w:tr>
      <w:tr>
        <w:trPr>
          <w:trHeight w:val="188"/>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plant and equipment</w:t>
            </w:r>
          </w:p>
        </w:tc>
        <w:tc>
          <w:tcPr>
            <w:tcW w:w="3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56,853</w:t>
            </w:r>
          </w:p>
        </w:tc>
      </w:tr>
      <w:tr>
        <w:trPr>
          <w:trHeight w:val="204"/>
        </w:trPr>
        <w:tc>
          <w:tcPr>
            <w:tcW w:w="6720" w:type="dxa"/>
            <w:vAlign w:val="bottom"/>
          </w:tcPr>
          <w:p>
            <w:pPr>
              <w:ind w:left="160"/>
              <w:spacing w:after="0"/>
              <w:rPr>
                <w:sz w:val="20"/>
                <w:szCs w:val="20"/>
                <w:color w:val="auto"/>
              </w:rPr>
            </w:pPr>
            <w:r>
              <w:rPr>
                <w:rFonts w:ascii="Arial" w:cs="Arial" w:eastAsia="Arial" w:hAnsi="Arial"/>
                <w:sz w:val="16"/>
                <w:szCs w:val="16"/>
                <w:color w:val="auto"/>
              </w:rPr>
              <w:t>Restricted cash</w:t>
            </w:r>
          </w:p>
        </w:tc>
        <w:tc>
          <w:tcPr>
            <w:tcW w:w="3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r>
      <w:tr>
        <w:trPr>
          <w:trHeight w:val="208"/>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 acquired</w:t>
            </w:r>
          </w:p>
        </w:tc>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2"/>
        </w:trPr>
        <w:tc>
          <w:tcPr>
            <w:tcW w:w="6720" w:type="dxa"/>
            <w:vAlign w:val="bottom"/>
          </w:tcPr>
          <w:p>
            <w:pPr>
              <w:spacing w:after="0" w:line="172" w:lineRule="exact"/>
              <w:rPr>
                <w:sz w:val="20"/>
                <w:szCs w:val="20"/>
                <w:color w:val="auto"/>
              </w:rPr>
            </w:pPr>
            <w:r>
              <w:rPr>
                <w:rFonts w:ascii="Arial" w:cs="Arial" w:eastAsia="Arial" w:hAnsi="Arial"/>
                <w:sz w:val="16"/>
                <w:szCs w:val="16"/>
                <w:color w:val="auto"/>
              </w:rPr>
              <w:t>Estimated fair value of liabilities assumed or incurred:</w:t>
            </w:r>
          </w:p>
        </w:tc>
        <w:tc>
          <w:tcPr>
            <w:tcW w:w="3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Payables</w:t>
            </w:r>
          </w:p>
        </w:tc>
        <w:tc>
          <w:tcPr>
            <w:tcW w:w="3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1,302</w:t>
            </w:r>
          </w:p>
        </w:tc>
      </w:tr>
      <w:tr>
        <w:trPr>
          <w:trHeight w:val="188"/>
        </w:trPr>
        <w:tc>
          <w:tcPr>
            <w:tcW w:w="6720" w:type="dxa"/>
            <w:vAlign w:val="bottom"/>
          </w:tcPr>
          <w:p>
            <w:pPr>
              <w:ind w:left="160"/>
              <w:spacing w:after="0"/>
              <w:rPr>
                <w:sz w:val="20"/>
                <w:szCs w:val="20"/>
                <w:color w:val="auto"/>
              </w:rPr>
            </w:pPr>
            <w:r>
              <w:rPr>
                <w:rFonts w:ascii="Arial" w:cs="Arial" w:eastAsia="Arial" w:hAnsi="Arial"/>
                <w:sz w:val="16"/>
                <w:szCs w:val="16"/>
                <w:color w:val="auto"/>
              </w:rPr>
              <w:t>Asset retirement obligation</w:t>
            </w:r>
          </w:p>
        </w:tc>
        <w:tc>
          <w:tcPr>
            <w:tcW w:w="3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217</w:t>
            </w:r>
          </w:p>
        </w:tc>
      </w:tr>
      <w:tr>
        <w:trPr>
          <w:trHeight w:val="220"/>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Gas sales agreement</w:t>
            </w:r>
          </w:p>
        </w:tc>
        <w:tc>
          <w:tcPr>
            <w:tcW w:w="3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4,115</w:t>
            </w:r>
          </w:p>
        </w:tc>
      </w:tr>
      <w:tr>
        <w:trPr>
          <w:trHeight w:val="176"/>
        </w:trPr>
        <w:tc>
          <w:tcPr>
            <w:tcW w:w="6720" w:type="dxa"/>
            <w:vAlign w:val="bottom"/>
            <w:tcBorders>
              <w:top w:val="single" w:sz="8" w:color="CCEEFF"/>
              <w:bottom w:val="single" w:sz="8" w:color="CCEEFF"/>
            </w:tcBorders>
          </w:tcPr>
          <w:p>
            <w:pPr>
              <w:spacing w:after="0" w:line="172" w:lineRule="exact"/>
              <w:rPr>
                <w:sz w:val="20"/>
                <w:szCs w:val="20"/>
                <w:color w:val="auto"/>
              </w:rPr>
            </w:pPr>
            <w:r>
              <w:rPr>
                <w:rFonts w:ascii="Arial" w:cs="Arial" w:eastAsia="Arial" w:hAnsi="Arial"/>
                <w:sz w:val="16"/>
                <w:szCs w:val="16"/>
                <w:color w:val="auto"/>
              </w:rPr>
              <w:t>Total liabilities assumed or incurred</w:t>
            </w:r>
          </w:p>
        </w:tc>
        <w:tc>
          <w:tcPr>
            <w:tcW w:w="3300" w:type="dxa"/>
            <w:vAlign w:val="bottom"/>
            <w:tcBorders>
              <w:top w:val="single" w:sz="8" w:color="CCEEFF"/>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Arial" w:cs="Arial" w:eastAsia="Arial" w:hAnsi="Arial"/>
                <w:sz w:val="16"/>
                <w:szCs w:val="16"/>
                <w:color w:val="auto"/>
              </w:rPr>
              <w:t>5,634</w:t>
            </w:r>
          </w:p>
        </w:tc>
        <w:tc>
          <w:tcPr>
            <w:tcW w:w="120" w:type="dxa"/>
            <w:vAlign w:val="bottom"/>
            <w:tcBorders>
              <w:top w:val="single" w:sz="8" w:color="CCEEFF"/>
              <w:bottom w:val="single" w:sz="8" w:color="CCEEFF"/>
            </w:tcBorders>
          </w:tcPr>
          <w:p>
            <w:pPr>
              <w:spacing w:after="0"/>
              <w:rPr>
                <w:sz w:val="15"/>
                <w:szCs w:val="15"/>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Purchase price</w:t>
            </w:r>
          </w:p>
        </w:tc>
        <w:tc>
          <w:tcPr>
            <w:tcW w:w="3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53,111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The allocations of purchase price to the assets acquired and liabilities assumed or incurred in connection with the acquisition are based upon estimates of fair values as of the acquisition date. The Company incurred $1,013 of acquisition — related costs consisting of legal, accounting, due diligence, and other consulting and advisory services. These costs were expensed as incurred.</w:t>
      </w:r>
    </w:p>
    <w:p>
      <w:pPr>
        <w:spacing w:after="0" w:line="161" w:lineRule="exact"/>
        <w:rPr>
          <w:sz w:val="20"/>
          <w:szCs w:val="20"/>
          <w:color w:val="auto"/>
        </w:rPr>
      </w:pPr>
    </w:p>
    <w:p>
      <w:pPr>
        <w:ind w:left="6" w:right="9140" w:hanging="6"/>
        <w:spacing w:after="0" w:line="608" w:lineRule="auto"/>
        <w:tabs>
          <w:tab w:leader="none" w:pos="288" w:val="left"/>
        </w:tabs>
        <w:numPr>
          <w:ilvl w:val="0"/>
          <w:numId w:val="188"/>
        </w:numPr>
        <w:rPr>
          <w:rFonts w:ascii="Arial" w:cs="Arial" w:eastAsia="Arial" w:hAnsi="Arial"/>
          <w:sz w:val="13"/>
          <w:szCs w:val="13"/>
          <w:b w:val="1"/>
          <w:bCs w:val="1"/>
          <w:color w:val="auto"/>
        </w:rPr>
      </w:pPr>
      <w:r>
        <w:rPr>
          <w:rFonts w:ascii="Arial" w:cs="Arial" w:eastAsia="Arial" w:hAnsi="Arial"/>
          <w:sz w:val="13"/>
          <w:szCs w:val="13"/>
          <w:b w:val="1"/>
          <w:bCs w:val="1"/>
          <w:color w:val="auto"/>
        </w:rPr>
        <w:t>Company Operations RNG and RIN Sales Agreement</w:t>
      </w:r>
    </w:p>
    <w:p>
      <w:pPr>
        <w:jc w:val="both"/>
        <w:ind w:left="6" w:right="20" w:firstLine="283"/>
        <w:spacing w:after="0" w:line="342" w:lineRule="auto"/>
        <w:rPr>
          <w:sz w:val="20"/>
          <w:szCs w:val="20"/>
          <w:color w:val="auto"/>
        </w:rPr>
      </w:pPr>
      <w:r>
        <w:rPr>
          <w:rFonts w:ascii="Arial" w:cs="Arial" w:eastAsia="Arial" w:hAnsi="Arial"/>
          <w:sz w:val="13"/>
          <w:szCs w:val="13"/>
          <w:color w:val="auto"/>
        </w:rPr>
        <w:t>The Company had an agreement with a gas marketer to sell all RNG produced by the Company. Under this agreement, which expired on August 31, 2020, RNG was sold at a fixed price per million British Thermal Units (“MMBtu”) and the gas marketer’s associated RINs were sold at average monthly spot market prices. During 2020, RNG and the share received from the gas marketer’s RIN sales under this agreement was $9,910 compared to $9,778 for the period from March 11, 2019 (inception) to December 31, 2019.</w:t>
      </w:r>
    </w:p>
    <w:p>
      <w:pPr>
        <w:spacing w:after="0" w:line="115"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In September 2020, the Company commenced an arrangement with another gas marketer to sell only RNG. Under this arrangement, RNG is sold at the pipeline index price, less a fixed per MMBtu fee.</w:t>
      </w:r>
    </w:p>
    <w:p>
      <w:pPr>
        <w:spacing w:after="0" w:line="157"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During 2020, the Company recorded $773 of environmental credit processing services to operating expenses and an offsetting gain on non-monetary RINs transferred to TruStar in payment for these services to other income within the statements of operations.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Gas Transportation Sales Agreement</w:t>
      </w:r>
    </w:p>
    <w:p>
      <w:pPr>
        <w:spacing w:after="0" w:line="197" w:lineRule="exact"/>
        <w:rPr>
          <w:sz w:val="20"/>
          <w:szCs w:val="20"/>
          <w:color w:val="auto"/>
        </w:rPr>
      </w:pPr>
    </w:p>
    <w:p>
      <w:pPr>
        <w:jc w:val="both"/>
        <w:ind w:left="6" w:right="20" w:firstLine="283"/>
        <w:spacing w:after="0" w:line="252" w:lineRule="auto"/>
        <w:rPr>
          <w:sz w:val="20"/>
          <w:szCs w:val="20"/>
          <w:color w:val="auto"/>
        </w:rPr>
      </w:pPr>
      <w:r>
        <w:rPr>
          <w:rFonts w:ascii="Arial" w:cs="Arial" w:eastAsia="Arial" w:hAnsi="Arial"/>
          <w:sz w:val="16"/>
          <w:szCs w:val="16"/>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year ended December 31, 2020 and the period from March 11, 2019 to December 31, 2019 were $238 and $302, respectively.</w:t>
      </w:r>
    </w:p>
    <w:p>
      <w:pPr>
        <w:spacing w:after="0" w:line="26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9" w:right="319" w:bottom="1440" w:gutter="0" w:footer="0" w:header="0"/>
        </w:sectPr>
      </w:pPr>
    </w:p>
    <w:bookmarkStart w:id="292" w:name="page293"/>
    <w:bookmarkEnd w:id="292"/>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 Operations </w:t>
      </w:r>
      <w:r>
        <w:rPr>
          <w:rFonts w:ascii="Arial" w:cs="Arial" w:eastAsia="Arial" w:hAnsi="Arial"/>
          <w:sz w:val="16"/>
          <w:szCs w:val="16"/>
          <w:color w:val="auto"/>
        </w:rPr>
        <w:t>(cont.)</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Landfill Gas Rights</w:t>
      </w:r>
    </w:p>
    <w:p>
      <w:pPr>
        <w:spacing w:after="0" w:line="197" w:lineRule="exact"/>
        <w:rPr>
          <w:sz w:val="20"/>
          <w:szCs w:val="20"/>
          <w:color w:val="auto"/>
        </w:rPr>
      </w:pPr>
    </w:p>
    <w:p>
      <w:pPr>
        <w:jc w:val="both"/>
        <w:ind w:left="6" w:firstLine="283"/>
        <w:spacing w:after="0" w:line="281" w:lineRule="auto"/>
        <w:rPr>
          <w:sz w:val="20"/>
          <w:szCs w:val="20"/>
          <w:color w:val="auto"/>
        </w:rPr>
      </w:pPr>
      <w:r>
        <w:rPr>
          <w:rFonts w:ascii="Arial" w:cs="Arial" w:eastAsia="Arial" w:hAnsi="Arial"/>
          <w:sz w:val="15"/>
          <w:szCs w:val="15"/>
          <w:color w:val="auto"/>
        </w:rPr>
        <w:t>The Company has two agreements with landfill owners whereby the Company obtains rights to the landfill gas in exchange for an amount per MMBtu of gas delivered at Imperial and a royalty based on the percentage of net RNG revenue at Greentree. In addition, royalties related to RINs at Greentree are deferred until the Company first receives a certain level of distributions from the two facilities. As a result, Greentree RIN royalties are projected to begin being paid in 2026.</w:t>
      </w:r>
    </w:p>
    <w:p>
      <w:pPr>
        <w:spacing w:after="0" w:line="148" w:lineRule="exact"/>
        <w:rPr>
          <w:sz w:val="20"/>
          <w:szCs w:val="20"/>
          <w:color w:val="auto"/>
        </w:rPr>
      </w:pPr>
    </w:p>
    <w:p>
      <w:pPr>
        <w:jc w:val="both"/>
        <w:ind w:left="6" w:firstLine="283"/>
        <w:spacing w:after="0" w:line="266" w:lineRule="auto"/>
        <w:rPr>
          <w:sz w:val="20"/>
          <w:szCs w:val="20"/>
          <w:color w:val="auto"/>
        </w:rPr>
      </w:pPr>
      <w:r>
        <w:rPr>
          <w:rFonts w:ascii="Arial" w:cs="Arial" w:eastAsia="Arial" w:hAnsi="Arial"/>
          <w:sz w:val="16"/>
          <w:szCs w:val="16"/>
          <w:color w:val="auto"/>
        </w:rPr>
        <w:t>The Company has accrued $1,268 and $259 for these royalties as of December 31, 2020 and 2019 which are included in operations in the consolidated statements of operations.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Gas Transportation Fee</w:t>
      </w:r>
    </w:p>
    <w:p>
      <w:pPr>
        <w:spacing w:after="0" w:line="197" w:lineRule="exact"/>
        <w:rPr>
          <w:sz w:val="20"/>
          <w:szCs w:val="20"/>
          <w:color w:val="auto"/>
        </w:rPr>
      </w:pPr>
    </w:p>
    <w:p>
      <w:pPr>
        <w:jc w:val="both"/>
        <w:ind w:left="6" w:right="20" w:firstLine="283"/>
        <w:spacing w:after="0" w:line="252" w:lineRule="auto"/>
        <w:rPr>
          <w:sz w:val="20"/>
          <w:szCs w:val="20"/>
          <w:color w:val="auto"/>
        </w:rPr>
      </w:pPr>
      <w:r>
        <w:rPr>
          <w:rFonts w:ascii="Arial" w:cs="Arial" w:eastAsia="Arial" w:hAnsi="Arial"/>
          <w:sz w:val="16"/>
          <w:szCs w:val="16"/>
          <w:color w:val="auto"/>
        </w:rPr>
        <w:t>During the period March 11, 2019 (inception) through December 31, 2019, the Company had eight agreements with the gas pipeline to transport RNG and blending gas at regulated tariff rates. Most of these contracts were year-to-year with 6 - to –12-month termination notice provisions. One contract was terminated effective August 31, 2020, and three others were terminated on various dates in 2021. Of the four contracts remaining, two were extended until 2024 but with a reduction in contracted volumes starting in 2021, one contract’s term ends in 2032, and one contract’s term is indefinite.</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Operations and Maintenance Agreements</w:t>
      </w:r>
    </w:p>
    <w:p>
      <w:pPr>
        <w:spacing w:after="0" w:line="197" w:lineRule="exact"/>
        <w:rPr>
          <w:sz w:val="20"/>
          <w:szCs w:val="20"/>
          <w:color w:val="auto"/>
        </w:rPr>
      </w:pPr>
    </w:p>
    <w:p>
      <w:pPr>
        <w:jc w:val="both"/>
        <w:ind w:left="6" w:firstLine="283"/>
        <w:spacing w:after="0" w:line="281" w:lineRule="auto"/>
        <w:rPr>
          <w:sz w:val="20"/>
          <w:szCs w:val="20"/>
          <w:color w:val="auto"/>
        </w:rPr>
      </w:pPr>
      <w:r>
        <w:rPr>
          <w:rFonts w:ascii="Arial" w:cs="Arial" w:eastAsia="Arial" w:hAnsi="Arial"/>
          <w:sz w:val="15"/>
          <w:szCs w:val="15"/>
          <w:color w:val="auto"/>
        </w:rPr>
        <w:t>The Company has two operations and maintenance agreements with third-party providers who provide operating services at the two facilities. The agreements expire in 2027 and have an option for early termination. In 2020 and for the period March 11, 2019 (inception) to December 31, 2019, the costs related to these contracts were $2.1 million and $1.5 million, respectively, and are recorded in operations and repairs and maintenance in the consolidated statements of operations.</w:t>
      </w:r>
    </w:p>
    <w:p>
      <w:pPr>
        <w:spacing w:after="0" w:line="144" w:lineRule="exact"/>
        <w:rPr>
          <w:sz w:val="20"/>
          <w:szCs w:val="20"/>
          <w:color w:val="auto"/>
        </w:rPr>
      </w:pPr>
    </w:p>
    <w:p>
      <w:pPr>
        <w:ind w:left="286" w:hanging="286"/>
        <w:spacing w:after="0"/>
        <w:tabs>
          <w:tab w:leader="none" w:pos="286"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Plant and Equipment</w:t>
      </w:r>
    </w:p>
    <w:p>
      <w:pPr>
        <w:spacing w:after="0" w:line="196" w:lineRule="exact"/>
        <w:rPr>
          <w:rFonts w:ascii="Arial" w:cs="Arial" w:eastAsia="Arial" w:hAnsi="Arial"/>
          <w:sz w:val="16"/>
          <w:szCs w:val="16"/>
          <w:b w:val="1"/>
          <w:bCs w:val="1"/>
          <w:color w:val="auto"/>
        </w:rPr>
      </w:pPr>
    </w:p>
    <w:p>
      <w:pPr>
        <w:ind w:left="286"/>
        <w:spacing w:after="0"/>
        <w:rPr>
          <w:rFonts w:ascii="Arial" w:cs="Arial" w:eastAsia="Arial" w:hAnsi="Arial"/>
          <w:sz w:val="16"/>
          <w:szCs w:val="16"/>
          <w:b w:val="1"/>
          <w:bCs w:val="1"/>
          <w:color w:val="auto"/>
        </w:rPr>
      </w:pPr>
      <w:r>
        <w:rPr>
          <w:rFonts w:ascii="Arial" w:cs="Arial" w:eastAsia="Arial" w:hAnsi="Arial"/>
          <w:sz w:val="16"/>
          <w:szCs w:val="16"/>
          <w:color w:val="auto"/>
        </w:rPr>
        <w:t>Plant and equipment consisted of the following at December 31:</w:t>
      </w:r>
    </w:p>
    <w:p>
      <w:pPr>
        <w:spacing w:after="0" w:line="201"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532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Equipment</w:t>
            </w:r>
          </w:p>
        </w:tc>
        <w:tc>
          <w:tcPr>
            <w:tcW w:w="33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20" w:type="dxa"/>
            <w:vAlign w:val="bottom"/>
          </w:tcPr>
          <w:p>
            <w:pPr>
              <w:spacing w:after="0"/>
              <w:rPr>
                <w:sz w:val="20"/>
                <w:szCs w:val="20"/>
                <w:color w:val="auto"/>
              </w:rPr>
            </w:pPr>
            <w:r>
              <w:rPr>
                <w:rFonts w:ascii="Arial" w:cs="Arial" w:eastAsia="Arial" w:hAnsi="Arial"/>
                <w:sz w:val="16"/>
                <w:szCs w:val="16"/>
                <w:color w:val="auto"/>
              </w:rPr>
              <w:t>H2S removal system</w:t>
            </w: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5,117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Wellfield</w:t>
            </w:r>
          </w:p>
        </w:tc>
        <w:tc>
          <w:tcPr>
            <w:tcW w:w="3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188"/>
        </w:trPr>
        <w:tc>
          <w:tcPr>
            <w:tcW w:w="5320" w:type="dxa"/>
            <w:vAlign w:val="bottom"/>
          </w:tcPr>
          <w:p>
            <w:pPr>
              <w:spacing w:after="0"/>
              <w:rPr>
                <w:sz w:val="20"/>
                <w:szCs w:val="20"/>
                <w:color w:val="auto"/>
              </w:rPr>
            </w:pPr>
            <w:r>
              <w:rPr>
                <w:rFonts w:ascii="Arial" w:cs="Arial" w:eastAsia="Arial" w:hAnsi="Arial"/>
                <w:sz w:val="16"/>
                <w:szCs w:val="16"/>
                <w:color w:val="auto"/>
              </w:rPr>
              <w:t>Pipeline</w:t>
            </w: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188"/>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Building</w:t>
            </w:r>
          </w:p>
        </w:tc>
        <w:tc>
          <w:tcPr>
            <w:tcW w:w="3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188"/>
        </w:trPr>
        <w:tc>
          <w:tcPr>
            <w:tcW w:w="5320" w:type="dxa"/>
            <w:vAlign w:val="bottom"/>
          </w:tcPr>
          <w:p>
            <w:pPr>
              <w:spacing w:after="0"/>
              <w:rPr>
                <w:sz w:val="20"/>
                <w:szCs w:val="20"/>
                <w:color w:val="auto"/>
              </w:rPr>
            </w:pPr>
            <w:r>
              <w:rPr>
                <w:rFonts w:ascii="Arial" w:cs="Arial" w:eastAsia="Arial" w:hAnsi="Arial"/>
                <w:sz w:val="16"/>
                <w:szCs w:val="16"/>
                <w:color w:val="auto"/>
              </w:rPr>
              <w:t>Greentree membranes</w:t>
            </w: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Asset retirement cost</w:t>
            </w:r>
          </w:p>
        </w:tc>
        <w:tc>
          <w:tcPr>
            <w:tcW w:w="3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72"/>
        </w:trPr>
        <w:tc>
          <w:tcPr>
            <w:tcW w:w="5320" w:type="dxa"/>
            <w:vAlign w:val="bottom"/>
            <w:tcBorders>
              <w:top w:val="single" w:sz="8" w:color="CCEEFF"/>
            </w:tcBorders>
          </w:tcPr>
          <w:p>
            <w:pPr>
              <w:ind w:left="160"/>
              <w:spacing w:after="0" w:line="172" w:lineRule="exact"/>
              <w:rPr>
                <w:sz w:val="20"/>
                <w:szCs w:val="20"/>
                <w:color w:val="auto"/>
              </w:rPr>
            </w:pPr>
            <w:r>
              <w:rPr>
                <w:rFonts w:ascii="Arial" w:cs="Arial" w:eastAsia="Arial" w:hAnsi="Arial"/>
                <w:sz w:val="16"/>
                <w:szCs w:val="16"/>
                <w:color w:val="auto"/>
              </w:rPr>
              <w:t>Plant and equipment, gross</w:t>
            </w:r>
          </w:p>
        </w:tc>
        <w:tc>
          <w:tcPr>
            <w:tcW w:w="33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62,271</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56,853</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3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(5,481)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color w:val="auto"/>
              </w:rPr>
              <w:t>Construction-in-progress</w:t>
            </w:r>
          </w:p>
        </w:tc>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4,361</w:t>
            </w:r>
          </w:p>
        </w:tc>
        <w:tc>
          <w:tcPr>
            <w:tcW w:w="0" w:type="dxa"/>
            <w:vAlign w:val="bottom"/>
          </w:tcPr>
          <w:p>
            <w:pPr>
              <w:spacing w:after="0"/>
              <w:rPr>
                <w:sz w:val="1"/>
                <w:szCs w:val="1"/>
                <w:color w:val="auto"/>
              </w:rPr>
            </w:pPr>
          </w:p>
        </w:tc>
      </w:tr>
      <w:tr>
        <w:trPr>
          <w:trHeight w:val="24"/>
        </w:trPr>
        <w:tc>
          <w:tcPr>
            <w:tcW w:w="532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Plant and equipment, net</w:t>
            </w:r>
          </w:p>
        </w:tc>
        <w:tc>
          <w:tcPr>
            <w:tcW w:w="3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vMerge w:val="continue"/>
            <w:shd w:val="clear" w:color="auto" w:fill="CCEEFF"/>
          </w:tcPr>
          <w:p>
            <w:pPr>
              <w:spacing w:after="0"/>
              <w:rPr>
                <w:sz w:val="18"/>
                <w:szCs w:val="18"/>
                <w:color w:val="auto"/>
              </w:rPr>
            </w:pPr>
          </w:p>
        </w:tc>
        <w:tc>
          <w:tcPr>
            <w:tcW w:w="360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56,822</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58,845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6" w:right="20" w:firstLine="283"/>
        <w:spacing w:after="0" w:line="281" w:lineRule="auto"/>
        <w:rPr>
          <w:sz w:val="20"/>
          <w:szCs w:val="20"/>
          <w:color w:val="auto"/>
        </w:rPr>
      </w:pPr>
      <w:r>
        <w:rPr>
          <w:rFonts w:ascii="Arial" w:cs="Arial" w:eastAsia="Arial" w:hAnsi="Arial"/>
          <w:sz w:val="15"/>
          <w:szCs w:val="15"/>
          <w:color w:val="auto"/>
        </w:rPr>
        <w:t>At December 31, 2019, construction in progress consisted of costs related to a hydrogen sulfide removal system. Additional costs totaling $756 were incurred at the beginning of 2020 for the hydrogen sulfide removal system and the Company placed this asset, which had a total cost of $5.1 million, into service in February 2020. Depreciation expense on plant and equipment for 2020 and the period from March 11, 2019 (inception) to December 31, 2019 was $3,112 and $2,369, respectively.</w:t>
      </w:r>
    </w:p>
    <w:p>
      <w:pPr>
        <w:spacing w:after="0" w:line="24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93" w:name="page294"/>
    <w:bookmarkEnd w:id="293"/>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Under Gas Sales Agreement</w:t>
      </w:r>
    </w:p>
    <w:p>
      <w:pPr>
        <w:spacing w:after="0" w:line="196" w:lineRule="exact"/>
        <w:rPr>
          <w:rFonts w:ascii="Arial" w:cs="Arial" w:eastAsia="Arial" w:hAnsi="Arial"/>
          <w:sz w:val="16"/>
          <w:szCs w:val="16"/>
          <w:b w:val="1"/>
          <w:bCs w:val="1"/>
          <w:color w:val="auto"/>
        </w:rPr>
      </w:pPr>
    </w:p>
    <w:p>
      <w:pPr>
        <w:ind w:left="286"/>
        <w:spacing w:after="0"/>
        <w:rPr>
          <w:rFonts w:ascii="Arial" w:cs="Arial" w:eastAsia="Arial" w:hAnsi="Arial"/>
          <w:sz w:val="16"/>
          <w:szCs w:val="16"/>
          <w:b w:val="1"/>
          <w:bCs w:val="1"/>
          <w:color w:val="auto"/>
        </w:rPr>
      </w:pPr>
      <w:r>
        <w:rPr>
          <w:rFonts w:ascii="Arial" w:cs="Arial" w:eastAsia="Arial" w:hAnsi="Arial"/>
          <w:sz w:val="16"/>
          <w:szCs w:val="16"/>
          <w:color w:val="auto"/>
        </w:rPr>
        <w:t>The liability under gas sales agreement consisted of the following at December 31, 2020 and 2019:</w:t>
      </w:r>
    </w:p>
    <w:p>
      <w:pPr>
        <w:spacing w:after="0" w:line="201"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5660" w:type="dxa"/>
            <w:vAlign w:val="bottom"/>
          </w:tcPr>
          <w:p>
            <w:pPr>
              <w:spacing w:after="0"/>
              <w:rPr>
                <w:sz w:val="18"/>
                <w:szCs w:val="18"/>
                <w:color w:val="auto"/>
              </w:rPr>
            </w:pPr>
          </w:p>
        </w:tc>
        <w:tc>
          <w:tcPr>
            <w:tcW w:w="37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Gas Sales Agreement</w:t>
            </w:r>
          </w:p>
        </w:tc>
        <w:tc>
          <w:tcPr>
            <w:tcW w:w="30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1,829</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center"/>
              <w:ind w:left="462"/>
              <w:spacing w:after="0"/>
              <w:rPr>
                <w:sz w:val="20"/>
                <w:szCs w:val="20"/>
                <w:color w:val="auto"/>
              </w:rPr>
            </w:pPr>
            <w:r>
              <w:rPr>
                <w:rFonts w:ascii="Arial" w:cs="Arial" w:eastAsia="Arial" w:hAnsi="Arial"/>
                <w:sz w:val="16"/>
                <w:szCs w:val="16"/>
                <w:color w:val="auto"/>
                <w:w w:val="84"/>
              </w:rPr>
              <w:t>4,115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6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(1,829)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left="342"/>
              <w:spacing w:after="0"/>
              <w:rPr>
                <w:sz w:val="20"/>
                <w:szCs w:val="20"/>
                <w:color w:val="auto"/>
              </w:rPr>
            </w:pPr>
            <w:r>
              <w:rPr>
                <w:rFonts w:ascii="Arial" w:cs="Arial" w:eastAsia="Arial" w:hAnsi="Arial"/>
                <w:sz w:val="16"/>
                <w:szCs w:val="16"/>
                <w:color w:val="auto"/>
                <w:w w:val="90"/>
              </w:rPr>
              <w:t>(2,286)</w:t>
            </w:r>
          </w:p>
        </w:tc>
        <w:tc>
          <w:tcPr>
            <w:tcW w:w="0" w:type="dxa"/>
            <w:vAlign w:val="bottom"/>
          </w:tcPr>
          <w:p>
            <w:pPr>
              <w:spacing w:after="0"/>
              <w:rPr>
                <w:sz w:val="1"/>
                <w:szCs w:val="1"/>
                <w:color w:val="auto"/>
              </w:rPr>
            </w:pPr>
          </w:p>
        </w:tc>
      </w:tr>
      <w:tr>
        <w:trPr>
          <w:trHeight w:val="24"/>
        </w:trPr>
        <w:tc>
          <w:tcPr>
            <w:tcW w:w="566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Liability under gas sales agreement, net</w:t>
            </w:r>
          </w:p>
        </w:tc>
        <w:tc>
          <w:tcPr>
            <w:tcW w:w="30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vMerge w:val="continue"/>
            <w:shd w:val="clear" w:color="auto" w:fill="CCEEFF"/>
          </w:tcPr>
          <w:p>
            <w:pPr>
              <w:spacing w:after="0"/>
              <w:rPr>
                <w:sz w:val="18"/>
                <w:szCs w:val="18"/>
                <w:color w:val="auto"/>
              </w:rPr>
            </w:pPr>
          </w:p>
        </w:tc>
        <w:tc>
          <w:tcPr>
            <w:tcW w:w="3740" w:type="dxa"/>
            <w:vAlign w:val="bottom"/>
            <w:gridSpan w:val="2"/>
            <w:shd w:val="clear" w:color="auto" w:fill="CCEEFF"/>
          </w:tcPr>
          <w:p>
            <w:pPr>
              <w:jc w:val="right"/>
              <w:ind w:right="567"/>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4"/>
              </w:rPr>
              <w:t>1,829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6"/>
        <w:spacing w:after="0"/>
        <w:rPr>
          <w:sz w:val="20"/>
          <w:szCs w:val="20"/>
          <w:color w:val="auto"/>
        </w:rPr>
      </w:pPr>
      <w:r>
        <w:rPr>
          <w:rFonts w:ascii="Arial" w:cs="Arial" w:eastAsia="Arial" w:hAnsi="Arial"/>
          <w:sz w:val="16"/>
          <w:szCs w:val="16"/>
          <w:color w:val="auto"/>
        </w:rPr>
        <w:t>Amortization income for 2020 and the period from March 11, 2019 (inception) to December 31, 2019 was $1,829 and $2,286, respectively.</w:t>
      </w:r>
    </w:p>
    <w:p>
      <w:pPr>
        <w:spacing w:after="0" w:line="189" w:lineRule="exact"/>
        <w:rPr>
          <w:sz w:val="20"/>
          <w:szCs w:val="20"/>
          <w:color w:val="auto"/>
        </w:rPr>
      </w:pPr>
    </w:p>
    <w:p>
      <w:pPr>
        <w:ind w:left="286" w:hanging="286"/>
        <w:spacing w:after="0"/>
        <w:tabs>
          <w:tab w:leader="none" w:pos="286"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Ownership and Related Parties</w:t>
      </w:r>
    </w:p>
    <w:p>
      <w:pPr>
        <w:spacing w:after="0" w:line="197" w:lineRule="exact"/>
        <w:rPr>
          <w:sz w:val="20"/>
          <w:szCs w:val="20"/>
          <w:color w:val="auto"/>
        </w:rPr>
      </w:pPr>
    </w:p>
    <w:p>
      <w:pPr>
        <w:jc w:val="both"/>
        <w:ind w:left="6" w:right="20" w:firstLine="283"/>
        <w:spacing w:after="0" w:line="256" w:lineRule="auto"/>
        <w:rPr>
          <w:sz w:val="20"/>
          <w:szCs w:val="20"/>
          <w:color w:val="auto"/>
        </w:rPr>
      </w:pPr>
      <w:r>
        <w:rPr>
          <w:rFonts w:ascii="Arial" w:cs="Arial" w:eastAsia="Arial" w:hAnsi="Arial"/>
          <w:sz w:val="16"/>
          <w:szCs w:val="16"/>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w:t>
      </w:r>
    </w:p>
    <w:p>
      <w:pPr>
        <w:spacing w:after="0" w:line="165" w:lineRule="exact"/>
        <w:rPr>
          <w:sz w:val="20"/>
          <w:szCs w:val="20"/>
          <w:color w:val="auto"/>
        </w:rPr>
      </w:pPr>
    </w:p>
    <w:p>
      <w:pPr>
        <w:jc w:val="both"/>
        <w:ind w:left="6" w:firstLine="283"/>
        <w:spacing w:after="0" w:line="322" w:lineRule="auto"/>
        <w:rPr>
          <w:sz w:val="20"/>
          <w:szCs w:val="20"/>
          <w:color w:val="auto"/>
        </w:rPr>
      </w:pPr>
      <w:r>
        <w:rPr>
          <w:rFonts w:ascii="Arial" w:cs="Arial" w:eastAsia="Arial" w:hAnsi="Arial"/>
          <w:sz w:val="13"/>
          <w:szCs w:val="13"/>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In 2020, the Company incurred $629 of Management Costs of which $612 was expensed in operations and $17 was capitalized in plant and equipment. In 2019, the Company incurred $1,364 of Management Costs of which $561 was expensed in operations, $450 was expensed for costs associated with the acquisition of the RNG facilities, and $353 was capitalized in plant and equipment. Of these amounts, zero and $25 were unpaid as of December 31, 2020 and 2019, respectively, and are included in accounts payable — affiliate on the balance sheet.</w:t>
      </w:r>
    </w:p>
    <w:p>
      <w:pPr>
        <w:spacing w:after="0" w:line="128"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In June 2020, the Company contracted with TruStar, a related party, to generate and market RINs from RNG produced by Company. The contract term is September 1, 2020 through October 31, 2030.</w:t>
      </w:r>
    </w:p>
    <w:p>
      <w:pPr>
        <w:spacing w:after="0" w:line="153" w:lineRule="exact"/>
        <w:rPr>
          <w:sz w:val="20"/>
          <w:szCs w:val="20"/>
          <w:color w:val="auto"/>
        </w:rPr>
      </w:pPr>
    </w:p>
    <w:p>
      <w:pPr>
        <w:ind w:left="6" w:right="8820" w:hanging="6"/>
        <w:spacing w:after="0" w:line="494" w:lineRule="auto"/>
        <w:tabs>
          <w:tab w:leader="none" w:pos="288"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 and Contingencies Legal Matters</w:t>
      </w:r>
    </w:p>
    <w:p>
      <w:pPr>
        <w:jc w:val="both"/>
        <w:ind w:left="6" w:right="20" w:firstLine="283"/>
        <w:spacing w:after="0" w:line="329" w:lineRule="auto"/>
        <w:rPr>
          <w:sz w:val="20"/>
          <w:szCs w:val="20"/>
          <w:color w:val="auto"/>
        </w:rPr>
      </w:pPr>
      <w:r>
        <w:rPr>
          <w:rFonts w:ascii="Arial" w:cs="Arial" w:eastAsia="Arial" w:hAnsi="Arial"/>
          <w:sz w:val="13"/>
          <w:szCs w:val="13"/>
          <w:color w:val="auto"/>
        </w:rPr>
        <w:t>The landfill owner of one of the Company’s RNG projects has disputed the Company’s interpretation of contracts governing the timing of payment of RIN royalties. The Company records a royalty expense accrual at the time RINs are sold and maintains that payment of these royalties is subordinated to the Company receiving a series of payments due the Company as part of its March 2019 acquisition of the Greentree and Imperial RNG projects. On April 9, 2021, the landfill owner filed an arbitration demand against the Company to adjudicate this matter. While the outcome is not yet determinable, an unfavorable outcome may require the Company to pay royalties at a date earlier than 2026.</w:t>
      </w:r>
    </w:p>
    <w:p>
      <w:pPr>
        <w:spacing w:after="0" w:line="122"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Prior to the acquisition, BLGH, along with numerous other parties, was named in a civil action in the alleged wrongful death of an employee of one of the landfills. The Company has been fully indemnified by EDF Renewables LFG Holdings, the prior owner, for this matter.</w:t>
      </w:r>
    </w:p>
    <w:p>
      <w:pPr>
        <w:spacing w:after="0" w:line="157" w:lineRule="exact"/>
        <w:rPr>
          <w:sz w:val="20"/>
          <w:szCs w:val="20"/>
          <w:color w:val="auto"/>
        </w:rPr>
      </w:pPr>
    </w:p>
    <w:p>
      <w:pPr>
        <w:jc w:val="both"/>
        <w:ind w:left="6" w:right="20" w:firstLine="283"/>
        <w:spacing w:after="0" w:line="266" w:lineRule="auto"/>
        <w:rPr>
          <w:sz w:val="20"/>
          <w:szCs w:val="20"/>
          <w:color w:val="auto"/>
        </w:rPr>
      </w:pPr>
      <w:r>
        <w:rPr>
          <w:rFonts w:ascii="Arial" w:cs="Arial" w:eastAsia="Arial" w:hAnsi="Arial"/>
          <w:sz w:val="16"/>
          <w:szCs w:val="16"/>
          <w:color w:val="auto"/>
        </w:rPr>
        <w:t>The Company is from time-to-time party to disputes and claims arising in the normal course of its business. Management does not believe that the resolution of such claims and disputes will have a material adverse effect on the Company’s financial position, results of operations or cash flows.</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88" w:right="319" w:bottom="1440" w:gutter="0" w:footer="0" w:header="0"/>
        </w:sectPr>
      </w:pPr>
    </w:p>
    <w:bookmarkStart w:id="294" w:name="page295"/>
    <w:bookmarkEnd w:id="294"/>
    <w:p>
      <w:pPr>
        <w:jc w:val="center"/>
        <w:ind w:right="-5"/>
        <w:spacing w:after="0"/>
        <w:rPr>
          <w:sz w:val="20"/>
          <w:szCs w:val="20"/>
          <w:color w:val="auto"/>
        </w:rPr>
      </w:pPr>
      <w:r>
        <w:rPr>
          <w:rFonts w:ascii="Arial" w:cs="Arial" w:eastAsia="Arial" w:hAnsi="Arial"/>
          <w:sz w:val="16"/>
          <w:szCs w:val="16"/>
          <w:b w:val="1"/>
          <w:bCs w:val="1"/>
          <w:color w:val="auto"/>
        </w:rPr>
        <w:t>BEACON RNG LLC</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 of dollars)</w:t>
      </w:r>
    </w:p>
    <w:p>
      <w:pPr>
        <w:spacing w:after="0" w:line="177" w:lineRule="exact"/>
        <w:rPr>
          <w:sz w:val="20"/>
          <w:szCs w:val="20"/>
          <w:color w:val="auto"/>
        </w:rPr>
      </w:pPr>
    </w:p>
    <w:p>
      <w:pPr>
        <w:ind w:left="286" w:hanging="286"/>
        <w:spacing w:after="0"/>
        <w:tabs>
          <w:tab w:leader="none" w:pos="286"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7" w:lineRule="exact"/>
        <w:rPr>
          <w:sz w:val="20"/>
          <w:szCs w:val="20"/>
          <w:color w:val="auto"/>
        </w:rPr>
      </w:pPr>
    </w:p>
    <w:p>
      <w:pPr>
        <w:ind w:left="6" w:firstLine="283"/>
        <w:spacing w:after="0" w:line="266" w:lineRule="auto"/>
        <w:rPr>
          <w:sz w:val="20"/>
          <w:szCs w:val="20"/>
          <w:color w:val="auto"/>
        </w:rPr>
      </w:pPr>
      <w:r>
        <w:rPr>
          <w:rFonts w:ascii="Arial" w:cs="Arial" w:eastAsia="Arial" w:hAnsi="Arial"/>
          <w:sz w:val="16"/>
          <w:szCs w:val="16"/>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57" w:lineRule="exact"/>
        <w:rPr>
          <w:sz w:val="20"/>
          <w:szCs w:val="20"/>
          <w:color w:val="auto"/>
        </w:rPr>
      </w:pPr>
    </w:p>
    <w:p>
      <w:pPr>
        <w:ind w:left="6" w:firstLine="283"/>
        <w:spacing w:after="0" w:line="266" w:lineRule="auto"/>
        <w:rPr>
          <w:sz w:val="20"/>
          <w:szCs w:val="20"/>
          <w:color w:val="auto"/>
        </w:rPr>
      </w:pPr>
      <w:r>
        <w:rPr>
          <w:rFonts w:ascii="Arial" w:cs="Arial" w:eastAsia="Arial" w:hAnsi="Arial"/>
          <w:sz w:val="16"/>
          <w:szCs w:val="16"/>
          <w:color w:val="auto"/>
        </w:rPr>
        <w:t>Subsequent events were considered through October 11, 2021, the date on which the Company’s consolidated financial statements were available to be issued, for events requiring recording or disclosure in the consolidated financial statements for the year ended December 31, 2020.</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F-155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46"/>
          </w:cols>
          <w:pgMar w:left="314" w:top="688" w:right="339" w:bottom="1440" w:gutter="0" w:footer="0" w:header="0"/>
        </w:sectPr>
      </w:pPr>
    </w:p>
    <w:bookmarkStart w:id="295" w:name="page296"/>
    <w:bookmarkEnd w:id="295"/>
    <w:p>
      <w:pPr>
        <w:jc w:val="cente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199390</wp:posOffset>
            </wp:positionH>
            <wp:positionV relativeFrom="page">
              <wp:posOffset>447675</wp:posOffset>
            </wp:positionV>
            <wp:extent cx="7150100"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0100" cy="15240"/>
                    </a:xfrm>
                    <a:prstGeom prst="rect">
                      <a:avLst/>
                    </a:prstGeom>
                    <a:noFill/>
                  </pic:spPr>
                </pic:pic>
              </a:graphicData>
            </a:graphic>
          </wp:anchor>
        </w:drawing>
        <w:t>OPAL FUELS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175,541,507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50100"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August 10, 2021</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150100"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6" w:name="page297"/>
    <w:bookmarkEnd w:id="296"/>
    <w:p>
      <w:pPr>
        <w:jc w:val="center"/>
        <w:ind w:right="-5"/>
        <w:spacing w:after="0"/>
        <w:rPr>
          <w:sz w:val="20"/>
          <w:szCs w:val="20"/>
          <w:color w:val="auto"/>
        </w:rPr>
      </w:pPr>
      <w:r>
        <w:rPr>
          <w:rFonts w:ascii="Arial" w:cs="Arial" w:eastAsia="Arial" w:hAnsi="Arial"/>
          <w:sz w:val="16"/>
          <w:szCs w:val="16"/>
          <w:b w:val="1"/>
          <w:bCs w:val="1"/>
          <w:color w:val="auto"/>
        </w:rPr>
        <w:t>PART II</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197" w:lineRule="exact"/>
        <w:rPr>
          <w:sz w:val="20"/>
          <w:szCs w:val="20"/>
          <w:color w:val="auto"/>
        </w:rPr>
      </w:pPr>
    </w:p>
    <w:p>
      <w:pPr>
        <w:ind w:left="6" w:right="20" w:firstLine="283"/>
        <w:spacing w:after="0" w:line="266" w:lineRule="auto"/>
        <w:rPr>
          <w:sz w:val="20"/>
          <w:szCs w:val="20"/>
          <w:color w:val="auto"/>
        </w:rPr>
      </w:pPr>
      <w:r>
        <w:rPr>
          <w:rFonts w:ascii="Arial" w:cs="Arial" w:eastAsia="Arial" w:hAnsi="Arial"/>
          <w:sz w:val="16"/>
          <w:szCs w:val="16"/>
          <w:color w:val="auto"/>
        </w:rPr>
        <w:t>The following table sets forth the estimated expenses to be borne by us in connection with the issuance and distribution of the shares of common stock being registered hereby. All amounts shown are estimates except for the SEC registration fee.</w:t>
      </w:r>
    </w:p>
    <w:p>
      <w:pPr>
        <w:spacing w:after="0" w:line="157" w:lineRule="exact"/>
        <w:rPr>
          <w:sz w:val="20"/>
          <w:szCs w:val="20"/>
          <w:color w:val="auto"/>
        </w:rPr>
      </w:pPr>
    </w:p>
    <w:p>
      <w:pPr>
        <w:ind w:left="6" w:right="20" w:firstLine="283"/>
        <w:spacing w:after="0" w:line="266" w:lineRule="auto"/>
        <w:rPr>
          <w:sz w:val="20"/>
          <w:szCs w:val="20"/>
          <w:color w:val="auto"/>
        </w:rPr>
      </w:pPr>
      <w:r>
        <w:rPr>
          <w:rFonts w:ascii="Arial" w:cs="Arial" w:eastAsia="Arial" w:hAnsi="Arial"/>
          <w:sz w:val="16"/>
          <w:szCs w:val="16"/>
          <w:color w:val="auto"/>
        </w:rPr>
        <w:t>We will bear all costs, expenses and fees in connection with the registration of the securities. Selling Holders, however, will bear all underwriting commissions and discounts, if any, attributable to their respective sales sale of the securities.</w:t>
      </w:r>
    </w:p>
    <w:p>
      <w:pPr>
        <w:spacing w:after="0" w:line="170"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3900" w:type="dxa"/>
            <w:vAlign w:val="bottom"/>
            <w:gridSpan w:val="2"/>
            <w:shd w:val="clear" w:color="auto" w:fill="CCEEFF"/>
          </w:tcPr>
          <w:p>
            <w:pPr>
              <w:jc w:val="right"/>
              <w:ind w:right="207"/>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166,245</w:t>
            </w:r>
          </w:p>
        </w:tc>
        <w:tc>
          <w:tcPr>
            <w:tcW w:w="0" w:type="dxa"/>
            <w:vAlign w:val="bottom"/>
          </w:tcPr>
          <w:p>
            <w:pPr>
              <w:spacing w:after="0"/>
              <w:rPr>
                <w:sz w:val="1"/>
                <w:szCs w:val="1"/>
                <w:color w:val="auto"/>
              </w:rPr>
            </w:pPr>
          </w:p>
        </w:tc>
      </w:tr>
      <w:tr>
        <w:trPr>
          <w:trHeight w:val="376"/>
        </w:trPr>
        <w:tc>
          <w:tcPr>
            <w:tcW w:w="648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7"/>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3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6"/>
        </w:trPr>
        <w:tc>
          <w:tcPr>
            <w:tcW w:w="6480" w:type="dxa"/>
            <w:vAlign w:val="bottom"/>
          </w:tcPr>
          <w:p>
            <w:pPr>
              <w:spacing w:after="0"/>
              <w:rPr>
                <w:sz w:val="20"/>
                <w:szCs w:val="20"/>
                <w:color w:val="auto"/>
              </w:rPr>
            </w:pPr>
            <w:r>
              <w:rPr>
                <w:rFonts w:ascii="Arial" w:cs="Arial" w:eastAsia="Arial" w:hAnsi="Arial"/>
                <w:sz w:val="16"/>
                <w:szCs w:val="16"/>
                <w:color w:val="auto"/>
              </w:rPr>
              <w:t>Financial printing and miscellaneous expenses</w:t>
            </w:r>
          </w:p>
        </w:tc>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64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w:t>
            </w:r>
          </w:p>
        </w:tc>
        <w:tc>
          <w:tcPr>
            <w:tcW w:w="35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vMerge w:val="continue"/>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166,245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6" w:hanging="286"/>
        <w:spacing w:after="0"/>
        <w:tabs>
          <w:tab w:leader="none" w:pos="286" w:val="left"/>
        </w:tabs>
        <w:numPr>
          <w:ilvl w:val="0"/>
          <w:numId w:val="195"/>
        </w:numPr>
        <w:rPr>
          <w:rFonts w:ascii="Arial" w:cs="Arial" w:eastAsia="Arial" w:hAnsi="Arial"/>
          <w:sz w:val="16"/>
          <w:szCs w:val="16"/>
          <w:b w:val="1"/>
          <w:bCs w:val="1"/>
          <w:color w:val="auto"/>
        </w:rPr>
      </w:pPr>
      <w:r>
        <w:rPr>
          <w:rFonts w:ascii="Arial" w:cs="Arial" w:eastAsia="Arial" w:hAnsi="Arial"/>
          <w:sz w:val="16"/>
          <w:szCs w:val="16"/>
          <w:color w:val="auto"/>
        </w:rPr>
        <w:t>These fees are calculated based on the securities offered and the number of issuances and accordingly cannot be defined at this time.</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197" w:lineRule="exact"/>
        <w:rPr>
          <w:sz w:val="20"/>
          <w:szCs w:val="20"/>
          <w:color w:val="auto"/>
        </w:rPr>
      </w:pPr>
    </w:p>
    <w:p>
      <w:pPr>
        <w:jc w:val="both"/>
        <w:ind w:left="6" w:firstLine="283"/>
        <w:spacing w:after="0" w:line="310" w:lineRule="auto"/>
        <w:rPr>
          <w:sz w:val="20"/>
          <w:szCs w:val="20"/>
          <w:color w:val="auto"/>
        </w:rPr>
      </w:pPr>
      <w:r>
        <w:rPr>
          <w:rFonts w:ascii="Arial" w:cs="Arial" w:eastAsia="Arial" w:hAnsi="Arial"/>
          <w:sz w:val="13"/>
          <w:szCs w:val="13"/>
          <w:color w:val="auto"/>
        </w:rPr>
        <w:t>OPAL is governed by the DGCL, as the same exists or may hereafter be amended. Section 145 of the DGCL (“</w:t>
      </w:r>
      <w:r>
        <w:rPr>
          <w:rFonts w:ascii="Arial" w:cs="Arial" w:eastAsia="Arial" w:hAnsi="Arial"/>
          <w:sz w:val="13"/>
          <w:szCs w:val="13"/>
          <w:b w:val="1"/>
          <w:bCs w:val="1"/>
          <w:i w:val="1"/>
          <w:iCs w:val="1"/>
          <w:color w:val="auto"/>
        </w:rPr>
        <w:t>Section 145</w:t>
      </w:r>
      <w:r>
        <w:rPr>
          <w:rFonts w:ascii="Arial" w:cs="Arial" w:eastAsia="Arial" w:hAnsi="Arial"/>
          <w:sz w:val="13"/>
          <w:szCs w:val="13"/>
          <w:color w:val="auto"/>
        </w:rPr>
        <w:t>”)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326" w:lineRule="exact"/>
        <w:rPr>
          <w:sz w:val="20"/>
          <w:szCs w:val="20"/>
          <w:color w:val="auto"/>
        </w:rPr>
      </w:pPr>
    </w:p>
    <w:p>
      <w:pPr>
        <w:jc w:val="both"/>
        <w:ind w:left="6" w:right="20" w:firstLine="283"/>
        <w:spacing w:after="0" w:line="252" w:lineRule="auto"/>
        <w:rPr>
          <w:sz w:val="20"/>
          <w:szCs w:val="20"/>
          <w:color w:val="auto"/>
        </w:rPr>
      </w:pPr>
      <w:r>
        <w:rPr>
          <w:rFonts w:ascii="Arial" w:cs="Arial" w:eastAsia="Arial" w:hAnsi="Arial"/>
          <w:sz w:val="16"/>
          <w:szCs w:val="16"/>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spacing w:after="0" w:line="35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3" w:right="319" w:bottom="1440" w:gutter="0" w:footer="0" w:header="0"/>
        </w:sectPr>
      </w:pPr>
    </w:p>
    <w:bookmarkStart w:id="297" w:name="page298"/>
    <w:bookmarkEnd w:id="297"/>
    <w:p>
      <w:pPr>
        <w:jc w:val="both"/>
        <w:ind w:firstLine="283"/>
        <w:spacing w:after="0" w:line="281" w:lineRule="auto"/>
        <w:rPr>
          <w:sz w:val="20"/>
          <w:szCs w:val="20"/>
          <w:color w:val="auto"/>
        </w:rPr>
      </w:pPr>
      <w:r>
        <w:rPr>
          <w:rFonts w:ascii="Arial" w:cs="Arial" w:eastAsia="Arial" w:hAnsi="Arial"/>
          <w:sz w:val="15"/>
          <w:szCs w:val="15"/>
          <w:color w:val="auto"/>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spacing w:after="0" w:line="148"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5"/>
          <w:szCs w:val="15"/>
          <w:color w:val="auto"/>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These provisions may be held not to be enforceable for certain violations of the federal securities laws of the United States.</w:t>
      </w:r>
    </w:p>
    <w:p>
      <w:pPr>
        <w:spacing w:after="0" w:line="193"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5"/>
          <w:szCs w:val="15"/>
          <w:color w:val="auto"/>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spacing w:after="0" w:line="157" w:lineRule="exact"/>
        <w:rPr>
          <w:sz w:val="20"/>
          <w:szCs w:val="20"/>
          <w:color w:val="auto"/>
        </w:rPr>
      </w:pPr>
    </w:p>
    <w:p>
      <w:pPr>
        <w:jc w:val="both"/>
        <w:ind w:firstLine="283"/>
        <w:spacing w:after="0" w:line="266" w:lineRule="auto"/>
        <w:rPr>
          <w:sz w:val="20"/>
          <w:szCs w:val="20"/>
          <w:color w:val="auto"/>
        </w:rPr>
      </w:pPr>
      <w:r>
        <w:rPr>
          <w:rFonts w:ascii="Arial" w:cs="Arial" w:eastAsia="Arial" w:hAnsi="Arial"/>
          <w:sz w:val="16"/>
          <w:szCs w:val="16"/>
          <w:color w:val="auto"/>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Recent Sales of Unregistered Securities.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During the three years preceding the filing of this registration statement, the Registrant has granted or issued the following securities of the Registrant which were not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 of OPAL</w:t>
      </w:r>
    </w:p>
    <w:p>
      <w:pPr>
        <w:spacing w:after="0" w:line="193" w:lineRule="exact"/>
        <w:rPr>
          <w:sz w:val="20"/>
          <w:szCs w:val="20"/>
          <w:color w:val="auto"/>
        </w:rPr>
      </w:pPr>
    </w:p>
    <w:p>
      <w:pPr>
        <w:jc w:val="both"/>
        <w:ind w:right="20" w:firstLine="283"/>
        <w:spacing w:after="0" w:line="383" w:lineRule="auto"/>
        <w:rPr>
          <w:sz w:val="20"/>
          <w:szCs w:val="20"/>
          <w:color w:val="auto"/>
        </w:rPr>
      </w:pPr>
      <w:r>
        <w:rPr>
          <w:rFonts w:ascii="Arial" w:cs="Arial" w:eastAsia="Arial" w:hAnsi="Arial"/>
          <w:sz w:val="13"/>
          <w:szCs w:val="13"/>
          <w:color w:val="auto"/>
        </w:rPr>
        <w:t>On January 20, 2021, the Sponsor paid $25,000, or approximately $0.003 per share, to cover certain expenses on our behalf in consideration of 7,187,500 Class B ordinary shares, par value $0.0001. The per share price of the founder shares was determined by dividing the amount contributed to the company by the number of founder shares issued.</w:t>
      </w:r>
    </w:p>
    <w:p>
      <w:pPr>
        <w:spacing w:after="0" w:line="88"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On February 2, 2021, the Sponsor transferred 35,000 founder shares to each of Arno Harris, Ja-Chin Audrey Lee, Brian Goncher and Steven Berkenfeld, our independent director nominees.</w:t>
      </w:r>
    </w:p>
    <w:p>
      <w:pPr>
        <w:spacing w:after="0" w:line="15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The Sponsor was an accredited investor for purposes of Rule 501 of Regulation D. Each of the equity holders in the Sponsor was an accredited investor under Rule 501 of Regulation D. The sole business of the Sponsor was to act as OPAL’s sponsor in connection with its initial public offering.</w:t>
      </w:r>
    </w:p>
    <w:p>
      <w:pPr>
        <w:spacing w:after="0" w:line="157" w:lineRule="exact"/>
        <w:rPr>
          <w:sz w:val="20"/>
          <w:szCs w:val="20"/>
          <w:color w:val="auto"/>
        </w:rPr>
      </w:pPr>
    </w:p>
    <w:p>
      <w:pPr>
        <w:jc w:val="both"/>
        <w:ind w:firstLine="283"/>
        <w:spacing w:after="0" w:line="256" w:lineRule="auto"/>
        <w:rPr>
          <w:sz w:val="20"/>
          <w:szCs w:val="20"/>
          <w:color w:val="auto"/>
        </w:rPr>
      </w:pPr>
      <w:r>
        <w:rPr>
          <w:rFonts w:ascii="Arial" w:cs="Arial" w:eastAsia="Arial" w:hAnsi="Arial"/>
          <w:sz w:val="16"/>
          <w:szCs w:val="16"/>
          <w:color w:val="auto"/>
        </w:rPr>
        <w:t>The Sponsor purchased an aggregate of 9,223,261 private placement warrants, each exercisable to purchase one ordinary share at $11.50 per share, subject to adjustment, at a price of $1.00 per warrant in connection with OPAL’s initial public offering. Such issuance was made pursuant to the exemption from registration contained in Section 4(a)(2) of the Securities Act.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underwriting discounts or commissions were paid with respect to such sales.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298" w:name="page299"/>
    <w:bookmarkEnd w:id="298"/>
    <w:p>
      <w:pPr>
        <w:ind w:left="6"/>
        <w:spacing w:after="0"/>
        <w:rPr>
          <w:sz w:val="20"/>
          <w:szCs w:val="20"/>
          <w:color w:val="auto"/>
        </w:rPr>
      </w:pPr>
      <w:r>
        <w:rPr>
          <w:rFonts w:ascii="Arial" w:cs="Arial" w:eastAsia="Arial" w:hAnsi="Arial"/>
          <w:sz w:val="16"/>
          <w:szCs w:val="16"/>
          <w:b w:val="1"/>
          <w:bCs w:val="1"/>
          <w:i w:val="1"/>
          <w:iCs w:val="1"/>
          <w:color w:val="auto"/>
        </w:rPr>
        <w:t>Business Combination Agreement</w:t>
      </w:r>
    </w:p>
    <w:p>
      <w:pPr>
        <w:spacing w:after="0" w:line="193" w:lineRule="exact"/>
        <w:rPr>
          <w:sz w:val="20"/>
          <w:szCs w:val="20"/>
          <w:color w:val="auto"/>
        </w:rPr>
      </w:pPr>
    </w:p>
    <w:p>
      <w:pPr>
        <w:jc w:val="both"/>
        <w:ind w:left="6" w:firstLine="283"/>
        <w:spacing w:after="0" w:line="256" w:lineRule="auto"/>
        <w:rPr>
          <w:sz w:val="20"/>
          <w:szCs w:val="20"/>
          <w:color w:val="auto"/>
        </w:rPr>
      </w:pPr>
      <w:r>
        <w:rPr>
          <w:rFonts w:ascii="Arial" w:cs="Arial" w:eastAsia="Arial" w:hAnsi="Arial"/>
          <w:sz w:val="16"/>
          <w:szCs w:val="16"/>
          <w:color w:val="auto"/>
        </w:rPr>
        <w:t>In connection with the Business Combination, we issued 25,171,390 shares of Class A common stock, zero shares of Class B common stock, no shares of Class C common stock and 144,399,037 shares of Class D common stock to Ares and the Opco Common Equityholders pursuant to Section 4(a)(2) and/or Regulation D promulgated under the Securities Act. No underwriting discounts or commissions were paid with respect to such sales.</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Private Placement</w:t>
      </w:r>
    </w:p>
    <w:p>
      <w:pPr>
        <w:spacing w:after="0" w:line="193" w:lineRule="exact"/>
        <w:rPr>
          <w:sz w:val="20"/>
          <w:szCs w:val="20"/>
          <w:color w:val="auto"/>
        </w:rPr>
      </w:pPr>
    </w:p>
    <w:p>
      <w:pPr>
        <w:jc w:val="both"/>
        <w:ind w:left="6" w:firstLine="283"/>
        <w:spacing w:after="0" w:line="249" w:lineRule="auto"/>
        <w:rPr>
          <w:sz w:val="20"/>
          <w:szCs w:val="20"/>
          <w:color w:val="auto"/>
        </w:rPr>
      </w:pPr>
      <w:r>
        <w:rPr>
          <w:rFonts w:ascii="Arial" w:cs="Arial" w:eastAsia="Arial" w:hAnsi="Arial"/>
          <w:sz w:val="16"/>
          <w:szCs w:val="16"/>
          <w:color w:val="auto"/>
        </w:rPr>
        <w:t>In connection with entering into the Business Combination Agreement, ArcLight entered into subscription agreements, each dated as of December 2, 2021, with the PIPE Investors, pursuant to which, among other things, the PIPE Investors party thereto agreed to purchase an aggregate of 10,580,600 shares of Class A common stock immediately prior to the Closing at a cash purchase price of $10.00 per share, resulting in aggregate gross proceeds of $105,806,000 in the Private Placement. The shares issued to the PIPE Investors in the Private Placement were issued pursuant to and in accordance with the exemption from registration under the Securities Act pursuant to Section 4(a)(2) and/or Regulation D promulgated under the Securities Act. All of the PIPE Investors were accredited investors. No underwriting discounts or commissions were paid with respect to such sales.</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Forward Purchase Agreement</w:t>
      </w:r>
    </w:p>
    <w:p>
      <w:pPr>
        <w:spacing w:after="0" w:line="193" w:lineRule="exact"/>
        <w:rPr>
          <w:sz w:val="20"/>
          <w:szCs w:val="20"/>
          <w:color w:val="auto"/>
        </w:rPr>
      </w:pPr>
    </w:p>
    <w:p>
      <w:pPr>
        <w:jc w:val="both"/>
        <w:ind w:left="6" w:firstLine="283"/>
        <w:spacing w:after="0" w:line="271" w:lineRule="auto"/>
        <w:rPr>
          <w:sz w:val="20"/>
          <w:szCs w:val="20"/>
          <w:color w:val="auto"/>
        </w:rPr>
      </w:pPr>
      <w:r>
        <w:rPr>
          <w:rFonts w:ascii="Arial" w:cs="Arial" w:eastAsia="Arial" w:hAnsi="Arial"/>
          <w:sz w:val="15"/>
          <w:szCs w:val="15"/>
          <w:color w:val="auto"/>
        </w:rPr>
        <w:t>Pursuant to the Forward Purchase Agreement entered into between ArcLight and Meteora, prior to the closing of the Business Combination, Meteora purchased 2,000,000 Class A ordinary shares of ArcLight from shareholders that had previously tendered such shares for redemption but agreed to reverse their redemption and sell such shares to Meteora at the redemption price, which Meteora agreed not to redeem in connection with the Business Combination. Additionally, ArcLight placed $20,040,000 in escrow at the closing of the Business Combination to secure its purchase obligations to Meteora under the Forward Purchase Agreement. The terms of the Forward Purchase Agreement were previously announced by ArcLight in its Current Report dated July 18, 2022.</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16. Exhibits and Financial Statements.</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Exhibits</w:t>
      </w:r>
      <w:r>
        <w:rPr>
          <w:rFonts w:ascii="Arial" w:cs="Arial" w:eastAsia="Arial" w:hAnsi="Arial"/>
          <w:sz w:val="16"/>
          <w:szCs w:val="16"/>
          <w:color w:val="auto"/>
        </w:rPr>
        <w:t>. The following exhibits are being followed herewith:</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Exhibit</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40" w:type="dxa"/>
            <w:vAlign w:val="bottom"/>
          </w:tcPr>
          <w:p>
            <w:pPr>
              <w:spacing w:after="0"/>
              <w:rPr>
                <w:sz w:val="18"/>
                <w:szCs w:val="18"/>
                <w:color w:val="auto"/>
              </w:rPr>
            </w:pPr>
          </w:p>
        </w:tc>
        <w:tc>
          <w:tcPr>
            <w:tcW w:w="10000" w:type="dxa"/>
            <w:vAlign w:val="bottom"/>
            <w:gridSpan w:val="25"/>
          </w:tcPr>
          <w:p>
            <w:pPr>
              <w:spacing w:after="0"/>
              <w:rPr>
                <w:sz w:val="20"/>
                <w:szCs w:val="20"/>
                <w:color w:val="auto"/>
              </w:rPr>
            </w:pPr>
            <w:r>
              <w:rPr>
                <w:rFonts w:ascii="Arial" w:cs="Arial" w:eastAsia="Arial" w:hAnsi="Arial"/>
                <w:sz w:val="16"/>
                <w:szCs w:val="16"/>
                <w:b w:val="1"/>
                <w:bCs w:val="1"/>
                <w:color w:val="auto"/>
              </w:rPr>
              <w:t>Description</w:t>
            </w:r>
          </w:p>
        </w:tc>
      </w:tr>
      <w:tr>
        <w:trPr>
          <w:trHeight w:val="153"/>
        </w:trPr>
        <w:tc>
          <w:tcPr>
            <w:tcW w:w="1120" w:type="dxa"/>
            <w:vAlign w:val="bottom"/>
            <w:tcBorders>
              <w:top w:val="single" w:sz="8" w:color="auto"/>
              <w:bottom w:val="single" w:sz="8" w:color="CCEEFF"/>
            </w:tcBorders>
            <w:shd w:val="clear" w:color="auto" w:fill="CCEEFF"/>
          </w:tcPr>
          <w:p>
            <w:pPr>
              <w:jc w:val="center"/>
              <w:spacing w:after="0" w:line="153" w:lineRule="exact"/>
              <w:rPr>
                <w:sz w:val="20"/>
                <w:szCs w:val="20"/>
                <w:color w:val="auto"/>
              </w:rPr>
            </w:pPr>
            <w:r>
              <w:rPr>
                <w:rFonts w:ascii="Arial" w:cs="Arial" w:eastAsia="Arial" w:hAnsi="Arial"/>
                <w:sz w:val="16"/>
                <w:szCs w:val="16"/>
                <w:color w:val="auto"/>
                <w:w w:val="89"/>
              </w:rPr>
              <w:t>2.1†</w:t>
            </w:r>
          </w:p>
        </w:tc>
        <w:tc>
          <w:tcPr>
            <w:tcW w:w="1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10000" w:type="dxa"/>
            <w:vAlign w:val="bottom"/>
            <w:tcBorders>
              <w:top w:val="single" w:sz="8" w:color="auto"/>
              <w:bottom w:val="single" w:sz="8" w:color="0000EE"/>
            </w:tcBorders>
            <w:gridSpan w:val="25"/>
            <w:shd w:val="clear" w:color="auto" w:fill="CCEEFF"/>
          </w:tcPr>
          <w:p>
            <w:pPr>
              <w:spacing w:after="0" w:line="153" w:lineRule="exact"/>
              <w:rPr>
                <w:rFonts w:ascii="Arial" w:cs="Arial" w:eastAsia="Arial" w:hAnsi="Arial"/>
                <w:sz w:val="16"/>
                <w:szCs w:val="16"/>
                <w:color w:val="0000EE"/>
                <w:w w:val="92"/>
              </w:rPr>
            </w:pPr>
            <w:hyperlink r:id="rId403">
              <w:r>
                <w:rPr>
                  <w:rFonts w:ascii="Arial" w:cs="Arial" w:eastAsia="Arial" w:hAnsi="Arial"/>
                  <w:sz w:val="16"/>
                  <w:szCs w:val="16"/>
                  <w:color w:val="0000EE"/>
                  <w:w w:val="92"/>
                </w:rPr>
                <w:t>Business Combination Agreement, dated as of December 2, 2021, by and among ArcLight, OPAL Fuels and OPAL Holdco (incorporated by reference to</w:t>
              </w:r>
            </w:hyperlink>
          </w:p>
        </w:tc>
      </w:tr>
      <w:tr>
        <w:trPr>
          <w:trHeight w:val="168"/>
        </w:trPr>
        <w:tc>
          <w:tcPr>
            <w:tcW w:w="1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5"/>
            <w:shd w:val="clear" w:color="auto" w:fill="CCEEFF"/>
          </w:tcPr>
          <w:p>
            <w:pPr>
              <w:spacing w:after="0" w:line="168" w:lineRule="exact"/>
              <w:rPr>
                <w:rFonts w:ascii="Arial" w:cs="Arial" w:eastAsia="Arial" w:hAnsi="Arial"/>
                <w:sz w:val="16"/>
                <w:szCs w:val="16"/>
                <w:color w:val="0000EE"/>
              </w:rPr>
            </w:pPr>
            <w:hyperlink r:id="rId403">
              <w:r>
                <w:rPr>
                  <w:rFonts w:ascii="Arial" w:cs="Arial" w:eastAsia="Arial" w:hAnsi="Arial"/>
                  <w:sz w:val="16"/>
                  <w:szCs w:val="16"/>
                  <w:color w:val="0000EE"/>
                </w:rPr>
                <w:t>Exhibit 2.1 of the Company’s Current Report on Form 8-K, filed with the SEC on December 3, 2021).</w:t>
              </w:r>
            </w:hyperlink>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760" w:type="dxa"/>
            <w:vAlign w:val="bottom"/>
            <w:tcBorders>
              <w:right w:val="single" w:sz="8" w:color="CCEEFF"/>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98"/>
              </w:rPr>
              <w:t>3.1*</w:t>
            </w:r>
          </w:p>
        </w:tc>
        <w:tc>
          <w:tcPr>
            <w:tcW w:w="140" w:type="dxa"/>
            <w:vAlign w:val="bottom"/>
          </w:tcPr>
          <w:p>
            <w:pPr>
              <w:spacing w:after="0"/>
              <w:rPr>
                <w:sz w:val="13"/>
                <w:szCs w:val="13"/>
                <w:color w:val="auto"/>
              </w:rPr>
            </w:pPr>
          </w:p>
        </w:tc>
        <w:tc>
          <w:tcPr>
            <w:tcW w:w="10000" w:type="dxa"/>
            <w:vAlign w:val="bottom"/>
            <w:gridSpan w:val="25"/>
          </w:tcPr>
          <w:p>
            <w:pPr>
              <w:spacing w:after="0" w:line="153" w:lineRule="exact"/>
              <w:rPr>
                <w:sz w:val="20"/>
                <w:szCs w:val="20"/>
                <w:color w:val="auto"/>
              </w:rPr>
            </w:pPr>
            <w:r>
              <w:rPr>
                <w:rFonts w:ascii="Arial" w:cs="Arial" w:eastAsia="Arial" w:hAnsi="Arial"/>
                <w:sz w:val="16"/>
                <w:szCs w:val="16"/>
                <w:color w:val="0000EE"/>
              </w:rPr>
              <w:t>Restated Certificate of Incorporation of OPAL Fuels Inc.</w:t>
            </w:r>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3.2</w:t>
            </w:r>
          </w:p>
        </w:tc>
        <w:tc>
          <w:tcPr>
            <w:tcW w:w="140" w:type="dxa"/>
            <w:vAlign w:val="bottom"/>
            <w:tcBorders>
              <w:right w:val="single" w:sz="8" w:color="CCEEFF"/>
            </w:tcBorders>
            <w:shd w:val="clear" w:color="auto" w:fill="CCEEFF"/>
          </w:tcPr>
          <w:p>
            <w:pPr>
              <w:spacing w:after="0"/>
              <w:rPr>
                <w:sz w:val="13"/>
                <w:szCs w:val="13"/>
                <w:color w:val="auto"/>
              </w:rPr>
            </w:pPr>
          </w:p>
        </w:tc>
        <w:tc>
          <w:tcPr>
            <w:tcW w:w="10000" w:type="dxa"/>
            <w:vAlign w:val="bottom"/>
            <w:gridSpan w:val="25"/>
            <w:shd w:val="clear" w:color="auto" w:fill="CCEEFF"/>
          </w:tcPr>
          <w:p>
            <w:pPr>
              <w:spacing w:after="0" w:line="161" w:lineRule="exact"/>
              <w:rPr>
                <w:rFonts w:ascii="Arial" w:cs="Arial" w:eastAsia="Arial" w:hAnsi="Arial"/>
                <w:sz w:val="16"/>
                <w:szCs w:val="16"/>
                <w:color w:val="0000EE"/>
                <w:w w:val="98"/>
              </w:rPr>
            </w:pPr>
            <w:hyperlink r:id="rId404">
              <w:r>
                <w:rPr>
                  <w:rFonts w:ascii="Arial" w:cs="Arial" w:eastAsia="Arial" w:hAnsi="Arial"/>
                  <w:sz w:val="16"/>
                  <w:szCs w:val="16"/>
                  <w:color w:val="0000EE"/>
                  <w:w w:val="98"/>
                </w:rPr>
                <w:t>Bylaws of OPAL Fuels Inc. (incorporated by reference to Exhibit 3.2 to the Current Report on Form 8-K filed by the Company on July 27, 2022)</w:t>
              </w:r>
            </w:hyperlink>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7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89"/>
              </w:rPr>
              <w:t>4.1</w:t>
            </w:r>
          </w:p>
        </w:tc>
        <w:tc>
          <w:tcPr>
            <w:tcW w:w="140" w:type="dxa"/>
            <w:vAlign w:val="bottom"/>
          </w:tcPr>
          <w:p>
            <w:pPr>
              <w:spacing w:after="0"/>
              <w:rPr>
                <w:sz w:val="13"/>
                <w:szCs w:val="13"/>
                <w:color w:val="auto"/>
              </w:rPr>
            </w:pPr>
          </w:p>
        </w:tc>
        <w:tc>
          <w:tcPr>
            <w:tcW w:w="10000" w:type="dxa"/>
            <w:vAlign w:val="bottom"/>
            <w:tcBorders>
              <w:bottom w:val="single" w:sz="8" w:color="0000EE"/>
            </w:tcBorders>
            <w:gridSpan w:val="25"/>
          </w:tcPr>
          <w:p>
            <w:pPr>
              <w:spacing w:after="0" w:line="153" w:lineRule="exact"/>
              <w:rPr>
                <w:rFonts w:ascii="Arial" w:cs="Arial" w:eastAsia="Arial" w:hAnsi="Arial"/>
                <w:sz w:val="16"/>
                <w:szCs w:val="16"/>
                <w:color w:val="0000EE"/>
                <w:w w:val="95"/>
              </w:rPr>
            </w:pPr>
            <w:hyperlink r:id="rId405">
              <w:r>
                <w:rPr>
                  <w:rFonts w:ascii="Arial" w:cs="Arial" w:eastAsia="Arial" w:hAnsi="Arial"/>
                  <w:sz w:val="16"/>
                  <w:szCs w:val="16"/>
                  <w:color w:val="0000EE"/>
                  <w:w w:val="95"/>
                </w:rPr>
                <w:t>Specimen Warrant Certificate (incorporated by reference to Exhibit 4.3 to the Registration Statement on Form S-1 (File No. 333-252730) filed by the</w:t>
              </w:r>
            </w:hyperlink>
          </w:p>
        </w:tc>
      </w:tr>
      <w:tr>
        <w:trPr>
          <w:trHeight w:val="168"/>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6"/>
                <w:szCs w:val="16"/>
                <w:color w:val="0000EE"/>
              </w:rPr>
            </w:pPr>
            <w:hyperlink r:id="rId405">
              <w:r>
                <w:rPr>
                  <w:rFonts w:ascii="Arial" w:cs="Arial" w:eastAsia="Arial" w:hAnsi="Arial"/>
                  <w:sz w:val="16"/>
                  <w:szCs w:val="16"/>
                  <w:color w:val="0000EE"/>
                </w:rPr>
                <w:t>Registrant on March 8, 2021).</w:t>
              </w:r>
            </w:hyperlink>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tcBorders>
              <w:bottom w:val="single" w:sz="8" w:color="CCEEFF"/>
            </w:tcBorders>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4.2</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000" w:type="dxa"/>
            <w:vAlign w:val="bottom"/>
            <w:tcBorders>
              <w:bottom w:val="single" w:sz="8" w:color="0000EE"/>
            </w:tcBorders>
            <w:gridSpan w:val="25"/>
            <w:shd w:val="clear" w:color="auto" w:fill="CCEEFF"/>
          </w:tcPr>
          <w:p>
            <w:pPr>
              <w:spacing w:after="0" w:line="161" w:lineRule="exact"/>
              <w:rPr>
                <w:rFonts w:ascii="Arial" w:cs="Arial" w:eastAsia="Arial" w:hAnsi="Arial"/>
                <w:sz w:val="16"/>
                <w:szCs w:val="16"/>
                <w:color w:val="0000EE"/>
                <w:w w:val="92"/>
              </w:rPr>
            </w:pPr>
            <w:hyperlink r:id="rId406">
              <w:r>
                <w:rPr>
                  <w:rFonts w:ascii="Arial" w:cs="Arial" w:eastAsia="Arial" w:hAnsi="Arial"/>
                  <w:sz w:val="16"/>
                  <w:szCs w:val="16"/>
                  <w:color w:val="0000EE"/>
                  <w:w w:val="92"/>
                </w:rPr>
                <w:t>Warrant Agreement between Continental Stock Transfer &amp; Trust Company and ArcLight Clean Transition Corp. II, dated March 22, 2021 (incorporated by</w:t>
              </w:r>
            </w:hyperlink>
          </w:p>
        </w:tc>
      </w:tr>
      <w:tr>
        <w:trPr>
          <w:trHeight w:val="168"/>
        </w:trPr>
        <w:tc>
          <w:tcPr>
            <w:tcW w:w="1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5"/>
            <w:shd w:val="clear" w:color="auto" w:fill="CCEEFF"/>
          </w:tcPr>
          <w:p>
            <w:pPr>
              <w:spacing w:after="0" w:line="168" w:lineRule="exact"/>
              <w:rPr>
                <w:rFonts w:ascii="Arial" w:cs="Arial" w:eastAsia="Arial" w:hAnsi="Arial"/>
                <w:sz w:val="16"/>
                <w:szCs w:val="16"/>
                <w:color w:val="0000EE"/>
              </w:rPr>
            </w:pPr>
            <w:hyperlink r:id="rId406">
              <w:r>
                <w:rPr>
                  <w:rFonts w:ascii="Arial" w:cs="Arial" w:eastAsia="Arial" w:hAnsi="Arial"/>
                  <w:sz w:val="16"/>
                  <w:szCs w:val="16"/>
                  <w:color w:val="0000EE"/>
                </w:rPr>
                <w:t>reference to Exhibit 4.1 to the Current Report on Form 8-K filed by the Company on March 26, 2021).</w:t>
              </w:r>
            </w:hyperlink>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7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98"/>
              </w:rPr>
              <w:t>5.1*</w:t>
            </w:r>
          </w:p>
        </w:tc>
        <w:tc>
          <w:tcPr>
            <w:tcW w:w="140" w:type="dxa"/>
            <w:vAlign w:val="bottom"/>
          </w:tcPr>
          <w:p>
            <w:pPr>
              <w:spacing w:after="0"/>
              <w:rPr>
                <w:sz w:val="13"/>
                <w:szCs w:val="13"/>
                <w:color w:val="auto"/>
              </w:rPr>
            </w:pPr>
          </w:p>
        </w:tc>
        <w:tc>
          <w:tcPr>
            <w:tcW w:w="10000" w:type="dxa"/>
            <w:vAlign w:val="bottom"/>
            <w:gridSpan w:val="25"/>
          </w:tcPr>
          <w:p>
            <w:pPr>
              <w:spacing w:after="0" w:line="153" w:lineRule="exact"/>
              <w:rPr>
                <w:sz w:val="20"/>
                <w:szCs w:val="20"/>
                <w:color w:val="auto"/>
              </w:rPr>
            </w:pPr>
            <w:r>
              <w:rPr>
                <w:rFonts w:ascii="Arial" w:cs="Arial" w:eastAsia="Arial" w:hAnsi="Arial"/>
                <w:sz w:val="16"/>
                <w:szCs w:val="16"/>
                <w:color w:val="0000EE"/>
              </w:rPr>
              <w:t>Opinion of Sheppard, Mullin, Richter &amp; Hampton LLP</w:t>
            </w:r>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tcBorders>
              <w:bottom w:val="single" w:sz="8" w:color="CCEEFF"/>
            </w:tcBorders>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10.1</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000" w:type="dxa"/>
            <w:vAlign w:val="bottom"/>
            <w:tcBorders>
              <w:bottom w:val="single" w:sz="8" w:color="0000EE"/>
            </w:tcBorders>
            <w:gridSpan w:val="25"/>
            <w:shd w:val="clear" w:color="auto" w:fill="CCEEFF"/>
          </w:tcPr>
          <w:p>
            <w:pPr>
              <w:spacing w:after="0" w:line="161" w:lineRule="exact"/>
              <w:rPr>
                <w:rFonts w:ascii="Arial" w:cs="Arial" w:eastAsia="Arial" w:hAnsi="Arial"/>
                <w:sz w:val="16"/>
                <w:szCs w:val="16"/>
                <w:color w:val="0000EE"/>
                <w:w w:val="90"/>
              </w:rPr>
            </w:pPr>
            <w:hyperlink r:id="rId407">
              <w:r>
                <w:rPr>
                  <w:rFonts w:ascii="Arial" w:cs="Arial" w:eastAsia="Arial" w:hAnsi="Arial"/>
                  <w:sz w:val="16"/>
                  <w:szCs w:val="16"/>
                  <w:color w:val="0000EE"/>
                  <w:w w:val="90"/>
                </w:rPr>
                <w:t>Form of OPAL Indemnification Agreement (incorporated by reference to Exhibit 10.1 to the Registration Statement on Form S-4 (File No. 333-262583), filed</w:t>
              </w:r>
            </w:hyperlink>
          </w:p>
        </w:tc>
      </w:tr>
      <w:tr>
        <w:trPr>
          <w:trHeight w:val="168"/>
        </w:trPr>
        <w:tc>
          <w:tcPr>
            <w:tcW w:w="1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5"/>
            <w:shd w:val="clear" w:color="auto" w:fill="CCEEFF"/>
          </w:tcPr>
          <w:p>
            <w:pPr>
              <w:spacing w:after="0" w:line="168" w:lineRule="exact"/>
              <w:rPr>
                <w:rFonts w:ascii="Arial" w:cs="Arial" w:eastAsia="Arial" w:hAnsi="Arial"/>
                <w:sz w:val="16"/>
                <w:szCs w:val="16"/>
                <w:color w:val="0000EE"/>
              </w:rPr>
            </w:pPr>
            <w:hyperlink r:id="rId407">
              <w:r>
                <w:rPr>
                  <w:rFonts w:ascii="Arial" w:cs="Arial" w:eastAsia="Arial" w:hAnsi="Arial"/>
                  <w:sz w:val="16"/>
                  <w:szCs w:val="16"/>
                  <w:color w:val="0000EE"/>
                </w:rPr>
                <w:t>on May 6, 2022).</w:t>
              </w:r>
            </w:hyperlink>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89"/>
              </w:rPr>
              <w:t>10.2</w:t>
            </w:r>
          </w:p>
        </w:tc>
        <w:tc>
          <w:tcPr>
            <w:tcW w:w="140" w:type="dxa"/>
            <w:vAlign w:val="bottom"/>
          </w:tcPr>
          <w:p>
            <w:pPr>
              <w:spacing w:after="0"/>
              <w:rPr>
                <w:sz w:val="13"/>
                <w:szCs w:val="13"/>
                <w:color w:val="auto"/>
              </w:rPr>
            </w:pPr>
          </w:p>
        </w:tc>
        <w:tc>
          <w:tcPr>
            <w:tcW w:w="10000" w:type="dxa"/>
            <w:vAlign w:val="bottom"/>
            <w:gridSpan w:val="25"/>
          </w:tcPr>
          <w:p>
            <w:pPr>
              <w:spacing w:after="0" w:line="153" w:lineRule="exact"/>
              <w:rPr>
                <w:rFonts w:ascii="Arial" w:cs="Arial" w:eastAsia="Arial" w:hAnsi="Arial"/>
                <w:sz w:val="16"/>
                <w:szCs w:val="16"/>
                <w:color w:val="0000EE"/>
                <w:w w:val="91"/>
              </w:rPr>
            </w:pPr>
            <w:hyperlink r:id="rId408">
              <w:r>
                <w:rPr>
                  <w:rFonts w:ascii="Arial" w:cs="Arial" w:eastAsia="Arial" w:hAnsi="Arial"/>
                  <w:sz w:val="16"/>
                  <w:szCs w:val="16"/>
                  <w:color w:val="0000EE"/>
                  <w:w w:val="91"/>
                </w:rPr>
                <w:t>2022 Omnibus Equity Incentive Plan (incorporated by reference to Exhibit 10.2 to the Current Report on Form 8-K filed by the Company on July 27, 2022).</w:t>
              </w:r>
            </w:hyperlink>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2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10.3</w:t>
            </w:r>
          </w:p>
        </w:tc>
        <w:tc>
          <w:tcPr>
            <w:tcW w:w="140" w:type="dxa"/>
            <w:vAlign w:val="bottom"/>
            <w:tcBorders>
              <w:right w:val="single" w:sz="8" w:color="CCEEFF"/>
            </w:tcBorders>
            <w:shd w:val="clear" w:color="auto" w:fill="CCEEFF"/>
          </w:tcPr>
          <w:p>
            <w:pPr>
              <w:spacing w:after="0"/>
              <w:rPr>
                <w:sz w:val="13"/>
                <w:szCs w:val="13"/>
                <w:color w:val="auto"/>
              </w:rPr>
            </w:pPr>
          </w:p>
        </w:tc>
        <w:tc>
          <w:tcPr>
            <w:tcW w:w="10000" w:type="dxa"/>
            <w:vAlign w:val="bottom"/>
            <w:gridSpan w:val="25"/>
            <w:shd w:val="clear" w:color="auto" w:fill="CCEEFF"/>
          </w:tcPr>
          <w:p>
            <w:pPr>
              <w:spacing w:after="0" w:line="161" w:lineRule="exact"/>
              <w:rPr>
                <w:rFonts w:ascii="Arial" w:cs="Arial" w:eastAsia="Arial" w:hAnsi="Arial"/>
                <w:sz w:val="16"/>
                <w:szCs w:val="16"/>
                <w:color w:val="0000EE"/>
                <w:w w:val="92"/>
              </w:rPr>
            </w:pPr>
            <w:hyperlink r:id="rId409">
              <w:r>
                <w:rPr>
                  <w:rFonts w:ascii="Arial" w:cs="Arial" w:eastAsia="Arial" w:hAnsi="Arial"/>
                  <w:sz w:val="16"/>
                  <w:szCs w:val="16"/>
                  <w:color w:val="0000EE"/>
                  <w:w w:val="92"/>
                </w:rPr>
                <w:t>Letter Agreement, dated as of March 25, 2021, by and among ArcLight CTC Holdings II, L.P., ArcLight Clean Transition Corp. II and certain other parties</w:t>
              </w:r>
            </w:hyperlink>
          </w:p>
        </w:tc>
      </w:tr>
      <w:tr>
        <w:trPr>
          <w:trHeight w:val="168"/>
        </w:trPr>
        <w:tc>
          <w:tcPr>
            <w:tcW w:w="1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9980" w:type="dxa"/>
            <w:vAlign w:val="bottom"/>
            <w:tcBorders>
              <w:top w:val="single" w:sz="8" w:color="0000EE"/>
            </w:tcBorders>
            <w:gridSpan w:val="24"/>
            <w:shd w:val="clear" w:color="auto" w:fill="CCEEFF"/>
          </w:tcPr>
          <w:p>
            <w:pPr>
              <w:spacing w:after="0" w:line="168" w:lineRule="exact"/>
              <w:rPr>
                <w:rFonts w:ascii="Arial" w:cs="Arial" w:eastAsia="Arial" w:hAnsi="Arial"/>
                <w:sz w:val="16"/>
                <w:szCs w:val="16"/>
                <w:color w:val="0000EE"/>
                <w:w w:val="99"/>
              </w:rPr>
            </w:pPr>
            <w:hyperlink r:id="rId409">
              <w:r>
                <w:rPr>
                  <w:rFonts w:ascii="Arial" w:cs="Arial" w:eastAsia="Arial" w:hAnsi="Arial"/>
                  <w:sz w:val="16"/>
                  <w:szCs w:val="16"/>
                  <w:color w:val="0000EE"/>
                  <w:w w:val="99"/>
                </w:rPr>
                <w:t>thereto (incorporated by referenced to Exhibit 10.4 to the Company’s Current Report on Form 8-K filed by the Registrant on March 26, 2021).</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7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89"/>
              </w:rPr>
              <w:t>10.4</w:t>
            </w:r>
          </w:p>
        </w:tc>
        <w:tc>
          <w:tcPr>
            <w:tcW w:w="140" w:type="dxa"/>
            <w:vAlign w:val="bottom"/>
          </w:tcPr>
          <w:p>
            <w:pPr>
              <w:spacing w:after="0"/>
              <w:rPr>
                <w:sz w:val="13"/>
                <w:szCs w:val="13"/>
                <w:color w:val="auto"/>
              </w:rPr>
            </w:pPr>
          </w:p>
        </w:tc>
        <w:tc>
          <w:tcPr>
            <w:tcW w:w="10000" w:type="dxa"/>
            <w:vAlign w:val="bottom"/>
            <w:tcBorders>
              <w:bottom w:val="single" w:sz="8" w:color="0000EE"/>
            </w:tcBorders>
            <w:gridSpan w:val="25"/>
          </w:tcPr>
          <w:p>
            <w:pPr>
              <w:spacing w:after="0" w:line="153" w:lineRule="exact"/>
              <w:rPr>
                <w:rFonts w:ascii="Arial" w:cs="Arial" w:eastAsia="Arial" w:hAnsi="Arial"/>
                <w:sz w:val="16"/>
                <w:szCs w:val="16"/>
                <w:color w:val="0000EE"/>
                <w:w w:val="93"/>
              </w:rPr>
            </w:pPr>
            <w:hyperlink r:id="rId410">
              <w:r>
                <w:rPr>
                  <w:rFonts w:ascii="Arial" w:cs="Arial" w:eastAsia="Arial" w:hAnsi="Arial"/>
                  <w:sz w:val="16"/>
                  <w:szCs w:val="16"/>
                  <w:color w:val="0000EE"/>
                  <w:w w:val="93"/>
                </w:rPr>
                <w:t>Sponsor Letter Agreement, dated as of December 2, 2021, by and among OPAL Fuels LLC, ArcLight Clean Transition Corp. II and certain other parties</w:t>
              </w:r>
            </w:hyperlink>
          </w:p>
        </w:tc>
      </w:tr>
      <w:tr>
        <w:trPr>
          <w:trHeight w:val="168"/>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0" w:type="dxa"/>
            <w:vAlign w:val="bottom"/>
            <w:tcBorders>
              <w:bottom w:val="single" w:sz="8" w:color="0000EE"/>
            </w:tcBorders>
            <w:gridSpan w:val="25"/>
          </w:tcPr>
          <w:p>
            <w:pPr>
              <w:spacing w:after="0" w:line="168" w:lineRule="exact"/>
              <w:rPr>
                <w:rFonts w:ascii="Arial" w:cs="Arial" w:eastAsia="Arial" w:hAnsi="Arial"/>
                <w:sz w:val="16"/>
                <w:szCs w:val="16"/>
                <w:color w:val="0000EE"/>
                <w:w w:val="92"/>
              </w:rPr>
            </w:pPr>
            <w:hyperlink r:id="rId410">
              <w:r>
                <w:rPr>
                  <w:rFonts w:ascii="Arial" w:cs="Arial" w:eastAsia="Arial" w:hAnsi="Arial"/>
                  <w:sz w:val="16"/>
                  <w:szCs w:val="16"/>
                  <w:color w:val="0000EE"/>
                  <w:w w:val="92"/>
                </w:rPr>
                <w:t>thereto (incorporated by reference to incorporated by referenced to Exhibit 10.2 to the Company’s Current Report on Form 8-K filed by the Registrant on</w:t>
              </w:r>
            </w:hyperlink>
          </w:p>
        </w:tc>
      </w:tr>
      <w:tr>
        <w:trPr>
          <w:trHeight w:val="168"/>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6"/>
                <w:szCs w:val="16"/>
                <w:color w:val="0000EE"/>
              </w:rPr>
            </w:pPr>
            <w:hyperlink r:id="rId410">
              <w:r>
                <w:rPr>
                  <w:rFonts w:ascii="Arial" w:cs="Arial" w:eastAsia="Arial" w:hAnsi="Arial"/>
                  <w:sz w:val="16"/>
                  <w:szCs w:val="16"/>
                  <w:color w:val="0000EE"/>
                </w:rPr>
                <w:t>December 3, 2021)</w:t>
              </w:r>
            </w:hyperlink>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10.4</w:t>
            </w:r>
          </w:p>
        </w:tc>
        <w:tc>
          <w:tcPr>
            <w:tcW w:w="140" w:type="dxa"/>
            <w:vAlign w:val="bottom"/>
            <w:tcBorders>
              <w:right w:val="single" w:sz="8" w:color="CCEEFF"/>
            </w:tcBorders>
            <w:shd w:val="clear" w:color="auto" w:fill="CCEEFF"/>
          </w:tcPr>
          <w:p>
            <w:pPr>
              <w:spacing w:after="0"/>
              <w:rPr>
                <w:sz w:val="13"/>
                <w:szCs w:val="13"/>
                <w:color w:val="auto"/>
              </w:rPr>
            </w:pPr>
          </w:p>
        </w:tc>
        <w:tc>
          <w:tcPr>
            <w:tcW w:w="10000" w:type="dxa"/>
            <w:vAlign w:val="bottom"/>
            <w:gridSpan w:val="25"/>
            <w:shd w:val="clear" w:color="auto" w:fill="CCEEFF"/>
          </w:tcPr>
          <w:p>
            <w:pPr>
              <w:spacing w:after="0" w:line="161" w:lineRule="exact"/>
              <w:rPr>
                <w:rFonts w:ascii="Arial" w:cs="Arial" w:eastAsia="Arial" w:hAnsi="Arial"/>
                <w:sz w:val="16"/>
                <w:szCs w:val="16"/>
                <w:color w:val="0000EE"/>
                <w:w w:val="91"/>
              </w:rPr>
            </w:pPr>
            <w:hyperlink r:id="rId411">
              <w:r>
                <w:rPr>
                  <w:rFonts w:ascii="Arial" w:cs="Arial" w:eastAsia="Arial" w:hAnsi="Arial"/>
                  <w:sz w:val="16"/>
                  <w:szCs w:val="16"/>
                  <w:color w:val="0000EE"/>
                  <w:w w:val="91"/>
                </w:rPr>
                <w:t>Form of Subscription Agreement (incorporated by reference to Exhibit 10.1 of the Company’s Current Report on Form 8-K, filed with the SEC on December</w:t>
              </w:r>
            </w:hyperlink>
          </w:p>
        </w:tc>
      </w:tr>
      <w:tr>
        <w:trPr>
          <w:trHeight w:val="168"/>
        </w:trPr>
        <w:tc>
          <w:tcPr>
            <w:tcW w:w="1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0" w:type="dxa"/>
            <w:vAlign w:val="bottom"/>
            <w:tcBorders>
              <w:top w:val="single" w:sz="8" w:color="0000EE"/>
            </w:tcBorders>
            <w:gridSpan w:val="2"/>
            <w:shd w:val="clear" w:color="auto" w:fill="CCEEFF"/>
          </w:tcPr>
          <w:p>
            <w:pPr>
              <w:spacing w:after="0" w:line="168" w:lineRule="exact"/>
              <w:rPr>
                <w:rFonts w:ascii="Arial" w:cs="Arial" w:eastAsia="Arial" w:hAnsi="Arial"/>
                <w:sz w:val="16"/>
                <w:szCs w:val="16"/>
                <w:color w:val="0000EE"/>
              </w:rPr>
            </w:pPr>
            <w:hyperlink r:id="rId411">
              <w:r>
                <w:rPr>
                  <w:rFonts w:ascii="Arial" w:cs="Arial" w:eastAsia="Arial" w:hAnsi="Arial"/>
                  <w:sz w:val="16"/>
                  <w:szCs w:val="16"/>
                  <w:color w:val="0000EE"/>
                </w:rPr>
                <w:t>3, 2021)</w:t>
              </w:r>
              <w:r>
                <w:rPr>
                  <w:rFonts w:ascii="Arial" w:cs="Arial" w:eastAsia="Arial" w:hAnsi="Arial"/>
                  <w:sz w:val="16"/>
                  <w:szCs w:val="16"/>
                  <w:color w:val="000000"/>
                </w:rPr>
                <w:t>.</w:t>
              </w:r>
            </w:hyperlink>
          </w:p>
        </w:tc>
        <w:tc>
          <w:tcPr>
            <w:tcW w:w="180" w:type="dxa"/>
            <w:vAlign w:val="bottom"/>
            <w:tcBorders>
              <w:top w:val="single" w:sz="8" w:color="0000EE"/>
              <w:left w:val="single" w:sz="8" w:color="CCEEFF"/>
            </w:tcBorders>
            <w:shd w:val="clear" w:color="auto" w:fill="CCEEFF"/>
          </w:tcPr>
          <w:p>
            <w:pPr>
              <w:spacing w:after="0"/>
              <w:rPr>
                <w:sz w:val="14"/>
                <w:szCs w:val="14"/>
                <w:color w:val="auto"/>
              </w:rPr>
            </w:pPr>
          </w:p>
        </w:tc>
        <w:tc>
          <w:tcPr>
            <w:tcW w:w="70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74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tcBorders>
            <w:shd w:val="clear" w:color="auto" w:fill="CCEEFF"/>
          </w:tcPr>
          <w:p>
            <w:pPr>
              <w:spacing w:after="0"/>
              <w:rPr>
                <w:sz w:val="14"/>
                <w:szCs w:val="14"/>
                <w:color w:val="auto"/>
              </w:rPr>
            </w:pPr>
          </w:p>
        </w:tc>
        <w:tc>
          <w:tcPr>
            <w:tcW w:w="980" w:type="dxa"/>
            <w:vAlign w:val="bottom"/>
            <w:tcBorders>
              <w:top w:val="single" w:sz="8" w:color="0000EE"/>
            </w:tcBorders>
            <w:shd w:val="clear" w:color="auto" w:fill="CCEEFF"/>
          </w:tcPr>
          <w:p>
            <w:pPr>
              <w:spacing w:after="0"/>
              <w:rPr>
                <w:sz w:val="14"/>
                <w:szCs w:val="14"/>
                <w:color w:val="auto"/>
              </w:rPr>
            </w:pPr>
          </w:p>
        </w:tc>
        <w:tc>
          <w:tcPr>
            <w:tcW w:w="420" w:type="dxa"/>
            <w:vAlign w:val="bottom"/>
            <w:tcBorders>
              <w:top w:val="single" w:sz="8" w:color="0000EE"/>
              <w:left w:val="single" w:sz="8" w:color="CCEEFF"/>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tcBorders>
            <w:shd w:val="clear" w:color="auto" w:fill="CCEEFF"/>
          </w:tcPr>
          <w:p>
            <w:pPr>
              <w:spacing w:after="0"/>
              <w:rPr>
                <w:sz w:val="14"/>
                <w:szCs w:val="14"/>
                <w:color w:val="auto"/>
              </w:rPr>
            </w:pPr>
          </w:p>
        </w:tc>
        <w:tc>
          <w:tcPr>
            <w:tcW w:w="76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72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06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70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89"/>
              </w:rPr>
              <w:t>10.5</w:t>
            </w:r>
          </w:p>
        </w:tc>
        <w:tc>
          <w:tcPr>
            <w:tcW w:w="140" w:type="dxa"/>
            <w:vAlign w:val="bottom"/>
          </w:tcPr>
          <w:p>
            <w:pPr>
              <w:spacing w:after="0"/>
              <w:rPr>
                <w:sz w:val="13"/>
                <w:szCs w:val="13"/>
                <w:color w:val="auto"/>
              </w:rPr>
            </w:pPr>
          </w:p>
        </w:tc>
        <w:tc>
          <w:tcPr>
            <w:tcW w:w="10000" w:type="dxa"/>
            <w:vAlign w:val="bottom"/>
            <w:tcBorders>
              <w:bottom w:val="single" w:sz="8" w:color="0000EE"/>
            </w:tcBorders>
            <w:gridSpan w:val="25"/>
          </w:tcPr>
          <w:p>
            <w:pPr>
              <w:spacing w:after="0" w:line="153" w:lineRule="exact"/>
              <w:rPr>
                <w:rFonts w:ascii="Arial" w:cs="Arial" w:eastAsia="Arial" w:hAnsi="Arial"/>
                <w:sz w:val="16"/>
                <w:szCs w:val="16"/>
                <w:color w:val="0000EE"/>
                <w:w w:val="92"/>
              </w:rPr>
            </w:pPr>
            <w:hyperlink r:id="rId412">
              <w:r>
                <w:rPr>
                  <w:rFonts w:ascii="Arial" w:cs="Arial" w:eastAsia="Arial" w:hAnsi="Arial"/>
                  <w:sz w:val="16"/>
                  <w:szCs w:val="16"/>
                  <w:color w:val="0000EE"/>
                  <w:w w:val="92"/>
                </w:rPr>
                <w:t>Form of Amendment No. 1 to the Subscription Agreement (incorporated by reference to Exhibit 10.1 of the Company’s Current Report on Form 8-K, filed</w:t>
              </w:r>
            </w:hyperlink>
          </w:p>
        </w:tc>
      </w:tr>
      <w:tr>
        <w:trPr>
          <w:trHeight w:val="168"/>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6"/>
                <w:szCs w:val="16"/>
                <w:color w:val="0000EE"/>
              </w:rPr>
            </w:pPr>
            <w:hyperlink r:id="rId412">
              <w:r>
                <w:rPr>
                  <w:rFonts w:ascii="Arial" w:cs="Arial" w:eastAsia="Arial" w:hAnsi="Arial"/>
                  <w:sz w:val="16"/>
                  <w:szCs w:val="16"/>
                  <w:color w:val="0000EE"/>
                </w:rPr>
                <w:t>with the SEC on May 12, 2022).</w:t>
              </w:r>
            </w:hyperlink>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tcBorders>
              <w:bottom w:val="single" w:sz="8" w:color="CCEEFF"/>
            </w:tcBorders>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10.6</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000" w:type="dxa"/>
            <w:vAlign w:val="bottom"/>
            <w:tcBorders>
              <w:bottom w:val="single" w:sz="8" w:color="0000EE"/>
            </w:tcBorders>
            <w:gridSpan w:val="25"/>
            <w:shd w:val="clear" w:color="auto" w:fill="CCEEFF"/>
          </w:tcPr>
          <w:p>
            <w:pPr>
              <w:spacing w:after="0" w:line="161" w:lineRule="exact"/>
              <w:rPr>
                <w:rFonts w:ascii="Arial" w:cs="Arial" w:eastAsia="Arial" w:hAnsi="Arial"/>
                <w:sz w:val="16"/>
                <w:szCs w:val="16"/>
                <w:color w:val="0000EE"/>
                <w:w w:val="89"/>
              </w:rPr>
            </w:pPr>
            <w:hyperlink r:id="rId413">
              <w:r>
                <w:rPr>
                  <w:rFonts w:ascii="Arial" w:cs="Arial" w:eastAsia="Arial" w:hAnsi="Arial"/>
                  <w:sz w:val="16"/>
                  <w:szCs w:val="16"/>
                  <w:color w:val="0000EE"/>
                  <w:w w:val="89"/>
                </w:rPr>
                <w:t>Tax Receivable Agreement, dated July 21, 2022, by and among OPAL Fuels Inc. and the persons named therein (incorporated by reference to Exhibit 10.6 to</w:t>
              </w:r>
            </w:hyperlink>
          </w:p>
        </w:tc>
      </w:tr>
      <w:tr>
        <w:trPr>
          <w:trHeight w:val="168"/>
        </w:trPr>
        <w:tc>
          <w:tcPr>
            <w:tcW w:w="1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5"/>
            <w:shd w:val="clear" w:color="auto" w:fill="CCEEFF"/>
          </w:tcPr>
          <w:p>
            <w:pPr>
              <w:spacing w:after="0" w:line="168" w:lineRule="exact"/>
              <w:rPr>
                <w:rFonts w:ascii="Arial" w:cs="Arial" w:eastAsia="Arial" w:hAnsi="Arial"/>
                <w:sz w:val="16"/>
                <w:szCs w:val="16"/>
                <w:color w:val="0000EE"/>
              </w:rPr>
            </w:pPr>
            <w:hyperlink r:id="rId413">
              <w:r>
                <w:rPr>
                  <w:rFonts w:ascii="Arial" w:cs="Arial" w:eastAsia="Arial" w:hAnsi="Arial"/>
                  <w:sz w:val="16"/>
                  <w:szCs w:val="16"/>
                  <w:color w:val="0000EE"/>
                </w:rPr>
                <w:t>the Current Report on Form 8-K filed by the Company on July 27, 2022).</w:t>
              </w:r>
            </w:hyperlink>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89"/>
              </w:rPr>
              <w:t>10.7</w:t>
            </w:r>
          </w:p>
        </w:tc>
        <w:tc>
          <w:tcPr>
            <w:tcW w:w="140" w:type="dxa"/>
            <w:vAlign w:val="bottom"/>
          </w:tcPr>
          <w:p>
            <w:pPr>
              <w:spacing w:after="0"/>
              <w:rPr>
                <w:sz w:val="13"/>
                <w:szCs w:val="13"/>
                <w:color w:val="auto"/>
              </w:rPr>
            </w:pPr>
          </w:p>
        </w:tc>
        <w:tc>
          <w:tcPr>
            <w:tcW w:w="10000" w:type="dxa"/>
            <w:vAlign w:val="bottom"/>
            <w:tcBorders>
              <w:bottom w:val="single" w:sz="8" w:color="0000EE"/>
            </w:tcBorders>
            <w:gridSpan w:val="25"/>
          </w:tcPr>
          <w:p>
            <w:pPr>
              <w:spacing w:after="0" w:line="153" w:lineRule="exact"/>
              <w:rPr>
                <w:rFonts w:ascii="Arial" w:cs="Arial" w:eastAsia="Arial" w:hAnsi="Arial"/>
                <w:sz w:val="16"/>
                <w:szCs w:val="16"/>
                <w:color w:val="0000EE"/>
                <w:w w:val="93"/>
              </w:rPr>
            </w:pPr>
            <w:hyperlink r:id="rId414">
              <w:r>
                <w:rPr>
                  <w:rFonts w:ascii="Arial" w:cs="Arial" w:eastAsia="Arial" w:hAnsi="Arial"/>
                  <w:sz w:val="16"/>
                  <w:szCs w:val="16"/>
                  <w:color w:val="0000EE"/>
                  <w:w w:val="93"/>
                </w:rPr>
                <w:t>Investor Rights Agreement, dated July 21, 2022, by and among OPAL Fuels Inc., ArcLight CTC Holdings II, L.P., and the other persons named therein</w:t>
              </w:r>
            </w:hyperlink>
          </w:p>
        </w:tc>
      </w:tr>
      <w:tr>
        <w:trPr>
          <w:trHeight w:val="168"/>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6"/>
                <w:szCs w:val="16"/>
                <w:color w:val="0000EE"/>
              </w:rPr>
            </w:pPr>
            <w:hyperlink r:id="rId414">
              <w:r>
                <w:rPr>
                  <w:rFonts w:ascii="Arial" w:cs="Arial" w:eastAsia="Arial" w:hAnsi="Arial"/>
                  <w:sz w:val="16"/>
                  <w:szCs w:val="16"/>
                  <w:color w:val="0000EE"/>
                </w:rPr>
                <w:t>(incorporated by reference to Exhibit 10.7 to the Current Report on Form 8-K filed by the Company on July 27, 2022).</w:t>
              </w:r>
            </w:hyperlink>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2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tcBorders>
              <w:bottom w:val="single" w:sz="8" w:color="CCEEFF"/>
            </w:tcBorders>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10.8</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000" w:type="dxa"/>
            <w:vAlign w:val="bottom"/>
            <w:tcBorders>
              <w:bottom w:val="single" w:sz="8" w:color="0000EE"/>
            </w:tcBorders>
            <w:gridSpan w:val="25"/>
            <w:shd w:val="clear" w:color="auto" w:fill="CCEEFF"/>
          </w:tcPr>
          <w:p>
            <w:pPr>
              <w:spacing w:after="0" w:line="161" w:lineRule="exact"/>
              <w:rPr>
                <w:rFonts w:ascii="Arial" w:cs="Arial" w:eastAsia="Arial" w:hAnsi="Arial"/>
                <w:sz w:val="16"/>
                <w:szCs w:val="16"/>
                <w:color w:val="0000EE"/>
                <w:w w:val="91"/>
              </w:rPr>
            </w:pPr>
            <w:hyperlink r:id="rId415">
              <w:r>
                <w:rPr>
                  <w:rFonts w:ascii="Arial" w:cs="Arial" w:eastAsia="Arial" w:hAnsi="Arial"/>
                  <w:sz w:val="16"/>
                  <w:szCs w:val="16"/>
                  <w:color w:val="0000EE"/>
                  <w:w w:val="91"/>
                </w:rPr>
                <w:t>Second A&amp;R LLC Agreement of OPAL Fuels, including any Certificates of Designations (incorporated by reference to Exhibit 10.8 to the Current Report on</w:t>
              </w:r>
            </w:hyperlink>
          </w:p>
        </w:tc>
      </w:tr>
      <w:tr>
        <w:trPr>
          <w:trHeight w:val="168"/>
        </w:trPr>
        <w:tc>
          <w:tcPr>
            <w:tcW w:w="1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5"/>
            <w:shd w:val="clear" w:color="auto" w:fill="CCEEFF"/>
          </w:tcPr>
          <w:p>
            <w:pPr>
              <w:spacing w:after="0" w:line="168" w:lineRule="exact"/>
              <w:rPr>
                <w:rFonts w:ascii="Arial" w:cs="Arial" w:eastAsia="Arial" w:hAnsi="Arial"/>
                <w:sz w:val="16"/>
                <w:szCs w:val="16"/>
                <w:color w:val="0000EE"/>
              </w:rPr>
            </w:pPr>
            <w:hyperlink r:id="rId415">
              <w:r>
                <w:rPr>
                  <w:rFonts w:ascii="Arial" w:cs="Arial" w:eastAsia="Arial" w:hAnsi="Arial"/>
                  <w:sz w:val="16"/>
                  <w:szCs w:val="16"/>
                  <w:color w:val="0000EE"/>
                </w:rPr>
                <w:t>Form 8-K filed by the Company on July 27, 2022).</w:t>
              </w:r>
            </w:hyperlink>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89"/>
              </w:rPr>
              <w:t>10.9</w:t>
            </w:r>
          </w:p>
        </w:tc>
        <w:tc>
          <w:tcPr>
            <w:tcW w:w="140" w:type="dxa"/>
            <w:vAlign w:val="bottom"/>
          </w:tcPr>
          <w:p>
            <w:pPr>
              <w:spacing w:after="0"/>
              <w:rPr>
                <w:sz w:val="13"/>
                <w:szCs w:val="13"/>
                <w:color w:val="auto"/>
              </w:rPr>
            </w:pPr>
          </w:p>
        </w:tc>
        <w:tc>
          <w:tcPr>
            <w:tcW w:w="10000" w:type="dxa"/>
            <w:vAlign w:val="bottom"/>
            <w:gridSpan w:val="25"/>
          </w:tcPr>
          <w:p>
            <w:pPr>
              <w:spacing w:after="0" w:line="153" w:lineRule="exact"/>
              <w:rPr>
                <w:rFonts w:ascii="Arial" w:cs="Arial" w:eastAsia="Arial" w:hAnsi="Arial"/>
                <w:sz w:val="16"/>
                <w:szCs w:val="16"/>
                <w:color w:val="0000EE"/>
                <w:w w:val="89"/>
              </w:rPr>
            </w:pPr>
            <w:hyperlink r:id="rId416">
              <w:r>
                <w:rPr>
                  <w:rFonts w:ascii="Arial" w:cs="Arial" w:eastAsia="Arial" w:hAnsi="Arial"/>
                  <w:sz w:val="16"/>
                  <w:szCs w:val="16"/>
                  <w:color w:val="0000EE"/>
                  <w:w w:val="89"/>
                </w:rPr>
                <w:t>Delayed Draw Term Loan and Guaranty Agreement, dated October 22, 2021, by and among OPAL Fuels Intermediate Holdco LLC, the Guarantors named on</w:t>
              </w:r>
            </w:hyperlink>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40" w:type="dxa"/>
            <w:vAlign w:val="bottom"/>
            <w:tcBorders>
              <w:left w:val="single" w:sz="8" w:color="0000EE"/>
            </w:tcBorders>
            <w:gridSpan w:val="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6"/>
                <w:szCs w:val="16"/>
                <w:color w:val="0000EE"/>
                <w:w w:val="93"/>
              </w:rPr>
            </w:pPr>
            <w:hyperlink r:id="rId416">
              <w:r>
                <w:rPr>
                  <w:rFonts w:ascii="Arial" w:cs="Arial" w:eastAsia="Arial" w:hAnsi="Arial"/>
                  <w:sz w:val="16"/>
                  <w:szCs w:val="16"/>
                  <w:color w:val="0000EE"/>
                  <w:w w:val="93"/>
                </w:rPr>
                <w:t>the signature pages thereto, and the Lenders (as defined therein), and Bank of America, N.A., as Administrative Agent for the Lenders (incorporated by</w:t>
              </w:r>
            </w:hyperlink>
          </w:p>
        </w:tc>
      </w:tr>
      <w:tr>
        <w:trPr>
          <w:trHeight w:val="168"/>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80" w:type="dxa"/>
            <w:vAlign w:val="bottom"/>
            <w:tcBorders>
              <w:top w:val="single" w:sz="8" w:color="0000EE"/>
            </w:tcBorders>
            <w:gridSpan w:val="24"/>
          </w:tcPr>
          <w:p>
            <w:pPr>
              <w:spacing w:after="0" w:line="168" w:lineRule="exact"/>
              <w:rPr>
                <w:rFonts w:ascii="Arial" w:cs="Arial" w:eastAsia="Arial" w:hAnsi="Arial"/>
                <w:sz w:val="16"/>
                <w:szCs w:val="16"/>
                <w:color w:val="0000EE"/>
              </w:rPr>
            </w:pPr>
            <w:hyperlink r:id="rId416">
              <w:r>
                <w:rPr>
                  <w:rFonts w:ascii="Arial" w:cs="Arial" w:eastAsia="Arial" w:hAnsi="Arial"/>
                  <w:sz w:val="16"/>
                  <w:szCs w:val="16"/>
                  <w:color w:val="0000EE"/>
                </w:rPr>
                <w:t>reference to Exhibit 10.8 to the Registration Statement on Form S-4 (File No. 333-262583), filed on March 25, 2022)</w:t>
              </w:r>
              <w:r>
                <w:rPr>
                  <w:rFonts w:ascii="Arial" w:cs="Arial" w:eastAsia="Arial" w:hAnsi="Arial"/>
                  <w:sz w:val="16"/>
                  <w:szCs w:val="16"/>
                  <w:color w:val="000000"/>
                </w:rPr>
                <w:t>.</w:t>
              </w:r>
            </w:hyperlink>
          </w:p>
        </w:tc>
        <w:tc>
          <w:tcPr>
            <w:tcW w:w="20" w:type="dxa"/>
            <w:vAlign w:val="bottom"/>
          </w:tcPr>
          <w:p>
            <w:pPr>
              <w:spacing w:after="0"/>
              <w:rPr>
                <w:sz w:val="14"/>
                <w:szCs w:val="14"/>
                <w:color w:val="auto"/>
              </w:rPr>
            </w:pPr>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2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tcBorders>
              <w:bottom w:val="single" w:sz="8" w:color="CCEEFF"/>
            </w:tcBorders>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10.10</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000" w:type="dxa"/>
            <w:vAlign w:val="bottom"/>
            <w:tcBorders>
              <w:bottom w:val="single" w:sz="8" w:color="0000EE"/>
            </w:tcBorders>
            <w:gridSpan w:val="25"/>
            <w:shd w:val="clear" w:color="auto" w:fill="CCEEFF"/>
          </w:tcPr>
          <w:p>
            <w:pPr>
              <w:spacing w:after="0" w:line="161" w:lineRule="exact"/>
              <w:rPr>
                <w:rFonts w:ascii="Arial" w:cs="Arial" w:eastAsia="Arial" w:hAnsi="Arial"/>
                <w:sz w:val="16"/>
                <w:szCs w:val="16"/>
                <w:color w:val="0000EE"/>
                <w:w w:val="89"/>
              </w:rPr>
            </w:pPr>
            <w:hyperlink r:id="rId417">
              <w:r>
                <w:rPr>
                  <w:rFonts w:ascii="Arial" w:cs="Arial" w:eastAsia="Arial" w:hAnsi="Arial"/>
                  <w:sz w:val="16"/>
                  <w:szCs w:val="16"/>
                  <w:color w:val="0000EE"/>
                  <w:w w:val="89"/>
                </w:rPr>
                <w:t>Amendment No. 1 to Delayed Draw Term Loan and Guaranty Agreement and Waiver, dated February 1, 2022 (incorporated by reference to Exhibit 10.9 to the</w:t>
              </w:r>
            </w:hyperlink>
          </w:p>
        </w:tc>
      </w:tr>
      <w:tr>
        <w:trPr>
          <w:trHeight w:val="168"/>
        </w:trPr>
        <w:tc>
          <w:tcPr>
            <w:tcW w:w="1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5"/>
            <w:shd w:val="clear" w:color="auto" w:fill="CCEEFF"/>
          </w:tcPr>
          <w:p>
            <w:pPr>
              <w:spacing w:after="0" w:line="168" w:lineRule="exact"/>
              <w:rPr>
                <w:rFonts w:ascii="Arial" w:cs="Arial" w:eastAsia="Arial" w:hAnsi="Arial"/>
                <w:sz w:val="16"/>
                <w:szCs w:val="16"/>
                <w:color w:val="0000EE"/>
              </w:rPr>
            </w:pPr>
            <w:hyperlink r:id="rId417">
              <w:r>
                <w:rPr>
                  <w:rFonts w:ascii="Arial" w:cs="Arial" w:eastAsia="Arial" w:hAnsi="Arial"/>
                  <w:sz w:val="16"/>
                  <w:szCs w:val="16"/>
                  <w:color w:val="0000EE"/>
                </w:rPr>
                <w:t>Registration Statement on Form S-4 (File No. 333-262583), filed on March 25, 2022)</w:t>
              </w:r>
              <w:r>
                <w:rPr>
                  <w:rFonts w:ascii="Arial" w:cs="Arial" w:eastAsia="Arial" w:hAnsi="Arial"/>
                  <w:sz w:val="16"/>
                  <w:szCs w:val="16"/>
                  <w:color w:val="000000"/>
                </w:rPr>
                <w:t>.</w:t>
              </w:r>
            </w:hyperlink>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89"/>
              </w:rPr>
              <w:t>10.11#</w:t>
            </w:r>
          </w:p>
        </w:tc>
        <w:tc>
          <w:tcPr>
            <w:tcW w:w="140" w:type="dxa"/>
            <w:vAlign w:val="bottom"/>
          </w:tcPr>
          <w:p>
            <w:pPr>
              <w:spacing w:after="0"/>
              <w:rPr>
                <w:sz w:val="13"/>
                <w:szCs w:val="13"/>
                <w:color w:val="auto"/>
              </w:rPr>
            </w:pPr>
          </w:p>
        </w:tc>
        <w:tc>
          <w:tcPr>
            <w:tcW w:w="10000" w:type="dxa"/>
            <w:vAlign w:val="bottom"/>
            <w:tcBorders>
              <w:bottom w:val="single" w:sz="8" w:color="0000EE"/>
            </w:tcBorders>
            <w:gridSpan w:val="25"/>
          </w:tcPr>
          <w:p>
            <w:pPr>
              <w:spacing w:after="0" w:line="153" w:lineRule="exact"/>
              <w:rPr>
                <w:rFonts w:ascii="Arial" w:cs="Arial" w:eastAsia="Arial" w:hAnsi="Arial"/>
                <w:sz w:val="16"/>
                <w:szCs w:val="16"/>
                <w:color w:val="0000EE"/>
                <w:w w:val="90"/>
              </w:rPr>
            </w:pPr>
            <w:hyperlink r:id="rId418">
              <w:r>
                <w:rPr>
                  <w:rFonts w:ascii="Arial" w:cs="Arial" w:eastAsia="Arial" w:hAnsi="Arial"/>
                  <w:sz w:val="16"/>
                  <w:szCs w:val="16"/>
                  <w:color w:val="0000EE"/>
                  <w:w w:val="90"/>
                </w:rPr>
                <w:t>Environmental Attributes Purchase and Sale Agreement, dated November 29, 2021, by and between, on the one hand, NextEra Energy Marketing, LLC and,</w:t>
              </w:r>
            </w:hyperlink>
          </w:p>
        </w:tc>
      </w:tr>
      <w:tr>
        <w:trPr>
          <w:trHeight w:val="168"/>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0" w:type="dxa"/>
            <w:vAlign w:val="bottom"/>
            <w:tcBorders>
              <w:bottom w:val="single" w:sz="8" w:color="0000EE"/>
            </w:tcBorders>
            <w:gridSpan w:val="25"/>
          </w:tcPr>
          <w:p>
            <w:pPr>
              <w:spacing w:after="0" w:line="168" w:lineRule="exact"/>
              <w:rPr>
                <w:rFonts w:ascii="Arial" w:cs="Arial" w:eastAsia="Arial" w:hAnsi="Arial"/>
                <w:sz w:val="16"/>
                <w:szCs w:val="16"/>
                <w:color w:val="0000EE"/>
                <w:w w:val="89"/>
              </w:rPr>
            </w:pPr>
            <w:hyperlink r:id="rId418">
              <w:r>
                <w:rPr>
                  <w:rFonts w:ascii="Arial" w:cs="Arial" w:eastAsia="Arial" w:hAnsi="Arial"/>
                  <w:sz w:val="16"/>
                  <w:szCs w:val="16"/>
                  <w:color w:val="0000EE"/>
                  <w:w w:val="89"/>
                </w:rPr>
                <w:t>on the other hand, TruStar Energy LLC and OPAL Fuels LLC (incorporated by reference to Exhibit 10.10 to the Registration Statement on Form S-4 (File No.</w:t>
              </w:r>
            </w:hyperlink>
          </w:p>
        </w:tc>
      </w:tr>
      <w:tr>
        <w:trPr>
          <w:trHeight w:val="168"/>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6"/>
                <w:szCs w:val="16"/>
                <w:color w:val="0000EE"/>
              </w:rPr>
            </w:pPr>
            <w:hyperlink r:id="rId418">
              <w:r>
                <w:rPr>
                  <w:rFonts w:ascii="Arial" w:cs="Arial" w:eastAsia="Arial" w:hAnsi="Arial"/>
                  <w:sz w:val="16"/>
                  <w:szCs w:val="16"/>
                  <w:color w:val="0000EE"/>
                </w:rPr>
                <w:t>333-262583), filed on March 25, 2022)</w:t>
              </w:r>
              <w:r>
                <w:rPr>
                  <w:rFonts w:ascii="Arial" w:cs="Arial" w:eastAsia="Arial" w:hAnsi="Arial"/>
                  <w:sz w:val="16"/>
                  <w:szCs w:val="16"/>
                  <w:color w:val="000000"/>
                </w:rPr>
                <w:t>.</w:t>
              </w:r>
            </w:hyperlink>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tcBorders>
              <w:bottom w:val="single" w:sz="8" w:color="CCEEFF"/>
            </w:tcBorders>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10.12#</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000" w:type="dxa"/>
            <w:vAlign w:val="bottom"/>
            <w:tcBorders>
              <w:bottom w:val="single" w:sz="8" w:color="0000EE"/>
            </w:tcBorders>
            <w:gridSpan w:val="25"/>
            <w:shd w:val="clear" w:color="auto" w:fill="CCEEFF"/>
          </w:tcPr>
          <w:p>
            <w:pPr>
              <w:spacing w:after="0" w:line="161" w:lineRule="exact"/>
              <w:rPr>
                <w:rFonts w:ascii="Arial" w:cs="Arial" w:eastAsia="Arial" w:hAnsi="Arial"/>
                <w:sz w:val="16"/>
                <w:szCs w:val="16"/>
                <w:color w:val="0000EE"/>
                <w:w w:val="93"/>
              </w:rPr>
            </w:pPr>
            <w:hyperlink r:id="rId419">
              <w:r>
                <w:rPr>
                  <w:rFonts w:ascii="Arial" w:cs="Arial" w:eastAsia="Arial" w:hAnsi="Arial"/>
                  <w:sz w:val="16"/>
                  <w:szCs w:val="16"/>
                  <w:color w:val="0000EE"/>
                  <w:w w:val="93"/>
                </w:rPr>
                <w:t>Administrative Services Agreement, dated December 31, 2021, by and between OPAL Fuels and Fortistar Services 2 LLC (incorporated by reference to</w:t>
              </w:r>
            </w:hyperlink>
          </w:p>
        </w:tc>
      </w:tr>
      <w:tr>
        <w:trPr>
          <w:trHeight w:val="168"/>
        </w:trPr>
        <w:tc>
          <w:tcPr>
            <w:tcW w:w="1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5"/>
            <w:shd w:val="clear" w:color="auto" w:fill="CCEEFF"/>
          </w:tcPr>
          <w:p>
            <w:pPr>
              <w:spacing w:after="0" w:line="168" w:lineRule="exact"/>
              <w:rPr>
                <w:rFonts w:ascii="Arial" w:cs="Arial" w:eastAsia="Arial" w:hAnsi="Arial"/>
                <w:sz w:val="16"/>
                <w:szCs w:val="16"/>
                <w:color w:val="0000EE"/>
              </w:rPr>
            </w:pPr>
            <w:hyperlink r:id="rId419">
              <w:r>
                <w:rPr>
                  <w:rFonts w:ascii="Arial" w:cs="Arial" w:eastAsia="Arial" w:hAnsi="Arial"/>
                  <w:sz w:val="16"/>
                  <w:szCs w:val="16"/>
                  <w:color w:val="0000EE"/>
                </w:rPr>
                <w:t>Exhibit 10.11 to the Registration Statement on Form S-4 (File No. 333-262583), filed on March 25, 2022)</w:t>
              </w:r>
              <w:r>
                <w:rPr>
                  <w:rFonts w:ascii="Arial" w:cs="Arial" w:eastAsia="Arial" w:hAnsi="Arial"/>
                  <w:sz w:val="16"/>
                  <w:szCs w:val="16"/>
                  <w:color w:val="000000"/>
                </w:rPr>
                <w:t>.</w:t>
              </w:r>
            </w:hyperlink>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7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89"/>
              </w:rPr>
              <w:t>10.13#</w:t>
            </w:r>
          </w:p>
        </w:tc>
        <w:tc>
          <w:tcPr>
            <w:tcW w:w="140" w:type="dxa"/>
            <w:vAlign w:val="bottom"/>
          </w:tcPr>
          <w:p>
            <w:pPr>
              <w:spacing w:after="0"/>
              <w:rPr>
                <w:sz w:val="13"/>
                <w:szCs w:val="13"/>
                <w:color w:val="auto"/>
              </w:rPr>
            </w:pPr>
          </w:p>
        </w:tc>
        <w:tc>
          <w:tcPr>
            <w:tcW w:w="10000" w:type="dxa"/>
            <w:vAlign w:val="bottom"/>
            <w:gridSpan w:val="25"/>
          </w:tcPr>
          <w:p>
            <w:pPr>
              <w:spacing w:after="0" w:line="153" w:lineRule="exact"/>
              <w:rPr>
                <w:rFonts w:ascii="Arial" w:cs="Arial" w:eastAsia="Arial" w:hAnsi="Arial"/>
                <w:sz w:val="16"/>
                <w:szCs w:val="16"/>
                <w:color w:val="0000EE"/>
                <w:w w:val="89"/>
              </w:rPr>
            </w:pPr>
            <w:hyperlink r:id="rId420">
              <w:r>
                <w:rPr>
                  <w:rFonts w:ascii="Arial" w:cs="Arial" w:eastAsia="Arial" w:hAnsi="Arial"/>
                  <w:sz w:val="16"/>
                  <w:szCs w:val="16"/>
                  <w:color w:val="0000EE"/>
                  <w:w w:val="89"/>
                </w:rPr>
                <w:t>Indemnification and Hold Harmless Agreement, dated December 31, 2020, by and between OPAL Fuels LLC and Fortistar LLC (incorporated by reference to</w:t>
              </w:r>
            </w:hyperlink>
          </w:p>
        </w:tc>
      </w:tr>
      <w:tr>
        <w:trPr>
          <w:trHeight w:val="168"/>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80" w:type="dxa"/>
            <w:vAlign w:val="bottom"/>
            <w:tcBorders>
              <w:top w:val="single" w:sz="8" w:color="0000EE"/>
            </w:tcBorders>
            <w:gridSpan w:val="24"/>
          </w:tcPr>
          <w:p>
            <w:pPr>
              <w:spacing w:after="0" w:line="168" w:lineRule="exact"/>
              <w:rPr>
                <w:rFonts w:ascii="Arial" w:cs="Arial" w:eastAsia="Arial" w:hAnsi="Arial"/>
                <w:sz w:val="16"/>
                <w:szCs w:val="16"/>
                <w:color w:val="0000EE"/>
              </w:rPr>
            </w:pPr>
            <w:hyperlink r:id="rId420">
              <w:r>
                <w:rPr>
                  <w:rFonts w:ascii="Arial" w:cs="Arial" w:eastAsia="Arial" w:hAnsi="Arial"/>
                  <w:sz w:val="16"/>
                  <w:szCs w:val="16"/>
                  <w:color w:val="0000EE"/>
                </w:rPr>
                <w:t>Exhibit 10.12 to the Registration Statement on Form S-4 (File No. 333-262583), filed on March 25, 2022)</w:t>
              </w:r>
              <w:r>
                <w:rPr>
                  <w:rFonts w:ascii="Arial" w:cs="Arial" w:eastAsia="Arial" w:hAnsi="Arial"/>
                  <w:sz w:val="16"/>
                  <w:szCs w:val="16"/>
                  <w:color w:val="000000"/>
                </w:rPr>
                <w:t>.</w:t>
              </w:r>
            </w:hyperlink>
          </w:p>
        </w:tc>
        <w:tc>
          <w:tcPr>
            <w:tcW w:w="20" w:type="dxa"/>
            <w:vAlign w:val="bottom"/>
          </w:tcPr>
          <w:p>
            <w:pPr>
              <w:spacing w:after="0"/>
              <w:rPr>
                <w:sz w:val="14"/>
                <w:szCs w:val="14"/>
                <w:color w:val="auto"/>
              </w:rPr>
            </w:pPr>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2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tcBorders>
              <w:bottom w:val="single" w:sz="8" w:color="CCEEFF"/>
            </w:tcBorders>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10.14#</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000" w:type="dxa"/>
            <w:vAlign w:val="bottom"/>
            <w:tcBorders>
              <w:bottom w:val="single" w:sz="8" w:color="0000EE"/>
            </w:tcBorders>
            <w:gridSpan w:val="25"/>
            <w:shd w:val="clear" w:color="auto" w:fill="CCEEFF"/>
          </w:tcPr>
          <w:p>
            <w:pPr>
              <w:spacing w:after="0" w:line="161" w:lineRule="exact"/>
              <w:rPr>
                <w:rFonts w:ascii="Arial" w:cs="Arial" w:eastAsia="Arial" w:hAnsi="Arial"/>
                <w:sz w:val="16"/>
                <w:szCs w:val="16"/>
                <w:color w:val="0000EE"/>
                <w:w w:val="90"/>
              </w:rPr>
            </w:pPr>
            <w:hyperlink r:id="rId421">
              <w:r>
                <w:rPr>
                  <w:rFonts w:ascii="Arial" w:cs="Arial" w:eastAsia="Arial" w:hAnsi="Arial"/>
                  <w:sz w:val="16"/>
                  <w:szCs w:val="16"/>
                  <w:color w:val="0000EE"/>
                  <w:w w:val="90"/>
                </w:rPr>
                <w:t>Flue Gas Offtake and Preferred Partner Agreement, dated November 29, 2021, by and between CarbonFree Chemicals Holdings, LLC and OPAL Fuels LLC</w:t>
              </w:r>
            </w:hyperlink>
          </w:p>
        </w:tc>
      </w:tr>
      <w:tr>
        <w:trPr>
          <w:trHeight w:val="168"/>
        </w:trPr>
        <w:tc>
          <w:tcPr>
            <w:tcW w:w="1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5"/>
            <w:shd w:val="clear" w:color="auto" w:fill="CCEEFF"/>
          </w:tcPr>
          <w:p>
            <w:pPr>
              <w:spacing w:after="0" w:line="168" w:lineRule="exact"/>
              <w:rPr>
                <w:rFonts w:ascii="Arial" w:cs="Arial" w:eastAsia="Arial" w:hAnsi="Arial"/>
                <w:sz w:val="16"/>
                <w:szCs w:val="16"/>
                <w:color w:val="0000EE"/>
              </w:rPr>
            </w:pPr>
            <w:hyperlink r:id="rId421">
              <w:r>
                <w:rPr>
                  <w:rFonts w:ascii="Arial" w:cs="Arial" w:eastAsia="Arial" w:hAnsi="Arial"/>
                  <w:sz w:val="16"/>
                  <w:szCs w:val="16"/>
                  <w:color w:val="0000EE"/>
                </w:rPr>
                <w:t>(incorporated by reference to Exhibit 10.13 to the Registration Statement on Form S-4 (File No. 333-262583), filed on March 25, 2022)</w:t>
              </w:r>
              <w:r>
                <w:rPr>
                  <w:rFonts w:ascii="Arial" w:cs="Arial" w:eastAsia="Arial" w:hAnsi="Arial"/>
                  <w:sz w:val="16"/>
                  <w:szCs w:val="16"/>
                  <w:color w:val="000000"/>
                </w:rPr>
                <w:t>.</w:t>
              </w:r>
            </w:hyperlink>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7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89"/>
              </w:rPr>
              <w:t>21.1</w:t>
            </w:r>
          </w:p>
        </w:tc>
        <w:tc>
          <w:tcPr>
            <w:tcW w:w="140" w:type="dxa"/>
            <w:vAlign w:val="bottom"/>
          </w:tcPr>
          <w:p>
            <w:pPr>
              <w:spacing w:after="0"/>
              <w:rPr>
                <w:sz w:val="13"/>
                <w:szCs w:val="13"/>
                <w:color w:val="auto"/>
              </w:rPr>
            </w:pPr>
          </w:p>
        </w:tc>
        <w:tc>
          <w:tcPr>
            <w:tcW w:w="10000" w:type="dxa"/>
            <w:vAlign w:val="bottom"/>
            <w:gridSpan w:val="25"/>
          </w:tcPr>
          <w:p>
            <w:pPr>
              <w:spacing w:after="0" w:line="153" w:lineRule="exact"/>
              <w:rPr>
                <w:rFonts w:ascii="Arial" w:cs="Arial" w:eastAsia="Arial" w:hAnsi="Arial"/>
                <w:sz w:val="16"/>
                <w:szCs w:val="16"/>
                <w:color w:val="0000EE"/>
              </w:rPr>
            </w:pPr>
            <w:hyperlink r:id="rId422">
              <w:r>
                <w:rPr>
                  <w:rFonts w:ascii="Arial" w:cs="Arial" w:eastAsia="Arial" w:hAnsi="Arial"/>
                  <w:sz w:val="16"/>
                  <w:szCs w:val="16"/>
                  <w:color w:val="0000EE"/>
                </w:rPr>
                <w:t>List of subsidiaries (incorporated by reference to Exhibit 21.1 to the Current Report on Form 8-K filed by the Company on July 27, 2022).</w:t>
              </w:r>
            </w:hyperlink>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2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color w:val="auto"/>
                <w:w w:val="96"/>
              </w:rPr>
              <w:t>23.1*</w:t>
            </w:r>
          </w:p>
        </w:tc>
        <w:tc>
          <w:tcPr>
            <w:tcW w:w="140" w:type="dxa"/>
            <w:vAlign w:val="bottom"/>
            <w:tcBorders>
              <w:right w:val="single" w:sz="8" w:color="CCEEFF"/>
            </w:tcBorders>
            <w:shd w:val="clear" w:color="auto" w:fill="CCEEFF"/>
          </w:tcPr>
          <w:p>
            <w:pPr>
              <w:spacing w:after="0"/>
              <w:rPr>
                <w:sz w:val="13"/>
                <w:szCs w:val="13"/>
                <w:color w:val="auto"/>
              </w:rPr>
            </w:pPr>
          </w:p>
        </w:tc>
        <w:tc>
          <w:tcPr>
            <w:tcW w:w="10000" w:type="dxa"/>
            <w:vAlign w:val="bottom"/>
            <w:gridSpan w:val="25"/>
            <w:shd w:val="clear" w:color="auto" w:fill="CCEEFF"/>
          </w:tcPr>
          <w:p>
            <w:pPr>
              <w:spacing w:after="0" w:line="161" w:lineRule="exact"/>
              <w:rPr>
                <w:sz w:val="20"/>
                <w:szCs w:val="20"/>
                <w:color w:val="auto"/>
              </w:rPr>
            </w:pPr>
            <w:r>
              <w:rPr>
                <w:rFonts w:ascii="Arial" w:cs="Arial" w:eastAsia="Arial" w:hAnsi="Arial"/>
                <w:sz w:val="16"/>
                <w:szCs w:val="16"/>
                <w:color w:val="0000EE"/>
              </w:rPr>
              <w:t>Consent of BDO USA, LLP, independent registered accounting firm for OPAL Fuels LLC.</w:t>
            </w:r>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96"/>
              </w:rPr>
              <w:t>23.2*</w:t>
            </w:r>
          </w:p>
        </w:tc>
        <w:tc>
          <w:tcPr>
            <w:tcW w:w="140" w:type="dxa"/>
            <w:vAlign w:val="bottom"/>
          </w:tcPr>
          <w:p>
            <w:pPr>
              <w:spacing w:after="0"/>
              <w:rPr>
                <w:sz w:val="13"/>
                <w:szCs w:val="13"/>
                <w:color w:val="auto"/>
              </w:rPr>
            </w:pPr>
          </w:p>
        </w:tc>
        <w:tc>
          <w:tcPr>
            <w:tcW w:w="10000" w:type="dxa"/>
            <w:vAlign w:val="bottom"/>
            <w:gridSpan w:val="25"/>
          </w:tcPr>
          <w:p>
            <w:pPr>
              <w:spacing w:after="0" w:line="153" w:lineRule="exact"/>
              <w:rPr>
                <w:sz w:val="20"/>
                <w:szCs w:val="20"/>
                <w:color w:val="auto"/>
              </w:rPr>
            </w:pPr>
            <w:r>
              <w:rPr>
                <w:rFonts w:ascii="Arial" w:cs="Arial" w:eastAsia="Arial" w:hAnsi="Arial"/>
                <w:sz w:val="16"/>
                <w:szCs w:val="16"/>
                <w:color w:val="0000EE"/>
              </w:rPr>
              <w:t>Consent of BDO USA, LLP, independent auditor for Beacon RNG LLC.</w:t>
            </w:r>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112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color w:val="auto"/>
                <w:w w:val="96"/>
              </w:rPr>
              <w:t>23.3*</w:t>
            </w:r>
          </w:p>
        </w:tc>
        <w:tc>
          <w:tcPr>
            <w:tcW w:w="140" w:type="dxa"/>
            <w:vAlign w:val="bottom"/>
            <w:tcBorders>
              <w:right w:val="single" w:sz="8" w:color="CCEEFF"/>
            </w:tcBorders>
            <w:shd w:val="clear" w:color="auto" w:fill="CCEEFF"/>
          </w:tcPr>
          <w:p>
            <w:pPr>
              <w:spacing w:after="0"/>
              <w:rPr>
                <w:sz w:val="13"/>
                <w:szCs w:val="13"/>
                <w:color w:val="auto"/>
              </w:rPr>
            </w:pPr>
          </w:p>
        </w:tc>
        <w:tc>
          <w:tcPr>
            <w:tcW w:w="10000" w:type="dxa"/>
            <w:vAlign w:val="bottom"/>
            <w:gridSpan w:val="25"/>
            <w:shd w:val="clear" w:color="auto" w:fill="CCEEFF"/>
          </w:tcPr>
          <w:p>
            <w:pPr>
              <w:spacing w:after="0" w:line="161" w:lineRule="exact"/>
              <w:rPr>
                <w:sz w:val="20"/>
                <w:szCs w:val="20"/>
                <w:color w:val="auto"/>
              </w:rPr>
            </w:pPr>
            <w:r>
              <w:rPr>
                <w:rFonts w:ascii="Arial" w:cs="Arial" w:eastAsia="Arial" w:hAnsi="Arial"/>
                <w:sz w:val="16"/>
                <w:szCs w:val="16"/>
                <w:color w:val="0000EE"/>
              </w:rPr>
              <w:t>Consent of Marcum LLP, independent registered accounting firm for ArcLight.</w:t>
            </w:r>
          </w:p>
        </w:tc>
      </w:tr>
      <w:tr>
        <w:trPr>
          <w:trHeight w:val="35"/>
        </w:trPr>
        <w:tc>
          <w:tcPr>
            <w:tcW w:w="11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96"/>
              </w:rPr>
              <w:t>23.4*</w:t>
            </w:r>
          </w:p>
        </w:tc>
        <w:tc>
          <w:tcPr>
            <w:tcW w:w="140" w:type="dxa"/>
            <w:vAlign w:val="bottom"/>
          </w:tcPr>
          <w:p>
            <w:pPr>
              <w:spacing w:after="0"/>
              <w:rPr>
                <w:sz w:val="13"/>
                <w:szCs w:val="13"/>
                <w:color w:val="auto"/>
              </w:rPr>
            </w:pPr>
          </w:p>
        </w:tc>
        <w:tc>
          <w:tcPr>
            <w:tcW w:w="10000" w:type="dxa"/>
            <w:vAlign w:val="bottom"/>
            <w:gridSpan w:val="25"/>
          </w:tcPr>
          <w:p>
            <w:pPr>
              <w:spacing w:after="0" w:line="153" w:lineRule="exact"/>
              <w:rPr>
                <w:sz w:val="20"/>
                <w:szCs w:val="20"/>
                <w:color w:val="auto"/>
              </w:rPr>
            </w:pPr>
            <w:r>
              <w:rPr>
                <w:rFonts w:ascii="Arial" w:cs="Arial" w:eastAsia="Arial" w:hAnsi="Arial"/>
                <w:sz w:val="16"/>
                <w:szCs w:val="16"/>
                <w:color w:val="0000EE"/>
              </w:rPr>
              <w:t>Consent of Sheppard, Mullin, Richter &amp; Hampton LLP (included as part of Exhibit 5.1).</w:t>
            </w:r>
          </w:p>
        </w:tc>
      </w:tr>
      <w:tr>
        <w:trPr>
          <w:trHeight w:val="28"/>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2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104</w:t>
            </w:r>
          </w:p>
        </w:tc>
        <w:tc>
          <w:tcPr>
            <w:tcW w:w="14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25"/>
            <w:shd w:val="clear" w:color="auto" w:fill="CCEEFF"/>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153"/>
        </w:trPr>
        <w:tc>
          <w:tcPr>
            <w:tcW w:w="1120" w:type="dxa"/>
            <w:vAlign w:val="bottom"/>
          </w:tcPr>
          <w:p>
            <w:pPr>
              <w:jc w:val="center"/>
              <w:spacing w:after="0" w:line="153" w:lineRule="exact"/>
              <w:rPr>
                <w:sz w:val="20"/>
                <w:szCs w:val="20"/>
                <w:color w:val="auto"/>
              </w:rPr>
            </w:pPr>
            <w:r>
              <w:rPr>
                <w:rFonts w:ascii="Arial" w:cs="Arial" w:eastAsia="Arial" w:hAnsi="Arial"/>
                <w:sz w:val="16"/>
                <w:szCs w:val="16"/>
                <w:color w:val="auto"/>
                <w:w w:val="97"/>
              </w:rPr>
              <w:t>107*</w:t>
            </w:r>
          </w:p>
        </w:tc>
        <w:tc>
          <w:tcPr>
            <w:tcW w:w="140" w:type="dxa"/>
            <w:vAlign w:val="bottom"/>
          </w:tcPr>
          <w:p>
            <w:pPr>
              <w:spacing w:after="0"/>
              <w:rPr>
                <w:sz w:val="13"/>
                <w:szCs w:val="13"/>
                <w:color w:val="auto"/>
              </w:rPr>
            </w:pPr>
          </w:p>
        </w:tc>
        <w:tc>
          <w:tcPr>
            <w:tcW w:w="10000" w:type="dxa"/>
            <w:vAlign w:val="bottom"/>
            <w:gridSpan w:val="25"/>
          </w:tcPr>
          <w:p>
            <w:pPr>
              <w:spacing w:after="0" w:line="153" w:lineRule="exact"/>
              <w:rPr>
                <w:sz w:val="20"/>
                <w:szCs w:val="20"/>
                <w:color w:val="auto"/>
              </w:rPr>
            </w:pPr>
            <w:r>
              <w:rPr>
                <w:rFonts w:ascii="Arial" w:cs="Arial" w:eastAsia="Arial" w:hAnsi="Arial"/>
                <w:sz w:val="16"/>
                <w:szCs w:val="16"/>
                <w:color w:val="0000EE"/>
              </w:rPr>
              <w:t>Filing Fee Table</w:t>
            </w: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ind w:left="306" w:hanging="306"/>
        <w:spacing w:after="0"/>
        <w:tabs>
          <w:tab w:leader="none" w:pos="30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93" w:lineRule="exact"/>
        <w:rPr>
          <w:sz w:val="20"/>
          <w:szCs w:val="20"/>
          <w:color w:val="auto"/>
        </w:rPr>
      </w:pPr>
    </w:p>
    <w:p>
      <w:pPr>
        <w:ind w:left="286" w:right="20" w:hanging="286"/>
        <w:spacing w:after="0" w:line="266" w:lineRule="auto"/>
        <w:tabs>
          <w:tab w:leader="none" w:pos="28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Schedules and exhibits to this Exhibit omitted pursuant to Regulation S-K Item 601(b)(2). The Company agrees to furnish supplementally a copy of any omitted schedule or exhibit to the SEC upon request.</w:t>
      </w:r>
    </w:p>
    <w:p>
      <w:pPr>
        <w:spacing w:after="0" w:line="157" w:lineRule="exact"/>
        <w:rPr>
          <w:sz w:val="20"/>
          <w:szCs w:val="20"/>
          <w:color w:val="auto"/>
        </w:rPr>
      </w:pPr>
    </w:p>
    <w:p>
      <w:pPr>
        <w:ind w:left="286" w:hanging="286"/>
        <w:spacing w:after="0"/>
        <w:tabs>
          <w:tab w:leader="none" w:pos="286" w:val="left"/>
        </w:tabs>
        <w:numPr>
          <w:ilvl w:val="0"/>
          <w:numId w:val="198"/>
        </w:numPr>
        <w:rPr>
          <w:rFonts w:ascii="Arial" w:cs="Arial" w:eastAsia="Arial" w:hAnsi="Arial"/>
          <w:sz w:val="13"/>
          <w:szCs w:val="13"/>
          <w:color w:val="auto"/>
        </w:rPr>
      </w:pPr>
      <w:r>
        <w:rPr>
          <w:rFonts w:ascii="Arial" w:cs="Arial" w:eastAsia="Arial" w:hAnsi="Arial"/>
          <w:sz w:val="13"/>
          <w:szCs w:val="13"/>
          <w:color w:val="auto"/>
        </w:rPr>
        <w:t>Pursuant to Item 601(b)(10) of Regulation S-K, certain confidential portions of this exhibit were omitted by means of marking such portions with an asterisk because the</w:t>
      </w:r>
    </w:p>
    <w:p>
      <w:pPr>
        <w:sectPr>
          <w:pgSz w:w="11900" w:h="16838" w:orient="portrait"/>
          <w:cols w:equalWidth="0" w:num="1">
            <w:col w:w="11266"/>
          </w:cols>
          <w:pgMar w:left="314" w:top="786" w:right="319" w:bottom="0" w:gutter="0" w:footer="0" w:header="0"/>
        </w:sectPr>
      </w:pPr>
    </w:p>
    <w:bookmarkStart w:id="299" w:name="page300"/>
    <w:bookmarkEnd w:id="299"/>
    <w:p>
      <w:pPr>
        <w:spacing w:after="0"/>
        <w:rPr>
          <w:sz w:val="20"/>
          <w:szCs w:val="20"/>
          <w:color w:val="auto"/>
        </w:rPr>
      </w:pPr>
      <w:r>
        <w:rPr>
          <w:rFonts w:ascii="Arial" w:cs="Arial" w:eastAsia="Arial" w:hAnsi="Arial"/>
          <w:sz w:val="16"/>
          <w:szCs w:val="16"/>
          <w:color w:val="auto"/>
        </w:rPr>
        <w:t>identified confidential portions (i) are not material and (ii) would be competitively harmful if publicly disclosed.</w:t>
      </w:r>
    </w:p>
    <w:p>
      <w:pPr>
        <w:spacing w:after="0" w:line="193" w:lineRule="exact"/>
        <w:rPr>
          <w:sz w:val="20"/>
          <w:szCs w:val="20"/>
          <w:color w:val="auto"/>
        </w:rPr>
      </w:pPr>
    </w:p>
    <w:p>
      <w:pPr>
        <w:ind w:left="100" w:firstLine="281"/>
        <w:spacing w:after="0" w:line="266" w:lineRule="auto"/>
        <w:tabs>
          <w:tab w:leader="none" w:pos="605"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filed as part of this registration statement are listed in the index to the financial statements immediately preceding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financial statements, which index to the financial statements is incorporated herein by reference.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10795</wp:posOffset>
            </wp:positionV>
            <wp:extent cx="7150100" cy="152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700"/>
          </w:cols>
          <w:pgMar w:left="600" w:top="127" w:right="599" w:bottom="1440" w:gutter="0" w:footer="0" w:header="0"/>
        </w:sectPr>
      </w:pPr>
    </w:p>
    <w:bookmarkStart w:id="300" w:name="page301"/>
    <w:bookmarkEnd w:id="300"/>
    <w:p>
      <w:pPr>
        <w:spacing w:after="0"/>
        <w:rPr>
          <w:sz w:val="20"/>
          <w:szCs w:val="20"/>
          <w:color w:val="auto"/>
        </w:rPr>
      </w:pPr>
      <w:r>
        <w:rPr>
          <w:rFonts w:ascii="Arial" w:cs="Arial" w:eastAsia="Arial" w:hAnsi="Arial"/>
          <w:sz w:val="16"/>
          <w:szCs w:val="16"/>
          <w:b w:val="1"/>
          <w:bCs w:val="1"/>
          <w:color w:val="auto"/>
        </w:rPr>
        <w:t>Item 17. Undertakings.</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The undersigned registrant hereby undertakes:</w:t>
      </w:r>
    </w:p>
    <w:p>
      <w:pPr>
        <w:spacing w:after="0" w:line="381"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10795</wp:posOffset>
            </wp:positionV>
            <wp:extent cx="7150100"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9759"/>
          </w:cols>
          <w:pgMar w:left="700" w:top="782" w:right="1440" w:bottom="1440" w:gutter="0" w:footer="0" w:header="0"/>
        </w:sectPr>
      </w:pPr>
    </w:p>
    <w:bookmarkStart w:id="301" w:name="page302"/>
    <w:bookmarkEnd w:id="301"/>
    <w:p>
      <w:pPr>
        <w:jc w:val="both"/>
        <w:ind w:left="286" w:hanging="286"/>
        <w:spacing w:after="0" w:line="267" w:lineRule="auto"/>
        <w:tabs>
          <w:tab w:leader="none" w:pos="286"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160" w:lineRule="exact"/>
        <w:rPr>
          <w:rFonts w:ascii="Arial" w:cs="Arial" w:eastAsia="Arial" w:hAnsi="Arial"/>
          <w:sz w:val="15"/>
          <w:szCs w:val="15"/>
          <w:color w:val="auto"/>
        </w:rPr>
      </w:pPr>
    </w:p>
    <w:p>
      <w:pPr>
        <w:ind w:left="286" w:right="20" w:hanging="286"/>
        <w:spacing w:after="0" w:line="300" w:lineRule="auto"/>
        <w:tabs>
          <w:tab w:leader="none" w:pos="286" w:val="left"/>
        </w:tabs>
        <w:numPr>
          <w:ilvl w:val="0"/>
          <w:numId w:val="200"/>
        </w:numPr>
        <w:rPr>
          <w:rFonts w:ascii="Arial" w:cs="Arial" w:eastAsia="Arial" w:hAnsi="Arial"/>
          <w:sz w:val="15"/>
          <w:szCs w:val="15"/>
          <w:color w:val="auto"/>
        </w:rPr>
      </w:pPr>
      <w:r>
        <w:rPr>
          <w:rFonts w:ascii="Arial" w:cs="Arial" w:eastAsia="Arial" w:hAnsi="Arial"/>
          <w:sz w:val="15"/>
          <w:szCs w:val="15"/>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134" w:lineRule="exact"/>
        <w:rPr>
          <w:rFonts w:ascii="Arial" w:cs="Arial" w:eastAsia="Arial" w:hAnsi="Arial"/>
          <w:sz w:val="15"/>
          <w:szCs w:val="15"/>
          <w:color w:val="auto"/>
        </w:rPr>
      </w:pPr>
    </w:p>
    <w:p>
      <w:pPr>
        <w:ind w:left="286" w:hanging="286"/>
        <w:spacing w:after="0"/>
        <w:tabs>
          <w:tab w:leader="none" w:pos="286"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204" w:lineRule="exact"/>
        <w:rPr>
          <w:rFonts w:ascii="Arial" w:cs="Arial" w:eastAsia="Arial" w:hAnsi="Arial"/>
          <w:sz w:val="15"/>
          <w:szCs w:val="15"/>
          <w:color w:val="auto"/>
        </w:rPr>
      </w:pPr>
    </w:p>
    <w:p>
      <w:pPr>
        <w:jc w:val="both"/>
        <w:ind w:left="286" w:right="20" w:hanging="286"/>
        <w:spacing w:after="0" w:line="251" w:lineRule="auto"/>
        <w:tabs>
          <w:tab w:leader="none" w:pos="28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w:t>
      </w:r>
    </w:p>
    <w:p>
      <w:pPr>
        <w:spacing w:after="0" w:line="168" w:lineRule="exact"/>
        <w:rPr>
          <w:rFonts w:ascii="Arial" w:cs="Arial" w:eastAsia="Arial" w:hAnsi="Arial"/>
          <w:sz w:val="16"/>
          <w:szCs w:val="16"/>
          <w:color w:val="auto"/>
        </w:rPr>
      </w:pPr>
    </w:p>
    <w:p>
      <w:pPr>
        <w:jc w:val="both"/>
        <w:ind w:left="286"/>
        <w:spacing w:after="0" w:line="281" w:lineRule="auto"/>
        <w:rPr>
          <w:rFonts w:ascii="Arial" w:cs="Arial" w:eastAsia="Arial" w:hAnsi="Arial"/>
          <w:sz w:val="16"/>
          <w:szCs w:val="16"/>
          <w:color w:val="auto"/>
        </w:rPr>
      </w:pPr>
      <w:r>
        <w:rPr>
          <w:rFonts w:ascii="Arial" w:cs="Arial" w:eastAsia="Arial" w:hAnsi="Arial"/>
          <w:sz w:val="15"/>
          <w:szCs w:val="15"/>
          <w:color w:val="auto"/>
        </w:rPr>
        <w:t>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47" w:lineRule="exact"/>
        <w:rPr>
          <w:rFonts w:ascii="Arial" w:cs="Arial" w:eastAsia="Arial" w:hAnsi="Arial"/>
          <w:sz w:val="16"/>
          <w:szCs w:val="16"/>
          <w:color w:val="auto"/>
        </w:rPr>
      </w:pPr>
    </w:p>
    <w:p>
      <w:pPr>
        <w:jc w:val="both"/>
        <w:ind w:left="286" w:hanging="286"/>
        <w:spacing w:after="0" w:line="318" w:lineRule="auto"/>
        <w:tabs>
          <w:tab w:leader="none" w:pos="286" w:val="left"/>
        </w:tabs>
        <w:numPr>
          <w:ilvl w:val="0"/>
          <w:numId w:val="200"/>
        </w:numPr>
        <w:rPr>
          <w:rFonts w:ascii="Arial" w:cs="Arial" w:eastAsia="Arial" w:hAnsi="Arial"/>
          <w:sz w:val="13"/>
          <w:szCs w:val="13"/>
          <w:color w:val="auto"/>
        </w:rPr>
      </w:pPr>
      <w:r>
        <w:rPr>
          <w:rFonts w:ascii="Arial" w:cs="Arial" w:eastAsia="Arial" w:hAnsi="Arial"/>
          <w:sz w:val="13"/>
          <w:szCs w:val="13"/>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0" w:lineRule="exact"/>
        <w:rPr>
          <w:rFonts w:ascii="Arial" w:cs="Arial" w:eastAsia="Arial" w:hAnsi="Arial"/>
          <w:sz w:val="13"/>
          <w:szCs w:val="13"/>
          <w:color w:val="auto"/>
        </w:rPr>
      </w:pPr>
    </w:p>
    <w:p>
      <w:pPr>
        <w:jc w:val="both"/>
        <w:ind w:left="286" w:hanging="286"/>
        <w:spacing w:after="0" w:line="252" w:lineRule="auto"/>
        <w:tabs>
          <w:tab w:leader="none" w:pos="28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9" w:lineRule="exact"/>
        <w:rPr>
          <w:rFonts w:ascii="Arial" w:cs="Arial" w:eastAsia="Arial" w:hAnsi="Arial"/>
          <w:sz w:val="16"/>
          <w:szCs w:val="16"/>
          <w:color w:val="auto"/>
        </w:rPr>
      </w:pPr>
    </w:p>
    <w:p>
      <w:pPr>
        <w:jc w:val="both"/>
        <w:ind w:left="286" w:right="20" w:hanging="286"/>
        <w:spacing w:after="0" w:line="251" w:lineRule="auto"/>
        <w:tabs>
          <w:tab w:leader="none" w:pos="28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has become effective, and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68" w:lineRule="exact"/>
        <w:rPr>
          <w:rFonts w:ascii="Arial" w:cs="Arial" w:eastAsia="Arial" w:hAnsi="Arial"/>
          <w:sz w:val="16"/>
          <w:szCs w:val="16"/>
          <w:color w:val="auto"/>
        </w:rPr>
      </w:pPr>
    </w:p>
    <w:p>
      <w:pPr>
        <w:jc w:val="both"/>
        <w:ind w:left="286" w:hanging="286"/>
        <w:spacing w:after="0" w:line="256" w:lineRule="auto"/>
        <w:tabs>
          <w:tab w:leader="none" w:pos="28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To respond to requests for information that is incorporated by reference into the prospectus pursuant to Items 4, 10(b), 11 or 13 of this Form, within one business day of receipt of such request, and to send the incorporated documents by first-class mail or other equally prompt means. This includes information contained in documents filed subsequent to the effective date of the registration statement through the date of responding to the request.</w:t>
      </w:r>
    </w:p>
    <w:p>
      <w:pPr>
        <w:spacing w:after="0" w:line="165" w:lineRule="exact"/>
        <w:rPr>
          <w:rFonts w:ascii="Arial" w:cs="Arial" w:eastAsia="Arial" w:hAnsi="Arial"/>
          <w:sz w:val="16"/>
          <w:szCs w:val="16"/>
          <w:color w:val="auto"/>
        </w:rPr>
      </w:pPr>
    </w:p>
    <w:p>
      <w:pPr>
        <w:ind w:left="286" w:right="20" w:hanging="286"/>
        <w:spacing w:after="0" w:line="266" w:lineRule="auto"/>
        <w:tabs>
          <w:tab w:leader="none" w:pos="28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57" w:lineRule="exact"/>
        <w:rPr>
          <w:rFonts w:ascii="Arial" w:cs="Arial" w:eastAsia="Arial" w:hAnsi="Arial"/>
          <w:sz w:val="16"/>
          <w:szCs w:val="16"/>
          <w:color w:val="auto"/>
        </w:rPr>
      </w:pPr>
    </w:p>
    <w:p>
      <w:pPr>
        <w:jc w:val="both"/>
        <w:ind w:left="286" w:hanging="286"/>
        <w:spacing w:after="0" w:line="268" w:lineRule="auto"/>
        <w:tabs>
          <w:tab w:leader="none" w:pos="286" w:val="left"/>
        </w:tabs>
        <w:numPr>
          <w:ilvl w:val="0"/>
          <w:numId w:val="200"/>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4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6"/>
          <w:szCs w:val="16"/>
          <w:b w:val="1"/>
          <w:bCs w:val="1"/>
          <w:color w:val="auto"/>
        </w:rPr>
        <w:t>SIGNATURES</w:t>
      </w:r>
    </w:p>
    <w:p>
      <w:pPr>
        <w:spacing w:after="0" w:line="197" w:lineRule="exact"/>
        <w:rPr>
          <w:sz w:val="20"/>
          <w:szCs w:val="20"/>
          <w:color w:val="auto"/>
        </w:rPr>
      </w:pPr>
    </w:p>
    <w:p>
      <w:pPr>
        <w:jc w:val="both"/>
        <w:ind w:right="20" w:firstLine="283"/>
        <w:spacing w:after="0" w:line="266" w:lineRule="auto"/>
        <w:rPr>
          <w:sz w:val="20"/>
          <w:szCs w:val="20"/>
          <w:color w:val="auto"/>
        </w:rPr>
      </w:pPr>
      <w:r>
        <w:rPr>
          <w:rFonts w:ascii="Arial" w:cs="Arial" w:eastAsia="Arial" w:hAnsi="Arial"/>
          <w:sz w:val="16"/>
          <w:szCs w:val="16"/>
          <w:color w:val="auto"/>
        </w:rPr>
        <w:t>Pursuant to the requirements of the Securities Act, the registrant has duly caused this registration statement to be signed on its behalf by the undersigned, thereunto duly authorized, in the White Plains, New York, on August 10, 2022.</w:t>
      </w:r>
    </w:p>
    <w:p>
      <w:pPr>
        <w:spacing w:after="0" w:line="15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OPAL FUELS INC.</w:t>
      </w:r>
    </w:p>
    <w:p>
      <w:pPr>
        <w:spacing w:after="0" w:line="193"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6"/>
          <w:szCs w:val="16"/>
          <w:color w:val="auto"/>
        </w:rPr>
        <w:t>By:</w:t>
        <w:tab/>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10795</wp:posOffset>
            </wp:positionV>
            <wp:extent cx="2565400" cy="152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6">
                      <a:extLst>
                        <a:ext uri="{28A0092B-C50C-407E-A947-70E740481C1C}"/>
                      </a:extLst>
                    </a:blip>
                    <a:srcRect/>
                    <a:stretch>
                      <a:fillRect/>
                    </a:stretch>
                  </pic:blipFill>
                  <pic:spPr bwMode="auto">
                    <a:xfrm>
                      <a:off x="0" y="0"/>
                      <a:ext cx="2565400" cy="15240"/>
                    </a:xfrm>
                    <a:prstGeom prst="rect">
                      <a:avLst/>
                    </a:prstGeom>
                    <a:noFill/>
                  </pic:spPr>
                </pic:pic>
              </a:graphicData>
            </a:graphic>
          </wp:anchor>
        </w:drawing>
      </w:r>
    </w:p>
    <w:p>
      <w:pPr>
        <w:spacing w:after="0" w:line="8" w:lineRule="exact"/>
        <w:rPr>
          <w:sz w:val="20"/>
          <w:szCs w:val="20"/>
          <w:color w:val="auto"/>
        </w:rPr>
      </w:pPr>
    </w:p>
    <w:p>
      <w:pPr>
        <w:ind w:left="722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Jonathan Maurer</w:t>
      </w:r>
    </w:p>
    <w:p>
      <w:pPr>
        <w:spacing w:after="0" w:line="16" w:lineRule="exact"/>
        <w:rPr>
          <w:sz w:val="20"/>
          <w:szCs w:val="20"/>
          <w:color w:val="auto"/>
        </w:rPr>
      </w:pPr>
    </w:p>
    <w:p>
      <w:pPr>
        <w:ind w:left="7220"/>
        <w:spacing w:after="0"/>
        <w:tabs>
          <w:tab w:leader="none" w:pos="7740" w:val="left"/>
        </w:tabs>
        <w:rPr>
          <w:sz w:val="20"/>
          <w:szCs w:val="20"/>
          <w:color w:val="auto"/>
        </w:rPr>
      </w:pPr>
      <w:r>
        <w:rPr>
          <w:rFonts w:ascii="Arial" w:cs="Arial" w:eastAsia="Arial" w:hAnsi="Arial"/>
          <w:sz w:val="16"/>
          <w:szCs w:val="16"/>
          <w:color w:val="auto"/>
        </w:rPr>
        <w:t>Title:</w:t>
        <w:tab/>
        <w:t>Co-Chief Executive Officer</w:t>
      </w:r>
    </w:p>
    <w:p>
      <w:pPr>
        <w:spacing w:after="0" w:line="181" w:lineRule="exact"/>
        <w:rPr>
          <w:sz w:val="20"/>
          <w:szCs w:val="20"/>
          <w:color w:val="auto"/>
        </w:rPr>
      </w:pPr>
    </w:p>
    <w:p>
      <w:pPr>
        <w:jc w:val="both"/>
        <w:ind w:firstLine="283"/>
        <w:spacing w:after="0" w:line="267" w:lineRule="auto"/>
        <w:rPr>
          <w:sz w:val="20"/>
          <w:szCs w:val="20"/>
          <w:color w:val="auto"/>
        </w:rPr>
      </w:pPr>
      <w:r>
        <w:rPr>
          <w:rFonts w:ascii="Arial" w:cs="Arial" w:eastAsia="Arial" w:hAnsi="Arial"/>
          <w:sz w:val="15"/>
          <w:szCs w:val="15"/>
          <w:color w:val="auto"/>
        </w:rPr>
        <w:t>Each person whose signature appears below constitutes and appoints Jonathan Maurer, Adam Comora, Ann Anthony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Pursuant to the requirements of the Securities Act, this registration statement has been signed by the following persons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00" w:type="dxa"/>
            <w:vAlign w:val="bottom"/>
            <w:tcBorders>
              <w:bottom w:val="single" w:sz="8" w:color="auto"/>
            </w:tcBorders>
          </w:tcPr>
          <w:p>
            <w:pPr>
              <w:ind w:left="1920"/>
              <w:spacing w:after="0"/>
              <w:rPr>
                <w:sz w:val="20"/>
                <w:szCs w:val="20"/>
                <w:color w:val="auto"/>
              </w:rPr>
            </w:pPr>
            <w:r>
              <w:rPr>
                <w:rFonts w:ascii="Arial" w:cs="Arial" w:eastAsia="Arial" w:hAnsi="Arial"/>
                <w:sz w:val="16"/>
                <w:szCs w:val="16"/>
                <w:b w:val="1"/>
                <w:bCs w:val="1"/>
                <w:color w:val="auto"/>
              </w:rPr>
              <w:t>Signature</w:t>
            </w:r>
          </w:p>
        </w:tc>
        <w:tc>
          <w:tcPr>
            <w:tcW w:w="120" w:type="dxa"/>
            <w:vAlign w:val="bottom"/>
          </w:tcPr>
          <w:p>
            <w:pPr>
              <w:spacing w:after="0"/>
              <w:rPr>
                <w:sz w:val="18"/>
                <w:szCs w:val="18"/>
                <w:color w:val="auto"/>
              </w:rPr>
            </w:pPr>
          </w:p>
        </w:tc>
        <w:tc>
          <w:tcPr>
            <w:tcW w:w="450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380"/>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Jonathan Maurer</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Co-Chief Executive Officer</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August 10, 2022</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Jonathan Maurer</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(Principal Executive Officer)</w:t>
            </w:r>
          </w:p>
        </w:tc>
        <w:tc>
          <w:tcPr>
            <w:tcW w:w="2040" w:type="dxa"/>
            <w:vAlign w:val="bottom"/>
          </w:tcPr>
          <w:p>
            <w:pPr>
              <w:spacing w:after="0"/>
              <w:rPr>
                <w:sz w:val="17"/>
                <w:szCs w:val="17"/>
                <w:color w:val="auto"/>
              </w:rPr>
            </w:pPr>
          </w:p>
        </w:tc>
      </w:tr>
      <w:tr>
        <w:trPr>
          <w:trHeight w:val="369"/>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Adam Comora</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Co-Chief Executive Officer</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August 10, 2022</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Adam Comora</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(Principal Executive Officer)</w:t>
            </w:r>
          </w:p>
        </w:tc>
        <w:tc>
          <w:tcPr>
            <w:tcW w:w="2040" w:type="dxa"/>
            <w:vAlign w:val="bottom"/>
          </w:tcPr>
          <w:p>
            <w:pPr>
              <w:spacing w:after="0"/>
              <w:rPr>
                <w:sz w:val="17"/>
                <w:szCs w:val="17"/>
                <w:color w:val="auto"/>
              </w:rPr>
            </w:pPr>
          </w:p>
        </w:tc>
      </w:tr>
      <w:tr>
        <w:trPr>
          <w:trHeight w:val="369"/>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Ann Anthony</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Chief Financial Officer</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August 10, 2022</w:t>
            </w:r>
          </w:p>
        </w:tc>
      </w:tr>
      <w:tr>
        <w:trPr>
          <w:trHeight w:val="164"/>
        </w:trPr>
        <w:tc>
          <w:tcPr>
            <w:tcW w:w="4500" w:type="dxa"/>
            <w:vAlign w:val="bottom"/>
          </w:tcPr>
          <w:p>
            <w:pPr>
              <w:spacing w:after="0" w:line="165" w:lineRule="exact"/>
              <w:rPr>
                <w:sz w:val="20"/>
                <w:szCs w:val="20"/>
                <w:color w:val="auto"/>
              </w:rPr>
            </w:pPr>
            <w:r>
              <w:rPr>
                <w:rFonts w:ascii="Arial" w:cs="Arial" w:eastAsia="Arial" w:hAnsi="Arial"/>
                <w:sz w:val="16"/>
                <w:szCs w:val="16"/>
                <w:color w:val="auto"/>
              </w:rPr>
              <w:t>Ann Anthony</w:t>
            </w:r>
          </w:p>
        </w:tc>
        <w:tc>
          <w:tcPr>
            <w:tcW w:w="4720" w:type="dxa"/>
            <w:vAlign w:val="bottom"/>
            <w:gridSpan w:val="3"/>
          </w:tcPr>
          <w:p>
            <w:pPr>
              <w:ind w:left="120"/>
              <w:spacing w:after="0" w:line="165" w:lineRule="exact"/>
              <w:rPr>
                <w:sz w:val="20"/>
                <w:szCs w:val="20"/>
                <w:color w:val="auto"/>
              </w:rPr>
            </w:pPr>
            <w:r>
              <w:rPr>
                <w:rFonts w:ascii="Arial" w:cs="Arial" w:eastAsia="Arial" w:hAnsi="Arial"/>
                <w:sz w:val="16"/>
                <w:szCs w:val="16"/>
                <w:color w:val="auto"/>
              </w:rPr>
              <w:t>(Principal Financial Officer and</w:t>
            </w:r>
          </w:p>
        </w:tc>
        <w:tc>
          <w:tcPr>
            <w:tcW w:w="2040" w:type="dxa"/>
            <w:vAlign w:val="bottom"/>
          </w:tcPr>
          <w:p>
            <w:pPr>
              <w:spacing w:after="0"/>
              <w:rPr>
                <w:sz w:val="14"/>
                <w:szCs w:val="14"/>
                <w:color w:val="auto"/>
              </w:rPr>
            </w:pPr>
          </w:p>
        </w:tc>
      </w:tr>
      <w:tr>
        <w:trPr>
          <w:trHeight w:val="200"/>
        </w:trPr>
        <w:tc>
          <w:tcPr>
            <w:tcW w:w="4500" w:type="dxa"/>
            <w:vAlign w:val="bottom"/>
          </w:tcPr>
          <w:p>
            <w:pPr>
              <w:spacing w:after="0"/>
              <w:rPr>
                <w:sz w:val="17"/>
                <w:szCs w:val="17"/>
                <w:color w:val="auto"/>
              </w:rPr>
            </w:pP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Principal Accounting Officer)</w:t>
            </w:r>
          </w:p>
        </w:tc>
        <w:tc>
          <w:tcPr>
            <w:tcW w:w="2040" w:type="dxa"/>
            <w:vAlign w:val="bottom"/>
          </w:tcPr>
          <w:p>
            <w:pPr>
              <w:spacing w:after="0"/>
              <w:rPr>
                <w:sz w:val="17"/>
                <w:szCs w:val="17"/>
                <w:color w:val="auto"/>
              </w:rPr>
            </w:pPr>
          </w:p>
        </w:tc>
      </w:tr>
      <w:tr>
        <w:trPr>
          <w:trHeight w:val="405"/>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Mark Comora</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Chairman</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August 10, 2022</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Mark Comora</w:t>
            </w:r>
          </w:p>
        </w:tc>
        <w:tc>
          <w:tcPr>
            <w:tcW w:w="1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69"/>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Nadeem Nisar</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Director</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August 10, 2022</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Nadeem Nisar</w:t>
            </w:r>
          </w:p>
        </w:tc>
        <w:tc>
          <w:tcPr>
            <w:tcW w:w="1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69"/>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Marco F. Gatti</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Director</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August 10, 2022</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Marco F. Gatti</w:t>
            </w:r>
          </w:p>
        </w:tc>
        <w:tc>
          <w:tcPr>
            <w:tcW w:w="1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69"/>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Kevin M. Fogarty</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Director</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August 10, 2022</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Kevin M. Fogarty</w:t>
            </w:r>
          </w:p>
        </w:tc>
        <w:tc>
          <w:tcPr>
            <w:tcW w:w="1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69"/>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Betsy L. Battle</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Director</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August 10, 2022</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Betsy L. Battle</w:t>
            </w:r>
          </w:p>
        </w:tc>
        <w:tc>
          <w:tcPr>
            <w:tcW w:w="1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69"/>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Scott Dols</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Director</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August 10, 2022</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Scott Dols</w:t>
            </w:r>
          </w:p>
        </w:tc>
        <w:tc>
          <w:tcPr>
            <w:tcW w:w="1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69"/>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Ashok Vemuri</w:t>
            </w: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Director</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August 10, 2022</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Ashok Vemuri</w:t>
            </w:r>
          </w:p>
        </w:tc>
        <w:tc>
          <w:tcPr>
            <w:tcW w:w="1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557"/>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ind w:left="880"/>
              <w:spacing w:after="0"/>
              <w:rPr>
                <w:sz w:val="20"/>
                <w:szCs w:val="20"/>
                <w:color w:val="auto"/>
              </w:rPr>
            </w:pPr>
            <w:r>
              <w:rPr>
                <w:rFonts w:ascii="Arial" w:cs="Arial" w:eastAsia="Arial" w:hAnsi="Arial"/>
                <w:sz w:val="16"/>
                <w:szCs w:val="16"/>
                <w:color w:val="auto"/>
              </w:rPr>
              <w:t>II-6</w:t>
            </w: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3" w:right="319" w:bottom="1440" w:gutter="0" w:footer="0" w:header="0"/>
        </w:sectPr>
      </w:pPr>
    </w:p>
    <w:bookmarkStart w:id="303" w:name="page304"/>
    <w:bookmarkEnd w:id="303"/>
    <w:p>
      <w:pPr>
        <w:ind w:left="10460"/>
        <w:spacing w:after="0"/>
        <w:rPr>
          <w:sz w:val="20"/>
          <w:szCs w:val="20"/>
          <w:color w:val="auto"/>
        </w:rPr>
      </w:pPr>
      <w:r>
        <w:rPr>
          <w:rFonts w:ascii="Arial" w:cs="Arial" w:eastAsia="Arial" w:hAnsi="Arial"/>
          <w:sz w:val="15"/>
          <w:szCs w:val="15"/>
          <w:b w:val="1"/>
          <w:bCs w:val="1"/>
          <w:color w:val="auto"/>
        </w:rPr>
        <w:t>Exhibit 3.1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OPAL FUELS INC.</w:t>
      </w:r>
    </w:p>
    <w:p>
      <w:pPr>
        <w:spacing w:after="0" w:line="181" w:lineRule="exact"/>
        <w:rPr>
          <w:sz w:val="20"/>
          <w:szCs w:val="20"/>
          <w:color w:val="auto"/>
        </w:rPr>
      </w:pPr>
    </w:p>
    <w:p>
      <w:pPr>
        <w:ind w:left="720" w:hanging="160"/>
        <w:spacing w:after="0"/>
        <w:tabs>
          <w:tab w:leader="none" w:pos="720"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Name.</w:t>
      </w:r>
      <w:r>
        <w:rPr>
          <w:rFonts w:ascii="Arial" w:cs="Arial" w:eastAsia="Arial" w:hAnsi="Arial"/>
          <w:sz w:val="16"/>
          <w:szCs w:val="16"/>
          <w:color w:val="auto"/>
        </w:rPr>
        <w:t xml:space="preserve"> The name of the Corporation is OPAL Fuels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192" w:lineRule="exact"/>
        <w:rPr>
          <w:rFonts w:ascii="Arial" w:cs="Arial" w:eastAsia="Arial" w:hAnsi="Arial"/>
          <w:sz w:val="16"/>
          <w:szCs w:val="16"/>
          <w:color w:val="auto"/>
        </w:rPr>
      </w:pPr>
    </w:p>
    <w:p>
      <w:pPr>
        <w:ind w:right="20" w:firstLine="560"/>
        <w:spacing w:after="0" w:line="266" w:lineRule="auto"/>
        <w:tabs>
          <w:tab w:leader="none" w:pos="734"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Address; Registered Office and Agent</w:t>
      </w:r>
      <w:r>
        <w:rPr>
          <w:rFonts w:ascii="Arial" w:cs="Arial" w:eastAsia="Arial" w:hAnsi="Arial"/>
          <w:sz w:val="16"/>
          <w:szCs w:val="16"/>
          <w:color w:val="auto"/>
        </w:rPr>
        <w:t>. The address of the Corporation’s registered office in the State of Delaware is Corporation Trust Center, 1209 Orange Street, Wilmington, Delaware 19801 and the name of its registered agent at such address is The Corporation Trust Company.</w:t>
      </w:r>
    </w:p>
    <w:p>
      <w:pPr>
        <w:spacing w:after="0" w:line="157" w:lineRule="exact"/>
        <w:rPr>
          <w:rFonts w:ascii="Arial" w:cs="Arial" w:eastAsia="Arial" w:hAnsi="Arial"/>
          <w:sz w:val="16"/>
          <w:szCs w:val="16"/>
          <w:color w:val="auto"/>
        </w:rPr>
      </w:pPr>
    </w:p>
    <w:p>
      <w:pPr>
        <w:ind w:left="720" w:hanging="160"/>
        <w:spacing w:after="0"/>
        <w:tabs>
          <w:tab w:leader="none" w:pos="720" w:val="left"/>
        </w:tabs>
        <w:numPr>
          <w:ilvl w:val="0"/>
          <w:numId w:val="201"/>
        </w:numPr>
        <w:rPr>
          <w:rFonts w:ascii="Arial" w:cs="Arial" w:eastAsia="Arial" w:hAnsi="Arial"/>
          <w:sz w:val="13"/>
          <w:szCs w:val="13"/>
          <w:color w:val="auto"/>
        </w:rPr>
      </w:pPr>
      <w:r>
        <w:rPr>
          <w:rFonts w:ascii="Arial" w:cs="Arial" w:eastAsia="Arial" w:hAnsi="Arial"/>
          <w:sz w:val="13"/>
          <w:szCs w:val="13"/>
          <w:u w:val="single" w:color="auto"/>
          <w:color w:val="auto"/>
        </w:rPr>
        <w:t>Purposes.</w:t>
      </w:r>
      <w:r>
        <w:rPr>
          <w:rFonts w:ascii="Arial" w:cs="Arial" w:eastAsia="Arial" w:hAnsi="Arial"/>
          <w:sz w:val="13"/>
          <w:szCs w:val="13"/>
          <w:color w:val="auto"/>
        </w:rPr>
        <w:t xml:space="preserve"> The purpose of the Corporation is to engage in any lawful act or activity for which corporations may be organized under the General Corporation Law.</w:t>
      </w:r>
    </w:p>
    <w:p>
      <w:pPr>
        <w:spacing w:after="0" w:line="227" w:lineRule="exact"/>
        <w:rPr>
          <w:rFonts w:ascii="Arial" w:cs="Arial" w:eastAsia="Arial" w:hAnsi="Arial"/>
          <w:sz w:val="13"/>
          <w:szCs w:val="13"/>
          <w:color w:val="auto"/>
        </w:rPr>
      </w:pPr>
    </w:p>
    <w:p>
      <w:pPr>
        <w:ind w:left="720" w:hanging="160"/>
        <w:spacing w:after="0"/>
        <w:tabs>
          <w:tab w:leader="none" w:pos="720"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w:t>
      </w:r>
    </w:p>
    <w:p>
      <w:pPr>
        <w:spacing w:after="0" w:line="193" w:lineRule="exact"/>
        <w:rPr>
          <w:sz w:val="20"/>
          <w:szCs w:val="20"/>
          <w:color w:val="auto"/>
        </w:rPr>
      </w:pPr>
    </w:p>
    <w:p>
      <w:pPr>
        <w:jc w:val="both"/>
        <w:ind w:firstLine="1131"/>
        <w:spacing w:after="0" w:line="269" w:lineRule="auto"/>
        <w:rPr>
          <w:sz w:val="20"/>
          <w:szCs w:val="20"/>
          <w:color w:val="auto"/>
        </w:rPr>
      </w:pPr>
      <w:r>
        <w:rPr>
          <w:rFonts w:ascii="Arial" w:cs="Arial" w:eastAsia="Arial" w:hAnsi="Arial"/>
          <w:sz w:val="15"/>
          <w:szCs w:val="15"/>
          <w:color w:val="auto"/>
        </w:rPr>
        <w:t>4.1 The total number of shares of all classes of stock that the Corporation shall have authority to issue is 1,120,000,000 shares, consisting of: (i) 820,000,000 shares of common stock, divided into (a) 340,000,000 shares of Class A common stock, with the par value of $0.0001 per share (the “Class A Common Stock”); (b) 160,000,000 shares of Class B common stock, with the par value of $0.0001 per share (the “Class B Common Stock”); (c) 160,000,000 shares of Class C common stock, with the par value of $0.0001 per share (the “Class C Common Stock”); and (d) 160,000,000 shares of Class D common stock, with the par value of $0.0001 per share (the “Class D Common Stock” and, together with the Class A Common Stock, the Class B Common Stock and the Class C Common Stock, the “Common Stock”); and (ii) 300,000,000 shares of preferred stock, with the par value of $0.0001 per share (the “Preferred Stock”).</w:t>
      </w:r>
    </w:p>
    <w:p>
      <w:pPr>
        <w:spacing w:after="0" w:line="159" w:lineRule="exact"/>
        <w:rPr>
          <w:sz w:val="20"/>
          <w:szCs w:val="20"/>
          <w:color w:val="auto"/>
        </w:rPr>
      </w:pPr>
    </w:p>
    <w:p>
      <w:pPr>
        <w:jc w:val="both"/>
        <w:ind w:firstLine="1131"/>
        <w:spacing w:after="0" w:line="269" w:lineRule="auto"/>
        <w:rPr>
          <w:sz w:val="20"/>
          <w:szCs w:val="20"/>
          <w:color w:val="auto"/>
        </w:rPr>
      </w:pPr>
      <w:r>
        <w:rPr>
          <w:rFonts w:ascii="Arial" w:cs="Arial" w:eastAsia="Arial" w:hAnsi="Arial"/>
          <w:sz w:val="15"/>
          <w:szCs w:val="15"/>
          <w:color w:val="auto"/>
        </w:rPr>
        <w:t xml:space="preserve">4.2 Subject to the rights of the holders of any one or more series of Preferred Stock then outstanding, the number of authorized shares of any series of the Common Stock or the Preferred Stock may be increased or decreased (but not below the number of shares thereof then outstanding),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class or series of the Common Stock or the Preferred Stock voting separately as a class or series will be required therefor. Notwithstanding the immediately preceding sentence, the number of authorized shares of any particular class or series may not be decreased below the number of shares of such class or series then outstanding, </w:t>
      </w:r>
      <w:r>
        <w:rPr>
          <w:rFonts w:ascii="Arial" w:cs="Arial" w:eastAsia="Arial" w:hAnsi="Arial"/>
          <w:sz w:val="15"/>
          <w:szCs w:val="15"/>
          <w:i w:val="1"/>
          <w:iCs w:val="1"/>
          <w:color w:val="auto"/>
        </w:rPr>
        <w:t>plus:</w:t>
      </w:r>
    </w:p>
    <w:p>
      <w:pPr>
        <w:spacing w:after="0" w:line="159" w:lineRule="exact"/>
        <w:rPr>
          <w:sz w:val="20"/>
          <w:szCs w:val="20"/>
          <w:color w:val="auto"/>
        </w:rPr>
      </w:pPr>
    </w:p>
    <w:p>
      <w:pPr>
        <w:jc w:val="both"/>
        <w:ind w:left="560" w:firstLine="1130"/>
        <w:spacing w:after="0" w:line="322" w:lineRule="auto"/>
        <w:tabs>
          <w:tab w:leader="none" w:pos="1902" w:val="left"/>
        </w:tabs>
        <w:numPr>
          <w:ilvl w:val="0"/>
          <w:numId w:val="202"/>
        </w:numPr>
        <w:rPr>
          <w:rFonts w:ascii="Arial" w:cs="Arial" w:eastAsia="Arial" w:hAnsi="Arial"/>
          <w:sz w:val="13"/>
          <w:szCs w:val="13"/>
          <w:color w:val="auto"/>
        </w:rPr>
      </w:pPr>
      <w:r>
        <w:rPr>
          <w:rFonts w:ascii="Arial" w:cs="Arial" w:eastAsia="Arial" w:hAnsi="Arial"/>
          <w:sz w:val="13"/>
          <w:szCs w:val="13"/>
          <w:color w:val="auto"/>
        </w:rPr>
        <w:t>in the case of Class A Common Stock, the number of shares of Class A Common Stock issuable in connection with (A) the exchange of all outstanding shares of Class B Common Stock, together with the corresponding Class B LLC Units, pursuant to the Operating Agreement, (B) the conversion of all outstanding shares of Class C Common Stock (including the amount of shares of Class C Common Stock issuable in connection with the exchange of all outstanding shares of Class D Common Stock, together with the corresponding Class B LLC Units, pursuant to the Operating Agreement) pursuant to this Certificate of Incorporation and (C) the exercise of outstanding options, warrants, exchange rights, conversion rights or similar rights for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7150100"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04" w:name="page305"/>
    <w:bookmarkEnd w:id="304"/>
    <w:p>
      <w:pPr>
        <w:jc w:val="both"/>
        <w:ind w:left="560" w:firstLine="1130"/>
        <w:spacing w:after="0" w:line="256" w:lineRule="auto"/>
        <w:tabs>
          <w:tab w:leader="none" w:pos="193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the case of Class B Common Stock, the number of shares of Class B Common Stock issuable in connection with (A) the conversion of all outstanding shares of Class D Common Stock pursuant to this Certificate of Incorporation and (B) the exercise of outstanding options, warrants, exchange rights, conversion rights or similar rights for shares of Class B Common Stock;</w:t>
      </w:r>
    </w:p>
    <w:p>
      <w:pPr>
        <w:spacing w:after="0" w:line="165" w:lineRule="exact"/>
        <w:rPr>
          <w:rFonts w:ascii="Arial" w:cs="Arial" w:eastAsia="Arial" w:hAnsi="Arial"/>
          <w:sz w:val="16"/>
          <w:szCs w:val="16"/>
          <w:color w:val="auto"/>
        </w:rPr>
      </w:pPr>
    </w:p>
    <w:p>
      <w:pPr>
        <w:jc w:val="both"/>
        <w:ind w:left="560" w:right="20" w:firstLine="1130"/>
        <w:spacing w:after="0" w:line="281" w:lineRule="auto"/>
        <w:tabs>
          <w:tab w:leader="none" w:pos="1977" w:val="left"/>
        </w:tabs>
        <w:numPr>
          <w:ilvl w:val="0"/>
          <w:numId w:val="203"/>
        </w:numPr>
        <w:rPr>
          <w:rFonts w:ascii="Arial" w:cs="Arial" w:eastAsia="Arial" w:hAnsi="Arial"/>
          <w:sz w:val="15"/>
          <w:szCs w:val="15"/>
          <w:color w:val="auto"/>
        </w:rPr>
      </w:pPr>
      <w:r>
        <w:rPr>
          <w:rFonts w:ascii="Arial" w:cs="Arial" w:eastAsia="Arial" w:hAnsi="Arial"/>
          <w:sz w:val="15"/>
          <w:szCs w:val="15"/>
          <w:color w:val="auto"/>
        </w:rPr>
        <w:t>in the case of Class C Common Stock, the number of shares of Class C Common Stock issuable in connection with (A) the exchange of all outstanding shares of Class D Common Stock, together with the corresponding Class B LLC Units, pursuant to the Operating Agreement and (B) the exercise of outstanding options, warrants, exchange rights, conversion rights or similar rights for shares of Class C Common Stock; and</w:t>
      </w:r>
    </w:p>
    <w:p>
      <w:pPr>
        <w:spacing w:after="0" w:line="147" w:lineRule="exact"/>
        <w:rPr>
          <w:rFonts w:ascii="Arial" w:cs="Arial" w:eastAsia="Arial" w:hAnsi="Arial"/>
          <w:sz w:val="15"/>
          <w:szCs w:val="15"/>
          <w:color w:val="auto"/>
        </w:rPr>
      </w:pPr>
    </w:p>
    <w:p>
      <w:pPr>
        <w:ind w:left="560" w:right="20" w:firstLine="1130"/>
        <w:spacing w:after="0" w:line="266" w:lineRule="auto"/>
        <w:tabs>
          <w:tab w:leader="none" w:pos="205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the case of Class D Common Stock, the number of shares of Class D Common Stock issuable in connection with the exercise of outstanding options, warrants, exchange rights, conversion rights or similar rights for shares of Class D Common Stock.</w:t>
      </w:r>
    </w:p>
    <w:p>
      <w:pPr>
        <w:spacing w:after="0" w:line="157" w:lineRule="exact"/>
        <w:rPr>
          <w:sz w:val="20"/>
          <w:szCs w:val="20"/>
          <w:color w:val="auto"/>
        </w:rPr>
      </w:pPr>
    </w:p>
    <w:p>
      <w:pPr>
        <w:ind w:right="20" w:firstLine="560"/>
        <w:spacing w:after="0" w:line="266" w:lineRule="auto"/>
        <w:tabs>
          <w:tab w:leader="none" w:pos="734"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Classes of Shares.</w:t>
      </w:r>
      <w:r>
        <w:rPr>
          <w:rFonts w:ascii="Arial" w:cs="Arial" w:eastAsia="Arial" w:hAnsi="Arial"/>
          <w:sz w:val="16"/>
          <w:szCs w:val="16"/>
          <w:color w:val="auto"/>
        </w:rPr>
        <w:t xml:space="preserve"> The designations and the powers, privileges, preferences and rights, and the qualifications, limitations and restrictions thereof, in respect of each class of capital stock of the Corporation are as follows:</w:t>
      </w:r>
    </w:p>
    <w:p>
      <w:pPr>
        <w:spacing w:after="0" w:line="15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Common Stock.</w:t>
      </w:r>
    </w:p>
    <w:p>
      <w:pPr>
        <w:spacing w:after="0" w:line="193" w:lineRule="exact"/>
        <w:rPr>
          <w:sz w:val="20"/>
          <w:szCs w:val="20"/>
          <w:color w:val="auto"/>
        </w:rPr>
      </w:pPr>
    </w:p>
    <w:p>
      <w:pPr>
        <w:ind w:left="1880" w:hanging="190"/>
        <w:spacing w:after="0"/>
        <w:tabs>
          <w:tab w:leader="none" w:pos="1880"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w:t>
      </w:r>
    </w:p>
    <w:p>
      <w:pPr>
        <w:spacing w:after="0" w:line="192" w:lineRule="exact"/>
        <w:rPr>
          <w:rFonts w:ascii="Arial" w:cs="Arial" w:eastAsia="Arial" w:hAnsi="Arial"/>
          <w:sz w:val="16"/>
          <w:szCs w:val="16"/>
          <w:color w:val="auto"/>
        </w:rPr>
      </w:pPr>
    </w:p>
    <w:p>
      <w:pPr>
        <w:jc w:val="both"/>
        <w:ind w:left="560" w:firstLine="1696"/>
        <w:spacing w:after="0" w:line="266" w:lineRule="auto"/>
        <w:tabs>
          <w:tab w:leader="none" w:pos="2592" w:val="left"/>
        </w:tabs>
        <w:numPr>
          <w:ilvl w:val="1"/>
          <w:numId w:val="205"/>
        </w:numPr>
        <w:rPr>
          <w:rFonts w:ascii="Arial" w:cs="Arial" w:eastAsia="Arial" w:hAnsi="Arial"/>
          <w:sz w:val="15"/>
          <w:szCs w:val="15"/>
          <w:color w:val="auto"/>
        </w:rPr>
      </w:pPr>
      <w:r>
        <w:rPr>
          <w:rFonts w:ascii="Arial" w:cs="Arial" w:eastAsia="Arial" w:hAnsi="Arial"/>
          <w:sz w:val="15"/>
          <w:szCs w:val="15"/>
          <w:color w:val="auto"/>
        </w:rPr>
        <w:t xml:space="preserve">Each holder of Class A Common Stock will be entitled to one vote for each share of Class A Common Stock held of record by such holder on all matters on which stockholders generally are entitled to vote, each holder of Class B Common Stock will be entitled to one vote for each share of Class B Common Stock held of record by such holder on all matters on which stockholders generally are entitled to vote, each holder of Class C Common Stock will be entitled to five votes for each share of Class C Common Stock held of record by such holder on all matters on which stockholders generally are entitled to vote, and each holder of Class D Common Stock will be entitled to five votes for each share of Class D Common Stock held of record by such holder on all matters on which stockholders generally are entitled to vote, except that, in each case, to the fullest extent permitted by law and subject to </w:t>
      </w:r>
      <w:r>
        <w:rPr>
          <w:rFonts w:ascii="Arial" w:cs="Arial" w:eastAsia="Arial" w:hAnsi="Arial"/>
          <w:sz w:val="15"/>
          <w:szCs w:val="15"/>
          <w:u w:val="single" w:color="auto"/>
          <w:color w:val="auto"/>
        </w:rPr>
        <w:t>Section 5.1(i)(2),</w:t>
      </w:r>
      <w:r>
        <w:rPr>
          <w:rFonts w:ascii="Arial" w:cs="Arial" w:eastAsia="Arial" w:hAnsi="Arial"/>
          <w:sz w:val="15"/>
          <w:szCs w:val="15"/>
          <w:color w:val="auto"/>
        </w:rPr>
        <w:t xml:space="preserve"> holders of shares of each series of the Common Stock, as such, will have no voting power with respect to, and will not be entitled to vote on, any amendment to this Certificate of Incorporation (including any Certificate of Designations relating to any series of Preferred Stock) that relates solely to the rights, powers, preferences (or the qualifications, limitations or restrictions thereof) or other terms of one or more outstanding series of Preferred Stock if the holders of such affected series of Preferred Stock are entitled, either separately or together with the holders of one or more other such series, to vote thereon under this Certificate of Incorporation (including any Certificate of Designations relating to any series of Preferred Stock) or under the General Corporation Law.</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305" w:name="page306"/>
    <w:bookmarkEnd w:id="305"/>
    <w:p>
      <w:pPr>
        <w:jc w:val="both"/>
        <w:ind w:firstLine="1696"/>
        <w:spacing w:after="0" w:line="305" w:lineRule="auto"/>
        <w:tabs>
          <w:tab w:leader="none" w:pos="2044" w:val="left"/>
        </w:tabs>
        <w:numPr>
          <w:ilvl w:val="2"/>
          <w:numId w:val="206"/>
        </w:numPr>
        <w:rPr>
          <w:rFonts w:ascii="Arial" w:cs="Arial" w:eastAsia="Arial" w:hAnsi="Arial"/>
          <w:sz w:val="13"/>
          <w:szCs w:val="13"/>
          <w:color w:val="auto"/>
        </w:rPr>
      </w:pPr>
      <w:r>
        <w:rPr>
          <w:rFonts w:ascii="Arial" w:cs="Arial" w:eastAsia="Arial" w:hAnsi="Arial"/>
          <w:sz w:val="13"/>
          <w:szCs w:val="13"/>
          <w:color w:val="auto"/>
        </w:rPr>
        <w:t>(a) The holders of the outstanding shares of Class A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 (b) the holders of the outstanding shares of Class B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2" w:lineRule="exact"/>
        <w:rPr>
          <w:rFonts w:ascii="Arial" w:cs="Arial" w:eastAsia="Arial" w:hAnsi="Arial"/>
          <w:sz w:val="13"/>
          <w:szCs w:val="13"/>
          <w:color w:val="auto"/>
        </w:rPr>
      </w:pPr>
    </w:p>
    <w:p>
      <w:pPr>
        <w:jc w:val="both"/>
        <w:spacing w:after="0" w:line="265" w:lineRule="auto"/>
        <w:tabs>
          <w:tab w:leader="none" w:pos="214"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holders of the outstanding shares of Class C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 and (d) the holders of the outstanding shares of Class D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 it being understood that any merger, consolidation or other business combination shall not be deemed an amendment hereof if such merger, consolidation or other business combination constitutes a “Termination Transaction” permitted by Section 3.07 of the Operating Agreement.</w:t>
      </w:r>
    </w:p>
    <w:p>
      <w:pPr>
        <w:spacing w:after="0" w:line="160" w:lineRule="exact"/>
        <w:rPr>
          <w:rFonts w:ascii="Arial" w:cs="Arial" w:eastAsia="Arial" w:hAnsi="Arial"/>
          <w:sz w:val="15"/>
          <w:szCs w:val="15"/>
          <w:color w:val="auto"/>
        </w:rPr>
      </w:pPr>
    </w:p>
    <w:p>
      <w:pPr>
        <w:jc w:val="both"/>
        <w:ind w:firstLine="1696"/>
        <w:spacing w:after="0" w:line="256" w:lineRule="auto"/>
        <w:tabs>
          <w:tab w:leader="none" w:pos="1918" w:val="left"/>
        </w:tabs>
        <w:numPr>
          <w:ilvl w:val="2"/>
          <w:numId w:val="207"/>
        </w:numPr>
        <w:rPr>
          <w:rFonts w:ascii="Arial" w:cs="Arial" w:eastAsia="Arial" w:hAnsi="Arial"/>
          <w:sz w:val="16"/>
          <w:szCs w:val="16"/>
          <w:color w:val="auto"/>
        </w:rPr>
      </w:pPr>
      <w:r>
        <w:rPr>
          <w:rFonts w:ascii="Arial" w:cs="Arial" w:eastAsia="Arial" w:hAnsi="Arial"/>
          <w:sz w:val="16"/>
          <w:szCs w:val="16"/>
          <w:color w:val="auto"/>
        </w:rPr>
        <w:t>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165" w:lineRule="exact"/>
        <w:rPr>
          <w:rFonts w:ascii="Arial" w:cs="Arial" w:eastAsia="Arial" w:hAnsi="Arial"/>
          <w:sz w:val="16"/>
          <w:szCs w:val="16"/>
          <w:color w:val="auto"/>
        </w:rPr>
      </w:pPr>
    </w:p>
    <w:p>
      <w:pPr>
        <w:ind w:left="1360" w:hanging="230"/>
        <w:spacing w:after="0"/>
        <w:tabs>
          <w:tab w:leader="none" w:pos="1360"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Dividends; Stock Splits or Combinations</w:t>
      </w:r>
      <w:r>
        <w:rPr>
          <w:rFonts w:ascii="Arial" w:cs="Arial" w:eastAsia="Arial" w:hAnsi="Arial"/>
          <w:sz w:val="16"/>
          <w:szCs w:val="16"/>
          <w:color w:val="auto"/>
        </w:rPr>
        <w:t>.</w:t>
      </w:r>
    </w:p>
    <w:p>
      <w:pPr>
        <w:spacing w:after="0" w:line="192" w:lineRule="exact"/>
        <w:rPr>
          <w:rFonts w:ascii="Arial" w:cs="Arial" w:eastAsia="Arial" w:hAnsi="Arial"/>
          <w:sz w:val="16"/>
          <w:szCs w:val="16"/>
          <w:color w:val="auto"/>
        </w:rPr>
      </w:pPr>
    </w:p>
    <w:p>
      <w:pPr>
        <w:jc w:val="both"/>
        <w:ind w:firstLine="1696"/>
        <w:spacing w:after="0" w:line="251" w:lineRule="auto"/>
        <w:tabs>
          <w:tab w:leader="none" w:pos="2009" w:val="left"/>
        </w:tabs>
        <w:numPr>
          <w:ilvl w:val="2"/>
          <w:numId w:val="208"/>
        </w:numPr>
        <w:rPr>
          <w:rFonts w:ascii="Arial" w:cs="Arial" w:eastAsia="Arial" w:hAnsi="Arial"/>
          <w:sz w:val="16"/>
          <w:szCs w:val="16"/>
          <w:color w:val="auto"/>
        </w:rPr>
      </w:pPr>
      <w:r>
        <w:rPr>
          <w:rFonts w:ascii="Arial" w:cs="Arial" w:eastAsia="Arial" w:hAnsi="Arial"/>
          <w:sz w:val="16"/>
          <w:szCs w:val="16"/>
          <w:color w:val="auto"/>
        </w:rPr>
        <w:t xml:space="preserve">Subject to applicable law and the rights, if any, of the holders of any outstanding series of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the Corporation that are by law available therefor, at the times and in the amounts as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in its discretion may determine.</w:t>
      </w:r>
    </w:p>
    <w:p>
      <w:pPr>
        <w:spacing w:after="0" w:line="35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10795</wp:posOffset>
            </wp:positionV>
            <wp:extent cx="7150100" cy="152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700"/>
          </w:cols>
          <w:pgMar w:left="880" w:top="810" w:right="319" w:bottom="1440" w:gutter="0" w:footer="0" w:header="0"/>
        </w:sectPr>
      </w:pPr>
    </w:p>
    <w:bookmarkStart w:id="306" w:name="page307"/>
    <w:bookmarkEnd w:id="306"/>
    <w:p>
      <w:pPr>
        <w:ind w:left="-560" w:right="20" w:firstLine="1696"/>
        <w:spacing w:after="0" w:line="266" w:lineRule="auto"/>
        <w:tabs>
          <w:tab w:leader="none" w:pos="137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5.1 (h)(3)</w:t>
      </w:r>
      <w:r>
        <w:rPr>
          <w:rFonts w:ascii="Arial" w:cs="Arial" w:eastAsia="Arial" w:hAnsi="Arial"/>
          <w:sz w:val="16"/>
          <w:szCs w:val="16"/>
          <w:color w:val="auto"/>
        </w:rPr>
        <w:t xml:space="preserve"> with respect to stock dividends, dividends of cash or property may not be declared or paid on shares of Class B Common Stock or on shares of Class D Common Stock.</w:t>
      </w:r>
    </w:p>
    <w:p>
      <w:pPr>
        <w:spacing w:after="0" w:line="157" w:lineRule="exact"/>
        <w:rPr>
          <w:rFonts w:ascii="Arial" w:cs="Arial" w:eastAsia="Arial" w:hAnsi="Arial"/>
          <w:sz w:val="16"/>
          <w:szCs w:val="16"/>
          <w:color w:val="auto"/>
        </w:rPr>
      </w:pPr>
    </w:p>
    <w:p>
      <w:pPr>
        <w:jc w:val="both"/>
        <w:ind w:left="-560" w:right="20" w:firstLine="1696"/>
        <w:spacing w:after="0" w:line="329" w:lineRule="auto"/>
        <w:tabs>
          <w:tab w:leader="none" w:pos="1358" w:val="left"/>
        </w:tabs>
        <w:numPr>
          <w:ilvl w:val="1"/>
          <w:numId w:val="209"/>
        </w:numPr>
        <w:rPr>
          <w:rFonts w:ascii="Arial" w:cs="Arial" w:eastAsia="Arial" w:hAnsi="Arial"/>
          <w:sz w:val="13"/>
          <w:szCs w:val="13"/>
          <w:color w:val="auto"/>
        </w:rPr>
      </w:pPr>
      <w:r>
        <w:rPr>
          <w:rFonts w:ascii="Arial" w:cs="Arial" w:eastAsia="Arial" w:hAnsi="Arial"/>
          <w:sz w:val="13"/>
          <w:szCs w:val="13"/>
          <w:color w:val="auto"/>
        </w:rPr>
        <w:t xml:space="preserve">In no event will any stock dividend, stock split, reverse stock split, combination of stock, reclassification or recapitalization be declared or made on any series of Common Stock (each, a </w:t>
      </w:r>
      <w:r>
        <w:rPr>
          <w:rFonts w:ascii="Arial" w:cs="Arial" w:eastAsia="Arial" w:hAnsi="Arial"/>
          <w:sz w:val="13"/>
          <w:szCs w:val="13"/>
          <w:u w:val="single" w:color="auto"/>
          <w:color w:val="auto"/>
        </w:rPr>
        <w:t>“Stock Adjustment”)</w:t>
      </w:r>
      <w:r>
        <w:rPr>
          <w:rFonts w:ascii="Arial" w:cs="Arial" w:eastAsia="Arial" w:hAnsi="Arial"/>
          <w:sz w:val="13"/>
          <w:szCs w:val="13"/>
          <w:color w:val="auto"/>
        </w:rPr>
        <w:t xml:space="preserve"> unless (a) a corresponding Stock Adjustment for all other series of Common Stock not so adjusted at the time outstanding is made in the same proportion and the same manner and (b) the Stock Adjustment has been reflected in the same economically equivalent manner on all Class A LLC Units. Stock dividends with respect to each series of Common Stock may only be paid with shares of stock of the same series of Common Stock.</w:t>
      </w:r>
    </w:p>
    <w:p>
      <w:pPr>
        <w:spacing w:after="0" w:line="122" w:lineRule="exact"/>
        <w:rPr>
          <w:rFonts w:ascii="Arial" w:cs="Arial" w:eastAsia="Arial" w:hAnsi="Arial"/>
          <w:sz w:val="13"/>
          <w:szCs w:val="13"/>
          <w:color w:val="auto"/>
        </w:rPr>
      </w:pPr>
    </w:p>
    <w:p>
      <w:pPr>
        <w:jc w:val="both"/>
        <w:ind w:left="-560" w:firstLine="1130"/>
        <w:spacing w:after="0" w:line="265" w:lineRule="auto"/>
        <w:tabs>
          <w:tab w:leader="none" w:pos="845" w:val="left"/>
        </w:tabs>
        <w:numPr>
          <w:ilvl w:val="0"/>
          <w:numId w:val="210"/>
        </w:numPr>
        <w:rPr>
          <w:rFonts w:ascii="Arial" w:cs="Arial" w:eastAsia="Arial" w:hAnsi="Arial"/>
          <w:sz w:val="15"/>
          <w:szCs w:val="15"/>
          <w:color w:val="auto"/>
        </w:rPr>
      </w:pPr>
      <w:r>
        <w:rPr>
          <w:rFonts w:ascii="Arial" w:cs="Arial" w:eastAsia="Arial" w:hAnsi="Arial"/>
          <w:sz w:val="15"/>
          <w:szCs w:val="15"/>
          <w:u w:val="single" w:color="auto"/>
          <w:color w:val="auto"/>
        </w:rPr>
        <w:t>Liquidation.</w:t>
      </w:r>
      <w:r>
        <w:rPr>
          <w:rFonts w:ascii="Arial" w:cs="Arial" w:eastAsia="Arial" w:hAnsi="Arial"/>
          <w:sz w:val="15"/>
          <w:szCs w:val="15"/>
          <w:color w:val="auto"/>
        </w:rPr>
        <w:t xml:space="preserve">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and Class C Common Stock will be entitled to receive, </w:t>
      </w:r>
      <w:r>
        <w:rPr>
          <w:rFonts w:ascii="Arial" w:cs="Arial" w:eastAsia="Arial" w:hAnsi="Arial"/>
          <w:sz w:val="15"/>
          <w:szCs w:val="15"/>
          <w:i w:val="1"/>
          <w:iCs w:val="1"/>
          <w:color w:val="auto"/>
        </w:rPr>
        <w:t>paripassu,</w:t>
      </w:r>
      <w:r>
        <w:rPr>
          <w:rFonts w:ascii="Arial" w:cs="Arial" w:eastAsia="Arial" w:hAnsi="Arial"/>
          <w:sz w:val="15"/>
          <w:szCs w:val="15"/>
          <w:color w:val="auto"/>
        </w:rPr>
        <w:t xml:space="preserve"> an amount per share equal to the par value thereof, and thereafter the holders of all outstanding shares of Class A Common Stock and Class C Common Stock will be entitled to receive the remaining assets of the Corporation available for distribution ratably in proportion to the number of shares of Class A Common Stock and Class C Common Stock, which shall be treated a single class solely for the purposes of this </w:t>
      </w:r>
      <w:r>
        <w:rPr>
          <w:rFonts w:ascii="Arial" w:cs="Arial" w:eastAsia="Arial" w:hAnsi="Arial"/>
          <w:sz w:val="15"/>
          <w:szCs w:val="15"/>
          <w:u w:val="single" w:color="auto"/>
          <w:color w:val="auto"/>
        </w:rPr>
        <w:t>Section 5.1 (iii).</w:t>
      </w:r>
      <w:r>
        <w:rPr>
          <w:rFonts w:ascii="Arial" w:cs="Arial" w:eastAsia="Arial" w:hAnsi="Arial"/>
          <w:sz w:val="15"/>
          <w:szCs w:val="15"/>
          <w:color w:val="auto"/>
        </w:rPr>
        <w:t xml:space="preserve"> Without limiting the rights of (1) the holders of Class B Common Stock to exchange their shares of Class B Common Stock, together with the corresponding Class B LLC Units constituting the remainder of any Paired Interests in which such shares are included, for shares of Class A Common Stock in accordance with the Operating Agreement (or for the consideration payable in respect of shares of Class A Common Stock in such voluntary or involuntary liquidation, dissolution or winding-up) and (2) the holders of Class D Common Stock to exchange their shares of Class D Common Stock, together with the corresponding Class B LLC Units constituting the remainder of any Paired Interests in which such shares are included, for shares of Class C Common Stock in accordance with the Operating Agreement (or for the consideration payable in respect of shares of Class C Common Stock in such voluntary or involuntary liquidation, dissolution or winding-up), the holders of shares of Class B Common Stock and Class D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193" w:lineRule="exact"/>
        <w:rPr>
          <w:sz w:val="20"/>
          <w:szCs w:val="20"/>
          <w:color w:val="auto"/>
        </w:rPr>
      </w:pPr>
    </w:p>
    <w:p>
      <w:pPr>
        <w:jc w:val="both"/>
        <w:ind w:left="-560" w:firstLine="1130"/>
        <w:spacing w:after="0" w:line="269" w:lineRule="auto"/>
        <w:tabs>
          <w:tab w:leader="none" w:pos="758" w:val="left"/>
        </w:tabs>
        <w:numPr>
          <w:ilvl w:val="0"/>
          <w:numId w:val="211"/>
        </w:numPr>
        <w:rPr>
          <w:rFonts w:ascii="Arial" w:cs="Arial" w:eastAsia="Arial" w:hAnsi="Arial"/>
          <w:sz w:val="15"/>
          <w:szCs w:val="15"/>
          <w:color w:val="auto"/>
        </w:rPr>
      </w:pPr>
      <w:r>
        <w:rPr>
          <w:rFonts w:ascii="Arial" w:cs="Arial" w:eastAsia="Arial" w:hAnsi="Arial"/>
          <w:sz w:val="15"/>
          <w:szCs w:val="15"/>
          <w:color w:val="auto"/>
        </w:rPr>
        <w:t xml:space="preserve">The Board is expressly authorized, subject to any limitations prescribed by the laws of the State of Delaware, by resolution or resolutions adopted from time to time, to provide for the issuance of shares of Preferred Stock in one or more series, and, by filing a certificate of designation pursuant to the applicable laws of the State of Delaware (a </w:t>
      </w:r>
      <w:r>
        <w:rPr>
          <w:rFonts w:ascii="Arial" w:cs="Arial" w:eastAsia="Arial" w:hAnsi="Arial"/>
          <w:sz w:val="15"/>
          <w:szCs w:val="15"/>
          <w:u w:val="single" w:color="auto"/>
          <w:color w:val="auto"/>
        </w:rPr>
        <w:t>“Certificate of Designation”),</w:t>
      </w:r>
      <w:r>
        <w:rPr>
          <w:rFonts w:ascii="Arial" w:cs="Arial" w:eastAsia="Arial" w:hAnsi="Arial"/>
          <w:sz w:val="15"/>
          <w:szCs w:val="15"/>
          <w:color w:val="auto"/>
        </w:rPr>
        <w:t xml:space="preserve"> to establish from time to time the number of shares of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Preferred Stock) or decrease (but not below the number of shares of such series then outstanding) the number of shares of Preferred Stock of any such series.</w:t>
      </w:r>
    </w:p>
    <w:p>
      <w:pPr>
        <w:spacing w:after="0" w:line="348"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10795</wp:posOffset>
            </wp:positionV>
            <wp:extent cx="7150100" cy="152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140"/>
          </w:cols>
          <w:pgMar w:left="1440" w:top="810" w:right="319" w:bottom="1440" w:gutter="0" w:footer="0" w:header="0"/>
        </w:sectPr>
      </w:pPr>
    </w:p>
    <w:bookmarkStart w:id="307" w:name="page308"/>
    <w:bookmarkEnd w:id="307"/>
    <w:p>
      <w:pPr>
        <w:jc w:val="both"/>
        <w:ind w:left="560" w:firstLine="1130"/>
        <w:spacing w:after="0" w:line="251" w:lineRule="auto"/>
        <w:tabs>
          <w:tab w:leader="none" w:pos="1922" w:val="left"/>
        </w:tabs>
        <w:numPr>
          <w:ilvl w:val="1"/>
          <w:numId w:val="212"/>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in any Certificate of Designation designating any series of Preferred Stock, (i) any new series of Preferred Stock may be designated, fixed and determined as provided herein by the Board without approval of the holders of Common Stock or the holders of Preferred Stock, or any series thereof, and (ii) any such new series may have powers, preferences and rights, including, without limitation, voting rights, dividend rights, liquidation rights, redemption rights and conversion rights, senior to, junior to </w:t>
      </w:r>
      <w:r>
        <w:rPr>
          <w:rFonts w:ascii="Arial" w:cs="Arial" w:eastAsia="Arial" w:hAnsi="Arial"/>
          <w:sz w:val="16"/>
          <w:szCs w:val="16"/>
          <w:i w:val="1"/>
          <w:iCs w:val="1"/>
          <w:color w:val="auto"/>
        </w:rPr>
        <w:t>or pari passu</w:t>
      </w:r>
      <w:r>
        <w:rPr>
          <w:rFonts w:ascii="Arial" w:cs="Arial" w:eastAsia="Arial" w:hAnsi="Arial"/>
          <w:sz w:val="16"/>
          <w:szCs w:val="16"/>
          <w:color w:val="auto"/>
        </w:rPr>
        <w:t xml:space="preserve"> with the rights of the Common Stock, the Preferred Stock or any future class or series of Preferred Stock or Common Stock.</w:t>
      </w:r>
    </w:p>
    <w:p>
      <w:pPr>
        <w:spacing w:after="0" w:line="168" w:lineRule="exact"/>
        <w:rPr>
          <w:rFonts w:ascii="Arial" w:cs="Arial" w:eastAsia="Arial" w:hAnsi="Arial"/>
          <w:sz w:val="16"/>
          <w:szCs w:val="16"/>
          <w:color w:val="auto"/>
        </w:rPr>
      </w:pPr>
    </w:p>
    <w:p>
      <w:pPr>
        <w:ind w:left="720" w:hanging="160"/>
        <w:spacing w:after="0"/>
        <w:tabs>
          <w:tab w:leader="none" w:pos="720"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Class B Common Stock, Class C Common Stock and Class D Common Stock</w:t>
      </w:r>
      <w:r>
        <w:rPr>
          <w:rFonts w:ascii="Arial" w:cs="Arial" w:eastAsia="Arial" w:hAnsi="Arial"/>
          <w:sz w:val="16"/>
          <w:szCs w:val="16"/>
          <w:color w:val="auto"/>
        </w:rPr>
        <w:t>.</w:t>
      </w:r>
    </w:p>
    <w:p>
      <w:pPr>
        <w:spacing w:after="0" w:line="193" w:lineRule="exact"/>
        <w:rPr>
          <w:sz w:val="20"/>
          <w:szCs w:val="20"/>
          <w:color w:val="auto"/>
        </w:rPr>
      </w:pPr>
    </w:p>
    <w:p>
      <w:pPr>
        <w:jc w:val="both"/>
        <w:ind w:firstLine="1131"/>
        <w:spacing w:after="0" w:line="322"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Cancellation of Class B Common Stock and Class D Common Stock.</w:t>
      </w:r>
      <w:r>
        <w:rPr>
          <w:rFonts w:ascii="Arial" w:cs="Arial" w:eastAsia="Arial" w:hAnsi="Arial"/>
          <w:sz w:val="13"/>
          <w:szCs w:val="13"/>
          <w:color w:val="auto"/>
        </w:rPr>
        <w:t xml:space="preserve"> No holder of Class B Common Stock or Class D Common Stock may transfer shares of Class B Common Stock or Class D Common Stock, respectively, to any person unless such holder transfers a corresponding number of Class B LLC Units to the same person in accordance with the provisions of the Operating Agreement. If any outstanding share of Class B Common Stock or Class D Common Stock ceases to be held by a holder of the corresponding Class B LLC Unit, such share of Class B Common Stock or Class D Common Stock, respectively, shall automatically and without further action on the part of the Corporation or any holder of Class B Common Stock or Class D Common Stock, respectively, be transferred to the Corporation for no consideration and cancelled.</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Reservation of Shares of Class A Common Stock. Class B Common Stock and Class C Common Stock</w:t>
      </w:r>
      <w:r>
        <w:rPr>
          <w:rFonts w:ascii="Arial" w:cs="Arial" w:eastAsia="Arial" w:hAnsi="Arial"/>
          <w:sz w:val="16"/>
          <w:szCs w:val="16"/>
          <w:color w:val="auto"/>
        </w:rPr>
        <w:t>.</w:t>
      </w:r>
    </w:p>
    <w:p>
      <w:pPr>
        <w:spacing w:after="0" w:line="193" w:lineRule="exact"/>
        <w:rPr>
          <w:sz w:val="20"/>
          <w:szCs w:val="20"/>
          <w:color w:val="auto"/>
        </w:rPr>
      </w:pPr>
    </w:p>
    <w:p>
      <w:pPr>
        <w:jc w:val="both"/>
        <w:ind w:left="560" w:firstLine="1130"/>
        <w:spacing w:after="0" w:line="267" w:lineRule="auto"/>
        <w:tabs>
          <w:tab w:leader="none" w:pos="1878"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Corporation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LLC Units pursuant to the Operating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LLC Units pursuant to the Operating Agreement) into shares of Class A Common Stock pursuant to this Certificate of Incorporation, the number of shares of Class A Common Stock that are issuable upon such conversion. The Corporation covenants that all the shares of Class A Common Stock that are issued upon the exchange of such Paired Interests or conversion of such shares of Class C Common Stock will, upon issuance, be validly issued, fully paid and non-assessable.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308" w:name="page309"/>
    <w:bookmarkEnd w:id="308"/>
    <w:p>
      <w:pPr>
        <w:jc w:val="both"/>
        <w:ind w:left="-560" w:firstLine="1130"/>
        <w:spacing w:after="0" w:line="251" w:lineRule="auto"/>
        <w:tabs>
          <w:tab w:leader="none" w:pos="81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Corporation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this Certificate of Incorporation, the number of shares of Class B Common Stock that are issuable upon such conversion. The Corporation covenants that all the shares of Class B Common Stock that are issued upon the conversion of such shares of Class D Common Stock will, upon issuance, be validly issued, fully paid and non-assessable.</w:t>
      </w:r>
    </w:p>
    <w:p>
      <w:pPr>
        <w:spacing w:after="0" w:line="168" w:lineRule="exact"/>
        <w:rPr>
          <w:rFonts w:ascii="Arial" w:cs="Arial" w:eastAsia="Arial" w:hAnsi="Arial"/>
          <w:sz w:val="16"/>
          <w:szCs w:val="16"/>
          <w:color w:val="auto"/>
        </w:rPr>
      </w:pPr>
    </w:p>
    <w:p>
      <w:pPr>
        <w:jc w:val="both"/>
        <w:ind w:left="-560" w:firstLine="1130"/>
        <w:spacing w:after="0" w:line="251" w:lineRule="auto"/>
        <w:tabs>
          <w:tab w:leader="none" w:pos="85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Corporation will at all times reserve and keep available out of its authorized and unissued shares of Class C Common Stock, solely for the purpose of the issuance in connection with the exchange of Paired Interests which consist of Class D Common Stock and Class B LLC Units, the number of shares of Class C Common Stock that are issuable upon the exchange of all outstanding Paired Interests which consist of Class D Common Stock and Class B LLC Units, pursuant to the Operating Agreement. The Corporation covenants that all the shares of Class C Common Stock that are issued upon the exchange of such Paired Interests will, upon issuance, be validly issued, fully paid and non-assessable.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93" w:lineRule="exact"/>
        <w:rPr>
          <w:sz w:val="20"/>
          <w:szCs w:val="20"/>
          <w:color w:val="auto"/>
        </w:rPr>
      </w:pPr>
    </w:p>
    <w:p>
      <w:pPr>
        <w:jc w:val="both"/>
        <w:ind w:left="-560" w:firstLine="1130"/>
        <w:spacing w:after="0" w:line="316" w:lineRule="auto"/>
        <w:tabs>
          <w:tab w:leader="none" w:pos="77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 xml:space="preserve">The issuance of shares of Class A Common Stock or Class C Common Stock, as the case may be, upon the exercise by holders of Class B LLC Units of their right under the Operating Agreement to exchange Paired Interests for shares of Class A Common Stock or Class C Common Stock, as the case may be, will be made without charge to such holders for any transfer taxes, stamp taxes or duties or other similar tax in respect of the issuance;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if any such shares of Class A Common Stock or Class C Common Stock are to be issued in a name other than that of the then record holder of the Paired Interests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129" w:lineRule="exact"/>
        <w:rPr>
          <w:rFonts w:ascii="Arial" w:cs="Arial" w:eastAsia="Arial" w:hAnsi="Arial"/>
          <w:sz w:val="13"/>
          <w:szCs w:val="13"/>
          <w:color w:val="auto"/>
        </w:rPr>
      </w:pPr>
    </w:p>
    <w:p>
      <w:pPr>
        <w:jc w:val="both"/>
        <w:ind w:left="-560" w:firstLine="1130"/>
        <w:spacing w:after="0" w:line="316" w:lineRule="auto"/>
        <w:tabs>
          <w:tab w:leader="none" w:pos="813" w:val="left"/>
        </w:tabs>
        <w:numPr>
          <w:ilvl w:val="0"/>
          <w:numId w:val="216"/>
        </w:numPr>
        <w:rPr>
          <w:rFonts w:ascii="Arial" w:cs="Arial" w:eastAsia="Arial" w:hAnsi="Arial"/>
          <w:sz w:val="13"/>
          <w:szCs w:val="13"/>
          <w:color w:val="auto"/>
        </w:rPr>
      </w:pPr>
      <w:r>
        <w:rPr>
          <w:rFonts w:ascii="Arial" w:cs="Arial" w:eastAsia="Arial" w:hAnsi="Arial"/>
          <w:sz w:val="13"/>
          <w:szCs w:val="13"/>
          <w:color w:val="auto"/>
        </w:rPr>
        <w:t xml:space="preserve">The issuance of shares of Class A Common Stock or Class B Common Stock, as the case may be, upon the conversion of the shares of Class C Common Stock or Class D Common Stock, as the case maybe, in accordance with the terms of this Certificate of Incorporation will be made without charge to such holders for any transfer taxes, stamp taxes or duties or other similar tax in respect of the issuance;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however, that if any such shares of Class A Common Stock or Class B Common Stock are to be issued in a name other than that of the then record holder of the Class A Common Stock or Class B Common Stock, as the case may be,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318"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10795</wp:posOffset>
            </wp:positionV>
            <wp:extent cx="7150100" cy="15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140"/>
          </w:cols>
          <w:pgMar w:left="1440" w:top="809" w:right="319" w:bottom="1440" w:gutter="0" w:footer="0" w:header="0"/>
        </w:sectPr>
      </w:pPr>
    </w:p>
    <w:bookmarkStart w:id="309" w:name="page310"/>
    <w:bookmarkEnd w:id="309"/>
    <w:p>
      <w:pPr>
        <w:jc w:val="both"/>
        <w:ind w:firstLine="1131"/>
        <w:spacing w:after="0" w:line="25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Subscription Rights.</w:t>
      </w:r>
      <w:r>
        <w:rPr>
          <w:rFonts w:ascii="Arial" w:cs="Arial" w:eastAsia="Arial" w:hAnsi="Arial"/>
          <w:sz w:val="16"/>
          <w:szCs w:val="16"/>
          <w:color w:val="auto"/>
        </w:rPr>
        <w:t xml:space="preserve"> To the extent Class B LLC Units are issued pursuant to the Operating Agreement to (i) any Qualified Stockholder, such Qualified Stockholder shall have the right to subscribe for an equivalent number of shares of Class D Common Stock (subject to adjustment as set forth herein) in exchange for a payment in cash equal to the aggregate par value of such shares of Class D Common Stock or (ii) any stockholder of the Corporation other than a Qualified Stockholder, such stockholder shall have the right to subscribe for an equivalent number of shares of Class B Common Stock (subject to adjustment as set forth herein) in exchange for a payment in cash equal to the aggregate par value of such shares of Class B Common Stock.</w:t>
      </w:r>
    </w:p>
    <w:p>
      <w:pPr>
        <w:spacing w:after="0" w:line="169" w:lineRule="exact"/>
        <w:rPr>
          <w:sz w:val="20"/>
          <w:szCs w:val="20"/>
          <w:color w:val="auto"/>
        </w:rPr>
      </w:pPr>
    </w:p>
    <w:p>
      <w:pPr>
        <w:jc w:val="both"/>
        <w:ind w:firstLine="1131"/>
        <w:spacing w:after="0" w:line="322"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Voluntary Conversion of Class C Common Stock and Class D Common Stock</w:t>
      </w:r>
      <w:r>
        <w:rPr>
          <w:rFonts w:ascii="Arial" w:cs="Arial" w:eastAsia="Arial" w:hAnsi="Arial"/>
          <w:sz w:val="13"/>
          <w:szCs w:val="13"/>
          <w:color w:val="auto"/>
        </w:rPr>
        <w:t>. Each share of Class C Common Stock shall be convertible into one share of Class A Common Stock at the option of the holder thereof at any time upon written notice to the Corporation, and each share of Class D Common Stock shall be convertible into one share of Class B Common Stock at the option of the holder thereof at any time upon written notice to the Corporation; provided that, for the avoidance of doubt, any such holder of shares of Class C Common Stock or Class D Common Stock may in such written notice to the Corporation specify that such conversion into shares of Class A Common Stock or Class B Common Stock, respectively, shall be contingent upon the consummation of one or more sale or other transfer transactions.</w:t>
      </w:r>
    </w:p>
    <w:p>
      <w:pPr>
        <w:spacing w:after="0" w:line="128" w:lineRule="exact"/>
        <w:rPr>
          <w:sz w:val="20"/>
          <w:szCs w:val="20"/>
          <w:color w:val="auto"/>
        </w:rPr>
      </w:pPr>
    </w:p>
    <w:p>
      <w:pPr>
        <w:jc w:val="both"/>
        <w:ind w:firstLine="1131"/>
        <w:spacing w:after="0" w:line="25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Automatic Conversion of Class C Common Stock and Class D Common Stock.</w:t>
      </w:r>
      <w:r>
        <w:rPr>
          <w:rFonts w:ascii="Arial" w:cs="Arial" w:eastAsia="Arial" w:hAnsi="Arial"/>
          <w:sz w:val="16"/>
          <w:szCs w:val="16"/>
          <w:color w:val="auto"/>
        </w:rPr>
        <w:t xml:space="preserve"> Each share of Class C Common Stock shall automatically, without any further action, convert into one share of Class A Common Stock and each share of Class D Common Stock shall automatically, without any further action, convert into one share of Class B Common Stock, in each case, upon a Transfer, other than a Transfer to a Qualified Stockholder.</w:t>
      </w:r>
    </w:p>
    <w:p>
      <w:pPr>
        <w:spacing w:after="0" w:line="16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references to:</w:t>
      </w:r>
    </w:p>
    <w:p>
      <w:pPr>
        <w:spacing w:after="0" w:line="193" w:lineRule="exact"/>
        <w:rPr>
          <w:sz w:val="20"/>
          <w:szCs w:val="20"/>
          <w:color w:val="auto"/>
        </w:rPr>
      </w:pPr>
    </w:p>
    <w:p>
      <w:pPr>
        <w:jc w:val="both"/>
        <w:ind w:left="560" w:firstLine="1130"/>
        <w:spacing w:after="0" w:line="256" w:lineRule="auto"/>
        <w:tabs>
          <w:tab w:leader="none" w:pos="1890"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“Convertible Security”</w:t>
      </w:r>
      <w:r>
        <w:rPr>
          <w:rFonts w:ascii="Arial" w:cs="Arial" w:eastAsia="Arial" w:hAnsi="Arial"/>
          <w:sz w:val="16"/>
          <w:szCs w:val="16"/>
          <w:color w:val="auto"/>
        </w:rPr>
        <w:t xml:space="preserve"> shall mean any evidences of indebtedness, shares or other securities, including restricted stock units, convertible into or exchangeable for shares of Class A Common Stock, Class B Common Stock, Class C Common Stock or Class D Common Stock, either directly or indirectly. For the avoidance of doubt, no share of Common Stock shall be deemed to be a Convertible Security.</w:t>
      </w:r>
    </w:p>
    <w:p>
      <w:pPr>
        <w:spacing w:after="0" w:line="165" w:lineRule="exact"/>
        <w:rPr>
          <w:rFonts w:ascii="Arial" w:cs="Arial" w:eastAsia="Arial" w:hAnsi="Arial"/>
          <w:sz w:val="16"/>
          <w:szCs w:val="16"/>
          <w:color w:val="auto"/>
        </w:rPr>
      </w:pPr>
    </w:p>
    <w:p>
      <w:pPr>
        <w:ind w:left="1920" w:hanging="230"/>
        <w:spacing w:after="0"/>
        <w:tabs>
          <w:tab w:leader="none" w:pos="1920"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“Effectiveness Date”</w:t>
      </w:r>
      <w:r>
        <w:rPr>
          <w:rFonts w:ascii="Arial" w:cs="Arial" w:eastAsia="Arial" w:hAnsi="Arial"/>
          <w:sz w:val="16"/>
          <w:szCs w:val="16"/>
          <w:color w:val="auto"/>
        </w:rPr>
        <w:t xml:space="preserve"> shall mean the date of the filing of this Certificate of Incorporation.</w:t>
      </w:r>
    </w:p>
    <w:p>
      <w:pPr>
        <w:spacing w:after="0" w:line="192" w:lineRule="exact"/>
        <w:rPr>
          <w:rFonts w:ascii="Arial" w:cs="Arial" w:eastAsia="Arial" w:hAnsi="Arial"/>
          <w:sz w:val="16"/>
          <w:szCs w:val="16"/>
          <w:color w:val="auto"/>
        </w:rPr>
      </w:pPr>
    </w:p>
    <w:p>
      <w:pPr>
        <w:jc w:val="both"/>
        <w:ind w:left="560" w:firstLine="1130"/>
        <w:spacing w:after="0" w:line="256" w:lineRule="auto"/>
        <w:tabs>
          <w:tab w:leader="none" w:pos="197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“Immediate Family Member” shall mean, with respect to a Qualified Stockholder, a spouse, domestic partner, child, grandchild or other lineal descendant (whether natural or adopted) or spouse of a lineal descendant of such individual, father, father-in-law, mother, mother-in-law, brother, step-brother, sister or step-sister.</w:t>
      </w:r>
    </w:p>
    <w:p>
      <w:pPr>
        <w:spacing w:after="0" w:line="165" w:lineRule="exact"/>
        <w:rPr>
          <w:rFonts w:ascii="Arial" w:cs="Arial" w:eastAsia="Arial" w:hAnsi="Arial"/>
          <w:sz w:val="16"/>
          <w:szCs w:val="16"/>
          <w:color w:val="auto"/>
        </w:rPr>
      </w:pPr>
    </w:p>
    <w:p>
      <w:pPr>
        <w:ind w:left="560" w:right="20" w:firstLine="1130"/>
        <w:spacing w:after="0" w:line="266" w:lineRule="auto"/>
        <w:tabs>
          <w:tab w:leader="none" w:pos="2047"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“Option”</w:t>
      </w:r>
      <w:r>
        <w:rPr>
          <w:rFonts w:ascii="Arial" w:cs="Arial" w:eastAsia="Arial" w:hAnsi="Arial"/>
          <w:sz w:val="16"/>
          <w:szCs w:val="16"/>
          <w:color w:val="auto"/>
        </w:rPr>
        <w:t xml:space="preserve"> shall mean rights, options, restricted stock units or warrants to subscribe for, purchase or otherwise acquire shares of Class A Common Stock, Class B Common Stock, Class C Common Stock or Class D Common Stock.</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310" w:name="page311"/>
    <w:bookmarkEnd w:id="310"/>
    <w:p>
      <w:pPr>
        <w:jc w:val="both"/>
        <w:ind w:left="-560" w:firstLine="1130"/>
        <w:spacing w:after="0" w:line="249" w:lineRule="auto"/>
        <w:tabs>
          <w:tab w:leader="none" w:pos="793"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“Permitted Entity”</w:t>
      </w:r>
      <w:r>
        <w:rPr>
          <w:rFonts w:ascii="Arial" w:cs="Arial" w:eastAsia="Arial" w:hAnsi="Arial"/>
          <w:sz w:val="16"/>
          <w:szCs w:val="16"/>
          <w:color w:val="auto"/>
        </w:rPr>
        <w:t xml:space="preserve"> shall mean, with respect to a Qualified Stockholder, (i) any general partnership, limited partnership, limited liability company, corporation, trust or other entity under the Voting Control of, controlling or under common control with (a) such Qualified Stockholder and/or (b) any other Permitted Entity of such Qualified Stockholder, (ii) solely with respect to a Qualified Stockholder that is a venture capital, private equity or similar private investment fund, any general partner, managing member, officer or director of such Qualified Stockholder or an affiliated investment fund now or hereafter existing that is controlled by one or more general partners or managing members of, or shares the same management or advisory company with, such Qualified Stockholder or (iii) any other corporation, partnership, limited liability company or trust approved by the Board.</w:t>
      </w:r>
    </w:p>
    <w:p>
      <w:pPr>
        <w:spacing w:after="0" w:line="173" w:lineRule="exact"/>
        <w:rPr>
          <w:rFonts w:ascii="Arial" w:cs="Arial" w:eastAsia="Arial" w:hAnsi="Arial"/>
          <w:sz w:val="16"/>
          <w:szCs w:val="16"/>
          <w:color w:val="auto"/>
        </w:rPr>
      </w:pPr>
    </w:p>
    <w:p>
      <w:pPr>
        <w:jc w:val="both"/>
        <w:ind w:left="-560" w:firstLine="1130"/>
        <w:spacing w:after="0" w:line="329" w:lineRule="auto"/>
        <w:tabs>
          <w:tab w:leader="none" w:pos="837" w:val="left"/>
        </w:tabs>
        <w:numPr>
          <w:ilvl w:val="0"/>
          <w:numId w:val="21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Foundation</w:t>
      </w:r>
      <w:r>
        <w:rPr>
          <w:rFonts w:ascii="Arial" w:cs="Arial" w:eastAsia="Arial" w:hAnsi="Arial"/>
          <w:sz w:val="13"/>
          <w:szCs w:val="13"/>
          <w:color w:val="auto"/>
        </w:rPr>
        <w:t>” shall mean, with respect to a Qualified Stockholder, a trust, donor-advised fund or charitable organization or organization that is tax-exempt under Section 501(c)(3) of the Internal Revenue Code of 1986, as amended (the “Code”), so long as such Qualified Stockholder has Voting Control with respect to the shares of Class C Common Stock and Class D Common Stock held by such trust or organization and the Transfer to such trust does not involve any payment of cash, securities, property or other consideration (other than an interest in such trust or organization) to such Qualified Stockholder.</w:t>
      </w:r>
    </w:p>
    <w:p>
      <w:pPr>
        <w:spacing w:after="0" w:line="122" w:lineRule="exact"/>
        <w:rPr>
          <w:rFonts w:ascii="Arial" w:cs="Arial" w:eastAsia="Arial" w:hAnsi="Arial"/>
          <w:sz w:val="13"/>
          <w:szCs w:val="13"/>
          <w:color w:val="auto"/>
        </w:rPr>
      </w:pPr>
    </w:p>
    <w:p>
      <w:pPr>
        <w:jc w:val="both"/>
        <w:ind w:left="-560" w:firstLine="1130"/>
        <w:spacing w:after="0" w:line="252" w:lineRule="auto"/>
        <w:tabs>
          <w:tab w:leader="none" w:pos="89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IRA</w:t>
      </w:r>
      <w:r>
        <w:rPr>
          <w:rFonts w:ascii="Arial" w:cs="Arial" w:eastAsia="Arial" w:hAnsi="Arial"/>
          <w:sz w:val="16"/>
          <w:szCs w:val="16"/>
          <w:color w:val="auto"/>
        </w:rPr>
        <w:t xml:space="preserve">” shall mean an Individual Retirement Account, as defined in Section 408(a) of the Code, a “Roth IRA,” as defined in Section 408A(b) of the Code, or a pension, profit sharing, stock bonus or other type of plan or trust of which a Qualified Stockholder is a participant or beneficiary and which satisfies the requirements for qualification under Section 401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such Qualified Stockholder has Voting Control with respect to the shares of Class C Common Stock or Class D Common Stock held in such account, plan or trust.</w:t>
      </w:r>
    </w:p>
    <w:p>
      <w:pPr>
        <w:spacing w:after="0" w:line="169" w:lineRule="exact"/>
        <w:rPr>
          <w:rFonts w:ascii="Arial" w:cs="Arial" w:eastAsia="Arial" w:hAnsi="Arial"/>
          <w:sz w:val="16"/>
          <w:szCs w:val="16"/>
          <w:color w:val="auto"/>
        </w:rPr>
      </w:pPr>
    </w:p>
    <w:p>
      <w:pPr>
        <w:jc w:val="both"/>
        <w:ind w:left="-560" w:firstLine="1130"/>
        <w:spacing w:after="0" w:line="251" w:lineRule="auto"/>
        <w:tabs>
          <w:tab w:leader="none" w:pos="93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w:t>
      </w:r>
      <w:r>
        <w:rPr>
          <w:rFonts w:ascii="Arial" w:cs="Arial" w:eastAsia="Arial" w:hAnsi="Arial"/>
          <w:sz w:val="16"/>
          <w:szCs w:val="16"/>
          <w:color w:val="auto"/>
        </w:rPr>
        <w:t>” shall mean, and be restricted to, any Transfer of a share of Class C Common Stock or Class D Common Stock (i) by a Qualified Stockholder to (A) any Permitted Trust of such Qualified Stockholder, (B) any Permitted IRA of such Qualified Stockholder, (C) any Permitted Entity of such Qualified Stockholder, (D) any Permitted Foundation of such Qualified Stockholder or (E) any Immediate Family Member of such Qualified Stockholder or (ii) by a Permitted Trust, Permitted IRA, Permitted Entity or Permitted Foundation of a Qualified Stockholder to (A) such Qualified Stockholder or (B) any other Permitted Entity, Permitted Trust, Permitted IRA or Permitted Foundation of such Qualified Stockholder.</w:t>
      </w:r>
    </w:p>
    <w:p>
      <w:pPr>
        <w:spacing w:after="0" w:line="168" w:lineRule="exact"/>
        <w:rPr>
          <w:rFonts w:ascii="Arial" w:cs="Arial" w:eastAsia="Arial" w:hAnsi="Arial"/>
          <w:sz w:val="16"/>
          <w:szCs w:val="16"/>
          <w:color w:val="auto"/>
        </w:rPr>
      </w:pPr>
    </w:p>
    <w:p>
      <w:pPr>
        <w:ind w:left="840" w:hanging="270"/>
        <w:spacing w:after="0"/>
        <w:tabs>
          <w:tab w:leader="none" w:pos="84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“Permitted Transferee” shall mean a transferee of shares of Class C Common Stock or Class D Common Stock received in a Permitted Transfer.</w:t>
      </w:r>
    </w:p>
    <w:p>
      <w:pPr>
        <w:spacing w:after="0" w:line="227" w:lineRule="exact"/>
        <w:rPr>
          <w:rFonts w:ascii="Arial" w:cs="Arial" w:eastAsia="Arial" w:hAnsi="Arial"/>
          <w:sz w:val="13"/>
          <w:szCs w:val="13"/>
          <w:color w:val="auto"/>
        </w:rPr>
      </w:pPr>
    </w:p>
    <w:p>
      <w:pPr>
        <w:jc w:val="both"/>
        <w:ind w:left="-560" w:firstLine="1130"/>
        <w:spacing w:after="0" w:line="249" w:lineRule="auto"/>
        <w:tabs>
          <w:tab w:leader="none" w:pos="79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“Permitted Trust” shall mean, with respect to a Qualified Stockholder, (i) a trust for the benefit of such Qualified Stockholder and for the benefit of such Qualified Stockholder and such Qualified Stockholder’s Immediate Family Members, a trust for the benefit of such Qualified Stockholder and/or persons other than such Qualified Stockholder so long as such Qualified Stockholder has Voting Control with respect to the shares of Class C Common Stock and Class D Common Stock held by such trust to such Qualified Stockholder or (iii) a trust under the terms of which such Qualified Stockholder has retained a “qualified interest” within the meaning of §2702(b)(1) of the Code or a reversionary interest so long as such Qualified Stockholder has Voting Control with respect to the shares of Class C Common Stock and Class D Common Stock held by such trust.</w:t>
      </w:r>
    </w:p>
    <w:p>
      <w:pPr>
        <w:spacing w:after="0" w:line="36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10795</wp:posOffset>
            </wp:positionV>
            <wp:extent cx="7150100"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140"/>
          </w:cols>
          <w:pgMar w:left="1440" w:top="810" w:right="319" w:bottom="1440" w:gutter="0" w:footer="0" w:header="0"/>
        </w:sectPr>
      </w:pPr>
    </w:p>
    <w:bookmarkStart w:id="311" w:name="page312"/>
    <w:bookmarkEnd w:id="311"/>
    <w:p>
      <w:pPr>
        <w:jc w:val="both"/>
        <w:ind w:firstLine="1130"/>
        <w:spacing w:after="0" w:line="249" w:lineRule="auto"/>
        <w:tabs>
          <w:tab w:leader="none" w:pos="139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Stockholder</w:t>
      </w:r>
      <w:r>
        <w:rPr>
          <w:rFonts w:ascii="Arial" w:cs="Arial" w:eastAsia="Arial" w:hAnsi="Arial"/>
          <w:sz w:val="16"/>
          <w:szCs w:val="16"/>
          <w:color w:val="auto"/>
        </w:rPr>
        <w:t>” shall mean (i) the record holder of a share of Class C Common Stock or Class D Common Stock as of the Effectiveness Date, (ii) each natural person who, prior to the Effectiveness Date, Transferred shares of capital stock of the Corporation to a Permitted Trust, Permitted IRA, Permitted Entity or Permitted Foundation that is or becomes a Qualified Stockholder, (iii) each natural person who Transferred shares of, or equity awards for, Class C Common Stock or Class D Common Stock (including any Option exercisable or Convertible Security exchangeable for or convertible into shares of Class C Common Stock or Class D Common Stock) to a Permitted Trust, Permitted IRA, Permitted Entity or Permitted Foundation that is or becomes a Qualified Stockholder, (v) a Permitted Transferee and (iv) any natural person or general partnership, limited partnership, limited liability company, corporation, trust or other entity which has Voting Control of a Qualified Stockholder.</w:t>
      </w:r>
    </w:p>
    <w:p>
      <w:pPr>
        <w:spacing w:after="0" w:line="171" w:lineRule="exact"/>
        <w:rPr>
          <w:rFonts w:ascii="Arial" w:cs="Arial" w:eastAsia="Arial" w:hAnsi="Arial"/>
          <w:sz w:val="16"/>
          <w:szCs w:val="16"/>
          <w:color w:val="auto"/>
        </w:rPr>
      </w:pPr>
    </w:p>
    <w:p>
      <w:pPr>
        <w:jc w:val="both"/>
        <w:ind w:firstLine="1130"/>
        <w:spacing w:after="0" w:line="269" w:lineRule="auto"/>
        <w:tabs>
          <w:tab w:leader="none" w:pos="1440" w:val="left"/>
        </w:tabs>
        <w:numPr>
          <w:ilvl w:val="0"/>
          <w:numId w:val="219"/>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xml:space="preserve"> of a share of Class C Common Stock or Class D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C Common Stock or Class D Common Stock to a broker or other nominee that results in a corresponding change in beneficial ownership (and excluding, for example, a transfer to a broker acting in capacity as an agent on behalf of a Qualified Stockholder and not as a principal), or the transfer of, or entering into a binding agreement with respect to, Voting Control over such share by proxy or otherwise;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following shall not be considered a “Transfer” within the meaning of this </w:t>
      </w:r>
      <w:r>
        <w:rPr>
          <w:rFonts w:ascii="Arial" w:cs="Arial" w:eastAsia="Arial" w:hAnsi="Arial"/>
          <w:sz w:val="15"/>
          <w:szCs w:val="15"/>
          <w:u w:val="single" w:color="auto"/>
          <w:color w:val="auto"/>
        </w:rPr>
        <w:t>Section 6.6</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ind w:right="20" w:firstLine="1696"/>
        <w:spacing w:after="0" w:line="266" w:lineRule="auto"/>
        <w:tabs>
          <w:tab w:leader="none" w:pos="193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granting of a revocable proxy to officers or directors of the Corporation at the request of the Board in connection with actions to be taken at an annual or special meeting of stockholders;</w:t>
      </w:r>
    </w:p>
    <w:p>
      <w:pPr>
        <w:spacing w:after="0" w:line="157" w:lineRule="exact"/>
        <w:rPr>
          <w:rFonts w:ascii="Arial" w:cs="Arial" w:eastAsia="Arial" w:hAnsi="Arial"/>
          <w:sz w:val="16"/>
          <w:szCs w:val="16"/>
          <w:color w:val="auto"/>
        </w:rPr>
      </w:pPr>
    </w:p>
    <w:p>
      <w:pPr>
        <w:jc w:val="both"/>
        <w:ind w:right="20" w:firstLine="1696"/>
        <w:spacing w:after="0" w:line="252" w:lineRule="auto"/>
        <w:tabs>
          <w:tab w:leader="none" w:pos="193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entering into a voting trust, agreement or arrangement (with or without granting a proxy) solely with stockholders who are holders of shares of Class C Common Stock and Class D Common Stock that (A) is disclosed either in a Schedule 13D filed with the Securities and Exchange Commission or in writing to the Secretary of the Corporation and (B) does not involve any payment of cash, securities, property or other consideration to the holder of the shares subject thereto other than the mutual promise to vote shares in a designated manner;</w:t>
      </w:r>
    </w:p>
    <w:p>
      <w:pPr>
        <w:spacing w:after="0" w:line="169" w:lineRule="exact"/>
        <w:rPr>
          <w:rFonts w:ascii="Arial" w:cs="Arial" w:eastAsia="Arial" w:hAnsi="Arial"/>
          <w:sz w:val="16"/>
          <w:szCs w:val="16"/>
          <w:color w:val="auto"/>
        </w:rPr>
      </w:pPr>
    </w:p>
    <w:p>
      <w:pPr>
        <w:ind w:left="1920" w:hanging="224"/>
        <w:spacing w:after="0"/>
        <w:tabs>
          <w:tab w:leader="none" w:pos="1920" w:val="left"/>
        </w:tabs>
        <w:numPr>
          <w:ilvl w:val="1"/>
          <w:numId w:val="219"/>
        </w:numPr>
        <w:rPr>
          <w:rFonts w:ascii="Arial" w:cs="Arial" w:eastAsia="Arial" w:hAnsi="Arial"/>
          <w:sz w:val="13"/>
          <w:szCs w:val="13"/>
          <w:color w:val="auto"/>
        </w:rPr>
      </w:pPr>
      <w:r>
        <w:rPr>
          <w:rFonts w:ascii="Arial" w:cs="Arial" w:eastAsia="Arial" w:hAnsi="Arial"/>
          <w:sz w:val="13"/>
          <w:szCs w:val="13"/>
          <w:color w:val="auto"/>
        </w:rPr>
        <w:t>entering into a voting trust, agreement or arrangement (with or without granting a proxy) pursuant to a written agreement to which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Corporation is a party;</w:t>
      </w:r>
    </w:p>
    <w:p>
      <w:pPr>
        <w:spacing w:after="0" w:line="37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10795</wp:posOffset>
            </wp:positionV>
            <wp:extent cx="7150100" cy="152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700"/>
          </w:cols>
          <w:pgMar w:left="880" w:top="810" w:right="319" w:bottom="1440" w:gutter="0" w:footer="0" w:header="0"/>
        </w:sectPr>
      </w:pPr>
    </w:p>
    <w:bookmarkStart w:id="312" w:name="page313"/>
    <w:bookmarkEnd w:id="312"/>
    <w:p>
      <w:pPr>
        <w:jc w:val="both"/>
        <w:ind w:left="560" w:firstLine="1696"/>
        <w:spacing w:after="0" w:line="252" w:lineRule="auto"/>
        <w:tabs>
          <w:tab w:leader="none" w:pos="247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the pledge of shares of Class C Common Stock or Class D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foreclosure on such shares or other similar action by the pledgee shall constitute a Transfer unless such foreclosure or similar action qualifies as a Permitted Transfer;</w:t>
      </w:r>
    </w:p>
    <w:p>
      <w:pPr>
        <w:spacing w:after="0" w:line="169" w:lineRule="exact"/>
        <w:rPr>
          <w:rFonts w:ascii="Arial" w:cs="Arial" w:eastAsia="Arial" w:hAnsi="Arial"/>
          <w:sz w:val="16"/>
          <w:szCs w:val="16"/>
          <w:color w:val="auto"/>
        </w:rPr>
      </w:pPr>
    </w:p>
    <w:p>
      <w:pPr>
        <w:jc w:val="both"/>
        <w:ind w:left="560" w:firstLine="1696"/>
        <w:spacing w:after="0" w:line="251" w:lineRule="auto"/>
        <w:tabs>
          <w:tab w:leader="none" w:pos="250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fact that, as of the Effectiveness Date or at any time after the Effectiveness Date, the spouse of any holder of shares of Class C Common Stock or Class D Common Stock possesses or obtains an interest in such holder’s shares of Class C Common Stock or Class D Common Stock arising solely by reason of the application of the community property laws of any jurisdiction, so long as no other event or circumstance shall exist or have occurred that constitutes a Transfer of such shares of Class C Common Stock or Class D Common Stock (including a Transfer by operation of law pursuant to a qualified domestic order or in connection with a divorce settlement or any other court order); or</w:t>
      </w:r>
    </w:p>
    <w:p>
      <w:pPr>
        <w:spacing w:after="0" w:line="168" w:lineRule="exact"/>
        <w:rPr>
          <w:rFonts w:ascii="Arial" w:cs="Arial" w:eastAsia="Arial" w:hAnsi="Arial"/>
          <w:sz w:val="16"/>
          <w:szCs w:val="16"/>
          <w:color w:val="auto"/>
        </w:rPr>
      </w:pPr>
    </w:p>
    <w:p>
      <w:pPr>
        <w:jc w:val="both"/>
        <w:ind w:left="560" w:right="20" w:firstLine="1696"/>
        <w:spacing w:after="0" w:line="281" w:lineRule="auto"/>
        <w:tabs>
          <w:tab w:leader="none" w:pos="2478" w:val="left"/>
        </w:tabs>
        <w:numPr>
          <w:ilvl w:val="0"/>
          <w:numId w:val="220"/>
        </w:numPr>
        <w:rPr>
          <w:rFonts w:ascii="Arial" w:cs="Arial" w:eastAsia="Arial" w:hAnsi="Arial"/>
          <w:sz w:val="15"/>
          <w:szCs w:val="15"/>
          <w:color w:val="auto"/>
        </w:rPr>
      </w:pPr>
      <w:r>
        <w:rPr>
          <w:rFonts w:ascii="Arial" w:cs="Arial" w:eastAsia="Arial" w:hAnsi="Arial"/>
          <w:sz w:val="15"/>
          <w:szCs w:val="15"/>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148" w:lineRule="exact"/>
        <w:rPr>
          <w:sz w:val="20"/>
          <w:szCs w:val="20"/>
          <w:color w:val="auto"/>
        </w:rPr>
      </w:pPr>
    </w:p>
    <w:p>
      <w:pPr>
        <w:jc w:val="both"/>
        <w:ind w:firstLine="1131"/>
        <w:spacing w:after="0" w:line="252" w:lineRule="auto"/>
        <w:rPr>
          <w:sz w:val="20"/>
          <w:szCs w:val="20"/>
          <w:color w:val="auto"/>
        </w:rPr>
      </w:pPr>
      <w:r>
        <w:rPr>
          <w:rFonts w:ascii="Arial" w:cs="Arial" w:eastAsia="Arial" w:hAnsi="Arial"/>
          <w:sz w:val="16"/>
          <w:szCs w:val="16"/>
          <w:color w:val="auto"/>
        </w:rPr>
        <w:t>A Transfer shall also be deemed to have occurred with respect to a share of Class C Common Stock or Class D Common Stock beneficially held by an entity that is a Permitted Trust, Permitted IRA, Permitted Entity or Permitted Foundation, if there occurs any act or circumstance that causes such entity to no longer be a Permitted Trust, Permitted IRA, Permitted Entity or Permitted Foundation, as of the date that such entity is no longer a Permitted Trust, Permitted IRA, Permitted Entity or Permitted Foundation.</w:t>
      </w:r>
    </w:p>
    <w:p>
      <w:pPr>
        <w:spacing w:after="0" w:line="169" w:lineRule="exact"/>
        <w:rPr>
          <w:sz w:val="20"/>
          <w:szCs w:val="20"/>
          <w:color w:val="auto"/>
        </w:rPr>
      </w:pPr>
    </w:p>
    <w:p>
      <w:pPr>
        <w:jc w:val="both"/>
        <w:ind w:left="560" w:firstLine="1130"/>
        <w:spacing w:after="0" w:line="256" w:lineRule="auto"/>
        <w:tabs>
          <w:tab w:leader="none" w:pos="2055"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“Voting Control”</w:t>
      </w:r>
      <w:r>
        <w:rPr>
          <w:rFonts w:ascii="Arial" w:cs="Arial" w:eastAsia="Arial" w:hAnsi="Arial"/>
          <w:sz w:val="16"/>
          <w:szCs w:val="16"/>
          <w:color w:val="auto"/>
        </w:rPr>
        <w:t xml:space="preserve"> shall mean, with respect to a share of Class C Common Stock or Class D Common Stock, the power (whether exclusive or shared) to vote or direct the voting of such share by proxy, voting agreement or otherwise. A Qualified Stockholder will be deemed to have Voting Control with respect to shares contributed to a donor-advised fund.</w:t>
      </w:r>
    </w:p>
    <w:p>
      <w:pPr>
        <w:spacing w:after="0" w:line="165" w:lineRule="exact"/>
        <w:rPr>
          <w:rFonts w:ascii="Arial" w:cs="Arial" w:eastAsia="Arial" w:hAnsi="Arial"/>
          <w:sz w:val="16"/>
          <w:szCs w:val="16"/>
          <w:color w:val="auto"/>
        </w:rPr>
      </w:pPr>
    </w:p>
    <w:p>
      <w:pPr>
        <w:ind w:left="720" w:hanging="160"/>
        <w:spacing w:after="0"/>
        <w:tabs>
          <w:tab w:leader="none" w:pos="720"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Board of Directors.</w:t>
      </w:r>
    </w:p>
    <w:p>
      <w:pPr>
        <w:spacing w:after="0" w:line="19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Number of Directors.</w:t>
      </w:r>
    </w:p>
    <w:p>
      <w:pPr>
        <w:spacing w:after="0" w:line="193" w:lineRule="exact"/>
        <w:rPr>
          <w:sz w:val="20"/>
          <w:szCs w:val="20"/>
          <w:color w:val="auto"/>
        </w:rPr>
      </w:pPr>
    </w:p>
    <w:p>
      <w:pPr>
        <w:jc w:val="both"/>
        <w:ind w:left="560" w:firstLine="1130"/>
        <w:spacing w:after="0" w:line="271" w:lineRule="auto"/>
        <w:tabs>
          <w:tab w:leader="none" w:pos="1878" w:val="left"/>
        </w:tabs>
        <w:numPr>
          <w:ilvl w:val="0"/>
          <w:numId w:val="223"/>
        </w:numPr>
        <w:rPr>
          <w:rFonts w:ascii="Arial" w:cs="Arial" w:eastAsia="Arial" w:hAnsi="Arial"/>
          <w:sz w:val="15"/>
          <w:szCs w:val="15"/>
          <w:color w:val="auto"/>
        </w:rPr>
      </w:pPr>
      <w:r>
        <w:rPr>
          <w:rFonts w:ascii="Arial" w:cs="Arial" w:eastAsia="Arial" w:hAnsi="Arial"/>
          <w:sz w:val="15"/>
          <w:szCs w:val="15"/>
          <w:color w:val="auto"/>
        </w:rPr>
        <w:t xml:space="preserve">The business and affairs of the Corporation shall be managed by, or under the direction of, the Board. Unless and except to the extent that the By-laws of the Corporation (as such By-laws may be amended from time to time, the </w:t>
      </w:r>
      <w:r>
        <w:rPr>
          <w:rFonts w:ascii="Arial" w:cs="Arial" w:eastAsia="Arial" w:hAnsi="Arial"/>
          <w:sz w:val="15"/>
          <w:szCs w:val="15"/>
          <w:u w:val="single" w:color="auto"/>
          <w:color w:val="auto"/>
        </w:rPr>
        <w:t>“By-laws”)</w:t>
      </w:r>
      <w:r>
        <w:rPr>
          <w:rFonts w:ascii="Arial" w:cs="Arial" w:eastAsia="Arial" w:hAnsi="Arial"/>
          <w:sz w:val="15"/>
          <w:szCs w:val="15"/>
          <w:color w:val="auto"/>
        </w:rPr>
        <w:t xml:space="preserve"> shall so require, the election of the directors of the Corporation (the </w:t>
      </w:r>
      <w:r>
        <w:rPr>
          <w:rFonts w:ascii="Arial" w:cs="Arial" w:eastAsia="Arial" w:hAnsi="Arial"/>
          <w:sz w:val="15"/>
          <w:szCs w:val="15"/>
          <w:u w:val="single" w:color="auto"/>
          <w:color w:val="auto"/>
        </w:rPr>
        <w:t>“Directors”)</w:t>
      </w:r>
      <w:r>
        <w:rPr>
          <w:rFonts w:ascii="Arial" w:cs="Arial" w:eastAsia="Arial" w:hAnsi="Arial"/>
          <w:sz w:val="15"/>
          <w:szCs w:val="15"/>
          <w:color w:val="auto"/>
        </w:rPr>
        <w:t xml:space="preserve"> need not be by written ballot. Except as otherwise provided for or fixed pursuant to the provisions of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relating to the rights of the holders of any series of Preferred Stock to elect additional Directors, the total number of Directors constituting the entire Board shall, (a) as of the date of this Certificate of Incorporation, initially be seven and (b) thereafter, shall be fixed exclusively by one or more resolutions adopted from time to time by the Board.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09" w:right="319" w:bottom="1440" w:gutter="0" w:footer="0" w:header="0"/>
        </w:sectPr>
      </w:pPr>
    </w:p>
    <w:bookmarkStart w:id="313" w:name="page314"/>
    <w:bookmarkEnd w:id="313"/>
    <w:p>
      <w:pPr>
        <w:jc w:val="both"/>
        <w:ind w:left="560" w:firstLine="1130"/>
        <w:spacing w:after="0" w:line="312" w:lineRule="auto"/>
        <w:tabs>
          <w:tab w:leader="none" w:pos="1922" w:val="left"/>
        </w:tabs>
        <w:numPr>
          <w:ilvl w:val="0"/>
          <w:numId w:val="224"/>
        </w:numPr>
        <w:rPr>
          <w:rFonts w:ascii="Arial" w:cs="Arial" w:eastAsia="Arial" w:hAnsi="Arial"/>
          <w:sz w:val="13"/>
          <w:szCs w:val="13"/>
          <w:color w:val="auto"/>
        </w:rPr>
      </w:pPr>
      <w:r>
        <w:rPr>
          <w:rFonts w:ascii="Arial" w:cs="Arial" w:eastAsia="Arial" w:hAnsi="Arial"/>
          <w:sz w:val="13"/>
          <w:szCs w:val="13"/>
          <w:color w:val="auto"/>
        </w:rPr>
        <w:t xml:space="preserve">During any period when the holders of any series of Preferred Stock have the right to elect additional Directors as provided for or fixed pursuant to the provisions of </w:t>
      </w:r>
      <w:r>
        <w:rPr>
          <w:rFonts w:ascii="Arial" w:cs="Arial" w:eastAsia="Arial" w:hAnsi="Arial"/>
          <w:sz w:val="13"/>
          <w:szCs w:val="13"/>
          <w:u w:val="single" w:color="auto"/>
          <w:color w:val="auto"/>
        </w:rPr>
        <w:t>Section 5.2 (“Preferred Stock Directors”),</w:t>
      </w:r>
      <w:r>
        <w:rPr>
          <w:rFonts w:ascii="Arial" w:cs="Arial" w:eastAsia="Arial" w:hAnsi="Arial"/>
          <w:sz w:val="13"/>
          <w:szCs w:val="13"/>
          <w:color w:val="auto"/>
        </w:rPr>
        <w:t xml:space="preserve"> upon the commencement, and for the duration, of the period during which such right continues: (a) the then total authorized number of Directors shall automatically be increased by such specified number of Preferred Stock Directors, and the holders of such series of Preferred Stock shall be entitled to elect such Preferred Stock Directors pursuant to the provisions of any Certificate of Designation for such series of Preferred Stock; and (b) each such Preferred Stock Director shall serve until such Preferred Stock Director’s successor shall have been duly elected and qualified, or until such Preferred Stock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w:t>
      </w:r>
    </w:p>
    <w:p>
      <w:pPr>
        <w:spacing w:after="0" w:line="324" w:lineRule="exact"/>
        <w:rPr>
          <w:sz w:val="20"/>
          <w:szCs w:val="20"/>
          <w:color w:val="auto"/>
        </w:rPr>
      </w:pPr>
    </w:p>
    <w:p>
      <w:pPr>
        <w:jc w:val="both"/>
        <w:ind w:firstLine="1131"/>
        <w:spacing w:after="0" w:line="24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Vacancies and Newly Created Directorships.</w:t>
      </w:r>
      <w:r>
        <w:rPr>
          <w:rFonts w:ascii="Arial" w:cs="Arial" w:eastAsia="Arial" w:hAnsi="Arial"/>
          <w:sz w:val="16"/>
          <w:szCs w:val="16"/>
          <w:color w:val="auto"/>
        </w:rPr>
        <w:t xml:space="preserve"> Subject to any limitations imposed by applicable law and the rights of any one or more series of Preferred Stock then outstanding, newly created directorships resulting from any increase in the authorized number of Directors or any vacancies on the Board resulting from a Director’s death, resignation, disqualification, or removal from office shall, unless the Board determines by resolution that any such vacancies or newly created directorships shall be filled by the stockholders and except as otherwise provided by applicable law, be filled only by the affirmative vote of a majority of the remaining Directors then in office, even if less than a quorum of the Board, and not by the stockholders. Any Director so chosen shall hold office until the next election of Directors and until his or her successor shall be duly elected and qualified or until such Director’s earlier death, disqualification, resignation or removal. No decrease in the authorized number of Directors shall shorten the term of any Director then in office.</w:t>
      </w:r>
    </w:p>
    <w:p>
      <w:pPr>
        <w:spacing w:after="0" w:line="171" w:lineRule="exact"/>
        <w:rPr>
          <w:sz w:val="20"/>
          <w:szCs w:val="20"/>
          <w:color w:val="auto"/>
        </w:rPr>
      </w:pPr>
    </w:p>
    <w:p>
      <w:pPr>
        <w:jc w:val="both"/>
        <w:ind w:firstLine="1131"/>
        <w:spacing w:after="0" w:line="318"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Removal of Directors</w:t>
      </w:r>
      <w:r>
        <w:rPr>
          <w:rFonts w:ascii="Arial" w:cs="Arial" w:eastAsia="Arial" w:hAnsi="Arial"/>
          <w:sz w:val="13"/>
          <w:szCs w:val="13"/>
          <w:color w:val="auto"/>
        </w:rPr>
        <w:t xml:space="preserve">. Any Director may resign from office at any time upon notice to the Corporation given in writing or by any electronic transmission permitted by the By-laws. Any such resignation shall be effective upon receipt thereof unless it is specified to be effective at some other time or upon the occurrence of some other event. The Board’s or the Corporation’s acceptance of a resignation shall not be necessary to make it effective. Subject to any limitations imposed by applicable law and except for Preferred Stock Directors, any Director or the entire Board may be removed from office at any time, with or without cause, by the affirmative vote of the holders of at least a majority of the total voting power of the outstanding shares of capital stock of the Corporation entitled to vote generally in the election of Directors, voting together as a single class. In case the Board or any one or more Directors should be so removed, any new Directors shall be elected pursuant to terms of </w:t>
      </w:r>
      <w:r>
        <w:rPr>
          <w:rFonts w:ascii="Arial" w:cs="Arial" w:eastAsia="Arial" w:hAnsi="Arial"/>
          <w:sz w:val="13"/>
          <w:szCs w:val="13"/>
          <w:u w:val="single" w:color="auto"/>
          <w:color w:val="auto"/>
        </w:rPr>
        <w:t>Section 7.2.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314" w:name="page315"/>
    <w:bookmarkEnd w:id="314"/>
    <w:p>
      <w:pPr>
        <w:ind w:left="720" w:hanging="160"/>
        <w:spacing w:after="0"/>
        <w:tabs>
          <w:tab w:leader="none" w:pos="720"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Meetings of Stockholders.</w:t>
      </w:r>
    </w:p>
    <w:p>
      <w:pPr>
        <w:spacing w:after="0" w:line="193" w:lineRule="exact"/>
        <w:rPr>
          <w:sz w:val="20"/>
          <w:szCs w:val="20"/>
          <w:color w:val="auto"/>
        </w:rPr>
      </w:pPr>
    </w:p>
    <w:p>
      <w:pPr>
        <w:jc w:val="both"/>
        <w:ind w:firstLine="1131"/>
        <w:spacing w:after="0" w:line="269"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Action by Written Consent.</w:t>
      </w:r>
      <w:r>
        <w:rPr>
          <w:rFonts w:ascii="Arial" w:cs="Arial" w:eastAsia="Arial" w:hAnsi="Arial"/>
          <w:sz w:val="15"/>
          <w:szCs w:val="15"/>
          <w:color w:val="auto"/>
        </w:rPr>
        <w:t xml:space="preserve"> Subject to, with respect to the Preferred Stock, the terms of any series of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the Corporation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the Corporation must be effected at a duly called annual or special meeting of the stockholders of the Corporation and may not be effected by any consent in lieu of a meeting.</w:t>
      </w: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Meetings of Stockholders</w:t>
      </w:r>
      <w:r>
        <w:rPr>
          <w:rFonts w:ascii="Arial" w:cs="Arial" w:eastAsia="Arial" w:hAnsi="Arial"/>
          <w:sz w:val="16"/>
          <w:szCs w:val="16"/>
          <w:color w:val="auto"/>
        </w:rPr>
        <w:t>.</w:t>
      </w:r>
    </w:p>
    <w:p>
      <w:pPr>
        <w:spacing w:after="0" w:line="193" w:lineRule="exact"/>
        <w:rPr>
          <w:sz w:val="20"/>
          <w:szCs w:val="20"/>
          <w:color w:val="auto"/>
        </w:rPr>
      </w:pPr>
    </w:p>
    <w:p>
      <w:pPr>
        <w:ind w:left="560" w:right="20" w:firstLine="1130"/>
        <w:spacing w:after="0" w:line="266" w:lineRule="auto"/>
        <w:tabs>
          <w:tab w:leader="none" w:pos="189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 annual meeting of stockholders for the election of Directors and for the transaction of such other business as may properly come before the meeting shall be held at such place, if any, on such date, and at such time as the Board shall determine in accordance with the By-laws.</w:t>
      </w:r>
    </w:p>
    <w:p>
      <w:pPr>
        <w:spacing w:after="0" w:line="157" w:lineRule="exact"/>
        <w:rPr>
          <w:rFonts w:ascii="Arial" w:cs="Arial" w:eastAsia="Arial" w:hAnsi="Arial"/>
          <w:sz w:val="16"/>
          <w:szCs w:val="16"/>
          <w:color w:val="auto"/>
        </w:rPr>
      </w:pPr>
    </w:p>
    <w:p>
      <w:pPr>
        <w:jc w:val="both"/>
        <w:ind w:left="560" w:firstLine="1130"/>
        <w:spacing w:after="0" w:line="271" w:lineRule="auto"/>
        <w:tabs>
          <w:tab w:leader="none" w:pos="1922" w:val="left"/>
        </w:tabs>
        <w:numPr>
          <w:ilvl w:val="0"/>
          <w:numId w:val="226"/>
        </w:numPr>
        <w:rPr>
          <w:rFonts w:ascii="Arial" w:cs="Arial" w:eastAsia="Arial" w:hAnsi="Arial"/>
          <w:sz w:val="15"/>
          <w:szCs w:val="15"/>
          <w:color w:val="auto"/>
        </w:rPr>
      </w:pPr>
      <w:r>
        <w:rPr>
          <w:rFonts w:ascii="Arial" w:cs="Arial" w:eastAsia="Arial" w:hAnsi="Arial"/>
          <w:sz w:val="15"/>
          <w:szCs w:val="15"/>
          <w:color w:val="auto"/>
        </w:rPr>
        <w:t>Subject to any special rights of the holders of any series of Preferred Stock and the requirements of applicable law, special meetings of stockholders of the Corporation may be called only by the chairperson of the Board, the vice chairperson of the Board, the chief executive officer of the Corporation or at the direction of the Board pursuant to a written resolution adopted by a majority of the total number of Directors that the Corporation would have if there were no vacancies, and the ability of the stockholders or any other Persons to call a special meeting of the stockholders is hereby specifically denied. Any business transacted at any special meeting of stockholders shall be limited to matters relating to the purpose or purposes stated in the notice of meeting.</w:t>
      </w:r>
    </w:p>
    <w:p>
      <w:pPr>
        <w:spacing w:after="0" w:line="156" w:lineRule="exact"/>
        <w:rPr>
          <w:rFonts w:ascii="Arial" w:cs="Arial" w:eastAsia="Arial" w:hAnsi="Arial"/>
          <w:sz w:val="15"/>
          <w:szCs w:val="15"/>
          <w:color w:val="auto"/>
        </w:rPr>
      </w:pPr>
    </w:p>
    <w:p>
      <w:pPr>
        <w:ind w:left="560" w:right="20" w:firstLine="1130"/>
        <w:spacing w:after="0" w:line="266" w:lineRule="auto"/>
        <w:tabs>
          <w:tab w:leader="none" w:pos="196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Advance notice of stockholder nominations for the election of Directors and of business to be brought by stockholders before any meeting of the stockholders of the Corporation shall be given in the manner provided in the By-laws.</w:t>
      </w:r>
    </w:p>
    <w:p>
      <w:pPr>
        <w:spacing w:after="0" w:line="15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 Cumulative Voting</w:t>
      </w:r>
      <w:r>
        <w:rPr>
          <w:rFonts w:ascii="Arial" w:cs="Arial" w:eastAsia="Arial" w:hAnsi="Arial"/>
          <w:sz w:val="16"/>
          <w:szCs w:val="16"/>
          <w:color w:val="auto"/>
        </w:rPr>
        <w:t>. There shall be no cumulative voting in the election of Directors.</w:t>
      </w:r>
    </w:p>
    <w:p>
      <w:pPr>
        <w:spacing w:after="0" w:line="193" w:lineRule="exact"/>
        <w:rPr>
          <w:sz w:val="20"/>
          <w:szCs w:val="20"/>
          <w:color w:val="auto"/>
        </w:rPr>
      </w:pPr>
    </w:p>
    <w:p>
      <w:pPr>
        <w:ind w:left="720" w:hanging="160"/>
        <w:spacing w:after="0"/>
        <w:tabs>
          <w:tab w:leader="none" w:pos="72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93" w:lineRule="exact"/>
        <w:rPr>
          <w:sz w:val="20"/>
          <w:szCs w:val="20"/>
          <w:color w:val="auto"/>
        </w:rPr>
      </w:pPr>
    </w:p>
    <w:p>
      <w:pPr>
        <w:jc w:val="both"/>
        <w:ind w:firstLine="1131"/>
        <w:spacing w:after="0" w:line="24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Limited Liability</w:t>
      </w:r>
      <w:r>
        <w:rPr>
          <w:rFonts w:ascii="Arial" w:cs="Arial" w:eastAsia="Arial" w:hAnsi="Arial"/>
          <w:sz w:val="16"/>
          <w:szCs w:val="16"/>
          <w:color w:val="auto"/>
        </w:rPr>
        <w:t xml:space="preserve">. No Director shall have any personal liability to the Corporation or its stockholders for monetary damages for any breach of fiduciary duty as a director, except to the extent such exception from liability or limitation thereof is not permitted under the General Corporation Law as the same exists or hereafter may be amended to expand the scope of exculpation as permitted under the General Corporation Law. Without limiting the effect of the preceding sentence, if the General Corporation Law is hereafter amended to authorize further elimination or limitation of the liability of Directors, then the liability of a Director shall be eliminated or limited to the fullest extent permitted by the General Corporation Law, as so amended. Neither any amendment nor repeal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nor the adoption of any provision in this Certificate of Incorporation inconsistent with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eliminate, reduce or otherwise adversely affect any limitation on personal liability of a Director existing at or prior to the time of such amendment, repeal or adoption.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315" w:name="page316"/>
    <w:bookmarkEnd w:id="315"/>
    <w:p>
      <w:pPr>
        <w:jc w:val="both"/>
        <w:ind w:firstLine="1131"/>
        <w:spacing w:after="0" w:line="249"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xml:space="preserve"> To the fullest extent permitted by applicable law, the Corporation shall have the power to provide indemnification of (and advancement of expenses to) Directors, officers, employees and agents of the Corporation (and any other persons to which applicable law permits the Corporation to provide indemnification) through By-law provisions, agreements with such Directors, officers, employees, agents or other persons, vote of stockholders or disinterested directors or otherwise in excess of the indemnification and advancement otherwise permitted by such applicable law. Any amendment, repeal or modification of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only be prospective and shall not affect the rights or protections or increase the liability of any Director under this Section 9.2 in effect at the time of the alleged occurrence of any act or omission to act giving rise to liability or indemnification.</w:t>
      </w:r>
    </w:p>
    <w:p>
      <w:pPr>
        <w:spacing w:after="0" w:line="174" w:lineRule="exact"/>
        <w:rPr>
          <w:sz w:val="20"/>
          <w:szCs w:val="20"/>
          <w:color w:val="auto"/>
        </w:rPr>
      </w:pPr>
    </w:p>
    <w:p>
      <w:pPr>
        <w:jc w:val="both"/>
        <w:ind w:firstLine="1131"/>
        <w:spacing w:after="0" w:line="274"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Insurance</w:t>
      </w:r>
      <w:r>
        <w:rPr>
          <w:rFonts w:ascii="Arial" w:cs="Arial" w:eastAsia="Arial" w:hAnsi="Arial"/>
          <w:sz w:val="15"/>
          <w:szCs w:val="15"/>
          <w:color w:val="auto"/>
        </w:rPr>
        <w:t>.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General Corporation Law.</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Nonexclusivity of Rights.</w:t>
      </w:r>
      <w:r>
        <w:rPr>
          <w:rFonts w:ascii="Arial" w:cs="Arial" w:eastAsia="Arial" w:hAnsi="Arial"/>
          <w:sz w:val="13"/>
          <w:szCs w:val="13"/>
          <w:color w:val="auto"/>
        </w:rPr>
        <w:t xml:space="preserve"> The rights and authority conferred in this </w:t>
      </w:r>
      <w:r>
        <w:rPr>
          <w:rFonts w:ascii="Arial" w:cs="Arial" w:eastAsia="Arial" w:hAnsi="Arial"/>
          <w:sz w:val="13"/>
          <w:szCs w:val="13"/>
          <w:u w:val="single" w:color="auto"/>
          <w:color w:val="auto"/>
        </w:rPr>
        <w:t>Article</w:t>
      </w:r>
      <w:r>
        <w:rPr>
          <w:rFonts w:ascii="Arial" w:cs="Arial" w:eastAsia="Arial" w:hAnsi="Arial"/>
          <w:sz w:val="13"/>
          <w:szCs w:val="13"/>
          <w:color w:val="auto"/>
        </w:rPr>
        <w:t xml:space="preserve"> 9 shall not be exclusive of any other right that any Person may otherwise have 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hereafter acquire.</w:t>
      </w:r>
    </w:p>
    <w:p>
      <w:pPr>
        <w:spacing w:after="0" w:line="181" w:lineRule="exact"/>
        <w:rPr>
          <w:sz w:val="20"/>
          <w:szCs w:val="20"/>
          <w:color w:val="auto"/>
        </w:rPr>
      </w:pPr>
    </w:p>
    <w:p>
      <w:pPr>
        <w:jc w:val="both"/>
        <w:ind w:right="20" w:firstLine="560"/>
        <w:spacing w:after="0" w:line="256" w:lineRule="auto"/>
        <w:tabs>
          <w:tab w:leader="none" w:pos="801"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Adoption, Amendment or Repeal of By-Laws.</w:t>
      </w:r>
      <w:r>
        <w:rPr>
          <w:rFonts w:ascii="Arial" w:cs="Arial" w:eastAsia="Arial" w:hAnsi="Arial"/>
          <w:sz w:val="16"/>
          <w:szCs w:val="16"/>
          <w:color w:val="auto"/>
        </w:rPr>
        <w:t xml:space="preserve"> In furtherance and not in limitation of the powers conferred by law, the Board is expressly authorized to adopt, alter, amend or repeal the By-laws. Any adoption, alteration, amendment or repeal of the By-laws by the Board shall require the approval of a majority of the authorized number of Directors. The stockholders of the Corporation shall also have power to adopt, alter, amend or repeal the By-laws.</w:t>
      </w:r>
    </w:p>
    <w:p>
      <w:pPr>
        <w:spacing w:after="0" w:line="165" w:lineRule="exact"/>
        <w:rPr>
          <w:rFonts w:ascii="Arial" w:cs="Arial" w:eastAsia="Arial" w:hAnsi="Arial"/>
          <w:sz w:val="16"/>
          <w:szCs w:val="16"/>
          <w:color w:val="auto"/>
        </w:rPr>
      </w:pPr>
    </w:p>
    <w:p>
      <w:pPr>
        <w:jc w:val="both"/>
        <w:ind w:firstLine="560"/>
        <w:spacing w:after="0" w:line="252" w:lineRule="auto"/>
        <w:tabs>
          <w:tab w:leader="none" w:pos="795"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Adoption Amendment or Repeal of Certificate of Incorporation</w:t>
      </w:r>
      <w:r>
        <w:rPr>
          <w:rFonts w:ascii="Arial" w:cs="Arial" w:eastAsia="Arial" w:hAnsi="Arial"/>
          <w:sz w:val="16"/>
          <w:szCs w:val="16"/>
          <w:color w:val="auto"/>
        </w:rPr>
        <w:t>. Subject to Article 1 the Corporation reserves the right to adopt, amend, alter, change or repeal any provision contained in this Certificate of Incorporation, in the manner now or hereafter prescribed by the General Corporation Law, and all rights, preferences and privileges of whatsoever nature conferred upon stockholders, Directors or any other Persons whomsoever by and pursuant to this Certificate of Incorporation in its present form or as hereafter amended, are granted and held subject to this reservation.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316" w:name="page317"/>
    <w:bookmarkEnd w:id="316"/>
    <w:p>
      <w:pPr>
        <w:ind w:left="800" w:hanging="240"/>
        <w:spacing w:after="0"/>
        <w:tabs>
          <w:tab w:leader="none" w:pos="80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Forum for Adjudication of Disputes</w:t>
      </w:r>
      <w:r>
        <w:rPr>
          <w:rFonts w:ascii="Arial" w:cs="Arial" w:eastAsia="Arial" w:hAnsi="Arial"/>
          <w:sz w:val="16"/>
          <w:szCs w:val="16"/>
          <w:color w:val="auto"/>
        </w:rPr>
        <w:t>.</w:t>
      </w:r>
    </w:p>
    <w:p>
      <w:pPr>
        <w:spacing w:after="0" w:line="193" w:lineRule="exact"/>
        <w:rPr>
          <w:sz w:val="20"/>
          <w:szCs w:val="20"/>
          <w:color w:val="auto"/>
        </w:rPr>
      </w:pPr>
    </w:p>
    <w:p>
      <w:pPr>
        <w:jc w:val="both"/>
        <w:ind w:firstLine="1131"/>
        <w:spacing w:after="0" w:line="309" w:lineRule="auto"/>
        <w:rPr>
          <w:sz w:val="20"/>
          <w:szCs w:val="20"/>
          <w:color w:val="auto"/>
        </w:rPr>
      </w:pPr>
      <w:r>
        <w:rPr>
          <w:rFonts w:ascii="Arial" w:cs="Arial" w:eastAsia="Arial" w:hAnsi="Arial"/>
          <w:sz w:val="13"/>
          <w:szCs w:val="13"/>
          <w:color w:val="auto"/>
        </w:rPr>
        <w:t xml:space="preserve">12.1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the Corporation; (ii) any action, suit or proceeding (including any class action) asserting a claim of breach of a fiduciary duty owed by any current or former director, officer, other employee, agent or stockholder of the Corporation to the Corporation or the Corporation’s stockholders; (iii) any action, suit or proceeding (including any class action) asserting a claim against the Corporation or any current or former director, officer, other employee, agent or stockholder of the Corporation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Corporation or any director, officer or other employee of the Corporation governed by the internal affairs doctrine, in all cases to the fullest extent permitted by law and subject to the court’s having personal jurisdiction over the indispensable parties named as defendants. This </w:t>
      </w:r>
      <w:r>
        <w:rPr>
          <w:rFonts w:ascii="Arial" w:cs="Arial" w:eastAsia="Arial" w:hAnsi="Arial"/>
          <w:sz w:val="13"/>
          <w:szCs w:val="13"/>
          <w:u w:val="single" w:color="auto"/>
          <w:color w:val="auto"/>
        </w:rPr>
        <w:t>Article 12</w:t>
      </w:r>
      <w:r>
        <w:rPr>
          <w:rFonts w:ascii="Arial" w:cs="Arial" w:eastAsia="Arial" w:hAnsi="Arial"/>
          <w:sz w:val="13"/>
          <w:szCs w:val="13"/>
          <w:color w:val="auto"/>
        </w:rPr>
        <w:t xml:space="preserve"> shall not apply to suits brought to enforce a duty or liability created by the Securities Exchange Act of 1934, as amended, or any other claim for which the federal courts have exclusive jurisdiction.</w:t>
      </w:r>
    </w:p>
    <w:p>
      <w:pPr>
        <w:spacing w:after="0" w:line="329" w:lineRule="exact"/>
        <w:rPr>
          <w:sz w:val="20"/>
          <w:szCs w:val="20"/>
          <w:color w:val="auto"/>
        </w:rPr>
      </w:pPr>
    </w:p>
    <w:p>
      <w:pPr>
        <w:jc w:val="both"/>
        <w:ind w:right="20" w:firstLine="1131"/>
        <w:spacing w:after="0" w:line="329" w:lineRule="auto"/>
        <w:rPr>
          <w:sz w:val="20"/>
          <w:szCs w:val="20"/>
          <w:color w:val="auto"/>
        </w:rPr>
      </w:pPr>
      <w:r>
        <w:rPr>
          <w:rFonts w:ascii="Arial" w:cs="Arial" w:eastAsia="Arial" w:hAnsi="Arial"/>
          <w:sz w:val="13"/>
          <w:szCs w:val="13"/>
          <w:color w:val="auto"/>
        </w:rPr>
        <w:t xml:space="preserve">12.2 If any action the subject matter of which is within the scope of </w:t>
      </w:r>
      <w:r>
        <w:rPr>
          <w:rFonts w:ascii="Arial" w:cs="Arial" w:eastAsia="Arial" w:hAnsi="Arial"/>
          <w:sz w:val="13"/>
          <w:szCs w:val="13"/>
          <w:u w:val="single" w:color="auto"/>
          <w:color w:val="auto"/>
        </w:rPr>
        <w:t>Section 12.1</w:t>
      </w:r>
      <w:r>
        <w:rPr>
          <w:rFonts w:ascii="Arial" w:cs="Arial" w:eastAsia="Arial" w:hAnsi="Arial"/>
          <w:sz w:val="13"/>
          <w:szCs w:val="13"/>
          <w:color w:val="auto"/>
        </w:rPr>
        <w:t xml:space="preserve"> is filed in a court other than a court located within the State of Delaware (a “Foreign Action”) in the name of any stockholder of the Corporation,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3"/>
          <w:szCs w:val="13"/>
          <w:u w:val="single" w:color="auto"/>
          <w:color w:val="auto"/>
        </w:rPr>
        <w:t>Section 12.1</w:t>
      </w:r>
      <w:r>
        <w:rPr>
          <w:rFonts w:ascii="Arial" w:cs="Arial" w:eastAsia="Arial" w:hAnsi="Arial"/>
          <w:sz w:val="13"/>
          <w:szCs w:val="13"/>
          <w:color w:val="auto"/>
        </w:rPr>
        <w:t xml:space="preserve"> (an “Enforcement Action”) and (ii) having service of process made upon such stockholder in any such Enforcement Action by service upon such stockholder’s counsel in the Foreign Action as agent for such stockholder.</w:t>
      </w:r>
    </w:p>
    <w:p>
      <w:pPr>
        <w:spacing w:after="0" w:line="122" w:lineRule="exact"/>
        <w:rPr>
          <w:sz w:val="20"/>
          <w:szCs w:val="20"/>
          <w:color w:val="auto"/>
        </w:rPr>
      </w:pPr>
    </w:p>
    <w:p>
      <w:pPr>
        <w:jc w:val="both"/>
        <w:ind w:firstLine="1131"/>
        <w:spacing w:after="0" w:line="266" w:lineRule="auto"/>
        <w:rPr>
          <w:sz w:val="20"/>
          <w:szCs w:val="20"/>
          <w:color w:val="auto"/>
        </w:rPr>
      </w:pPr>
      <w:r>
        <w:rPr>
          <w:rFonts w:ascii="Arial" w:cs="Arial" w:eastAsia="Arial" w:hAnsi="Arial"/>
          <w:sz w:val="16"/>
          <w:szCs w:val="16"/>
          <w:color w:val="auto"/>
        </w:rPr>
        <w:t>12.3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57" w:lineRule="exact"/>
        <w:rPr>
          <w:sz w:val="20"/>
          <w:szCs w:val="20"/>
          <w:color w:val="auto"/>
        </w:rPr>
      </w:pPr>
    </w:p>
    <w:p>
      <w:pPr>
        <w:jc w:val="both"/>
        <w:ind w:right="20" w:firstLine="1131"/>
        <w:spacing w:after="0" w:line="266" w:lineRule="auto"/>
        <w:rPr>
          <w:sz w:val="20"/>
          <w:szCs w:val="20"/>
          <w:color w:val="auto"/>
        </w:rPr>
      </w:pPr>
      <w:r>
        <w:rPr>
          <w:rFonts w:ascii="Arial" w:cs="Arial" w:eastAsia="Arial" w:hAnsi="Arial"/>
          <w:sz w:val="16"/>
          <w:szCs w:val="16"/>
          <w:color w:val="auto"/>
        </w:rPr>
        <w:t xml:space="preserve">12.4 Any person or entity purchasing, holding, owning or otherwise acquiring any interest in any security of the Corporation shall be deemed to have notice of and to have consented to the provisions of this </w:t>
      </w:r>
      <w:r>
        <w:rPr>
          <w:rFonts w:ascii="Arial" w:cs="Arial" w:eastAsia="Arial" w:hAnsi="Arial"/>
          <w:sz w:val="16"/>
          <w:szCs w:val="16"/>
          <w:u w:val="single" w:color="auto"/>
          <w:color w:val="auto"/>
        </w:rPr>
        <w:t>Article 12.</w:t>
      </w:r>
    </w:p>
    <w:p>
      <w:pPr>
        <w:spacing w:after="0" w:line="157" w:lineRule="exact"/>
        <w:rPr>
          <w:sz w:val="20"/>
          <w:szCs w:val="20"/>
          <w:color w:val="auto"/>
        </w:rPr>
      </w:pPr>
    </w:p>
    <w:p>
      <w:pPr>
        <w:jc w:val="both"/>
        <w:ind w:firstLine="560"/>
        <w:spacing w:after="0" w:line="268" w:lineRule="auto"/>
        <w:tabs>
          <w:tab w:leader="none" w:pos="801" w:val="left"/>
        </w:tabs>
        <w:numPr>
          <w:ilvl w:val="0"/>
          <w:numId w:val="230"/>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xml:space="preserve">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317" w:name="page318"/>
    <w:bookmarkEnd w:id="317"/>
    <w:p>
      <w:pPr>
        <w:jc w:val="both"/>
        <w:ind w:firstLine="560"/>
        <w:spacing w:after="0" w:line="249" w:lineRule="auto"/>
        <w:tabs>
          <w:tab w:leader="none" w:pos="801"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Corporate Opportunity.</w:t>
      </w:r>
      <w:r>
        <w:rPr>
          <w:rFonts w:ascii="Arial" w:cs="Arial" w:eastAsia="Arial" w:hAnsi="Arial"/>
          <w:sz w:val="16"/>
          <w:szCs w:val="16"/>
          <w:color w:val="auto"/>
        </w:rPr>
        <w:t xml:space="preserve"> To the fullest extent allowed by law,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or presented to, or acquired or developed by such person solely in his or her capacity as a Director or officer of the Corporation and (i) such opportunity is one the Corporation is legally and contractually permitted to undertake and would otherwise be reasonable for the Corporation to pursue and (ii) such Director or officer is permitted to refer that opportunity to the Corporation without violating any legal obligation.</w:t>
      </w:r>
    </w:p>
    <w:p>
      <w:pPr>
        <w:spacing w:after="0" w:line="171" w:lineRule="exact"/>
        <w:rPr>
          <w:rFonts w:ascii="Arial" w:cs="Arial" w:eastAsia="Arial" w:hAnsi="Arial"/>
          <w:sz w:val="16"/>
          <w:szCs w:val="16"/>
          <w:color w:val="auto"/>
        </w:rPr>
      </w:pPr>
    </w:p>
    <w:p>
      <w:pPr>
        <w:ind w:right="20" w:firstLine="560"/>
        <w:spacing w:after="0" w:line="266" w:lineRule="auto"/>
        <w:tabs>
          <w:tab w:leader="none" w:pos="813"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As used in this Certificate of Incorporation, unless the context otherwise requires or as set forth in another Article or Section of this Certificate of Incorporation, the term:</w:t>
      </w:r>
    </w:p>
    <w:p>
      <w:pPr>
        <w:spacing w:after="0" w:line="157" w:lineRule="exact"/>
        <w:rPr>
          <w:rFonts w:ascii="Arial" w:cs="Arial" w:eastAsia="Arial" w:hAnsi="Arial"/>
          <w:sz w:val="16"/>
          <w:szCs w:val="16"/>
          <w:color w:val="auto"/>
        </w:rPr>
      </w:pPr>
    </w:p>
    <w:p>
      <w:pPr>
        <w:jc w:val="both"/>
        <w:ind w:left="560" w:firstLine="1130"/>
        <w:spacing w:after="0" w:line="274" w:lineRule="auto"/>
        <w:tabs>
          <w:tab w:leader="none" w:pos="1904" w:val="left"/>
        </w:tabs>
        <w:numPr>
          <w:ilvl w:val="1"/>
          <w:numId w:val="231"/>
        </w:numPr>
        <w:rPr>
          <w:rFonts w:ascii="Arial" w:cs="Arial" w:eastAsia="Arial" w:hAnsi="Arial"/>
          <w:sz w:val="15"/>
          <w:szCs w:val="15"/>
          <w:color w:val="auto"/>
        </w:rPr>
      </w:pPr>
      <w:r>
        <w:rPr>
          <w:rFonts w:ascii="Arial" w:cs="Arial" w:eastAsia="Arial" w:hAnsi="Arial"/>
          <w:sz w:val="15"/>
          <w:szCs w:val="15"/>
          <w:u w:val="single" w:color="auto"/>
          <w:color w:val="auto"/>
        </w:rPr>
        <w:t>“Affiliate”</w:t>
      </w:r>
      <w:r>
        <w:rPr>
          <w:rFonts w:ascii="Arial" w:cs="Arial" w:eastAsia="Arial" w:hAnsi="Arial"/>
          <w:sz w:val="15"/>
          <w:szCs w:val="15"/>
          <w:color w:val="auto"/>
        </w:rPr>
        <w:t xml:space="preserve"> means, with respect to any Person, any other Person directly or indirectly controlling, controlled by or under common control with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(including any representatives of such stockholder serving on the Board).</w:t>
      </w:r>
    </w:p>
    <w:p>
      <w:pPr>
        <w:spacing w:after="0" w:line="154" w:lineRule="exact"/>
        <w:rPr>
          <w:rFonts w:ascii="Arial" w:cs="Arial" w:eastAsia="Arial" w:hAnsi="Arial"/>
          <w:sz w:val="15"/>
          <w:szCs w:val="15"/>
          <w:color w:val="auto"/>
        </w:rPr>
      </w:pPr>
    </w:p>
    <w:p>
      <w:pPr>
        <w:ind w:left="1920" w:hanging="230"/>
        <w:spacing w:after="0"/>
        <w:tabs>
          <w:tab w:leader="none" w:pos="192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5.1(ii)(1).</w:t>
      </w:r>
    </w:p>
    <w:p>
      <w:pPr>
        <w:spacing w:after="0" w:line="192" w:lineRule="exact"/>
        <w:rPr>
          <w:rFonts w:ascii="Arial" w:cs="Arial" w:eastAsia="Arial" w:hAnsi="Arial"/>
          <w:sz w:val="16"/>
          <w:szCs w:val="16"/>
          <w:color w:val="auto"/>
        </w:rPr>
      </w:pPr>
    </w:p>
    <w:p>
      <w:pPr>
        <w:ind w:left="1900" w:hanging="210"/>
        <w:spacing w:after="0"/>
        <w:tabs>
          <w:tab w:leader="none" w:pos="190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is defined in Section 7.1(f).</w:t>
      </w:r>
    </w:p>
    <w:p>
      <w:pPr>
        <w:spacing w:after="0" w:line="192" w:lineRule="exact"/>
        <w:rPr>
          <w:rFonts w:ascii="Arial" w:cs="Arial" w:eastAsia="Arial" w:hAnsi="Arial"/>
          <w:sz w:val="16"/>
          <w:szCs w:val="16"/>
          <w:color w:val="auto"/>
        </w:rPr>
      </w:pPr>
    </w:p>
    <w:p>
      <w:pPr>
        <w:ind w:left="1920" w:hanging="230"/>
        <w:spacing w:after="0"/>
        <w:tabs>
          <w:tab w:leader="none" w:pos="192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is defined in Section 5.2(a).</w:t>
      </w:r>
    </w:p>
    <w:p>
      <w:pPr>
        <w:spacing w:after="0" w:line="192" w:lineRule="exact"/>
        <w:rPr>
          <w:rFonts w:ascii="Arial" w:cs="Arial" w:eastAsia="Arial" w:hAnsi="Arial"/>
          <w:sz w:val="16"/>
          <w:szCs w:val="16"/>
          <w:color w:val="auto"/>
        </w:rPr>
      </w:pPr>
    </w:p>
    <w:p>
      <w:pPr>
        <w:ind w:left="1900" w:hanging="210"/>
        <w:spacing w:after="0"/>
        <w:tabs>
          <w:tab w:leader="none" w:pos="190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is defined in Section 4.1.</w:t>
      </w:r>
    </w:p>
    <w:p>
      <w:pPr>
        <w:spacing w:after="0" w:line="192" w:lineRule="exact"/>
        <w:rPr>
          <w:rFonts w:ascii="Arial" w:cs="Arial" w:eastAsia="Arial" w:hAnsi="Arial"/>
          <w:sz w:val="16"/>
          <w:szCs w:val="16"/>
          <w:color w:val="auto"/>
        </w:rPr>
      </w:pPr>
    </w:p>
    <w:p>
      <w:pPr>
        <w:ind w:left="1880" w:hanging="190"/>
        <w:spacing w:after="0"/>
        <w:tabs>
          <w:tab w:leader="none" w:pos="1880" w:val="left"/>
        </w:tabs>
        <w:numPr>
          <w:ilvl w:val="1"/>
          <w:numId w:val="231"/>
        </w:numPr>
        <w:rPr>
          <w:rFonts w:ascii="Arial" w:cs="Arial" w:eastAsia="Arial" w:hAnsi="Arial"/>
          <w:sz w:val="16"/>
          <w:szCs w:val="16"/>
          <w:color w:val="auto"/>
        </w:rPr>
      </w:pPr>
      <w:r>
        <w:rPr>
          <w:rFonts w:ascii="Arial" w:cs="Arial" w:eastAsia="Arial" w:hAnsi="Arial"/>
          <w:sz w:val="16"/>
          <w:szCs w:val="16"/>
          <w:u w:val="single" w:color="auto"/>
          <w:color w:val="auto"/>
        </w:rPr>
        <w:t>“Class A LLC Unit”</w:t>
      </w:r>
      <w:r>
        <w:rPr>
          <w:rFonts w:ascii="Arial" w:cs="Arial" w:eastAsia="Arial" w:hAnsi="Arial"/>
          <w:sz w:val="16"/>
          <w:szCs w:val="16"/>
          <w:color w:val="auto"/>
        </w:rPr>
        <w:t xml:space="preserve"> means a unit of Opal Fuels LLC designated as a “Class A Unit” pursuant to the Operating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318" w:name="page319"/>
    <w:bookmarkEnd w:id="318"/>
    <w:p>
      <w:pPr>
        <w:ind w:left="1360" w:hanging="230"/>
        <w:spacing w:after="0"/>
        <w:tabs>
          <w:tab w:leader="none" w:pos="13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is defined in Section 4.1.</w:t>
      </w:r>
    </w:p>
    <w:p>
      <w:pPr>
        <w:spacing w:after="0" w:line="192" w:lineRule="exact"/>
        <w:rPr>
          <w:rFonts w:ascii="Arial" w:cs="Arial" w:eastAsia="Arial" w:hAnsi="Arial"/>
          <w:sz w:val="16"/>
          <w:szCs w:val="16"/>
          <w:color w:val="auto"/>
        </w:rPr>
      </w:pPr>
    </w:p>
    <w:p>
      <w:pPr>
        <w:ind w:left="1360" w:hanging="230"/>
        <w:spacing w:after="0"/>
        <w:tabs>
          <w:tab w:leader="none" w:pos="1360"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“Class B LLC Unit</w:t>
      </w:r>
      <w:r>
        <w:rPr>
          <w:rFonts w:ascii="Arial" w:cs="Arial" w:eastAsia="Arial" w:hAnsi="Arial"/>
          <w:sz w:val="16"/>
          <w:szCs w:val="16"/>
          <w:color w:val="auto"/>
        </w:rPr>
        <w:t>” means a unit of Opal Fuels LLC designated as a “Class B Unit” pursuant to the Operating Agreement.</w:t>
      </w:r>
    </w:p>
    <w:p>
      <w:pPr>
        <w:spacing w:after="0" w:line="192" w:lineRule="exact"/>
        <w:rPr>
          <w:rFonts w:ascii="Arial" w:cs="Arial" w:eastAsia="Arial" w:hAnsi="Arial"/>
          <w:sz w:val="16"/>
          <w:szCs w:val="16"/>
          <w:color w:val="auto"/>
        </w:rPr>
      </w:pPr>
    </w:p>
    <w:p>
      <w:pPr>
        <w:ind w:left="1320" w:hanging="190"/>
        <w:spacing w:after="0"/>
        <w:tabs>
          <w:tab w:leader="none" w:pos="132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is defined in Section 4.1.</w:t>
      </w:r>
    </w:p>
    <w:p>
      <w:pPr>
        <w:spacing w:after="0" w:line="192" w:lineRule="exact"/>
        <w:rPr>
          <w:rFonts w:ascii="Arial" w:cs="Arial" w:eastAsia="Arial" w:hAnsi="Arial"/>
          <w:sz w:val="16"/>
          <w:szCs w:val="16"/>
          <w:color w:val="auto"/>
        </w:rPr>
      </w:pPr>
    </w:p>
    <w:p>
      <w:pPr>
        <w:ind w:left="1320" w:hanging="190"/>
        <w:spacing w:after="0"/>
        <w:tabs>
          <w:tab w:leader="none" w:pos="132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Common Stock</w:t>
      </w:r>
      <w:r>
        <w:rPr>
          <w:rFonts w:ascii="Arial" w:cs="Arial" w:eastAsia="Arial" w:hAnsi="Arial"/>
          <w:sz w:val="16"/>
          <w:szCs w:val="16"/>
          <w:color w:val="auto"/>
        </w:rPr>
        <w:t>” is defined in Section 4.1.</w:t>
      </w:r>
    </w:p>
    <w:p>
      <w:pPr>
        <w:spacing w:after="0" w:line="192" w:lineRule="exact"/>
        <w:rPr>
          <w:rFonts w:ascii="Arial" w:cs="Arial" w:eastAsia="Arial" w:hAnsi="Arial"/>
          <w:sz w:val="16"/>
          <w:szCs w:val="16"/>
          <w:color w:val="auto"/>
        </w:rPr>
      </w:pPr>
    </w:p>
    <w:p>
      <w:pPr>
        <w:ind w:left="1360" w:hanging="230"/>
        <w:spacing w:after="0"/>
        <w:tabs>
          <w:tab w:leader="none" w:pos="13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is defined in Section 4.1.</w:t>
      </w:r>
    </w:p>
    <w:p>
      <w:pPr>
        <w:spacing w:after="0" w:line="192" w:lineRule="exact"/>
        <w:rPr>
          <w:rFonts w:ascii="Arial" w:cs="Arial" w:eastAsia="Arial" w:hAnsi="Arial"/>
          <w:sz w:val="16"/>
          <w:szCs w:val="16"/>
          <w:color w:val="auto"/>
        </w:rPr>
      </w:pPr>
    </w:p>
    <w:p>
      <w:pPr>
        <w:jc w:val="both"/>
        <w:ind w:right="20" w:firstLine="1130"/>
        <w:spacing w:after="0" w:line="256" w:lineRule="auto"/>
        <w:tabs>
          <w:tab w:leader="none" w:pos="1318"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“control”</w:t>
      </w:r>
      <w:r>
        <w:rPr>
          <w:rFonts w:ascii="Arial" w:cs="Arial" w:eastAsia="Arial" w:hAnsi="Arial"/>
          <w:sz w:val="16"/>
          <w:szCs w:val="16"/>
          <w:color w:val="auto"/>
        </w:rPr>
        <w:t xml:space="preserve"> (including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“controlled”),</w:t>
      </w:r>
      <w:r>
        <w:rPr>
          <w:rFonts w:ascii="Arial" w:cs="Arial" w:eastAsia="Arial" w:hAnsi="Arial"/>
          <w:sz w:val="16"/>
          <w:szCs w:val="16"/>
          <w:color w:val="auto"/>
        </w:rPr>
        <w:t xml:space="preserve">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65" w:lineRule="exact"/>
        <w:rPr>
          <w:rFonts w:ascii="Arial" w:cs="Arial" w:eastAsia="Arial" w:hAnsi="Arial"/>
          <w:sz w:val="16"/>
          <w:szCs w:val="16"/>
          <w:color w:val="auto"/>
        </w:rPr>
      </w:pPr>
    </w:p>
    <w:p>
      <w:pPr>
        <w:ind w:left="1400" w:hanging="270"/>
        <w:spacing w:after="0"/>
        <w:tabs>
          <w:tab w:leader="none" w:pos="14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is defined in Section 1.</w:t>
      </w:r>
    </w:p>
    <w:p>
      <w:pPr>
        <w:spacing w:after="0" w:line="192" w:lineRule="exact"/>
        <w:rPr>
          <w:rFonts w:ascii="Arial" w:cs="Arial" w:eastAsia="Arial" w:hAnsi="Arial"/>
          <w:sz w:val="16"/>
          <w:szCs w:val="16"/>
          <w:color w:val="auto"/>
        </w:rPr>
      </w:pPr>
    </w:p>
    <w:p>
      <w:pPr>
        <w:ind w:left="1360" w:hanging="230"/>
        <w:spacing w:after="0"/>
        <w:tabs>
          <w:tab w:leader="none" w:pos="13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Directors</w:t>
      </w:r>
      <w:r>
        <w:rPr>
          <w:rFonts w:ascii="Arial" w:cs="Arial" w:eastAsia="Arial" w:hAnsi="Arial"/>
          <w:sz w:val="16"/>
          <w:szCs w:val="16"/>
          <w:color w:val="auto"/>
        </w:rPr>
        <w:t>” is defined in Section 7.1(i).</w:t>
      </w:r>
    </w:p>
    <w:p>
      <w:pPr>
        <w:spacing w:after="0" w:line="192" w:lineRule="exact"/>
        <w:rPr>
          <w:rFonts w:ascii="Arial" w:cs="Arial" w:eastAsia="Arial" w:hAnsi="Arial"/>
          <w:sz w:val="16"/>
          <w:szCs w:val="16"/>
          <w:color w:val="auto"/>
        </w:rPr>
      </w:pPr>
    </w:p>
    <w:p>
      <w:pPr>
        <w:ind w:left="1360" w:hanging="230"/>
        <w:spacing w:after="0"/>
        <w:tabs>
          <w:tab w:leader="none" w:pos="13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Enforcement Action</w:t>
      </w:r>
      <w:r>
        <w:rPr>
          <w:rFonts w:ascii="Arial" w:cs="Arial" w:eastAsia="Arial" w:hAnsi="Arial"/>
          <w:sz w:val="16"/>
          <w:szCs w:val="16"/>
          <w:color w:val="auto"/>
        </w:rPr>
        <w:t>” is defined in Section 12.2.</w:t>
      </w:r>
    </w:p>
    <w:p>
      <w:pPr>
        <w:spacing w:after="0" w:line="192" w:lineRule="exact"/>
        <w:rPr>
          <w:rFonts w:ascii="Arial" w:cs="Arial" w:eastAsia="Arial" w:hAnsi="Arial"/>
          <w:sz w:val="16"/>
          <w:szCs w:val="16"/>
          <w:color w:val="auto"/>
        </w:rPr>
      </w:pPr>
    </w:p>
    <w:p>
      <w:pPr>
        <w:ind w:left="1360" w:hanging="230"/>
        <w:spacing w:after="0"/>
        <w:tabs>
          <w:tab w:leader="none" w:pos="13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Action</w:t>
      </w:r>
      <w:r>
        <w:rPr>
          <w:rFonts w:ascii="Arial" w:cs="Arial" w:eastAsia="Arial" w:hAnsi="Arial"/>
          <w:sz w:val="16"/>
          <w:szCs w:val="16"/>
          <w:color w:val="auto"/>
        </w:rPr>
        <w:t>” is defined in Section 12.2.</w:t>
      </w:r>
    </w:p>
    <w:p>
      <w:pPr>
        <w:spacing w:after="0" w:line="192" w:lineRule="exact"/>
        <w:rPr>
          <w:rFonts w:ascii="Arial" w:cs="Arial" w:eastAsia="Arial" w:hAnsi="Arial"/>
          <w:sz w:val="16"/>
          <w:szCs w:val="16"/>
          <w:color w:val="auto"/>
        </w:rPr>
      </w:pPr>
    </w:p>
    <w:p>
      <w:pPr>
        <w:ind w:left="1360" w:hanging="230"/>
        <w:spacing w:after="0"/>
        <w:tabs>
          <w:tab w:leader="none" w:pos="1360"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“General Corporation Law”</w:t>
      </w:r>
      <w:r>
        <w:rPr>
          <w:rFonts w:ascii="Arial" w:cs="Arial" w:eastAsia="Arial" w:hAnsi="Arial"/>
          <w:sz w:val="16"/>
          <w:szCs w:val="16"/>
          <w:color w:val="auto"/>
        </w:rPr>
        <w:t xml:space="preserve"> means the General Corporation Law of the State of Delaware, as from time to time in effect.</w:t>
      </w:r>
    </w:p>
    <w:p>
      <w:pPr>
        <w:spacing w:after="0" w:line="192" w:lineRule="exact"/>
        <w:rPr>
          <w:rFonts w:ascii="Arial" w:cs="Arial" w:eastAsia="Arial" w:hAnsi="Arial"/>
          <w:sz w:val="16"/>
          <w:szCs w:val="16"/>
          <w:color w:val="auto"/>
        </w:rPr>
      </w:pPr>
    </w:p>
    <w:p>
      <w:pPr>
        <w:ind w:left="1320" w:hanging="190"/>
        <w:spacing w:after="0"/>
        <w:tabs>
          <w:tab w:leader="none" w:pos="1320"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“Opal Fuels LLC”</w:t>
      </w:r>
      <w:r>
        <w:rPr>
          <w:rFonts w:ascii="Arial" w:cs="Arial" w:eastAsia="Arial" w:hAnsi="Arial"/>
          <w:sz w:val="16"/>
          <w:szCs w:val="16"/>
          <w:color w:val="auto"/>
        </w:rPr>
        <w:t xml:space="preserve"> means Opal Fuels LLC, a Delaware limited liability company or any successor thereto.</w:t>
      </w:r>
    </w:p>
    <w:p>
      <w:pPr>
        <w:spacing w:after="0" w:line="192" w:lineRule="exact"/>
        <w:rPr>
          <w:rFonts w:ascii="Arial" w:cs="Arial" w:eastAsia="Arial" w:hAnsi="Arial"/>
          <w:sz w:val="16"/>
          <w:szCs w:val="16"/>
          <w:color w:val="auto"/>
        </w:rPr>
      </w:pPr>
    </w:p>
    <w:p>
      <w:pPr>
        <w:jc w:val="both"/>
        <w:ind w:firstLine="1130"/>
        <w:spacing w:after="0" w:line="256" w:lineRule="auto"/>
        <w:tabs>
          <w:tab w:leader="none" w:pos="1335"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“Operating Agreement”</w:t>
      </w:r>
      <w:r>
        <w:rPr>
          <w:rFonts w:ascii="Arial" w:cs="Arial" w:eastAsia="Arial" w:hAnsi="Arial"/>
          <w:sz w:val="16"/>
          <w:szCs w:val="16"/>
          <w:color w:val="auto"/>
        </w:rPr>
        <w:t xml:space="preserve"> means the Second Amended and Restated Limited Liability Company Agreement of Opal Fuels LLC, dated as of July 21, 2022, by and among the Corporation, the Post-Acquisition LLC Members and the other Persons that may become parties thereto from time to time, as the same may be amended, restated, supplemented and/or otherwise modified, from time to time.</w:t>
      </w:r>
    </w:p>
    <w:p>
      <w:pPr>
        <w:spacing w:after="0" w:line="165" w:lineRule="exact"/>
        <w:rPr>
          <w:rFonts w:ascii="Arial" w:cs="Arial" w:eastAsia="Arial" w:hAnsi="Arial"/>
          <w:sz w:val="16"/>
          <w:szCs w:val="16"/>
          <w:color w:val="auto"/>
        </w:rPr>
      </w:pPr>
    </w:p>
    <w:p>
      <w:pPr>
        <w:ind w:firstLine="1130"/>
        <w:spacing w:after="0" w:line="266" w:lineRule="auto"/>
        <w:tabs>
          <w:tab w:leader="none" w:pos="131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Paired Interest</w:t>
      </w:r>
      <w:r>
        <w:rPr>
          <w:rFonts w:ascii="Arial" w:cs="Arial" w:eastAsia="Arial" w:hAnsi="Arial"/>
          <w:sz w:val="16"/>
          <w:szCs w:val="16"/>
          <w:color w:val="auto"/>
        </w:rPr>
        <w:t>” means one Class B LLC Unit, together with one share of Class B Common Stock or one share of Class D Common Stock, as the case may be, subject to adjustment pursuant to Article XI of the Operating Agreement.</w:t>
      </w:r>
    </w:p>
    <w:p>
      <w:pPr>
        <w:spacing w:after="0" w:line="157" w:lineRule="exact"/>
        <w:rPr>
          <w:rFonts w:ascii="Arial" w:cs="Arial" w:eastAsia="Arial" w:hAnsi="Arial"/>
          <w:sz w:val="16"/>
          <w:szCs w:val="16"/>
          <w:color w:val="auto"/>
        </w:rPr>
      </w:pPr>
    </w:p>
    <w:p>
      <w:pPr>
        <w:ind w:left="1360" w:hanging="230"/>
        <w:spacing w:after="0"/>
        <w:tabs>
          <w:tab w:leader="none" w:pos="1360" w:val="left"/>
        </w:tabs>
        <w:numPr>
          <w:ilvl w:val="0"/>
          <w:numId w:val="232"/>
        </w:numPr>
        <w:rPr>
          <w:rFonts w:ascii="Arial" w:cs="Arial" w:eastAsia="Arial" w:hAnsi="Arial"/>
          <w:sz w:val="13"/>
          <w:szCs w:val="13"/>
          <w:color w:val="auto"/>
        </w:rPr>
      </w:pPr>
      <w:r>
        <w:rPr>
          <w:rFonts w:ascii="Arial" w:cs="Arial" w:eastAsia="Arial" w:hAnsi="Arial"/>
          <w:sz w:val="13"/>
          <w:szCs w:val="13"/>
          <w:u w:val="single" w:color="auto"/>
          <w:color w:val="auto"/>
        </w:rPr>
        <w:t>“Person”</w:t>
      </w:r>
      <w:r>
        <w:rPr>
          <w:rFonts w:ascii="Arial" w:cs="Arial" w:eastAsia="Arial" w:hAnsi="Arial"/>
          <w:sz w:val="13"/>
          <w:szCs w:val="13"/>
          <w:color w:val="auto"/>
        </w:rPr>
        <w:t xml:space="preserve"> means any individual, partnership, firm, corporation, limited liability company, association, trust, unincorporated organization or other</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entity.</w:t>
      </w:r>
    </w:p>
    <w:p>
      <w:pPr>
        <w:spacing w:after="0" w:line="181" w:lineRule="exact"/>
        <w:rPr>
          <w:rFonts w:ascii="Arial" w:cs="Arial" w:eastAsia="Arial" w:hAnsi="Arial"/>
          <w:sz w:val="13"/>
          <w:szCs w:val="13"/>
          <w:color w:val="auto"/>
        </w:rPr>
      </w:pPr>
    </w:p>
    <w:p>
      <w:pPr>
        <w:ind w:left="1360" w:hanging="230"/>
        <w:spacing w:after="0"/>
        <w:tabs>
          <w:tab w:leader="none" w:pos="1360" w:val="left"/>
        </w:tabs>
        <w:numPr>
          <w:ilvl w:val="0"/>
          <w:numId w:val="232"/>
        </w:numPr>
        <w:rPr>
          <w:rFonts w:ascii="Arial" w:cs="Arial" w:eastAsia="Arial" w:hAnsi="Arial"/>
          <w:sz w:val="15"/>
          <w:szCs w:val="15"/>
          <w:color w:val="auto"/>
        </w:rPr>
      </w:pPr>
      <w:r>
        <w:rPr>
          <w:rFonts w:ascii="Arial" w:cs="Arial" w:eastAsia="Arial" w:hAnsi="Arial"/>
          <w:sz w:val="15"/>
          <w:szCs w:val="15"/>
          <w:u w:val="single" w:color="auto"/>
          <w:color w:val="auto"/>
        </w:rPr>
        <w:t>“Post-Acquisition LLC Members”</w:t>
      </w:r>
      <w:r>
        <w:rPr>
          <w:rFonts w:ascii="Arial" w:cs="Arial" w:eastAsia="Arial" w:hAnsi="Arial"/>
          <w:sz w:val="15"/>
          <w:szCs w:val="15"/>
          <w:color w:val="auto"/>
        </w:rPr>
        <w:t xml:space="preserve"> means those members of Opal Fuels LLC, as set forth in the Operating Agreement, as of the date thereof.</w:t>
      </w:r>
    </w:p>
    <w:p>
      <w:pPr>
        <w:spacing w:after="0" w:line="204" w:lineRule="exact"/>
        <w:rPr>
          <w:rFonts w:ascii="Arial" w:cs="Arial" w:eastAsia="Arial" w:hAnsi="Arial"/>
          <w:sz w:val="15"/>
          <w:szCs w:val="15"/>
          <w:color w:val="auto"/>
        </w:rPr>
      </w:pPr>
    </w:p>
    <w:p>
      <w:pPr>
        <w:ind w:left="1380" w:hanging="250"/>
        <w:spacing w:after="0"/>
        <w:tabs>
          <w:tab w:leader="none" w:pos="13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is defined in Section 4.1.</w:t>
      </w:r>
    </w:p>
    <w:p>
      <w:pPr>
        <w:spacing w:after="0" w:line="381"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10795</wp:posOffset>
            </wp:positionV>
            <wp:extent cx="7150100" cy="152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700"/>
          </w:cols>
          <w:pgMar w:left="880" w:top="809" w:right="319" w:bottom="1440" w:gutter="0" w:footer="0" w:header="0"/>
        </w:sectPr>
      </w:pPr>
    </w:p>
    <w:bookmarkStart w:id="319" w:name="page320"/>
    <w:bookmarkEnd w:id="319"/>
    <w:p>
      <w:pPr>
        <w:ind w:left="1400" w:hanging="270"/>
        <w:spacing w:after="0"/>
        <w:tabs>
          <w:tab w:leader="none" w:pos="140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7.1(ii).</w:t>
      </w:r>
    </w:p>
    <w:p>
      <w:pPr>
        <w:spacing w:after="0" w:line="192" w:lineRule="exact"/>
        <w:rPr>
          <w:rFonts w:ascii="Arial" w:cs="Arial" w:eastAsia="Arial" w:hAnsi="Arial"/>
          <w:sz w:val="16"/>
          <w:szCs w:val="16"/>
          <w:color w:val="auto"/>
        </w:rPr>
      </w:pPr>
    </w:p>
    <w:p>
      <w:pPr>
        <w:ind w:left="1440" w:hanging="310"/>
        <w:spacing w:after="0"/>
        <w:tabs>
          <w:tab w:leader="none" w:pos="144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Adjustment</w:t>
      </w:r>
      <w:r>
        <w:rPr>
          <w:rFonts w:ascii="Arial" w:cs="Arial" w:eastAsia="Arial" w:hAnsi="Arial"/>
          <w:sz w:val="16"/>
          <w:szCs w:val="16"/>
          <w:color w:val="auto"/>
        </w:rPr>
        <w:t>” is defined in Section 5.1(ii)(3).</w:t>
      </w:r>
    </w:p>
    <w:p>
      <w:pPr>
        <w:spacing w:after="0" w:line="192" w:lineRule="exact"/>
        <w:rPr>
          <w:rFonts w:ascii="Arial" w:cs="Arial" w:eastAsia="Arial" w:hAnsi="Arial"/>
          <w:sz w:val="16"/>
          <w:szCs w:val="16"/>
          <w:color w:val="auto"/>
        </w:rPr>
      </w:pPr>
    </w:p>
    <w:p>
      <w:pPr>
        <w:ind w:left="240" w:hanging="240"/>
        <w:spacing w:after="0"/>
        <w:tabs>
          <w:tab w:leader="none" w:pos="240" w:val="left"/>
        </w:tabs>
        <w:numPr>
          <w:ilvl w:val="0"/>
          <w:numId w:val="234"/>
        </w:numPr>
        <w:rPr>
          <w:rFonts w:ascii="Arial" w:cs="Arial" w:eastAsia="Arial" w:hAnsi="Arial"/>
          <w:sz w:val="13"/>
          <w:szCs w:val="13"/>
          <w:color w:val="auto"/>
        </w:rPr>
      </w:pPr>
      <w:r>
        <w:rPr>
          <w:rFonts w:ascii="Arial" w:cs="Arial" w:eastAsia="Arial" w:hAnsi="Arial"/>
          <w:sz w:val="13"/>
          <w:szCs w:val="13"/>
          <w:u w:val="single" w:color="auto"/>
          <w:color w:val="auto"/>
        </w:rPr>
        <w:t>Sole Incorporator.</w:t>
      </w:r>
      <w:r>
        <w:rPr>
          <w:rFonts w:ascii="Arial" w:cs="Arial" w:eastAsia="Arial" w:hAnsi="Arial"/>
          <w:sz w:val="13"/>
          <w:szCs w:val="13"/>
          <w:color w:val="auto"/>
        </w:rPr>
        <w:t xml:space="preserve"> The name and mailing address of the sole incorporator of the Corporation are:</w:t>
      </w:r>
    </w:p>
    <w:p>
      <w:pPr>
        <w:spacing w:after="0" w:line="223"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Sherie Hollinger</w:t>
      </w:r>
    </w:p>
    <w:p>
      <w:pPr>
        <w:spacing w:after="0" w:line="20"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Kirkland &amp; Ellis LLP</w:t>
      </w:r>
    </w:p>
    <w:p>
      <w:pPr>
        <w:spacing w:after="0" w:line="4"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609 Main St</w:t>
      </w:r>
    </w:p>
    <w:p>
      <w:pPr>
        <w:spacing w:after="0" w:line="4"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Houston, Texas 77002</w:t>
      </w:r>
    </w:p>
    <w:p>
      <w:pPr>
        <w:spacing w:after="0" w:line="181" w:lineRule="exact"/>
        <w:rPr>
          <w:sz w:val="20"/>
          <w:szCs w:val="20"/>
          <w:color w:val="auto"/>
        </w:rPr>
      </w:pPr>
    </w:p>
    <w:p>
      <w:pPr>
        <w:jc w:val="right"/>
        <w:ind w:right="3119"/>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381"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10795</wp:posOffset>
            </wp:positionV>
            <wp:extent cx="7150100" cy="152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9580"/>
          </w:cols>
          <w:pgMar w:left="880" w:top="809" w:right="1440" w:bottom="1440" w:gutter="0" w:footer="0" w:header="0"/>
        </w:sectPr>
      </w:pPr>
    </w:p>
    <w:bookmarkStart w:id="320" w:name="page321"/>
    <w:bookmarkEnd w:id="320"/>
    <w:p>
      <w:pPr>
        <w:ind w:firstLine="565"/>
        <w:spacing w:after="0" w:line="300" w:lineRule="auto"/>
        <w:rPr>
          <w:sz w:val="20"/>
          <w:szCs w:val="20"/>
          <w:color w:val="auto"/>
        </w:rPr>
      </w:pPr>
      <w:r>
        <w:rPr>
          <w:rFonts w:ascii="Arial" w:cs="Arial" w:eastAsia="Arial" w:hAnsi="Arial"/>
          <w:sz w:val="15"/>
          <w:szCs w:val="15"/>
          <w:color w:val="auto"/>
        </w:rPr>
        <w:t>THE UNDERSIGNED, being the sole incorporator hereinabove named, makes and files this Certificate of Incorporation, and does hereby declare and certify that said instrument is its act and deed and that the facts stated herein are true, and accordingly has executed this Certificate of Incorporation this 21st day of July, 2022.</w:t>
      </w:r>
    </w:p>
    <w:p>
      <w:pPr>
        <w:spacing w:after="0" w:line="134"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KIRKLAND &amp; ELLIS LLP</w:t>
      </w:r>
    </w:p>
    <w:p>
      <w:pPr>
        <w:spacing w:after="0" w:line="19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/s/Sherie Hollinger</w:t>
      </w:r>
    </w:p>
    <w:p>
      <w:pPr>
        <w:spacing w:after="0" w:line="1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Sherie Hollinger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-115570</wp:posOffset>
            </wp:positionV>
            <wp:extent cx="2498090" cy="152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4">
                      <a:extLst>
                        <a:ext uri="{28A0092B-C50C-407E-A947-70E740481C1C}"/>
                      </a:extLst>
                    </a:blip>
                    <a:srcRect/>
                    <a:stretch>
                      <a:fillRect/>
                    </a:stretch>
                  </pic:blipFill>
                  <pic:spPr bwMode="auto">
                    <a:xfrm>
                      <a:off x="0" y="0"/>
                      <a:ext cx="2498090" cy="15240"/>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Certificate of Incorporation]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146050</wp:posOffset>
            </wp:positionV>
            <wp:extent cx="4741545" cy="6134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6">
                      <a:extLst>
                        <a:ext uri="{28A0092B-C50C-407E-A947-70E740481C1C}"/>
                      </a:extLst>
                    </a:blip>
                    <a:srcRect/>
                    <a:stretch>
                      <a:fillRect/>
                    </a:stretch>
                  </pic:blipFill>
                  <pic:spPr bwMode="auto">
                    <a:xfrm>
                      <a:off x="0" y="0"/>
                      <a:ext cx="4741545" cy="61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16"/>
          <w:szCs w:val="16"/>
          <w:color w:val="auto"/>
        </w:rPr>
        <w:t>August 10, 2022</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VIA ELECTRONIC MAIL</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6"/>
          <w:szCs w:val="16"/>
          <w:color w:val="auto"/>
        </w:rPr>
        <w:t>OPAL Fuels Inc.</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One North Lexington Avenue, Suite 1450</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White Plains, NY 10601</w:t>
      </w:r>
    </w:p>
    <w:p>
      <w:pPr>
        <w:spacing w:after="0" w:line="181" w:lineRule="exact"/>
        <w:rPr>
          <w:sz w:val="20"/>
          <w:szCs w:val="20"/>
          <w:color w:val="auto"/>
        </w:rPr>
      </w:pPr>
    </w:p>
    <w:p>
      <w:pPr>
        <w:ind w:left="566"/>
        <w:spacing w:after="0"/>
        <w:rPr>
          <w:sz w:val="20"/>
          <w:szCs w:val="20"/>
          <w:color w:val="auto"/>
        </w:rPr>
      </w:pPr>
      <w:r>
        <w:rPr>
          <w:rFonts w:ascii="Arial" w:cs="Arial" w:eastAsia="Arial" w:hAnsi="Arial"/>
          <w:sz w:val="16"/>
          <w:szCs w:val="16"/>
          <w:color w:val="auto"/>
        </w:rPr>
        <w:t>Re: Registration Statement on Form S-1</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Ladies and Gentlemen:</w:t>
      </w:r>
    </w:p>
    <w:p>
      <w:pPr>
        <w:spacing w:after="0" w:line="193" w:lineRule="exact"/>
        <w:rPr>
          <w:sz w:val="20"/>
          <w:szCs w:val="20"/>
          <w:color w:val="auto"/>
        </w:rPr>
      </w:pPr>
    </w:p>
    <w:p>
      <w:pPr>
        <w:jc w:val="both"/>
        <w:ind w:left="6" w:firstLine="565"/>
        <w:spacing w:after="0" w:line="304" w:lineRule="auto"/>
        <w:rPr>
          <w:sz w:val="20"/>
          <w:szCs w:val="20"/>
          <w:color w:val="auto"/>
        </w:rPr>
      </w:pPr>
      <w:r>
        <w:rPr>
          <w:rFonts w:ascii="Arial" w:cs="Arial" w:eastAsia="Arial" w:hAnsi="Arial"/>
          <w:sz w:val="13"/>
          <w:szCs w:val="13"/>
          <w:color w:val="auto"/>
        </w:rPr>
        <w:t>We have acted as counsel to OPAL Fuels Inc., a Delaware corporation (the “Company”), in connection with the issuance of this opinion which relates to a Registration Statement on Form S-1 (such Registration Statement, as it may be subsequently amended or supplemented, is hereinafter referred to as the “Registration Statement”) originally filed by the Company with the Securities and Exchange Commission (the “SEC”) on August 10, 2022 under the Securities Act of 1933, as amended (the “Securities Act”). Capitalized terms used but not otherwise defined herein shall have the meanings set forth in the Registration Statement. The Registration Statement covers the resale or distribution from time to time by the selling securityholders named in the prospectus contained in the Registration Statement and any supplement thereto or their permitted transferees of up to an aggregate of 175,541,507 shares of the Company’s Class A common stock, par value $0.0001 per share (“Class A Common Stock”), consisting of (i) 10,838,609 shares (the “Busines Combination Agreement Shares”) of Class A Common Stock issued under the Business Combination Agreement, dated as of December 2, 2021, by and among ArcLight Clean Transition Corp. II (“</w:t>
      </w:r>
      <w:r>
        <w:rPr>
          <w:rFonts w:ascii="Arial" w:cs="Arial" w:eastAsia="Arial" w:hAnsi="Arial"/>
          <w:sz w:val="13"/>
          <w:szCs w:val="13"/>
          <w:b w:val="1"/>
          <w:bCs w:val="1"/>
          <w:color w:val="auto"/>
        </w:rPr>
        <w:t>ArcLight</w:t>
      </w:r>
      <w:r>
        <w:rPr>
          <w:rFonts w:ascii="Arial" w:cs="Arial" w:eastAsia="Arial" w:hAnsi="Arial"/>
          <w:sz w:val="13"/>
          <w:szCs w:val="13"/>
          <w:color w:val="auto"/>
        </w:rPr>
        <w:t>”), Opal Fuels LLC (“Opco”) and Opal HoldCo LLC to ARCC Beacon LLC, ArcLight CTC Holdings II, L.P. and certain former directors of ArcLight (as the same has been or may be amended, modified, supplemented or waived from time to time, the “Business Combination Agreement”);</w:t>
      </w:r>
    </w:p>
    <w:p>
      <w:pPr>
        <w:spacing w:after="0" w:line="3" w:lineRule="exact"/>
        <w:rPr>
          <w:sz w:val="20"/>
          <w:szCs w:val="20"/>
          <w:color w:val="auto"/>
        </w:rPr>
      </w:pPr>
    </w:p>
    <w:p>
      <w:pPr>
        <w:jc w:val="both"/>
        <w:ind w:left="6" w:right="20" w:hanging="6"/>
        <w:spacing w:after="0" w:line="267" w:lineRule="auto"/>
        <w:tabs>
          <w:tab w:leader="none" w:pos="25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144,399,037 shares (the “Exchange Shares”) of Class A Common Stock issuable upon the exchange of common units of Opco and the cancellation of an equal number of shares of Class D Common Stock of the Company issued to Opal Holdco and Hillman RNG Investments, LLC the Opco Common Equityholders; (iii) 9,223,261 shares of Class A Common Stock (the “</w:t>
      </w:r>
      <w:r>
        <w:rPr>
          <w:rFonts w:ascii="Arial" w:cs="Arial" w:eastAsia="Arial" w:hAnsi="Arial"/>
          <w:sz w:val="15"/>
          <w:szCs w:val="15"/>
          <w:b w:val="1"/>
          <w:bCs w:val="1"/>
          <w:color w:val="auto"/>
        </w:rPr>
        <w:t>Warrant Shares</w:t>
      </w:r>
      <w:r>
        <w:rPr>
          <w:rFonts w:ascii="Arial" w:cs="Arial" w:eastAsia="Arial" w:hAnsi="Arial"/>
          <w:sz w:val="15"/>
          <w:szCs w:val="15"/>
          <w:color w:val="auto"/>
        </w:rPr>
        <w:t>”) underlying 9,223,261 warrants (the “</w:t>
      </w:r>
      <w:r>
        <w:rPr>
          <w:rFonts w:ascii="Arial" w:cs="Arial" w:eastAsia="Arial" w:hAnsi="Arial"/>
          <w:sz w:val="15"/>
          <w:szCs w:val="15"/>
          <w:b w:val="1"/>
          <w:bCs w:val="1"/>
          <w:color w:val="auto"/>
        </w:rPr>
        <w:t>OPAL Private Placement Warrants</w:t>
      </w:r>
      <w:r>
        <w:rPr>
          <w:rFonts w:ascii="Arial" w:cs="Arial" w:eastAsia="Arial" w:hAnsi="Arial"/>
          <w:sz w:val="15"/>
          <w:szCs w:val="15"/>
          <w:color w:val="auto"/>
        </w:rPr>
        <w:t>”); and (iv) 11,080,600 shares (the “</w:t>
      </w:r>
      <w:r>
        <w:rPr>
          <w:rFonts w:ascii="Arial" w:cs="Arial" w:eastAsia="Arial" w:hAnsi="Arial"/>
          <w:sz w:val="15"/>
          <w:szCs w:val="15"/>
          <w:b w:val="1"/>
          <w:bCs w:val="1"/>
          <w:color w:val="auto"/>
        </w:rPr>
        <w:t>PIPE Shares</w:t>
      </w:r>
      <w:r>
        <w:rPr>
          <w:rFonts w:ascii="Arial" w:cs="Arial" w:eastAsia="Arial" w:hAnsi="Arial"/>
          <w:sz w:val="15"/>
          <w:szCs w:val="15"/>
          <w:color w:val="auto"/>
        </w:rPr>
        <w:t>” and together with the Business Combination Agreement Shares and the Exchange Shares, the “</w:t>
      </w:r>
      <w:r>
        <w:rPr>
          <w:rFonts w:ascii="Arial" w:cs="Arial" w:eastAsia="Arial" w:hAnsi="Arial"/>
          <w:sz w:val="15"/>
          <w:szCs w:val="15"/>
          <w:b w:val="1"/>
          <w:bCs w:val="1"/>
          <w:color w:val="auto"/>
        </w:rPr>
        <w:t>Shares</w:t>
      </w:r>
      <w:r>
        <w:rPr>
          <w:rFonts w:ascii="Arial" w:cs="Arial" w:eastAsia="Arial" w:hAnsi="Arial"/>
          <w:sz w:val="15"/>
          <w:szCs w:val="15"/>
          <w:color w:val="auto"/>
        </w:rPr>
        <w:t>”) of Class A Common Stock issued to the PIPE Investors pursuant to subscription agreements dated as of December 2, 2021 (the “Subscription Agreement”).</w:t>
      </w:r>
    </w:p>
    <w:p>
      <w:pPr>
        <w:spacing w:after="0" w:line="160" w:lineRule="exact"/>
        <w:rPr>
          <w:sz w:val="20"/>
          <w:szCs w:val="20"/>
          <w:color w:val="auto"/>
        </w:rPr>
      </w:pPr>
    </w:p>
    <w:p>
      <w:pPr>
        <w:ind w:left="6" w:firstLine="565"/>
        <w:spacing w:after="0" w:line="266" w:lineRule="auto"/>
        <w:rPr>
          <w:sz w:val="20"/>
          <w:szCs w:val="20"/>
          <w:color w:val="auto"/>
        </w:rPr>
      </w:pPr>
      <w:r>
        <w:rPr>
          <w:rFonts w:ascii="Arial" w:cs="Arial" w:eastAsia="Arial" w:hAnsi="Arial"/>
          <w:sz w:val="16"/>
          <w:szCs w:val="16"/>
          <w:color w:val="auto"/>
        </w:rPr>
        <w:t>This opinion letter is being delivered in accordance with the requirements of Item 601(b)(5)(i) of Regulation S-K under the Securities Act, and no opinion is expressed herein as to any matter pertaining to the contents of the Registration Statement.</w:t>
      </w:r>
    </w:p>
    <w:p>
      <w:pPr>
        <w:spacing w:after="0" w:line="157" w:lineRule="exact"/>
        <w:rPr>
          <w:sz w:val="20"/>
          <w:szCs w:val="20"/>
          <w:color w:val="auto"/>
        </w:rPr>
      </w:pPr>
    </w:p>
    <w:p>
      <w:pPr>
        <w:ind w:left="566"/>
        <w:spacing w:after="0"/>
        <w:rPr>
          <w:sz w:val="20"/>
          <w:szCs w:val="20"/>
          <w:color w:val="auto"/>
        </w:rPr>
      </w:pPr>
      <w:r>
        <w:rPr>
          <w:rFonts w:ascii="Arial" w:cs="Arial" w:eastAsia="Arial" w:hAnsi="Arial"/>
          <w:sz w:val="16"/>
          <w:szCs w:val="16"/>
          <w:color w:val="auto"/>
        </w:rPr>
        <w:t>In connection with the issuance of this opinion letter, we have examined originals or copies, certified or otherwise identified to our satisfaction, of:</w:t>
      </w:r>
    </w:p>
    <w:p>
      <w:pPr>
        <w:spacing w:after="0" w:line="193" w:lineRule="exact"/>
        <w:rPr>
          <w:sz w:val="20"/>
          <w:szCs w:val="20"/>
          <w:color w:val="auto"/>
        </w:rPr>
      </w:pPr>
    </w:p>
    <w:p>
      <w:pPr>
        <w:ind w:left="566"/>
        <w:spacing w:after="0"/>
        <w:rPr>
          <w:sz w:val="20"/>
          <w:szCs w:val="20"/>
          <w:color w:val="auto"/>
        </w:rPr>
      </w:pPr>
      <w:r>
        <w:rPr>
          <w:rFonts w:ascii="Arial" w:cs="Arial" w:eastAsia="Arial" w:hAnsi="Arial"/>
          <w:sz w:val="16"/>
          <w:szCs w:val="16"/>
          <w:color w:val="auto"/>
        </w:rPr>
        <w:t>a. the Registration Statement, including the prospectus contained therein and all exhibits thereto;</w:t>
      </w:r>
    </w:p>
    <w:p>
      <w:pPr>
        <w:spacing w:after="0" w:line="193" w:lineRule="exact"/>
        <w:rPr>
          <w:sz w:val="20"/>
          <w:szCs w:val="20"/>
          <w:color w:val="auto"/>
        </w:rPr>
      </w:pPr>
    </w:p>
    <w:p>
      <w:pPr>
        <w:ind w:left="566"/>
        <w:spacing w:after="0"/>
        <w:rPr>
          <w:sz w:val="20"/>
          <w:szCs w:val="20"/>
          <w:color w:val="auto"/>
        </w:rPr>
      </w:pPr>
      <w:r>
        <w:rPr>
          <w:rFonts w:ascii="Arial" w:cs="Arial" w:eastAsia="Arial" w:hAnsi="Arial"/>
          <w:sz w:val="16"/>
          <w:szCs w:val="16"/>
          <w:color w:val="auto"/>
        </w:rPr>
        <w:t>b. the Business Combination Agreement;</w:t>
      </w:r>
    </w:p>
    <w:p>
      <w:pPr>
        <w:spacing w:after="0" w:line="38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50100" cy="152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322" w:name="page323"/>
    <w:bookmarkEnd w:id="3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1388745</wp:posOffset>
            </wp:positionH>
            <wp:positionV relativeFrom="page">
              <wp:posOffset>522605</wp:posOffset>
            </wp:positionV>
            <wp:extent cx="4741545" cy="6134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4741545" cy="613410"/>
                    </a:xfrm>
                    <a:prstGeom prst="rect">
                      <a:avLst/>
                    </a:prstGeom>
                    <a:noFill/>
                  </pic:spPr>
                </pic:pic>
              </a:graphicData>
            </a:graphic>
          </wp:anchor>
        </w:drawing>
      </w:r>
    </w:p>
    <w:p>
      <w:pPr>
        <w:spacing w:after="0" w:line="3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 the Second Amended and Restated limited liability company agreement of Opco dated as of July 21, 2022;</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 the Subscription Agreements;</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 the OPAL Private Placement Warrants;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 the Certificate of Incorporation of the Company as presently in effect (the “Charter”);</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 the Bylaws of the Company as presently in effect (the “Bylaws”);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 a certificate of and officer of the Company dated the date hereof (the “</w:t>
      </w:r>
      <w:r>
        <w:rPr>
          <w:rFonts w:ascii="Arial" w:cs="Arial" w:eastAsia="Arial" w:hAnsi="Arial"/>
          <w:sz w:val="16"/>
          <w:szCs w:val="16"/>
          <w:b w:val="1"/>
          <w:bCs w:val="1"/>
          <w:color w:val="auto"/>
        </w:rPr>
        <w:t>Officer’s Certificate</w:t>
      </w:r>
      <w:r>
        <w:rPr>
          <w:rFonts w:ascii="Arial" w:cs="Arial" w:eastAsia="Arial" w:hAnsi="Arial"/>
          <w:sz w:val="16"/>
          <w:szCs w:val="16"/>
          <w:color w:val="auto"/>
        </w:rPr>
        <w:t>”); and</w:t>
      </w:r>
    </w:p>
    <w:p>
      <w:pPr>
        <w:spacing w:after="0" w:line="197" w:lineRule="exact"/>
        <w:rPr>
          <w:sz w:val="20"/>
          <w:szCs w:val="20"/>
          <w:color w:val="auto"/>
        </w:rPr>
      </w:pPr>
    </w:p>
    <w:p>
      <w:pPr>
        <w:ind w:right="20" w:firstLine="560"/>
        <w:spacing w:after="0" w:line="266" w:lineRule="auto"/>
        <w:tabs>
          <w:tab w:leader="none" w:pos="1013" w:val="left"/>
        </w:tabs>
        <w:numPr>
          <w:ilvl w:val="0"/>
          <w:numId w:val="236"/>
        </w:numPr>
        <w:rPr>
          <w:rFonts w:ascii="Arial" w:cs="Arial" w:eastAsia="Arial" w:hAnsi="Arial"/>
          <w:sz w:val="16"/>
          <w:szCs w:val="16"/>
          <w:color w:val="auto"/>
        </w:rPr>
      </w:pPr>
      <w:r>
        <w:rPr>
          <w:rFonts w:ascii="Arial" w:cs="Arial" w:eastAsia="Arial" w:hAnsi="Arial"/>
          <w:sz w:val="16"/>
          <w:szCs w:val="16"/>
          <w:color w:val="auto"/>
        </w:rPr>
        <w:t>certain resolutions adopted by the Board of Directors of the Company relating to Business Combination and the issuance of the Class A Common Stock being registered pursuant to the Registration Statement.</w:t>
      </w:r>
    </w:p>
    <w:p>
      <w:pPr>
        <w:spacing w:after="0" w:line="157" w:lineRule="exact"/>
        <w:rPr>
          <w:sz w:val="20"/>
          <w:szCs w:val="20"/>
          <w:color w:val="auto"/>
        </w:rPr>
      </w:pPr>
    </w:p>
    <w:p>
      <w:pPr>
        <w:jc w:val="both"/>
        <w:ind w:firstLine="565"/>
        <w:spacing w:after="0" w:line="256"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65" w:lineRule="exact"/>
        <w:rPr>
          <w:sz w:val="20"/>
          <w:szCs w:val="20"/>
          <w:color w:val="auto"/>
        </w:rPr>
      </w:pPr>
    </w:p>
    <w:p>
      <w:pPr>
        <w:jc w:val="both"/>
        <w:ind w:right="20" w:firstLine="565"/>
        <w:spacing w:after="0" w:line="274" w:lineRule="auto"/>
        <w:rPr>
          <w:sz w:val="20"/>
          <w:szCs w:val="20"/>
          <w:color w:val="auto"/>
        </w:rPr>
      </w:pPr>
      <w:r>
        <w:rPr>
          <w:rFonts w:ascii="Arial" w:cs="Arial" w:eastAsia="Arial" w:hAnsi="Arial"/>
          <w:sz w:val="15"/>
          <w:szCs w:val="15"/>
          <w:color w:val="auto"/>
        </w:rPr>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w:t>
      </w:r>
    </w:p>
    <w:p>
      <w:pPr>
        <w:spacing w:after="0" w:line="155" w:lineRule="exact"/>
        <w:rPr>
          <w:sz w:val="20"/>
          <w:szCs w:val="20"/>
          <w:color w:val="auto"/>
        </w:rPr>
      </w:pPr>
    </w:p>
    <w:p>
      <w:pPr>
        <w:jc w:val="both"/>
        <w:ind w:firstLine="565"/>
        <w:spacing w:after="0" w:line="281" w:lineRule="auto"/>
        <w:rPr>
          <w:sz w:val="20"/>
          <w:szCs w:val="20"/>
          <w:color w:val="auto"/>
        </w:rPr>
      </w:pPr>
      <w:r>
        <w:rPr>
          <w:rFonts w:ascii="Arial" w:cs="Arial" w:eastAsia="Arial" w:hAnsi="Arial"/>
          <w:sz w:val="15"/>
          <w:szCs w:val="15"/>
          <w:color w:val="auto"/>
        </w:rPr>
        <w:t>For the purposes of this opinion letter, we have assumed that at the time of issuance of each Warrant Share, the Charter, the Bylaws, the Officer’s Certificate and the OPAL Private Placement Warrants, as applicable, will not have been modified or amended and will be in full force and effect. In addition, it is understood that this opinion is to be used only in connection with the offer and sale of the securities being registered while the Registration Statement is effective under the Securities Act.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upon the foregoing and subject to the qualifications and assumptions stated herein, we are of the following opinions:</w:t>
      </w:r>
    </w:p>
    <w:p>
      <w:pPr>
        <w:spacing w:after="0" w:line="193" w:lineRule="exact"/>
        <w:rPr>
          <w:sz w:val="20"/>
          <w:szCs w:val="20"/>
          <w:color w:val="auto"/>
        </w:rPr>
      </w:pPr>
    </w:p>
    <w:p>
      <w:pPr>
        <w:ind w:right="20" w:firstLine="560"/>
        <w:spacing w:after="0" w:line="266" w:lineRule="auto"/>
        <w:tabs>
          <w:tab w:leader="none" w:pos="76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Shares have been duly authorized by all requisite corporate action on the part of the Company under the Delaware General Corporation Law (the “DGCL”) and are validly issued, fully paid and non-assessable.</w:t>
      </w:r>
    </w:p>
    <w:p>
      <w:pPr>
        <w:spacing w:after="0" w:line="157" w:lineRule="exact"/>
        <w:rPr>
          <w:rFonts w:ascii="Arial" w:cs="Arial" w:eastAsia="Arial" w:hAnsi="Arial"/>
          <w:sz w:val="16"/>
          <w:szCs w:val="16"/>
          <w:color w:val="auto"/>
        </w:rPr>
      </w:pPr>
    </w:p>
    <w:p>
      <w:pPr>
        <w:jc w:val="both"/>
        <w:ind w:right="20" w:firstLine="560"/>
        <w:spacing w:after="0" w:line="256" w:lineRule="auto"/>
        <w:tabs>
          <w:tab w:leader="none" w:pos="803"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Warrant Shares have been duly authorized by all requisite corporate action on the part of the Company under the DGCL and, when the Warrant Shares are delivered and paid for in accordance with the terms of the OPAL Private Placement Warrants and when evidence of the issuance thereof is duly recorded in the Company’s books and records, the Warrants Shares will be validly issued, fully paid and nonassessable.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23" w:name="page324"/>
    <w:bookmarkEnd w:id="3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1418590</wp:posOffset>
            </wp:positionH>
            <wp:positionV relativeFrom="page">
              <wp:posOffset>522605</wp:posOffset>
            </wp:positionV>
            <wp:extent cx="4741545" cy="6134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4741545" cy="613410"/>
                    </a:xfrm>
                    <a:prstGeom prst="rect">
                      <a:avLst/>
                    </a:prstGeom>
                    <a:noFill/>
                  </pic:spPr>
                </pic:pic>
              </a:graphicData>
            </a:graphic>
          </wp:anchor>
        </w:drawing>
      </w:r>
    </w:p>
    <w:p>
      <w:pPr>
        <w:spacing w:after="0" w:line="372" w:lineRule="exact"/>
        <w:rPr>
          <w:sz w:val="20"/>
          <w:szCs w:val="20"/>
          <w:color w:val="auto"/>
        </w:rPr>
      </w:pPr>
    </w:p>
    <w:p>
      <w:pPr>
        <w:jc w:val="both"/>
        <w:ind w:right="20" w:firstLine="565"/>
        <w:spacing w:after="0" w:line="342" w:lineRule="auto"/>
        <w:rPr>
          <w:sz w:val="20"/>
          <w:szCs w:val="20"/>
          <w:color w:val="auto"/>
        </w:rPr>
      </w:pPr>
      <w:r>
        <w:rPr>
          <w:rFonts w:ascii="Arial" w:cs="Arial" w:eastAsia="Arial" w:hAnsi="Arial"/>
          <w:sz w:val="13"/>
          <w:szCs w:val="13"/>
          <w:color w:val="auto"/>
        </w:rPr>
        <w:t>The opinion which we render herein is limited to those matters governed by the DGCL as of the date hereof. Our opinion expressed herein is as of the date hereof, and we assume no obligation to revise or supplement the opinion rendered herein should the above-referenced laws be changed by legislative or regulatory action, judicial decision or otherwise. We express no opinion as to whether, or the extent to which, the laws of any particular jurisdiction apply to the subject matter hereof.</w:t>
      </w:r>
    </w:p>
    <w:p>
      <w:pPr>
        <w:spacing w:after="0" w:line="115" w:lineRule="exact"/>
        <w:rPr>
          <w:sz w:val="20"/>
          <w:szCs w:val="20"/>
          <w:color w:val="auto"/>
        </w:rPr>
      </w:pPr>
    </w:p>
    <w:p>
      <w:pPr>
        <w:jc w:val="both"/>
        <w:ind w:firstLine="565"/>
        <w:spacing w:after="0" w:line="256" w:lineRule="auto"/>
        <w:rPr>
          <w:sz w:val="20"/>
          <w:szCs w:val="20"/>
          <w:color w:val="auto"/>
        </w:rPr>
      </w:pPr>
      <w:r>
        <w:rPr>
          <w:rFonts w:ascii="Arial" w:cs="Arial" w:eastAsia="Arial" w:hAnsi="Arial"/>
          <w:sz w:val="16"/>
          <w:szCs w:val="16"/>
          <w:color w:val="auto"/>
        </w:rPr>
        <w:t>We hereby consent to the filing of this opinion as an exhibit to the Registration Statement. We also hereby consent to the reference to our firm under the heading “Legal Matters” in the Registration Statement. In giving this consent, we do not thereby admit that we are within the category of persons whose consent is required under Section 7 of the Securities Act or the General Rules and Regulations under the Securities Act.</w:t>
      </w:r>
    </w:p>
    <w:p>
      <w:pPr>
        <w:spacing w:after="0" w:line="165" w:lineRule="exact"/>
        <w:rPr>
          <w:sz w:val="20"/>
          <w:szCs w:val="20"/>
          <w:color w:val="auto"/>
        </w:rPr>
      </w:pPr>
    </w:p>
    <w:p>
      <w:pPr>
        <w:jc w:val="both"/>
        <w:ind w:firstLine="565"/>
        <w:spacing w:after="0" w:line="249" w:lineRule="auto"/>
        <w:rPr>
          <w:sz w:val="20"/>
          <w:szCs w:val="20"/>
          <w:color w:val="auto"/>
        </w:rPr>
      </w:pPr>
      <w:r>
        <w:rPr>
          <w:rFonts w:ascii="Arial" w:cs="Arial" w:eastAsia="Arial" w:hAnsi="Arial"/>
          <w:sz w:val="16"/>
          <w:szCs w:val="16"/>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Shares, the Warrant Shares, or any other agreements or transactions that may be related thereto or contemplated thereby. We are expressing no opinion as to any obligations that parties other than the Company may have under or in respect of the Shares, the Warrant Shares or as to the effect that their performance of such obligations may have upon any of the matters referred to above. No opinion may be implied or inferred beyond the opinion expressly stated above.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 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SHEPPARD, MULLIN, RICHTER &amp; HAMPTON LLP</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24" w:name="page325"/>
    <w:bookmarkEnd w:id="324"/>
    <w:p>
      <w:pPr>
        <w:jc w:val="right"/>
        <w:spacing w:after="0"/>
        <w:rPr>
          <w:sz w:val="20"/>
          <w:szCs w:val="20"/>
          <w:color w:val="auto"/>
        </w:rPr>
      </w:pPr>
      <w:r>
        <w:rPr>
          <w:rFonts w:ascii="Arial" w:cs="Arial" w:eastAsia="Arial" w:hAnsi="Arial"/>
          <w:sz w:val="19"/>
          <w:szCs w:val="19"/>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Opal Fuels LLC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White Plains, New York</w:t>
      </w:r>
    </w:p>
    <w:p>
      <w:pPr>
        <w:spacing w:after="0" w:line="181" w:lineRule="exact"/>
        <w:rPr>
          <w:sz w:val="20"/>
          <w:szCs w:val="20"/>
          <w:color w:val="auto"/>
        </w:rPr>
      </w:pPr>
    </w:p>
    <w:p>
      <w:pPr>
        <w:ind w:right="700"/>
        <w:spacing w:after="0" w:line="266" w:lineRule="auto"/>
        <w:rPr>
          <w:sz w:val="20"/>
          <w:szCs w:val="20"/>
          <w:color w:val="auto"/>
        </w:rPr>
      </w:pPr>
      <w:r>
        <w:rPr>
          <w:rFonts w:ascii="Arial" w:cs="Arial" w:eastAsia="Arial" w:hAnsi="Arial"/>
          <w:sz w:val="16"/>
          <w:szCs w:val="16"/>
          <w:color w:val="auto"/>
        </w:rPr>
        <w:t>We hereby consent to the use in the Prospectus constituting a part of this Registration Statement of our report dated April 15, 2022, relating to the consolidated financial statements of Opal Fuels LLC, which is contained in that Prospectus.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also consent to the reference to us under the caption “Experts” in the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Stamford, Connecticut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August 10, 2022</w:t>
      </w:r>
    </w:p>
    <w:p>
      <w:pPr>
        <w:sectPr>
          <w:pgSz w:w="11900" w:h="16838" w:orient="portrait"/>
          <w:cols w:equalWidth="0" w:num="1">
            <w:col w:w="11260"/>
          </w:cols>
          <w:pgMar w:left="320" w:top="116" w:right="319" w:bottom="1440" w:gutter="0" w:footer="0" w:header="0"/>
        </w:sectPr>
      </w:pPr>
    </w:p>
    <w:bookmarkStart w:id="325" w:name="page326"/>
    <w:bookmarkEnd w:id="325"/>
    <w:p>
      <w:pPr>
        <w:jc w:val="right"/>
        <w:spacing w:after="0"/>
        <w:rPr>
          <w:sz w:val="20"/>
          <w:szCs w:val="20"/>
          <w:color w:val="auto"/>
        </w:rPr>
      </w:pPr>
      <w:r>
        <w:rPr>
          <w:rFonts w:ascii="Arial" w:cs="Arial" w:eastAsia="Arial" w:hAnsi="Arial"/>
          <w:sz w:val="19"/>
          <w:szCs w:val="19"/>
          <w:b w:val="1"/>
          <w:bCs w:val="1"/>
          <w:color w:val="auto"/>
        </w:rPr>
        <w:t>Exhibit 23.2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Auditor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Beacon RNG LLC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White Plains, New York</w:t>
      </w:r>
    </w:p>
    <w:p>
      <w:pPr>
        <w:spacing w:after="0" w:line="181" w:lineRule="exact"/>
        <w:rPr>
          <w:sz w:val="20"/>
          <w:szCs w:val="20"/>
          <w:color w:val="auto"/>
        </w:rPr>
      </w:pPr>
    </w:p>
    <w:p>
      <w:pPr>
        <w:ind w:right="700"/>
        <w:spacing w:after="0" w:line="266" w:lineRule="auto"/>
        <w:rPr>
          <w:sz w:val="20"/>
          <w:szCs w:val="20"/>
          <w:color w:val="auto"/>
        </w:rPr>
      </w:pPr>
      <w:r>
        <w:rPr>
          <w:rFonts w:ascii="Arial" w:cs="Arial" w:eastAsia="Arial" w:hAnsi="Arial"/>
          <w:sz w:val="16"/>
          <w:szCs w:val="16"/>
          <w:color w:val="auto"/>
        </w:rPr>
        <w:t>We hereby consent to the use in the Prospectus constituting a part of this Registration Statement of our report dated April 15, 2022, relating to the consolidated financial statements of Beacon RNG LLC, which is contained in that Prospectus.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also consent to the reference to us under the caption “Experts” in the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Stamford, Connecticut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August 10, 2022</w:t>
      </w:r>
    </w:p>
    <w:p>
      <w:pPr>
        <w:sectPr>
          <w:pgSz w:w="11900" w:h="16838" w:orient="portrait"/>
          <w:cols w:equalWidth="0" w:num="1">
            <w:col w:w="11260"/>
          </w:cols>
          <w:pgMar w:left="320" w:top="115" w:right="319" w:bottom="1440" w:gutter="0" w:footer="0" w:header="0"/>
        </w:sectPr>
      </w:pPr>
    </w:p>
    <w:bookmarkStart w:id="326" w:name="page327"/>
    <w:bookmarkEnd w:id="326"/>
    <w:p>
      <w:pPr>
        <w:jc w:val="right"/>
        <w:spacing w:after="0"/>
        <w:rPr>
          <w:sz w:val="20"/>
          <w:szCs w:val="20"/>
          <w:color w:val="auto"/>
        </w:rPr>
      </w:pPr>
      <w:r>
        <w:rPr>
          <w:rFonts w:ascii="Arial" w:cs="Arial" w:eastAsia="Arial" w:hAnsi="Arial"/>
          <w:sz w:val="16"/>
          <w:szCs w:val="16"/>
          <w:b w:val="1"/>
          <w:bCs w:val="1"/>
          <w:color w:val="auto"/>
        </w:rPr>
        <w:t>Exhibit 23.3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INDEPENDENT REGISTERED PUBLIC ACCOUNTING FIRM’S CONSENT</w:t>
      </w:r>
    </w:p>
    <w:p>
      <w:pPr>
        <w:spacing w:after="0" w:line="385"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We consent to the inclusion in this Registration Statement of ArcLight Clean Transition Corp. II on Form S-1 of our report dated March 9, 2022, with respect to our audit of the financial statements of ArcLight Clean Transition Corp. II as of December 31, 2021 and for the period from January 13, 2021 (inception) through December 31, 2021, which report appears in the Prospectus, which is part of this Registration Statement. We were dismissed as auditors on August 9, 2022 following the issuance of the Company’s Form 10-Q for the quarterly period ended June 30, 2022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Marcum </w:t>
      </w:r>
      <w:r>
        <w:rPr>
          <w:rFonts w:ascii="Arial" w:cs="Arial" w:eastAsia="Arial" w:hAnsi="Arial"/>
          <w:sz w:val="10"/>
          <w:szCs w:val="10"/>
          <w:color w:val="auto"/>
        </w:rPr>
        <w:t>llp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Hartford, CT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August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50100" cy="152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27" w:name="page328"/>
    <w:bookmarkEnd w:id="327"/>
    <w:p>
      <w:pPr>
        <w:ind w:left="10486"/>
        <w:spacing w:after="0"/>
        <w:rPr>
          <w:sz w:val="20"/>
          <w:szCs w:val="20"/>
          <w:color w:val="auto"/>
        </w:rPr>
      </w:pPr>
      <w:r>
        <w:rPr>
          <w:rFonts w:ascii="Arial" w:cs="Arial" w:eastAsia="Arial" w:hAnsi="Arial"/>
          <w:sz w:val="15"/>
          <w:szCs w:val="15"/>
          <w:b w:val="1"/>
          <w:bCs w:val="1"/>
          <w:color w:val="auto"/>
        </w:rPr>
        <w:t>Exhibit 107</w:t>
      </w:r>
    </w:p>
    <w:p>
      <w:pPr>
        <w:spacing w:after="0" w:line="204" w:lineRule="exact"/>
        <w:rPr>
          <w:sz w:val="20"/>
          <w:szCs w:val="20"/>
          <w:color w:val="auto"/>
        </w:rPr>
      </w:pPr>
    </w:p>
    <w:p>
      <w:pPr>
        <w:jc w:val="center"/>
        <w:ind w:right="54"/>
        <w:spacing w:after="0"/>
        <w:rPr>
          <w:sz w:val="20"/>
          <w:szCs w:val="20"/>
          <w:color w:val="auto"/>
        </w:rPr>
      </w:pPr>
      <w:r>
        <w:rPr>
          <w:rFonts w:ascii="Arial" w:cs="Arial" w:eastAsia="Arial" w:hAnsi="Arial"/>
          <w:sz w:val="16"/>
          <w:szCs w:val="16"/>
          <w:b w:val="1"/>
          <w:bCs w:val="1"/>
          <w:color w:val="auto"/>
        </w:rPr>
        <w:t>Calculation of Filing Fee Tables</w:t>
      </w:r>
    </w:p>
    <w:p>
      <w:pPr>
        <w:spacing w:after="0" w:line="193" w:lineRule="exact"/>
        <w:rPr>
          <w:sz w:val="20"/>
          <w:szCs w:val="20"/>
          <w:color w:val="auto"/>
        </w:rPr>
      </w:pPr>
    </w:p>
    <w:p>
      <w:pPr>
        <w:jc w:val="center"/>
        <w:ind w:right="54"/>
        <w:spacing w:after="0"/>
        <w:rPr>
          <w:sz w:val="20"/>
          <w:szCs w:val="20"/>
          <w:color w:val="auto"/>
        </w:rPr>
      </w:pPr>
      <w:r>
        <w:rPr>
          <w:rFonts w:ascii="Arial" w:cs="Arial" w:eastAsia="Arial" w:hAnsi="Arial"/>
          <w:sz w:val="16"/>
          <w:szCs w:val="16"/>
          <w:b w:val="1"/>
          <w:bCs w:val="1"/>
          <w:color w:val="auto"/>
        </w:rPr>
        <w:t>Form S-1</w:t>
      </w:r>
    </w:p>
    <w:p>
      <w:pPr>
        <w:spacing w:after="0" w:line="20" w:lineRule="exact"/>
        <w:rPr>
          <w:sz w:val="20"/>
          <w:szCs w:val="20"/>
          <w:color w:val="auto"/>
        </w:rPr>
      </w:pPr>
    </w:p>
    <w:p>
      <w:pPr>
        <w:jc w:val="center"/>
        <w:ind w:right="54"/>
        <w:spacing w:after="0"/>
        <w:rPr>
          <w:sz w:val="20"/>
          <w:szCs w:val="20"/>
          <w:color w:val="auto"/>
        </w:rPr>
      </w:pPr>
      <w:r>
        <w:rPr>
          <w:rFonts w:ascii="Arial" w:cs="Arial" w:eastAsia="Arial" w:hAnsi="Arial"/>
          <w:sz w:val="16"/>
          <w:szCs w:val="16"/>
          <w:color w:val="auto"/>
        </w:rPr>
        <w:t>(Form Type)</w:t>
      </w:r>
    </w:p>
    <w:p>
      <w:pPr>
        <w:spacing w:after="0" w:line="177" w:lineRule="exact"/>
        <w:rPr>
          <w:sz w:val="20"/>
          <w:szCs w:val="20"/>
          <w:color w:val="auto"/>
        </w:rPr>
      </w:pPr>
    </w:p>
    <w:p>
      <w:pPr>
        <w:jc w:val="center"/>
        <w:ind w:right="54"/>
        <w:spacing w:after="0"/>
        <w:rPr>
          <w:sz w:val="20"/>
          <w:szCs w:val="20"/>
          <w:color w:val="auto"/>
        </w:rPr>
      </w:pPr>
      <w:r>
        <w:rPr>
          <w:rFonts w:ascii="Arial" w:cs="Arial" w:eastAsia="Arial" w:hAnsi="Arial"/>
          <w:sz w:val="16"/>
          <w:szCs w:val="16"/>
          <w:b w:val="1"/>
          <w:bCs w:val="1"/>
          <w:color w:val="auto"/>
        </w:rPr>
        <w:t>OPAL FUELS INC.</w:t>
      </w:r>
    </w:p>
    <w:p>
      <w:pPr>
        <w:spacing w:after="0" w:line="20" w:lineRule="exact"/>
        <w:rPr>
          <w:sz w:val="20"/>
          <w:szCs w:val="20"/>
          <w:color w:val="auto"/>
        </w:rPr>
      </w:pPr>
    </w:p>
    <w:p>
      <w:pPr>
        <w:jc w:val="center"/>
        <w:ind w:right="54"/>
        <w:spacing w:after="0"/>
        <w:rPr>
          <w:sz w:val="20"/>
          <w:szCs w:val="20"/>
          <w:color w:val="auto"/>
        </w:rPr>
      </w:pPr>
      <w:r>
        <w:rPr>
          <w:rFonts w:ascii="Arial" w:cs="Arial" w:eastAsia="Arial" w:hAnsi="Arial"/>
          <w:sz w:val="16"/>
          <w:szCs w:val="16"/>
          <w:color w:val="auto"/>
        </w:rPr>
        <w:t>(Exact Name of Registrant as Specified in its Charter)</w:t>
      </w:r>
    </w:p>
    <w:p>
      <w:pPr>
        <w:spacing w:after="0" w:line="177" w:lineRule="exact"/>
        <w:rPr>
          <w:sz w:val="20"/>
          <w:szCs w:val="20"/>
          <w:color w:val="auto"/>
        </w:rPr>
      </w:pPr>
    </w:p>
    <w:p>
      <w:pPr>
        <w:jc w:val="center"/>
        <w:ind w:right="54"/>
        <w:spacing w:after="0"/>
        <w:rPr>
          <w:sz w:val="20"/>
          <w:szCs w:val="20"/>
          <w:color w:val="auto"/>
        </w:rPr>
      </w:pPr>
      <w:r>
        <w:rPr>
          <w:rFonts w:ascii="Arial" w:cs="Arial" w:eastAsia="Arial" w:hAnsi="Arial"/>
          <w:sz w:val="16"/>
          <w:szCs w:val="16"/>
          <w:b w:val="1"/>
          <w:bCs w:val="1"/>
          <w:u w:val="single" w:color="auto"/>
          <w:color w:val="auto"/>
        </w:rPr>
        <w:t>Table 1: Newly Registered and Carry Forward Securities</w:t>
      </w:r>
    </w:p>
    <w:p>
      <w:pPr>
        <w:spacing w:after="0" w:line="197" w:lineRule="exact"/>
        <w:rPr>
          <w:sz w:val="20"/>
          <w:szCs w:val="20"/>
          <w:color w:val="auto"/>
        </w:rPr>
      </w:pPr>
    </w:p>
    <w:tbl>
      <w:tblPr>
        <w:tblLayout w:type="fixed"/>
        <w:tblInd w:w="1606" w:type="dxa"/>
        <w:tblCellMar>
          <w:top w:w="0" w:type="dxa"/>
          <w:left w:w="0" w:type="dxa"/>
          <w:bottom w:w="0" w:type="dxa"/>
          <w:right w:w="0" w:type="dxa"/>
        </w:tblCellMar>
      </w:tblPr>
      <w:tr>
        <w:trPr>
          <w:trHeight w:val="177"/>
        </w:trPr>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r>
      <w:tr>
        <w:trPr>
          <w:trHeight w:val="177"/>
        </w:trPr>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2"/>
              </w:rPr>
              <w:t>Fee</w:t>
            </w:r>
          </w:p>
        </w:tc>
      </w:tr>
      <w:tr>
        <w:trPr>
          <w:trHeight w:val="177"/>
        </w:trPr>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Previously</w:t>
            </w:r>
          </w:p>
        </w:tc>
      </w:tr>
      <w:tr>
        <w:trPr>
          <w:trHeight w:val="177"/>
        </w:trPr>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Paid</w:t>
            </w:r>
          </w:p>
        </w:tc>
      </w:tr>
      <w:tr>
        <w:trPr>
          <w:trHeight w:val="177"/>
        </w:trPr>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in</w:t>
            </w:r>
          </w:p>
        </w:tc>
      </w:tr>
      <w:tr>
        <w:trPr>
          <w:trHeight w:val="177"/>
        </w:trPr>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Connection</w:t>
            </w:r>
          </w:p>
        </w:tc>
      </w:tr>
      <w:tr>
        <w:trPr>
          <w:trHeight w:val="177"/>
        </w:trPr>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jc w:val="center"/>
              <w:ind w:left="109"/>
              <w:spacing w:after="0"/>
              <w:rPr>
                <w:sz w:val="20"/>
                <w:szCs w:val="20"/>
                <w:color w:val="auto"/>
              </w:rPr>
            </w:pPr>
            <w:r>
              <w:rPr>
                <w:rFonts w:ascii="Arial" w:cs="Arial" w:eastAsia="Arial" w:hAnsi="Arial"/>
                <w:sz w:val="14"/>
                <w:szCs w:val="14"/>
                <w:b w:val="1"/>
                <w:bCs w:val="1"/>
                <w:color w:val="auto"/>
                <w:w w:val="82"/>
              </w:rPr>
              <w:t>Fee</w:t>
            </w: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with</w:t>
            </w:r>
          </w:p>
        </w:tc>
      </w:tr>
      <w:tr>
        <w:trPr>
          <w:trHeight w:val="177"/>
        </w:trPr>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jc w:val="center"/>
              <w:ind w:left="129"/>
              <w:spacing w:after="0"/>
              <w:rPr>
                <w:sz w:val="20"/>
                <w:szCs w:val="20"/>
                <w:color w:val="auto"/>
              </w:rPr>
            </w:pPr>
            <w:r>
              <w:rPr>
                <w:rFonts w:ascii="Arial" w:cs="Arial" w:eastAsia="Arial" w:hAnsi="Arial"/>
                <w:sz w:val="14"/>
                <w:szCs w:val="14"/>
                <w:b w:val="1"/>
                <w:bCs w:val="1"/>
                <w:color w:val="auto"/>
                <w:w w:val="92"/>
              </w:rPr>
              <w:t>Calculation</w:t>
            </w:r>
          </w:p>
        </w:tc>
        <w:tc>
          <w:tcPr>
            <w:tcW w:w="9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Carry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Unsold</w:t>
            </w:r>
          </w:p>
        </w:tc>
      </w:tr>
      <w:tr>
        <w:trPr>
          <w:trHeight w:val="177"/>
        </w:trPr>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jc w:val="center"/>
              <w:ind w:left="129"/>
              <w:spacing w:after="0"/>
              <w:rPr>
                <w:sz w:val="20"/>
                <w:szCs w:val="20"/>
                <w:color w:val="auto"/>
              </w:rPr>
            </w:pPr>
            <w:r>
              <w:rPr>
                <w:rFonts w:ascii="Arial" w:cs="Arial" w:eastAsia="Arial" w:hAnsi="Arial"/>
                <w:sz w:val="14"/>
                <w:szCs w:val="14"/>
                <w:b w:val="1"/>
                <w:bCs w:val="1"/>
                <w:color w:val="auto"/>
                <w:w w:val="99"/>
              </w:rPr>
              <w:t>or</w:t>
            </w:r>
          </w:p>
        </w:tc>
        <w:tc>
          <w:tcPr>
            <w:tcW w:w="9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940" w:type="dxa"/>
            <w:vAlign w:val="bottom"/>
          </w:tcPr>
          <w:p>
            <w:pPr>
              <w:jc w:val="center"/>
              <w:ind w:right="9"/>
              <w:spacing w:after="0"/>
              <w:rPr>
                <w:sz w:val="20"/>
                <w:szCs w:val="20"/>
                <w:color w:val="auto"/>
              </w:rPr>
            </w:pPr>
            <w:r>
              <w:rPr>
                <w:rFonts w:ascii="Arial" w:cs="Arial" w:eastAsia="Arial" w:hAnsi="Arial"/>
                <w:sz w:val="14"/>
                <w:szCs w:val="14"/>
                <w:b w:val="1"/>
                <w:bCs w:val="1"/>
                <w:color w:val="auto"/>
                <w:w w:val="95"/>
              </w:rPr>
              <w:t>Maximum</w:t>
            </w:r>
          </w:p>
        </w:tc>
        <w:tc>
          <w:tcPr>
            <w:tcW w:w="6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Carry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Carry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Forward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r>
      <w:tr>
        <w:trPr>
          <w:trHeight w:val="177"/>
        </w:trPr>
        <w:tc>
          <w:tcPr>
            <w:tcW w:w="7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020" w:type="dxa"/>
            <w:vAlign w:val="bottom"/>
          </w:tcPr>
          <w:p>
            <w:pPr>
              <w:jc w:val="center"/>
              <w:ind w:left="109"/>
              <w:spacing w:after="0"/>
              <w:rPr>
                <w:sz w:val="20"/>
                <w:szCs w:val="20"/>
                <w:color w:val="auto"/>
              </w:rPr>
            </w:pPr>
            <w:r>
              <w:rPr>
                <w:rFonts w:ascii="Arial" w:cs="Arial" w:eastAsia="Arial" w:hAnsi="Arial"/>
                <w:sz w:val="14"/>
                <w:szCs w:val="14"/>
                <w:b w:val="1"/>
                <w:bCs w:val="1"/>
                <w:color w:val="auto"/>
                <w:w w:val="98"/>
              </w:rPr>
              <w:t>Carry</w:t>
            </w:r>
          </w:p>
        </w:tc>
        <w:tc>
          <w:tcPr>
            <w:tcW w:w="9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940" w:type="dxa"/>
            <w:vAlign w:val="bottom"/>
          </w:tcPr>
          <w:p>
            <w:pPr>
              <w:jc w:val="center"/>
              <w:ind w:right="9"/>
              <w:spacing w:after="0"/>
              <w:rPr>
                <w:sz w:val="20"/>
                <w:szCs w:val="20"/>
                <w:color w:val="auto"/>
              </w:rPr>
            </w:pPr>
            <w:r>
              <w:rPr>
                <w:rFonts w:ascii="Arial" w:cs="Arial" w:eastAsia="Arial" w:hAnsi="Arial"/>
                <w:sz w:val="14"/>
                <w:szCs w:val="14"/>
                <w:b w:val="1"/>
                <w:bCs w:val="1"/>
                <w:color w:val="auto"/>
                <w:w w:val="89"/>
              </w:rPr>
              <w:t>Aggregate</w:t>
            </w:r>
          </w:p>
        </w:tc>
        <w:tc>
          <w:tcPr>
            <w:tcW w:w="6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75"/>
              </w:rPr>
              <w:t>of</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to be</w:t>
            </w:r>
          </w:p>
        </w:tc>
      </w:tr>
      <w:tr>
        <w:trPr>
          <w:trHeight w:val="177"/>
        </w:trPr>
        <w:tc>
          <w:tcPr>
            <w:tcW w:w="760" w:type="dxa"/>
            <w:vAlign w:val="bottom"/>
          </w:tcPr>
          <w:p>
            <w:pPr>
              <w:jc w:val="center"/>
              <w:ind w:right="189"/>
              <w:spacing w:after="0"/>
              <w:rPr>
                <w:sz w:val="20"/>
                <w:szCs w:val="20"/>
                <w:color w:val="auto"/>
              </w:rPr>
            </w:pPr>
            <w:r>
              <w:rPr>
                <w:rFonts w:ascii="Arial" w:cs="Arial" w:eastAsia="Arial" w:hAnsi="Arial"/>
                <w:sz w:val="14"/>
                <w:szCs w:val="14"/>
                <w:b w:val="1"/>
                <w:bCs w:val="1"/>
                <w:color w:val="auto"/>
                <w:w w:val="90"/>
              </w:rPr>
              <w:t>Security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1020" w:type="dxa"/>
            <w:vAlign w:val="bottom"/>
          </w:tcPr>
          <w:p>
            <w:pPr>
              <w:jc w:val="center"/>
              <w:ind w:left="129"/>
              <w:spacing w:after="0"/>
              <w:rPr>
                <w:sz w:val="20"/>
                <w:szCs w:val="20"/>
                <w:color w:val="auto"/>
              </w:rPr>
            </w:pPr>
            <w:r>
              <w:rPr>
                <w:rFonts w:ascii="Arial" w:cs="Arial" w:eastAsia="Arial" w:hAnsi="Arial"/>
                <w:sz w:val="14"/>
                <w:szCs w:val="14"/>
                <w:b w:val="1"/>
                <w:bCs w:val="1"/>
                <w:color w:val="auto"/>
                <w:w w:val="97"/>
              </w:rPr>
              <w:t>Forward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940" w:type="dxa"/>
            <w:vAlign w:val="bottom"/>
          </w:tcPr>
          <w:p>
            <w:pPr>
              <w:jc w:val="center"/>
              <w:ind w:right="29"/>
              <w:spacing w:after="0"/>
              <w:rPr>
                <w:sz w:val="20"/>
                <w:szCs w:val="20"/>
                <w:color w:val="auto"/>
              </w:rPr>
            </w:pPr>
            <w:r>
              <w:rPr>
                <w:rFonts w:ascii="Arial" w:cs="Arial" w:eastAsia="Arial" w:hAnsi="Arial"/>
                <w:sz w:val="14"/>
                <w:szCs w:val="14"/>
                <w:b w:val="1"/>
                <w:bCs w:val="1"/>
                <w:color w:val="auto"/>
                <w:w w:val="95"/>
              </w:rPr>
              <w:t>Offering</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Fee</w:t>
            </w:r>
          </w:p>
        </w:tc>
        <w:tc>
          <w:tcPr>
            <w:tcW w:w="940" w:type="dxa"/>
            <w:vAlign w:val="bottom"/>
          </w:tcPr>
          <w:p>
            <w:pPr>
              <w:jc w:val="center"/>
              <w:ind w:left="9"/>
              <w:spacing w:after="0"/>
              <w:rPr>
                <w:sz w:val="20"/>
                <w:szCs w:val="20"/>
                <w:color w:val="auto"/>
              </w:rPr>
            </w:pPr>
            <w:r>
              <w:rPr>
                <w:rFonts w:ascii="Arial" w:cs="Arial" w:eastAsia="Arial" w:hAnsi="Arial"/>
                <w:sz w:val="14"/>
                <w:szCs w:val="14"/>
                <w:b w:val="1"/>
                <w:bCs w:val="1"/>
                <w:color w:val="auto"/>
                <w:w w:val="90"/>
              </w:rPr>
              <w:t>Registration</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File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Effective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Carried</w:t>
            </w:r>
          </w:p>
        </w:tc>
      </w:tr>
      <w:tr>
        <w:trPr>
          <w:trHeight w:val="184"/>
        </w:trPr>
        <w:tc>
          <w:tcPr>
            <w:tcW w:w="760" w:type="dxa"/>
            <w:vAlign w:val="bottom"/>
          </w:tcPr>
          <w:p>
            <w:pPr>
              <w:jc w:val="center"/>
              <w:ind w:right="149"/>
              <w:spacing w:after="0"/>
              <w:rPr>
                <w:sz w:val="20"/>
                <w:szCs w:val="20"/>
                <w:color w:val="auto"/>
              </w:rPr>
            </w:pPr>
            <w:r>
              <w:rPr>
                <w:rFonts w:ascii="Arial" w:cs="Arial" w:eastAsia="Arial" w:hAnsi="Arial"/>
                <w:sz w:val="14"/>
                <w:szCs w:val="14"/>
                <w:b w:val="1"/>
                <w:bCs w:val="1"/>
                <w:color w:val="auto"/>
                <w:w w:val="91"/>
              </w:rPr>
              <w:t>Type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20" w:type="dxa"/>
            <w:vAlign w:val="bottom"/>
          </w:tcPr>
          <w:p>
            <w:pPr>
              <w:jc w:val="center"/>
              <w:ind w:left="149"/>
              <w:spacing w:after="0"/>
              <w:rPr>
                <w:sz w:val="20"/>
                <w:szCs w:val="20"/>
                <w:color w:val="auto"/>
              </w:rPr>
            </w:pPr>
            <w:r>
              <w:rPr>
                <w:rFonts w:ascii="Arial" w:cs="Arial" w:eastAsia="Arial" w:hAnsi="Arial"/>
                <w:sz w:val="14"/>
                <w:szCs w:val="14"/>
                <w:b w:val="1"/>
                <w:bCs w:val="1"/>
                <w:color w:val="auto"/>
                <w:w w:val="92"/>
              </w:rPr>
              <w:t>Rule</w:t>
            </w:r>
          </w:p>
        </w:tc>
        <w:tc>
          <w:tcPr>
            <w:tcW w:w="96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9"/>
              </w:rPr>
              <w:t>Registered (1)</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640" w:type="dxa"/>
            <w:vAlign w:val="bottom"/>
          </w:tcPr>
          <w:p>
            <w:pPr>
              <w:jc w:val="center"/>
              <w:ind w:left="9"/>
              <w:spacing w:after="0"/>
              <w:rPr>
                <w:sz w:val="20"/>
                <w:szCs w:val="20"/>
                <w:color w:val="auto"/>
              </w:rPr>
            </w:pPr>
            <w:r>
              <w:rPr>
                <w:rFonts w:ascii="Arial" w:cs="Arial" w:eastAsia="Arial" w:hAnsi="Arial"/>
                <w:sz w:val="14"/>
                <w:szCs w:val="14"/>
                <w:b w:val="1"/>
                <w:bCs w:val="1"/>
                <w:color w:val="auto"/>
                <w:w w:val="92"/>
              </w:rPr>
              <w:t>Rate</w:t>
            </w:r>
          </w:p>
        </w:tc>
        <w:tc>
          <w:tcPr>
            <w:tcW w:w="940" w:type="dxa"/>
            <w:vAlign w:val="bottom"/>
          </w:tcPr>
          <w:p>
            <w:pPr>
              <w:jc w:val="center"/>
              <w:ind w:left="9"/>
              <w:spacing w:after="0"/>
              <w:rPr>
                <w:sz w:val="20"/>
                <w:szCs w:val="20"/>
                <w:color w:val="auto"/>
              </w:rPr>
            </w:pPr>
            <w:r>
              <w:rPr>
                <w:rFonts w:ascii="Arial" w:cs="Arial" w:eastAsia="Arial" w:hAnsi="Arial"/>
                <w:sz w:val="14"/>
                <w:szCs w:val="14"/>
                <w:b w:val="1"/>
                <w:bCs w:val="1"/>
                <w:color w:val="auto"/>
                <w:w w:val="90"/>
              </w:rPr>
              <w:t>Fee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64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4"/>
              </w:rPr>
              <w:t>Number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Forward</w:t>
            </w:r>
          </w:p>
        </w:tc>
      </w:tr>
    </w:tbl>
    <w:p>
      <w:pPr>
        <w:spacing w:after="0" w:line="5" w:lineRule="exact"/>
        <w:rPr>
          <w:sz w:val="20"/>
          <w:szCs w:val="20"/>
          <w:color w:val="auto"/>
        </w:rPr>
      </w:pPr>
    </w:p>
    <w:p>
      <w:pPr>
        <w:jc w:val="center"/>
        <w:ind w:right="-45"/>
        <w:spacing w:after="0"/>
        <w:rPr>
          <w:sz w:val="20"/>
          <w:szCs w:val="20"/>
          <w:color w:val="auto"/>
        </w:rPr>
      </w:pPr>
      <w:r>
        <w:rPr>
          <w:rFonts w:ascii="Arial" w:cs="Arial" w:eastAsia="Arial" w:hAnsi="Arial"/>
          <w:sz w:val="14"/>
          <w:szCs w:val="14"/>
          <w:b w:val="1"/>
          <w:bCs w:val="1"/>
          <w:color w:val="auto"/>
        </w:rPr>
        <w:t>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6327140</wp:posOffset>
            </wp:positionH>
            <wp:positionV relativeFrom="paragraph">
              <wp:posOffset>-100965</wp:posOffset>
            </wp:positionV>
            <wp:extent cx="859790"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4">
                      <a:extLst>
                        <a:ext uri="{28A0092B-C50C-407E-A947-70E740481C1C}"/>
                      </a:extLst>
                    </a:blip>
                    <a:srcRect/>
                    <a:stretch>
                      <a:fillRect/>
                    </a:stretch>
                  </pic:blipFill>
                  <pic:spPr bwMode="auto">
                    <a:xfrm>
                      <a:off x="0" y="0"/>
                      <a:ext cx="859790" cy="1524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-100965</wp:posOffset>
            </wp:positionV>
            <wp:extent cx="4861560" cy="15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5">
                      <a:extLst>
                        <a:ext uri="{28A0092B-C50C-407E-A947-70E740481C1C}"/>
                      </a:extLst>
                    </a:blip>
                    <a:srcRect/>
                    <a:stretch>
                      <a:fillRect/>
                    </a:stretch>
                  </pic:blipFill>
                  <pic:spPr bwMode="auto">
                    <a:xfrm>
                      <a:off x="0" y="0"/>
                      <a:ext cx="4861560" cy="15240"/>
                    </a:xfrm>
                    <a:prstGeom prst="rect">
                      <a:avLst/>
                    </a:prstGeom>
                    <a:noFill/>
                  </pic:spPr>
                </pic:pic>
              </a:graphicData>
            </a:graphic>
          </wp:anchor>
        </w:drawing>
      </w:r>
    </w:p>
    <w:p>
      <w:pPr>
        <w:sectPr>
          <w:pgSz w:w="11900" w:h="16838" w:orient="portrait"/>
          <w:cols w:equalWidth="0" w:num="1">
            <w:col w:w="11306"/>
          </w:cols>
          <w:pgMar w:left="314" w:top="311" w:right="279" w:bottom="1440" w:gutter="0" w:footer="0" w:header="0"/>
        </w:sectPr>
      </w:pPr>
    </w:p>
    <w:p>
      <w:pPr>
        <w:spacing w:after="0" w:line="23" w:lineRule="exact"/>
        <w:rPr>
          <w:sz w:val="20"/>
          <w:szCs w:val="20"/>
          <w:color w:val="auto"/>
        </w:rPr>
      </w:pPr>
    </w:p>
    <w:tbl>
      <w:tblPr>
        <w:tblLayout w:type="fixed"/>
        <w:tblInd w:w="6"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4"/>
                <w:szCs w:val="14"/>
                <w:color w:val="auto"/>
                <w:w w:val="92"/>
              </w:rPr>
              <w:t>Class A Common Stock,</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Fees to be Paid</w:t>
            </w:r>
          </w:p>
        </w:tc>
        <w:tc>
          <w:tcPr>
            <w:tcW w:w="84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4"/>
                <w:szCs w:val="14"/>
                <w:color w:val="auto"/>
              </w:rPr>
              <w:t>par value $0.0001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840" w:type="dxa"/>
            <w:vAlign w:val="bottom"/>
          </w:tcPr>
          <w:p>
            <w:pPr>
              <w:ind w:left="360"/>
              <w:spacing w:after="0"/>
              <w:rPr>
                <w:sz w:val="20"/>
                <w:szCs w:val="20"/>
                <w:color w:val="auto"/>
              </w:rPr>
            </w:pPr>
            <w:r>
              <w:rPr>
                <w:rFonts w:ascii="Arial" w:cs="Arial" w:eastAsia="Arial" w:hAnsi="Arial"/>
                <w:sz w:val="14"/>
                <w:szCs w:val="14"/>
                <w:color w:val="auto"/>
              </w:rPr>
              <w:t>Equity</w:t>
            </w:r>
          </w:p>
        </w:tc>
        <w:tc>
          <w:tcPr>
            <w:tcW w:w="1520" w:type="dxa"/>
            <w:vAlign w:val="bottom"/>
          </w:tcPr>
          <w:p>
            <w:pPr>
              <w:ind w:left="100"/>
              <w:spacing w:after="0"/>
              <w:rPr>
                <w:sz w:val="20"/>
                <w:szCs w:val="20"/>
                <w:color w:val="auto"/>
              </w:rPr>
            </w:pPr>
            <w:r>
              <w:rPr>
                <w:rFonts w:ascii="Arial" w:cs="Arial" w:eastAsia="Arial" w:hAnsi="Arial"/>
                <w:sz w:val="14"/>
                <w:szCs w:val="14"/>
                <w:color w:val="auto"/>
              </w:rPr>
              <w:t>per share</w:t>
            </w:r>
          </w:p>
        </w:tc>
        <w:tc>
          <w:tcPr>
            <w:tcW w:w="540" w:type="dxa"/>
            <w:vAlign w:val="bottom"/>
          </w:tcPr>
          <w:p>
            <w:pPr>
              <w:ind w:left="20"/>
              <w:spacing w:after="0"/>
              <w:rPr>
                <w:sz w:val="20"/>
                <w:szCs w:val="20"/>
                <w:color w:val="auto"/>
              </w:rPr>
            </w:pPr>
            <w:r>
              <w:rPr>
                <w:rFonts w:ascii="Arial" w:cs="Arial" w:eastAsia="Arial" w:hAnsi="Arial"/>
                <w:sz w:val="14"/>
                <w:szCs w:val="14"/>
                <w:color w:val="auto"/>
                <w:w w:val="89"/>
              </w:rPr>
              <w:t>Other (2)</w:t>
            </w:r>
          </w:p>
        </w:tc>
        <w:tc>
          <w:tcPr>
            <w:tcW w:w="0" w:type="dxa"/>
            <w:vAlign w:val="bottom"/>
          </w:tcPr>
          <w:p>
            <w:pPr>
              <w:spacing w:after="0"/>
              <w:rPr>
                <w:sz w:val="1"/>
                <w:szCs w:val="1"/>
                <w:color w:val="auto"/>
              </w:rPr>
            </w:pPr>
          </w:p>
        </w:tc>
      </w:tr>
      <w:tr>
        <w:trPr>
          <w:trHeight w:val="197"/>
        </w:trPr>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ind w:left="100"/>
              <w:spacing w:after="0"/>
              <w:rPr>
                <w:sz w:val="20"/>
                <w:szCs w:val="20"/>
                <w:color w:val="auto"/>
              </w:rPr>
            </w:pPr>
            <w:r>
              <w:rPr>
                <w:rFonts w:ascii="Arial" w:cs="Arial" w:eastAsia="Arial" w:hAnsi="Arial"/>
                <w:sz w:val="14"/>
                <w:szCs w:val="14"/>
                <w:color w:val="auto"/>
              </w:rPr>
              <w:t>Warrants to Purchase</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4"/>
                <w:szCs w:val="14"/>
                <w:color w:val="auto"/>
                <w:w w:val="92"/>
              </w:rPr>
              <w:t>Class A Common Stock,</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4"/>
                <w:szCs w:val="14"/>
                <w:color w:val="auto"/>
              </w:rPr>
              <w:t>par value $0.0001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840" w:type="dxa"/>
            <w:vAlign w:val="bottom"/>
          </w:tcPr>
          <w:p>
            <w:pPr>
              <w:ind w:left="360"/>
              <w:spacing w:after="0"/>
              <w:rPr>
                <w:sz w:val="20"/>
                <w:szCs w:val="20"/>
                <w:color w:val="auto"/>
              </w:rPr>
            </w:pPr>
            <w:r>
              <w:rPr>
                <w:rFonts w:ascii="Arial" w:cs="Arial" w:eastAsia="Arial" w:hAnsi="Arial"/>
                <w:sz w:val="14"/>
                <w:szCs w:val="14"/>
                <w:color w:val="auto"/>
              </w:rPr>
              <w:t>Equity</w:t>
            </w:r>
          </w:p>
        </w:tc>
        <w:tc>
          <w:tcPr>
            <w:tcW w:w="1520" w:type="dxa"/>
            <w:vAlign w:val="bottom"/>
          </w:tcPr>
          <w:p>
            <w:pPr>
              <w:ind w:left="100"/>
              <w:spacing w:after="0"/>
              <w:rPr>
                <w:sz w:val="20"/>
                <w:szCs w:val="20"/>
                <w:color w:val="auto"/>
              </w:rPr>
            </w:pPr>
            <w:r>
              <w:rPr>
                <w:rFonts w:ascii="Arial" w:cs="Arial" w:eastAsia="Arial" w:hAnsi="Arial"/>
                <w:sz w:val="14"/>
                <w:szCs w:val="14"/>
                <w:color w:val="auto"/>
              </w:rPr>
              <w:t>per share</w:t>
            </w:r>
          </w:p>
        </w:tc>
        <w:tc>
          <w:tcPr>
            <w:tcW w:w="540" w:type="dxa"/>
            <w:vAlign w:val="bottom"/>
          </w:tcPr>
          <w:p>
            <w:pPr>
              <w:ind w:left="20"/>
              <w:spacing w:after="0"/>
              <w:rPr>
                <w:sz w:val="20"/>
                <w:szCs w:val="20"/>
                <w:color w:val="auto"/>
              </w:rPr>
            </w:pPr>
            <w:r>
              <w:rPr>
                <w:rFonts w:ascii="Arial" w:cs="Arial" w:eastAsia="Arial" w:hAnsi="Arial"/>
                <w:sz w:val="14"/>
                <w:szCs w:val="14"/>
                <w:color w:val="auto"/>
                <w:w w:val="89"/>
              </w:rPr>
              <w:t>Other (4)</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Fee Previously Paid</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Carry Forward Securities</w:t>
      </w:r>
    </w:p>
    <w:p>
      <w:pPr>
        <w:spacing w:after="0" w:line="27" w:lineRule="exact"/>
        <w:rPr>
          <w:sz w:val="20"/>
          <w:szCs w:val="20"/>
          <w:color w:val="auto"/>
        </w:rPr>
      </w:pPr>
    </w:p>
    <w:p>
      <w:pPr>
        <w:ind w:left="2266"/>
        <w:spacing w:after="0"/>
        <w:rPr>
          <w:sz w:val="20"/>
          <w:szCs w:val="20"/>
          <w:color w:val="auto"/>
        </w:rPr>
      </w:pPr>
      <w:r>
        <w:rPr>
          <w:rFonts w:ascii="Arial" w:cs="Arial" w:eastAsia="Arial" w:hAnsi="Arial"/>
          <w:sz w:val="14"/>
          <w:szCs w:val="14"/>
          <w:b w:val="1"/>
          <w:bCs w:val="1"/>
          <w:color w:val="auto"/>
        </w:rPr>
        <w:t>Total Offering Amounts</w:t>
      </w:r>
    </w:p>
    <w:p>
      <w:pPr>
        <w:spacing w:after="0" w:line="27" w:lineRule="exact"/>
        <w:rPr>
          <w:sz w:val="20"/>
          <w:szCs w:val="20"/>
          <w:color w:val="auto"/>
        </w:rPr>
      </w:pPr>
    </w:p>
    <w:p>
      <w:pPr>
        <w:ind w:left="2186"/>
        <w:spacing w:after="0"/>
        <w:rPr>
          <w:sz w:val="20"/>
          <w:szCs w:val="20"/>
          <w:color w:val="auto"/>
        </w:rPr>
      </w:pPr>
      <w:r>
        <w:rPr>
          <w:rFonts w:ascii="Arial" w:cs="Arial" w:eastAsia="Arial" w:hAnsi="Arial"/>
          <w:sz w:val="14"/>
          <w:szCs w:val="14"/>
          <w:b w:val="1"/>
          <w:bCs w:val="1"/>
          <w:color w:val="auto"/>
        </w:rPr>
        <w:t>Total Fees Previously Paid</w:t>
      </w:r>
    </w:p>
    <w:p>
      <w:pPr>
        <w:spacing w:after="0" w:line="23" w:lineRule="exact"/>
        <w:rPr>
          <w:sz w:val="20"/>
          <w:szCs w:val="20"/>
          <w:color w:val="auto"/>
        </w:rPr>
      </w:pPr>
    </w:p>
    <w:p>
      <w:pPr>
        <w:jc w:val="center"/>
        <w:ind w:left="1806"/>
        <w:spacing w:after="0"/>
        <w:rPr>
          <w:sz w:val="20"/>
          <w:szCs w:val="20"/>
          <w:color w:val="auto"/>
        </w:rPr>
      </w:pPr>
      <w:r>
        <w:rPr>
          <w:rFonts w:ascii="Arial" w:cs="Arial" w:eastAsia="Arial" w:hAnsi="Arial"/>
          <w:sz w:val="14"/>
          <w:szCs w:val="14"/>
          <w:b w:val="1"/>
          <w:bCs w:val="1"/>
          <w:color w:val="auto"/>
        </w:rPr>
        <w:t>Total Fee Offsets</w:t>
      </w:r>
    </w:p>
    <w:p>
      <w:pPr>
        <w:spacing w:after="0" w:line="20" w:lineRule="exact"/>
        <w:rPr>
          <w:sz w:val="20"/>
          <w:szCs w:val="20"/>
          <w:color w:val="auto"/>
        </w:rPr>
      </w:pPr>
    </w:p>
    <w:p>
      <w:pPr>
        <w:jc w:val="center"/>
        <w:ind w:left="1806"/>
        <w:spacing w:after="0"/>
        <w:rPr>
          <w:sz w:val="20"/>
          <w:szCs w:val="20"/>
          <w:color w:val="auto"/>
        </w:rPr>
      </w:pPr>
      <w:r>
        <w:rPr>
          <w:rFonts w:ascii="Arial" w:cs="Arial" w:eastAsia="Arial" w:hAnsi="Arial"/>
          <w:sz w:val="14"/>
          <w:szCs w:val="14"/>
          <w:b w:val="1"/>
          <w:bCs w:val="1"/>
          <w:color w:val="auto"/>
        </w:rPr>
        <w:t>Net Fee Due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175,541,507 (3)</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10.21 (2)</w:t>
            </w:r>
          </w:p>
        </w:tc>
        <w:tc>
          <w:tcPr>
            <w:tcW w:w="960" w:type="dxa"/>
            <w:vAlign w:val="bottom"/>
            <w:gridSpan w:val="3"/>
          </w:tcPr>
          <w:p>
            <w:pPr>
              <w:jc w:val="right"/>
              <w:ind w:right="40"/>
              <w:spacing w:after="0"/>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1,792,278,787</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0.0000927</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166,145</w:t>
            </w:r>
          </w:p>
        </w:tc>
      </w:tr>
      <w:tr>
        <w:trPr>
          <w:trHeight w:val="26"/>
        </w:trPr>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r>
        <w:trPr>
          <w:trHeight w:val="704"/>
        </w:trPr>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9,223,261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0.0000927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6"/>
        </w:trPr>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-822325</wp:posOffset>
            </wp:positionV>
            <wp:extent cx="7204710" cy="3517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6">
                      <a:extLst>
                        <a:ext uri="{28A0092B-C50C-407E-A947-70E740481C1C}"/>
                      </a:extLst>
                    </a:blip>
                    <a:srcRect/>
                    <a:stretch>
                      <a:fillRect/>
                    </a:stretch>
                  </pic:blipFill>
                  <pic:spPr bwMode="auto">
                    <a:xfrm>
                      <a:off x="0" y="0"/>
                      <a:ext cx="7204710" cy="35179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-6985</wp:posOffset>
            </wp:positionV>
            <wp:extent cx="7204710" cy="1193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7">
                      <a:extLst>
                        <a:ext uri="{28A0092B-C50C-407E-A947-70E740481C1C}"/>
                      </a:extLst>
                    </a:blip>
                    <a:srcRect/>
                    <a:stretch>
                      <a:fillRect/>
                    </a:stretch>
                  </pic:blipFill>
                  <pic:spPr bwMode="auto">
                    <a:xfrm>
                      <a:off x="0" y="0"/>
                      <a:ext cx="7204710" cy="119380"/>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17780</wp:posOffset>
            </wp:positionV>
            <wp:extent cx="7204710" cy="1123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7204710" cy="112395"/>
                    </a:xfrm>
                    <a:prstGeom prst="rect">
                      <a:avLst/>
                    </a:prstGeom>
                    <a:noFill/>
                  </pic:spPr>
                </pic:pic>
              </a:graphicData>
            </a:graphic>
          </wp:anchor>
        </w:drawing>
      </w:r>
    </w:p>
    <w:p>
      <w:pPr>
        <w:spacing w:after="0" w:line="176" w:lineRule="exact"/>
        <w:rPr>
          <w:sz w:val="20"/>
          <w:szCs w:val="20"/>
          <w:color w:val="auto"/>
        </w:rPr>
      </w:pPr>
    </w:p>
    <w:p>
      <w:pPr>
        <w:ind w:left="1760"/>
        <w:spacing w:after="0"/>
        <w:rPr>
          <w:sz w:val="20"/>
          <w:szCs w:val="20"/>
          <w:color w:val="auto"/>
        </w:rPr>
      </w:pPr>
      <w:r>
        <w:rPr>
          <w:rFonts w:ascii="Arial" w:cs="Arial" w:eastAsia="Arial" w:hAnsi="Arial"/>
          <w:sz w:val="14"/>
          <w:szCs w:val="14"/>
          <w:u w:val="single" w:color="auto"/>
          <w:color w:val="auto"/>
        </w:rPr>
        <w:t>$1,792,278,787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22860</wp:posOffset>
            </wp:positionV>
            <wp:extent cx="7204710" cy="1193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9">
                      <a:extLst>
                        <a:ext uri="{28A0092B-C50C-407E-A947-70E740481C1C}"/>
                      </a:extLst>
                    </a:blip>
                    <a:srcRect/>
                    <a:stretch>
                      <a:fillRect/>
                    </a:stretch>
                  </pic:blipFill>
                  <pic:spPr bwMode="auto">
                    <a:xfrm>
                      <a:off x="0" y="0"/>
                      <a:ext cx="7204710" cy="119380"/>
                    </a:xfrm>
                    <a:prstGeom prst="rect">
                      <a:avLst/>
                    </a:prstGeom>
                    <a:noFill/>
                  </pic:spPr>
                </pic:pic>
              </a:graphicData>
            </a:graphic>
          </wp:anchor>
        </w:drawing>
      </w:r>
    </w:p>
    <w:p>
      <w:pPr>
        <w:spacing w:after="0" w:line="373" w:lineRule="exact"/>
        <w:rPr>
          <w:sz w:val="20"/>
          <w:szCs w:val="20"/>
          <w:color w:val="auto"/>
        </w:rPr>
      </w:pPr>
    </w:p>
    <w:p>
      <w:pPr>
        <w:ind w:left="2180" w:hanging="418"/>
        <w:spacing w:after="0"/>
        <w:tabs>
          <w:tab w:leader="none" w:pos="2180" w:val="left"/>
        </w:tabs>
        <w:numPr>
          <w:ilvl w:val="0"/>
          <w:numId w:val="238"/>
        </w:numPr>
        <w:rPr>
          <w:rFonts w:ascii="Arial" w:cs="Arial" w:eastAsia="Arial" w:hAnsi="Arial"/>
          <w:sz w:val="14"/>
          <w:szCs w:val="14"/>
          <w:color w:val="auto"/>
        </w:rPr>
      </w:pPr>
      <w:r>
        <w:rPr>
          <w:rFonts w:ascii="Arial" w:cs="Arial" w:eastAsia="Arial" w:hAnsi="Arial"/>
          <w:sz w:val="14"/>
          <w:szCs w:val="14"/>
          <w:color w:val="auto"/>
        </w:rPr>
        <w:t>166,145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-96520</wp:posOffset>
            </wp:positionV>
            <wp:extent cx="7204710" cy="1270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0">
                      <a:extLst>
                        <a:ext uri="{28A0092B-C50C-407E-A947-70E740481C1C}"/>
                      </a:extLst>
                    </a:blip>
                    <a:srcRect/>
                    <a:stretch>
                      <a:fillRect/>
                    </a:stretch>
                  </pic:blipFill>
                  <pic:spPr bwMode="auto">
                    <a:xfrm>
                      <a:off x="0" y="0"/>
                      <a:ext cx="7204710" cy="12700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4146" w:space="240"/>
            <w:col w:w="6920"/>
          </w:cols>
          <w:pgMar w:left="314" w:top="311" w:right="279" w:bottom="1440" w:gutter="0" w:footer="0" w:header="0"/>
          <w:type w:val="continuous"/>
        </w:sectPr>
      </w:pPr>
    </w:p>
    <w:p>
      <w:pPr>
        <w:spacing w:after="0" w:line="16" w:lineRule="exact"/>
        <w:rPr>
          <w:sz w:val="20"/>
          <w:szCs w:val="20"/>
          <w:color w:val="auto"/>
        </w:rPr>
      </w:pPr>
    </w:p>
    <w:p>
      <w:pPr>
        <w:jc w:val="both"/>
        <w:ind w:left="6" w:right="40" w:hanging="6"/>
        <w:spacing w:after="0" w:line="256" w:lineRule="auto"/>
        <w:tabs>
          <w:tab w:leader="none" w:pos="24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“Securities Act”), this Registration Statement shall also cover any additional shares of Class A Common Stock, par value $0.0001 per share (the “Class A Common Stock”), that become issuable by reason of any stock dividend, stock split, recapitalization or other similar transaction.</w:t>
      </w:r>
    </w:p>
    <w:p>
      <w:pPr>
        <w:spacing w:after="0" w:line="165" w:lineRule="exact"/>
        <w:rPr>
          <w:rFonts w:ascii="Arial" w:cs="Arial" w:eastAsia="Arial" w:hAnsi="Arial"/>
          <w:sz w:val="16"/>
          <w:szCs w:val="16"/>
          <w:color w:val="auto"/>
        </w:rPr>
      </w:pPr>
    </w:p>
    <w:p>
      <w:pPr>
        <w:ind w:left="6" w:right="60" w:hanging="6"/>
        <w:spacing w:after="0" w:line="266" w:lineRule="auto"/>
        <w:tabs>
          <w:tab w:leader="none" w:pos="22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457(c) under the Securities Act based on the average of the high and low prices of the Registrant’s Class A Common Stock as reported on The Nasdaq Capital Market on August 5, 2022.</w:t>
      </w:r>
    </w:p>
    <w:p>
      <w:pPr>
        <w:spacing w:after="0" w:line="157" w:lineRule="exact"/>
        <w:rPr>
          <w:rFonts w:ascii="Arial" w:cs="Arial" w:eastAsia="Arial" w:hAnsi="Arial"/>
          <w:sz w:val="16"/>
          <w:szCs w:val="16"/>
          <w:color w:val="auto"/>
        </w:rPr>
      </w:pPr>
    </w:p>
    <w:p>
      <w:pPr>
        <w:jc w:val="both"/>
        <w:ind w:left="6" w:right="40" w:hanging="6"/>
        <w:spacing w:after="0" w:line="342" w:lineRule="auto"/>
        <w:tabs>
          <w:tab w:leader="none" w:pos="228" w:val="left"/>
        </w:tabs>
        <w:numPr>
          <w:ilvl w:val="0"/>
          <w:numId w:val="239"/>
        </w:numPr>
        <w:rPr>
          <w:rFonts w:ascii="Arial" w:cs="Arial" w:eastAsia="Arial" w:hAnsi="Arial"/>
          <w:sz w:val="13"/>
          <w:szCs w:val="13"/>
          <w:color w:val="auto"/>
        </w:rPr>
      </w:pPr>
      <w:r>
        <w:rPr>
          <w:rFonts w:ascii="Arial" w:cs="Arial" w:eastAsia="Arial" w:hAnsi="Arial"/>
          <w:sz w:val="13"/>
          <w:szCs w:val="13"/>
          <w:color w:val="auto"/>
        </w:rPr>
        <w:t>The number of shares of Class A Common Stock being registered includes (i) 21,919,209 shares of the Registrant’s Class A Common Stock, (ii) 144,399,037 shares of the Registrant’s Class A Common Stock issuable upon the conversion of (a) 144,399,037 common units of Opal Fuels LLC for shares of the Registrant’s Class C Common Stock and the subsequent conversion of such shares of Class C Common Stock and (iii) 9,223,261 shares of the Registrant’s Class A Common Stock issuable upon exercise of warrants.</w:t>
      </w:r>
    </w:p>
    <w:p>
      <w:pPr>
        <w:spacing w:after="0" w:line="114" w:lineRule="exact"/>
        <w:rPr>
          <w:rFonts w:ascii="Arial" w:cs="Arial" w:eastAsia="Arial" w:hAnsi="Arial"/>
          <w:sz w:val="13"/>
          <w:szCs w:val="13"/>
          <w:color w:val="auto"/>
        </w:rPr>
      </w:pPr>
    </w:p>
    <w:p>
      <w:pPr>
        <w:ind w:left="226" w:hanging="226"/>
        <w:spacing w:after="0"/>
        <w:tabs>
          <w:tab w:leader="none" w:pos="226" w:val="left"/>
        </w:tabs>
        <w:numPr>
          <w:ilvl w:val="0"/>
          <w:numId w:val="239"/>
        </w:numPr>
        <w:rPr>
          <w:rFonts w:ascii="Arial" w:cs="Arial" w:eastAsia="Arial" w:hAnsi="Arial"/>
          <w:sz w:val="15"/>
          <w:szCs w:val="15"/>
          <w:color w:val="auto"/>
        </w:rPr>
      </w:pPr>
      <w:r>
        <w:rPr>
          <w:rFonts w:ascii="Arial" w:cs="Arial" w:eastAsia="Arial" w:hAnsi="Arial"/>
          <w:sz w:val="15"/>
          <w:szCs w:val="15"/>
          <w:color w:val="auto"/>
        </w:rPr>
        <w:t>Pursuant to Rule 457(g) of the Securities Act, no separate fee is recorded for the warrants and the entire fee is allocated to the underlying Class A Common Stock.</w:t>
      </w:r>
    </w:p>
    <w:sectPr>
      <w:pgSz w:w="11900" w:h="16838" w:orient="portrait"/>
      <w:cols w:equalWidth="0" w:num="1">
        <w:col w:w="11306"/>
      </w:cols>
      <w:pgMar w:left="314" w:top="311"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F029D3"/>
    <w:multiLevelType w:val="hybridMultilevel"/>
    <w:lvl w:ilvl="0">
      <w:lvlJc w:val="left"/>
      <w:lvlText w:val="(%1)"/>
      <w:numFmt w:val="lowerRoman"/>
      <w:start w:val="1"/>
    </w:lvl>
  </w:abstractNum>
  <w:abstractNum w:abstractNumId="1">
    <w:nsid w:val="5675FF36"/>
    <w:multiLevelType w:val="hybridMultilevel"/>
    <w:lvl w:ilvl="0">
      <w:lvlJc w:val="left"/>
      <w:lvlText w:val="(%1)"/>
      <w:numFmt w:val="lowerLetter"/>
      <w:start w:val="2"/>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1)"/>
      <w:numFmt w:val="lowerRoman"/>
      <w:start w:val="2"/>
    </w:lvl>
  </w:abstractNum>
  <w:abstractNum w:abstractNumId="4">
    <w:nsid w:val="2708C9AF"/>
    <w:multiLevelType w:val="hybridMultilevel"/>
    <w:lvl w:ilvl="0">
      <w:lvlJc w:val="left"/>
      <w:lvlText w:val="●"/>
      <w:numFmt w:val="bullet"/>
      <w:start w:val="1"/>
    </w:lvl>
  </w:abstractNum>
  <w:abstractNum w:abstractNumId="5">
    <w:nsid w:val="5B25ACE2"/>
    <w:multiLevelType w:val="hybridMultilevel"/>
    <w:lvl w:ilvl="0">
      <w:lvlJc w:val="left"/>
      <w:lvlText w:val="●"/>
      <w:numFmt w:val="bullet"/>
      <w:start w:val="1"/>
    </w:lvl>
  </w:abstractNum>
  <w:abstractNum w:abstractNumId="6">
    <w:nsid w:val="175DFCF0"/>
    <w:multiLevelType w:val="hybridMultilevel"/>
    <w:lvl w:ilvl="0">
      <w:lvlJc w:val="left"/>
      <w:lvlText w:val="●"/>
      <w:numFmt w:val="bullet"/>
      <w:start w:val="1"/>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
      <w:numFmt w:val="bullet"/>
      <w:start w:val="1"/>
    </w:lvl>
  </w:abstractNum>
  <w:abstractNum w:abstractNumId="9">
    <w:nsid w:val="34FD6B4F"/>
    <w:multiLevelType w:val="hybridMultilevel"/>
    <w:lvl w:ilvl="0">
      <w:lvlJc w:val="left"/>
      <w:lvlText w:val="●"/>
      <w:numFmt w:val="bullet"/>
      <w:start w:val="1"/>
    </w:lvl>
  </w:abstractNum>
  <w:abstractNum w:abstractNumId="10">
    <w:nsid w:val="5915FF32"/>
    <w:multiLevelType w:val="hybridMultilevel"/>
    <w:lvl w:ilvl="0">
      <w:lvlJc w:val="left"/>
      <w:lvlText w:val="●"/>
      <w:numFmt w:val="bullet"/>
      <w:start w:val="1"/>
    </w:lvl>
  </w:abstractNum>
  <w:abstractNum w:abstractNumId="11">
    <w:nsid w:val="56438D15"/>
    <w:multiLevelType w:val="hybridMultilevel"/>
    <w:lvl w:ilvl="0">
      <w:lvlJc w:val="left"/>
      <w:lvlText w:val="(%1)"/>
      <w:numFmt w:val="decimal"/>
      <w:start w:val="1"/>
    </w:lvl>
  </w:abstractNum>
  <w:abstractNum w:abstractNumId="12">
    <w:nsid w:val="519E3149"/>
    <w:multiLevelType w:val="hybridMultilevel"/>
    <w:lvl w:ilvl="0">
      <w:lvlJc w:val="left"/>
      <w:lvlText w:val="(%1)"/>
      <w:numFmt w:val="decimal"/>
      <w:start w:val="1"/>
    </w:lvl>
  </w:abstractNum>
  <w:abstractNum w:abstractNumId="13">
    <w:nsid w:val="2C6E4AFD"/>
    <w:multiLevelType w:val="hybridMultilevel"/>
    <w:lvl w:ilvl="0">
      <w:lvlJc w:val="left"/>
      <w:lvlText w:val="(%1)"/>
      <w:numFmt w:val="lowerRoman"/>
      <w:start w:val="3"/>
    </w:lvl>
  </w:abstractNum>
  <w:abstractNum w:abstractNumId="14">
    <w:nsid w:val="17A1B582"/>
    <w:multiLevelType w:val="hybridMultilevel"/>
    <w:lvl w:ilvl="0">
      <w:lvlJc w:val="left"/>
      <w:lvlText w:val="(%1)"/>
      <w:numFmt w:val="lowerRoman"/>
      <w:start w:val="6"/>
    </w:lvl>
  </w:abstractNum>
  <w:abstractNum w:abstractNumId="15">
    <w:nsid w:val="4DF72E4E"/>
    <w:multiLevelType w:val="hybridMultilevel"/>
    <w:lvl w:ilvl="0">
      <w:lvlJc w:val="left"/>
      <w:lvlText w:val="(%1)"/>
      <w:numFmt w:val="lowerRoman"/>
      <w:start w:val="2"/>
    </w:lvl>
  </w:abstractNum>
  <w:abstractNum w:abstractNumId="16">
    <w:nsid w:val="5046B5A9"/>
    <w:multiLevelType w:val="hybridMultilevel"/>
    <w:lvl w:ilvl="0">
      <w:lvlJc w:val="left"/>
      <w:lvlText w:val="●"/>
      <w:numFmt w:val="bullet"/>
      <w:start w:val="1"/>
    </w:lvl>
  </w:abstractNum>
  <w:abstractNum w:abstractNumId="17">
    <w:nsid w:val="5D888A08"/>
    <w:multiLevelType w:val="hybridMultilevel"/>
    <w:lvl w:ilvl="0">
      <w:lvlJc w:val="left"/>
      <w:lvlText w:val="●"/>
      <w:numFmt w:val="bullet"/>
      <w:start w:val="1"/>
    </w:lvl>
  </w:abstractNum>
  <w:abstractNum w:abstractNumId="18">
    <w:nsid w:val="2A082C70"/>
    <w:multiLevelType w:val="hybridMultilevel"/>
    <w:lvl w:ilvl="0">
      <w:lvlJc w:val="left"/>
      <w:lvlText w:val="●"/>
      <w:numFmt w:val="bullet"/>
      <w:start w:val="1"/>
    </w:lvl>
  </w:abstractNum>
  <w:abstractNum w:abstractNumId="19">
    <w:nsid w:val="5EC6AFD4"/>
    <w:multiLevelType w:val="hybridMultilevel"/>
    <w:lvl w:ilvl="0">
      <w:lvlJc w:val="left"/>
      <w:lvlText w:val="●"/>
      <w:numFmt w:val="bullet"/>
      <w:start w:val="1"/>
    </w:lvl>
  </w:abstractNum>
  <w:abstractNum w:abstractNumId="20">
    <w:nsid w:val="19E21BB2"/>
    <w:multiLevelType w:val="hybridMultilevel"/>
    <w:lvl w:ilvl="0">
      <w:lvlJc w:val="left"/>
      <w:lvlText w:val="(%1)"/>
      <w:numFmt w:val="lowerRoman"/>
      <w:start w:val="4"/>
    </w:lvl>
  </w:abstractNum>
  <w:abstractNum w:abstractNumId="21">
    <w:nsid w:val="75E0858A"/>
    <w:multiLevelType w:val="hybridMultilevel"/>
    <w:lvl w:ilvl="0">
      <w:lvlJc w:val="left"/>
      <w:lvlText w:val="●"/>
      <w:numFmt w:val="bullet"/>
      <w:start w:val="1"/>
    </w:lvl>
  </w:abstractNum>
  <w:abstractNum w:abstractNumId="22">
    <w:nsid w:val="57A61A29"/>
    <w:multiLevelType w:val="hybridMultilevel"/>
    <w:lvl w:ilvl="0">
      <w:lvlJc w:val="left"/>
      <w:lvlText w:val="(%1)"/>
      <w:numFmt w:val="lowerRoman"/>
      <w:start w:val="1"/>
    </w:lvl>
  </w:abstractNum>
  <w:abstractNum w:abstractNumId="23">
    <w:nsid w:val="5399C654"/>
    <w:multiLevelType w:val="hybridMultilevel"/>
    <w:lvl w:ilvl="0">
      <w:lvlJc w:val="left"/>
      <w:lvlText w:val="●"/>
      <w:numFmt w:val="bullet"/>
      <w:start w:val="1"/>
    </w:lvl>
  </w:abstractNum>
  <w:abstractNum w:abstractNumId="24">
    <w:nsid w:val="20EE1348"/>
    <w:multiLevelType w:val="hybridMultilevel"/>
    <w:lvl w:ilvl="0">
      <w:lvlJc w:val="left"/>
      <w:lvlText w:val="●"/>
      <w:numFmt w:val="bullet"/>
      <w:start w:val="1"/>
    </w:lvl>
  </w:abstractNum>
  <w:abstractNum w:abstractNumId="25">
    <w:nsid w:val="4427069A"/>
    <w:multiLevelType w:val="hybridMultilevel"/>
    <w:lvl w:ilvl="0">
      <w:lvlJc w:val="left"/>
      <w:lvlText w:val="●"/>
      <w:numFmt w:val="bullet"/>
      <w:start w:val="1"/>
    </w:lvl>
  </w:abstractNum>
  <w:abstractNum w:abstractNumId="26">
    <w:nsid w:val="B37E80A"/>
    <w:multiLevelType w:val="hybridMultilevel"/>
    <w:lvl w:ilvl="0">
      <w:lvlJc w:val="left"/>
      <w:lvlText w:val="●"/>
      <w:numFmt w:val="bullet"/>
      <w:start w:val="1"/>
    </w:lvl>
  </w:abstractNum>
  <w:abstractNum w:abstractNumId="27">
    <w:nsid w:val="2157F6BC"/>
    <w:multiLevelType w:val="hybridMultilevel"/>
    <w:lvl w:ilvl="0">
      <w:lvlJc w:val="left"/>
      <w:lvlText w:val="●"/>
      <w:numFmt w:val="bullet"/>
      <w:start w:val="1"/>
    </w:lvl>
  </w:abstractNum>
  <w:abstractNum w:abstractNumId="28">
    <w:nsid w:val="704E1DD5"/>
    <w:multiLevelType w:val="hybridMultilevel"/>
    <w:lvl w:ilvl="0">
      <w:lvlJc w:val="left"/>
      <w:lvlText w:val="●"/>
      <w:numFmt w:val="bullet"/>
      <w:start w:val="1"/>
    </w:lvl>
  </w:abstractNum>
  <w:abstractNum w:abstractNumId="29">
    <w:nsid w:val="57D2F10E"/>
    <w:multiLevelType w:val="hybridMultilevel"/>
    <w:lvl w:ilvl="0">
      <w:lvlJc w:val="left"/>
      <w:lvlText w:val="(%1)"/>
      <w:numFmt w:val="lowerRoman"/>
      <w:start w:val="3"/>
    </w:lvl>
  </w:abstractNum>
  <w:abstractNum w:abstractNumId="30">
    <w:nsid w:val="BFFAE18"/>
    <w:multiLevelType w:val="hybridMultilevel"/>
    <w:lvl w:ilvl="0">
      <w:lvlJc w:val="left"/>
      <w:lvlText w:val="●"/>
      <w:numFmt w:val="bullet"/>
      <w:start w:val="1"/>
    </w:lvl>
  </w:abstractNum>
  <w:abstractNum w:abstractNumId="31">
    <w:nsid w:val="E3E47A8"/>
    <w:multiLevelType w:val="hybridMultilevel"/>
    <w:lvl w:ilvl="0">
      <w:lvlJc w:val="left"/>
      <w:lvlText w:val="●"/>
      <w:numFmt w:val="bullet"/>
      <w:start w:val="1"/>
    </w:lvl>
  </w:abstractNum>
  <w:abstractNum w:abstractNumId="32">
    <w:nsid w:val="2E48F044"/>
    <w:multiLevelType w:val="hybridMultilevel"/>
    <w:lvl w:ilvl="0">
      <w:lvlJc w:val="left"/>
      <w:lvlText w:val="$"/>
      <w:numFmt w:val="bullet"/>
      <w:start w:val="1"/>
    </w:lvl>
  </w:abstractNum>
  <w:abstractNum w:abstractNumId="33">
    <w:nsid w:val="49D0FEAC"/>
    <w:multiLevelType w:val="hybridMultilevel"/>
    <w:lvl w:ilvl="0">
      <w:lvlJc w:val="left"/>
      <w:lvlText w:val="●"/>
      <w:numFmt w:val="bullet"/>
      <w:start w:val="1"/>
    </w:lvl>
  </w:abstractNum>
  <w:abstractNum w:abstractNumId="34">
    <w:nsid w:val="4BEE5A5B"/>
    <w:multiLevelType w:val="hybridMultilevel"/>
    <w:lvl w:ilvl="0">
      <w:lvlJc w:val="left"/>
      <w:lvlText w:val="●"/>
      <w:numFmt w:val="bullet"/>
      <w:start w:val="1"/>
    </w:lvl>
  </w:abstractNum>
  <w:abstractNum w:abstractNumId="35">
    <w:nsid w:val="5551B9F3"/>
    <w:multiLevelType w:val="hybridMultilevel"/>
    <w:lvl w:ilvl="0">
      <w:lvlJc w:val="left"/>
      <w:lvlText w:val="●"/>
      <w:numFmt w:val="bullet"/>
      <w:start w:val="1"/>
    </w:lvl>
  </w:abstractNum>
  <w:abstractNum w:abstractNumId="36">
    <w:nsid w:val="24F6AB8E"/>
    <w:multiLevelType w:val="hybridMultilevel"/>
    <w:lvl w:ilvl="0">
      <w:lvlJc w:val="left"/>
      <w:lvlText w:val="(%1)"/>
      <w:numFmt w:val="decimal"/>
      <w:start w:val="1"/>
    </w:lvl>
  </w:abstractNum>
  <w:abstractNum w:abstractNumId="37">
    <w:nsid w:val="634C574C"/>
    <w:multiLevelType w:val="hybridMultilevel"/>
    <w:lvl w:ilvl="0">
      <w:lvlJc w:val="left"/>
      <w:lvlText w:val="●"/>
      <w:numFmt w:val="bullet"/>
      <w:start w:val="1"/>
    </w:lvl>
  </w:abstractNum>
  <w:abstractNum w:abstractNumId="38">
    <w:nsid w:val="24E99DD7"/>
    <w:multiLevelType w:val="hybridMultilevel"/>
    <w:lvl w:ilvl="0">
      <w:lvlJc w:val="left"/>
      <w:lvlText w:val="●"/>
      <w:numFmt w:val="bullet"/>
      <w:start w:val="1"/>
    </w:lvl>
  </w:abstractNum>
  <w:abstractNum w:abstractNumId="39">
    <w:nsid w:val="2A31B62D"/>
    <w:multiLevelType w:val="hybridMultilevel"/>
    <w:lvl w:ilvl="0">
      <w:lvlJc w:val="left"/>
      <w:lvlText w:val="●"/>
      <w:numFmt w:val="bullet"/>
      <w:start w:val="1"/>
    </w:lvl>
  </w:abstractNum>
  <w:abstractNum w:abstractNumId="40">
    <w:nsid w:val="1849C29B"/>
    <w:multiLevelType w:val="hybridMultilevel"/>
    <w:lvl w:ilvl="0">
      <w:lvlJc w:val="left"/>
      <w:lvlText w:val="(%1)"/>
      <w:numFmt w:val="lowerLetter"/>
      <w:start w:val="1"/>
    </w:lvl>
  </w:abstractNum>
  <w:abstractNum w:abstractNumId="41">
    <w:nsid w:val="7DFF9D09"/>
    <w:multiLevelType w:val="hybridMultilevel"/>
    <w:lvl w:ilvl="0">
      <w:lvlJc w:val="left"/>
      <w:lvlText w:val="(%1)"/>
      <w:numFmt w:val="lowerLetter"/>
      <w:start w:val="4"/>
    </w:lvl>
  </w:abstractNum>
  <w:abstractNum w:abstractNumId="42">
    <w:nsid w:val="754342"/>
    <w:multiLevelType w:val="hybridMultilevel"/>
    <w:lvl w:ilvl="0">
      <w:lvlJc w:val="left"/>
      <w:lvlText w:val="(%1)"/>
      <w:numFmt w:val="lowerLetter"/>
      <w:start w:val="6"/>
    </w:lvl>
  </w:abstractNum>
  <w:abstractNum w:abstractNumId="43">
    <w:nsid w:val="69E7F3E5"/>
    <w:multiLevelType w:val="hybridMultilevel"/>
    <w:lvl w:ilvl="0">
      <w:lvlJc w:val="left"/>
      <w:lvlText w:val="(%1)"/>
      <w:numFmt w:val="lowerLetter"/>
      <w:start w:val="1"/>
    </w:lvl>
  </w:abstractNum>
  <w:abstractNum w:abstractNumId="44">
    <w:nsid w:val="2A6DE806"/>
    <w:multiLevelType w:val="hybridMultilevel"/>
    <w:lvl w:ilvl="0">
      <w:lvlJc w:val="left"/>
      <w:lvlText w:val="(%1)"/>
      <w:numFmt w:val="lowerLetter"/>
      <w:start w:val="1"/>
    </w:lvl>
  </w:abstractNum>
  <w:abstractNum w:abstractNumId="45">
    <w:nsid w:val="1816F8C4"/>
    <w:multiLevelType w:val="hybridMultilevel"/>
    <w:lvl w:ilvl="0">
      <w:lvlJc w:val="left"/>
      <w:lvlText w:val="(%1)"/>
      <w:numFmt w:val="lowerLetter"/>
      <w:start w:val="4"/>
    </w:lvl>
  </w:abstractNum>
  <w:abstractNum w:abstractNumId="46">
    <w:nsid w:val="37DF2233"/>
    <w:multiLevelType w:val="hybridMultilevel"/>
    <w:lvl w:ilvl="0">
      <w:lvlJc w:val="left"/>
      <w:lvlText w:val="(%1)"/>
      <w:numFmt w:val="lowerRoman"/>
      <w:start w:val="5"/>
    </w:lvl>
  </w:abstractNum>
  <w:abstractNum w:abstractNumId="47">
    <w:nsid w:val="7AB49DAF"/>
    <w:multiLevelType w:val="hybridMultilevel"/>
    <w:lvl w:ilvl="0">
      <w:lvlJc w:val="left"/>
      <w:lvlText w:val="(%1)"/>
      <w:numFmt w:val="lowerLetter"/>
      <w:start w:val="11"/>
    </w:lvl>
  </w:abstractNum>
  <w:abstractNum w:abstractNumId="48">
    <w:nsid w:val="759F82CD"/>
    <w:multiLevelType w:val="hybridMultilevel"/>
    <w:lvl w:ilvl="0">
      <w:lvlJc w:val="left"/>
      <w:lvlText w:val="(%1)"/>
      <w:numFmt w:val="lowerLetter"/>
      <w:start w:val="1"/>
    </w:lvl>
  </w:abstractNum>
  <w:abstractNum w:abstractNumId="49">
    <w:nsid w:val="61E74EA3"/>
    <w:multiLevelType w:val="hybridMultilevel"/>
    <w:lvl w:ilvl="0">
      <w:lvlJc w:val="left"/>
      <w:lvlText w:val="(%1)"/>
      <w:numFmt w:val="lowerLetter"/>
      <w:start w:val="4"/>
    </w:lvl>
  </w:abstractNum>
  <w:abstractNum w:abstractNumId="50">
    <w:nsid w:val="597B4D84"/>
    <w:multiLevelType w:val="hybridMultilevel"/>
    <w:lvl w:ilvl="0">
      <w:lvlJc w:val="left"/>
      <w:lvlText w:val="(%1)"/>
      <w:numFmt w:val="decimal"/>
      <w:start w:val="1"/>
    </w:lvl>
  </w:abstractNum>
  <w:abstractNum w:abstractNumId="51">
    <w:nsid w:val="F819E7F"/>
    <w:multiLevelType w:val="hybridMultilevel"/>
    <w:lvl w:ilvl="0">
      <w:lvlJc w:val="left"/>
      <w:lvlText w:val="●"/>
      <w:numFmt w:val="bullet"/>
      <w:start w:val="1"/>
    </w:lvl>
  </w:abstractNum>
  <w:abstractNum w:abstractNumId="52">
    <w:nsid w:val="57C7D42D"/>
    <w:multiLevelType w:val="hybridMultilevel"/>
    <w:lvl w:ilvl="0">
      <w:lvlJc w:val="left"/>
      <w:lvlText w:val="●"/>
      <w:numFmt w:val="bullet"/>
      <w:start w:val="1"/>
    </w:lvl>
  </w:abstractNum>
  <w:abstractNum w:abstractNumId="53">
    <w:nsid w:val="312167AD"/>
    <w:multiLevelType w:val="hybridMultilevel"/>
    <w:lvl w:ilvl="0">
      <w:lvlJc w:val="left"/>
      <w:lvlText w:val="(%1)"/>
      <w:numFmt w:val="decimal"/>
      <w:start w:val="1"/>
    </w:lvl>
  </w:abstractNum>
  <w:abstractNum w:abstractNumId="54">
    <w:nsid w:val="631B64D4"/>
    <w:multiLevelType w:val="hybridMultilevel"/>
    <w:lvl w:ilvl="0">
      <w:lvlJc w:val="left"/>
      <w:lvlText w:val="(%1)"/>
      <w:numFmt w:val="decimal"/>
      <w:start w:val="3"/>
    </w:lvl>
  </w:abstractNum>
  <w:abstractNum w:abstractNumId="55">
    <w:nsid w:val="78B5E776"/>
    <w:multiLevelType w:val="hybridMultilevel"/>
    <w:lvl w:ilvl="0">
      <w:lvlJc w:val="left"/>
      <w:lvlText w:val="(%1)"/>
      <w:numFmt w:val="lowerRoman"/>
      <w:start w:val="4"/>
    </w:lvl>
  </w:abstractNum>
  <w:abstractNum w:abstractNumId="56">
    <w:nsid w:val="75486E47"/>
    <w:multiLevelType w:val="hybridMultilevel"/>
    <w:lvl w:ilvl="0">
      <w:lvlJc w:val="left"/>
      <w:lvlText w:val="(%1)"/>
      <w:numFmt w:val="lowerRoman"/>
      <w:start w:val="2"/>
    </w:lvl>
  </w:abstractNum>
  <w:abstractNum w:abstractNumId="57">
    <w:nsid w:val="6E534CDE"/>
    <w:multiLevelType w:val="hybridMultilevel"/>
    <w:lvl w:ilvl="0">
      <w:lvlJc w:val="left"/>
      <w:lvlText w:val="(%1)"/>
      <w:numFmt w:val="decimal"/>
      <w:start w:val="1"/>
    </w:lvl>
  </w:abstractNum>
  <w:abstractNum w:abstractNumId="58">
    <w:nsid w:val="1A0DDE32"/>
    <w:multiLevelType w:val="hybridMultilevel"/>
    <w:lvl w:ilvl="0">
      <w:lvlJc w:val="left"/>
      <w:lvlText w:val="(%1)"/>
      <w:numFmt w:val="decimal"/>
      <w:start w:val="1"/>
    </w:lvl>
  </w:abstractNum>
  <w:abstractNum w:abstractNumId="59">
    <w:nsid w:val="65968C1C"/>
    <w:multiLevelType w:val="hybridMultilevel"/>
    <w:lvl w:ilvl="0">
      <w:lvlJc w:val="left"/>
      <w:lvlText w:val="(%1)"/>
      <w:numFmt w:val="decimal"/>
      <w:start w:val="2"/>
    </w:lvl>
  </w:abstractNum>
  <w:abstractNum w:abstractNumId="60">
    <w:nsid w:val="46263DEC"/>
    <w:multiLevelType w:val="hybridMultilevel"/>
    <w:lvl w:ilvl="0">
      <w:lvlJc w:val="left"/>
      <w:lvlText w:val="●"/>
      <w:numFmt w:val="bullet"/>
      <w:start w:val="1"/>
    </w:lvl>
  </w:abstractNum>
  <w:abstractNum w:abstractNumId="61">
    <w:nsid w:val="260D8C4A"/>
    <w:multiLevelType w:val="hybridMultilevel"/>
    <w:lvl w:ilvl="0">
      <w:lvlJc w:val="left"/>
      <w:lvlText w:val="●"/>
      <w:numFmt w:val="bullet"/>
      <w:start w:val="1"/>
    </w:lvl>
  </w:abstractNum>
  <w:abstractNum w:abstractNumId="62">
    <w:nsid w:val="73D4D3C4"/>
    <w:multiLevelType w:val="hybridMultilevel"/>
    <w:lvl w:ilvl="0">
      <w:lvlJc w:val="left"/>
      <w:lvlText w:val="(%1)"/>
      <w:numFmt w:val="lowerRoman"/>
      <w:start w:val="1"/>
    </w:lvl>
  </w:abstractNum>
  <w:abstractNum w:abstractNumId="63">
    <w:nsid w:val="746F2E30"/>
    <w:multiLevelType w:val="hybridMultilevel"/>
    <w:lvl w:ilvl="0">
      <w:lvlJc w:val="left"/>
      <w:lvlText w:val="●"/>
      <w:numFmt w:val="bullet"/>
      <w:start w:val="1"/>
    </w:lvl>
  </w:abstractNum>
  <w:abstractNum w:abstractNumId="64">
    <w:nsid w:val="6FDE8AF6"/>
    <w:multiLevelType w:val="hybridMultilevel"/>
    <w:lvl w:ilvl="0">
      <w:lvlJc w:val="left"/>
      <w:lvlText w:val="(%1)"/>
      <w:numFmt w:val="decimal"/>
      <w:start w:val="1"/>
    </w:lvl>
  </w:abstractNum>
  <w:abstractNum w:abstractNumId="65">
    <w:nsid w:val="3FC32E20"/>
    <w:multiLevelType w:val="hybridMultilevel"/>
    <w:lvl w:ilvl="0">
      <w:lvlJc w:val="left"/>
      <w:lvlText w:val="(%1)"/>
      <w:numFmt w:val="decimal"/>
      <w:start w:val="1"/>
    </w:lvl>
  </w:abstractNum>
  <w:abstractNum w:abstractNumId="66">
    <w:nsid w:val="49C0E823"/>
    <w:multiLevelType w:val="hybridMultilevel"/>
    <w:lvl w:ilvl="0">
      <w:lvlJc w:val="left"/>
      <w:lvlText w:val="●"/>
      <w:numFmt w:val="bullet"/>
      <w:start w:val="1"/>
    </w:lvl>
  </w:abstractNum>
  <w:abstractNum w:abstractNumId="67">
    <w:nsid w:val="14D53685"/>
    <w:multiLevelType w:val="hybridMultilevel"/>
    <w:lvl w:ilvl="0">
      <w:lvlJc w:val="left"/>
      <w:lvlText w:val="(%1)"/>
      <w:numFmt w:val="lowerLetter"/>
      <w:start w:val="1"/>
    </w:lvl>
  </w:abstractNum>
  <w:abstractNum w:abstractNumId="68">
    <w:nsid w:val="230F856C"/>
    <w:multiLevelType w:val="hybridMultilevel"/>
    <w:lvl w:ilvl="0">
      <w:lvlJc w:val="left"/>
      <w:lvlText w:val="(%1)"/>
      <w:numFmt w:val="lowerLetter"/>
      <w:start w:val="1"/>
    </w:lvl>
  </w:abstractNum>
  <w:abstractNum w:abstractNumId="69">
    <w:nsid w:val="6EAA85FB"/>
    <w:multiLevelType w:val="hybridMultilevel"/>
    <w:lvl w:ilvl="0">
      <w:lvlJc w:val="left"/>
      <w:lvlText w:val="(%1)"/>
      <w:numFmt w:val="lowerLetter"/>
      <w:start w:val="1"/>
    </w:lvl>
  </w:abstractNum>
  <w:abstractNum w:abstractNumId="70">
    <w:nsid w:val="3F06ECB2"/>
    <w:multiLevelType w:val="hybridMultilevel"/>
    <w:lvl w:ilvl="0">
      <w:lvlJc w:val="left"/>
      <w:lvlText w:val="%1."/>
      <w:numFmt w:val="lowerLetter"/>
      <w:start w:val="1"/>
    </w:lvl>
  </w:abstractNum>
  <w:abstractNum w:abstractNumId="71">
    <w:nsid w:val="3B594807"/>
    <w:multiLevelType w:val="hybridMultilevel"/>
    <w:lvl w:ilvl="0">
      <w:lvlJc w:val="left"/>
      <w:lvlText w:val="(%1)"/>
      <w:numFmt w:val="lowerLetter"/>
      <w:start w:val="1"/>
    </w:lvl>
  </w:abstractNum>
  <w:abstractNum w:abstractNumId="72">
    <w:nsid w:val="6CAA2304"/>
    <w:multiLevelType w:val="hybridMultilevel"/>
    <w:lvl w:ilvl="0">
      <w:lvlJc w:val="left"/>
      <w:lvlText w:val="%1."/>
      <w:numFmt w:val="lowerLetter"/>
      <w:start w:val="1"/>
    </w:lvl>
  </w:abstractNum>
  <w:abstractNum w:abstractNumId="73">
    <w:nsid w:val="3F7C2FF4"/>
    <w:multiLevelType w:val="hybridMultilevel"/>
    <w:lvl w:ilvl="0">
      <w:lvlJc w:val="left"/>
      <w:lvlText w:val="(%1)"/>
      <w:numFmt w:val="lowerRoman"/>
      <w:start w:val="2"/>
    </w:lvl>
  </w:abstractNum>
  <w:abstractNum w:abstractNumId="74">
    <w:nsid w:val="25413BEC"/>
    <w:multiLevelType w:val="hybridMultilevel"/>
    <w:lvl w:ilvl="0">
      <w:lvlJc w:val="left"/>
      <w:lvlText w:val="●"/>
      <w:numFmt w:val="bullet"/>
      <w:start w:val="1"/>
    </w:lvl>
  </w:abstractNum>
  <w:abstractNum w:abstractNumId="75">
    <w:nsid w:val="17180B0B"/>
    <w:multiLevelType w:val="hybridMultilevel"/>
    <w:lvl w:ilvl="0">
      <w:lvlJc w:val="left"/>
      <w:lvlText w:val="●"/>
      <w:numFmt w:val="bullet"/>
      <w:start w:val="1"/>
    </w:lvl>
  </w:abstractNum>
  <w:abstractNum w:abstractNumId="76">
    <w:nsid w:val="579328B9"/>
    <w:multiLevelType w:val="hybridMultilevel"/>
    <w:lvl w:ilvl="0">
      <w:lvlJc w:val="left"/>
      <w:lvlText w:val="●"/>
      <w:numFmt w:val="bullet"/>
      <w:start w:val="1"/>
    </w:lvl>
  </w:abstractNum>
  <w:abstractNum w:abstractNumId="77">
    <w:nsid w:val="5D205E20"/>
    <w:multiLevelType w:val="hybridMultilevel"/>
    <w:lvl w:ilvl="0">
      <w:lvlJc w:val="left"/>
      <w:lvlText w:val="●"/>
      <w:numFmt w:val="bullet"/>
      <w:start w:val="1"/>
    </w:lvl>
  </w:abstractNum>
  <w:abstractNum w:abstractNumId="78">
    <w:nsid w:val="11CCA8BA"/>
    <w:multiLevelType w:val="hybridMultilevel"/>
    <w:lvl w:ilvl="0">
      <w:lvlJc w:val="left"/>
      <w:lvlText w:val="(%1)"/>
      <w:numFmt w:val="lowerLetter"/>
      <w:start w:val="1"/>
    </w:lvl>
  </w:abstractNum>
  <w:abstractNum w:abstractNumId="79">
    <w:nsid w:val="4D32AB86"/>
    <w:multiLevelType w:val="hybridMultilevel"/>
    <w:lvl w:ilvl="0">
      <w:lvlJc w:val="left"/>
      <w:lvlText w:val="(%1)"/>
      <w:numFmt w:val="lowerRoman"/>
      <w:start w:val="1"/>
    </w:lvl>
  </w:abstractNum>
  <w:abstractNum w:abstractNumId="80">
    <w:nsid w:val="3F07ACC3"/>
    <w:multiLevelType w:val="hybridMultilevel"/>
    <w:lvl w:ilvl="0">
      <w:lvlJc w:val="left"/>
      <w:lvlText w:val="(%1)"/>
      <w:numFmt w:val="lowerLetter"/>
      <w:start w:val="2"/>
    </w:lvl>
  </w:abstractNum>
  <w:abstractNum w:abstractNumId="81">
    <w:nsid w:val="6B47F63E"/>
    <w:multiLevelType w:val="hybridMultilevel"/>
    <w:lvl w:ilvl="0">
      <w:lvlJc w:val="left"/>
      <w:lvlText w:val="●"/>
      <w:numFmt w:val="bullet"/>
      <w:start w:val="1"/>
    </w:lvl>
  </w:abstractNum>
  <w:abstractNum w:abstractNumId="82">
    <w:nsid w:val="5CB44A05"/>
    <w:multiLevelType w:val="hybridMultilevel"/>
    <w:lvl w:ilvl="0">
      <w:lvlJc w:val="left"/>
      <w:lvlText w:val="(%1)"/>
      <w:numFmt w:val="decimal"/>
      <w:start w:val="1"/>
    </w:lvl>
  </w:abstractNum>
  <w:abstractNum w:abstractNumId="83">
    <w:nsid w:val="16CF80F1"/>
    <w:multiLevelType w:val="hybridMultilevel"/>
    <w:lvl w:ilvl="0">
      <w:lvlJc w:val="left"/>
      <w:lvlText w:val="(%1)"/>
      <w:numFmt w:val="decimal"/>
      <w:start w:val="2"/>
    </w:lvl>
  </w:abstractNum>
  <w:abstractNum w:abstractNumId="84">
    <w:nsid w:val="1C695DEC"/>
    <w:multiLevelType w:val="hybridMultilevel"/>
    <w:lvl w:ilvl="0">
      <w:lvlJc w:val="left"/>
      <w:lvlText w:val="(%1)"/>
      <w:numFmt w:val="decimal"/>
      <w:start w:val="1"/>
    </w:lvl>
  </w:abstractNum>
  <w:abstractNum w:abstractNumId="85">
    <w:nsid w:val="3FCFAED9"/>
    <w:multiLevelType w:val="hybridMultilevel"/>
    <w:lvl w:ilvl="0">
      <w:lvlJc w:val="left"/>
      <w:lvlText w:val="(%1)"/>
      <w:numFmt w:val="decimal"/>
      <w:start w:val="2"/>
    </w:lvl>
  </w:abstractNum>
  <w:abstractNum w:abstractNumId="86">
    <w:nsid w:val="F856867"/>
    <w:multiLevelType w:val="hybridMultilevel"/>
    <w:lvl w:ilvl="0">
      <w:lvlJc w:val="left"/>
      <w:lvlText w:val="(%1)"/>
      <w:numFmt w:val="decimal"/>
      <w:start w:val="10"/>
    </w:lvl>
  </w:abstractNum>
  <w:abstractNum w:abstractNumId="87">
    <w:nsid w:val="11B1CC33"/>
    <w:multiLevelType w:val="hybridMultilevel"/>
    <w:lvl w:ilvl="0">
      <w:lvlJc w:val="left"/>
      <w:lvlText w:val="(%1)"/>
      <w:numFmt w:val="lowerRoman"/>
      <w:start w:val="3"/>
    </w:lvl>
  </w:abstractNum>
  <w:abstractNum w:abstractNumId="88">
    <w:nsid w:val="2E22FBB7"/>
    <w:multiLevelType w:val="hybridMultilevel"/>
    <w:lvl w:ilvl="0">
      <w:lvlJc w:val="left"/>
      <w:lvlText w:val="●"/>
      <w:numFmt w:val="bullet"/>
      <w:start w:val="1"/>
    </w:lvl>
  </w:abstractNum>
  <w:abstractNum w:abstractNumId="89">
    <w:nsid w:val="29934699"/>
    <w:multiLevelType w:val="hybridMultilevel"/>
    <w:lvl w:ilvl="0">
      <w:lvlJc w:val="left"/>
      <w:lvlText w:val="●"/>
      <w:numFmt w:val="bullet"/>
      <w:start w:val="1"/>
    </w:lvl>
  </w:abstractNum>
  <w:abstractNum w:abstractNumId="90">
    <w:nsid w:val="77485850"/>
    <w:multiLevelType w:val="hybridMultilevel"/>
    <w:lvl w:ilvl="0">
      <w:lvlJc w:val="left"/>
      <w:lvlText w:val="●"/>
      <w:numFmt w:val="bullet"/>
      <w:start w:val="1"/>
    </w:lvl>
  </w:abstractNum>
  <w:abstractNum w:abstractNumId="91">
    <w:nsid w:val="744939A3"/>
    <w:multiLevelType w:val="hybridMultilevel"/>
    <w:lvl w:ilvl="0">
      <w:lvlJc w:val="left"/>
      <w:lvlText w:val="●"/>
      <w:numFmt w:val="bullet"/>
      <w:start w:val="1"/>
    </w:lvl>
  </w:abstractNum>
  <w:abstractNum w:abstractNumId="92">
    <w:nsid w:val="4FA0D2E3"/>
    <w:multiLevelType w:val="hybridMultilevel"/>
    <w:lvl w:ilvl="0">
      <w:lvlJc w:val="left"/>
      <w:lvlText w:val="●"/>
      <w:numFmt w:val="bullet"/>
      <w:start w:val="1"/>
    </w:lvl>
  </w:abstractNum>
  <w:abstractNum w:abstractNumId="93">
    <w:nsid w:val="6B1D2C14"/>
    <w:multiLevelType w:val="hybridMultilevel"/>
    <w:lvl w:ilvl="0">
      <w:lvlJc w:val="left"/>
      <w:lvlText w:val="●"/>
      <w:numFmt w:val="bullet"/>
      <w:start w:val="1"/>
    </w:lvl>
  </w:abstractNum>
  <w:abstractNum w:abstractNumId="94">
    <w:nsid w:val="68B867D3"/>
    <w:multiLevelType w:val="hybridMultilevel"/>
    <w:lvl w:ilvl="0">
      <w:lvlJc w:val="left"/>
      <w:lvlText w:val="●"/>
      <w:numFmt w:val="bullet"/>
      <w:start w:val="1"/>
    </w:lvl>
  </w:abstractNum>
  <w:abstractNum w:abstractNumId="95">
    <w:nsid w:val="3F7F5DD9"/>
    <w:multiLevelType w:val="hybridMultilevel"/>
    <w:lvl w:ilvl="0">
      <w:lvlJc w:val="left"/>
      <w:lvlText w:val="●"/>
      <w:numFmt w:val="bullet"/>
      <w:start w:val="1"/>
    </w:lvl>
  </w:abstractNum>
  <w:abstractNum w:abstractNumId="96">
    <w:nsid w:val="2AE05A34"/>
    <w:multiLevelType w:val="hybridMultilevel"/>
    <w:lvl w:ilvl="0">
      <w:lvlJc w:val="left"/>
      <w:lvlText w:val="●"/>
      <w:numFmt w:val="bullet"/>
      <w:start w:val="1"/>
    </w:lvl>
  </w:abstractNum>
  <w:abstractNum w:abstractNumId="97">
    <w:nsid w:val="32794FF7"/>
    <w:multiLevelType w:val="hybridMultilevel"/>
    <w:lvl w:ilvl="0">
      <w:lvlJc w:val="left"/>
      <w:lvlText w:val="●"/>
      <w:numFmt w:val="bullet"/>
      <w:start w:val="1"/>
    </w:lvl>
  </w:abstractNum>
  <w:abstractNum w:abstractNumId="98">
    <w:nsid w:val="5454945E"/>
    <w:multiLevelType w:val="hybridMultilevel"/>
    <w:lvl w:ilvl="0">
      <w:lvlJc w:val="left"/>
      <w:lvlText w:val="$"/>
      <w:numFmt w:val="bullet"/>
      <w:start w:val="1"/>
    </w:lvl>
  </w:abstractNum>
  <w:abstractNum w:abstractNumId="99">
    <w:nsid w:val="4DEFDFA0"/>
    <w:multiLevelType w:val="hybridMultilevel"/>
    <w:lvl w:ilvl="0">
      <w:lvlJc w:val="left"/>
      <w:lvlText w:val="$"/>
      <w:numFmt w:val="bullet"/>
      <w:start w:val="1"/>
    </w:lvl>
  </w:abstractNum>
  <w:abstractNum w:abstractNumId="100">
    <w:nsid w:val="2123D5F2"/>
    <w:multiLevelType w:val="hybridMultilevel"/>
    <w:lvl w:ilvl="0">
      <w:lvlJc w:val="left"/>
      <w:lvlText w:val="$"/>
      <w:numFmt w:val="bullet"/>
      <w:start w:val="1"/>
    </w:lvl>
  </w:abstractNum>
  <w:abstractNum w:abstractNumId="101">
    <w:nsid w:val="135B8110"/>
    <w:multiLevelType w:val="hybridMultilevel"/>
    <w:lvl w:ilvl="0">
      <w:lvlJc w:val="left"/>
      <w:lvlText w:val="$"/>
      <w:numFmt w:val="bullet"/>
      <w:start w:val="1"/>
    </w:lvl>
  </w:abstractNum>
  <w:abstractNum w:abstractNumId="102">
    <w:nsid w:val="94927A8"/>
    <w:multiLevelType w:val="hybridMultilevel"/>
    <w:lvl w:ilvl="0">
      <w:lvlJc w:val="left"/>
      <w:lvlText w:val="$"/>
      <w:numFmt w:val="bullet"/>
      <w:start w:val="1"/>
    </w:lvl>
  </w:abstractNum>
  <w:abstractNum w:abstractNumId="103">
    <w:nsid w:val="DCDF8F6"/>
    <w:multiLevelType w:val="hybridMultilevel"/>
    <w:lvl w:ilvl="0">
      <w:lvlJc w:val="left"/>
      <w:lvlText w:val="$"/>
      <w:numFmt w:val="bullet"/>
      <w:start w:val="1"/>
    </w:lvl>
  </w:abstractNum>
  <w:abstractNum w:abstractNumId="104">
    <w:nsid w:val="52D7B105"/>
    <w:multiLevelType w:val="hybridMultilevel"/>
    <w:lvl w:ilvl="0">
      <w:lvlJc w:val="left"/>
      <w:lvlText w:val="(%1)"/>
      <w:numFmt w:val="lowerRoman"/>
      <w:start w:val="1"/>
    </w:lvl>
  </w:abstractNum>
  <w:abstractNum w:abstractNumId="105">
    <w:nsid w:val="2E8A6394"/>
    <w:multiLevelType w:val="hybridMultilevel"/>
    <w:lvl w:ilvl="0">
      <w:lvlJc w:val="left"/>
      <w:lvlText w:val="(%1)"/>
      <w:numFmt w:val="lowerRoman"/>
      <w:start w:val="10"/>
    </w:lvl>
  </w:abstractNum>
  <w:abstractNum w:abstractNumId="106">
    <w:nsid w:val="24E60401"/>
    <w:multiLevelType w:val="hybridMultilevel"/>
    <w:lvl w:ilvl="0">
      <w:lvlJc w:val="left"/>
      <w:lvlText w:val="●"/>
      <w:numFmt w:val="bullet"/>
      <w:start w:val="1"/>
    </w:lvl>
  </w:abstractNum>
  <w:abstractNum w:abstractNumId="107">
    <w:nsid w:val="2A6AD9BE"/>
    <w:multiLevelType w:val="hybridMultilevel"/>
    <w:lvl w:ilvl="0">
      <w:lvlJc w:val="left"/>
      <w:lvlText w:val="●"/>
      <w:numFmt w:val="bullet"/>
      <w:start w:val="1"/>
    </w:lvl>
  </w:abstractNum>
  <w:abstractNum w:abstractNumId="108">
    <w:nsid w:val="BAAC1B4"/>
    <w:multiLevelType w:val="hybridMultilevel"/>
    <w:lvl w:ilvl="0">
      <w:lvlJc w:val="left"/>
      <w:lvlText w:val="●"/>
      <w:numFmt w:val="bullet"/>
      <w:start w:val="1"/>
    </w:lvl>
  </w:abstractNum>
  <w:abstractNum w:abstractNumId="109">
    <w:nsid w:val="36B2ACBC"/>
    <w:multiLevelType w:val="hybridMultilevel"/>
    <w:lvl w:ilvl="0">
      <w:lvlJc w:val="left"/>
      <w:lvlText w:val="●"/>
      <w:numFmt w:val="bullet"/>
      <w:start w:val="1"/>
    </w:lvl>
  </w:abstractNum>
  <w:abstractNum w:abstractNumId="110">
    <w:nsid w:val="779D8544"/>
    <w:multiLevelType w:val="hybridMultilevel"/>
    <w:lvl w:ilvl="0">
      <w:lvlJc w:val="left"/>
      <w:lvlText w:val="(%1)"/>
      <w:numFmt w:val="decimal"/>
      <w:start w:val="1"/>
    </w:lvl>
  </w:abstractNum>
  <w:abstractNum w:abstractNumId="111">
    <w:nsid w:val="4AB26E78"/>
    <w:multiLevelType w:val="hybridMultilevel"/>
    <w:lvl w:ilvl="0">
      <w:lvlJc w:val="left"/>
      <w:lvlText w:val="(%1)"/>
      <w:numFmt w:val="decimal"/>
      <w:start w:val="1"/>
    </w:lvl>
  </w:abstractNum>
  <w:abstractNum w:abstractNumId="112">
    <w:nsid w:val="21FAA2FA"/>
    <w:multiLevelType w:val="hybridMultilevel"/>
    <w:lvl w:ilvl="0">
      <w:lvlJc w:val="left"/>
      <w:lvlText w:val="(%1)"/>
      <w:numFmt w:val="decimal"/>
      <w:start w:val="1"/>
    </w:lvl>
  </w:abstractNum>
  <w:abstractNum w:abstractNumId="113">
    <w:nsid w:val="5451CF49"/>
    <w:multiLevelType w:val="hybridMultilevel"/>
    <w:lvl w:ilvl="0">
      <w:lvlJc w:val="left"/>
      <w:lvlText w:val="(%1)"/>
      <w:numFmt w:val="decimal"/>
      <w:start w:val="1"/>
    </w:lvl>
  </w:abstractNum>
  <w:abstractNum w:abstractNumId="114">
    <w:nsid w:val="6181EF69"/>
    <w:multiLevelType w:val="hybridMultilevel"/>
    <w:lvl w:ilvl="0">
      <w:lvlJc w:val="left"/>
      <w:lvlText w:val="●"/>
      <w:numFmt w:val="bullet"/>
      <w:start w:val="1"/>
    </w:lvl>
    <w:lvl w:ilvl="1">
      <w:lvlJc w:val="left"/>
      <w:lvlText w:val="◦"/>
      <w:numFmt w:val="bullet"/>
      <w:start w:val="1"/>
    </w:lvl>
  </w:abstractNum>
  <w:abstractNum w:abstractNumId="115">
    <w:nsid w:val="3E6400E6"/>
    <w:multiLevelType w:val="hybridMultilevel"/>
    <w:lvl w:ilvl="0">
      <w:lvlJc w:val="left"/>
      <w:lvlText w:val="●"/>
      <w:numFmt w:val="bullet"/>
      <w:start w:val="1"/>
    </w:lvl>
    <w:lvl w:ilvl="1">
      <w:lvlJc w:val="left"/>
      <w:lvlText w:val="◦"/>
      <w:numFmt w:val="bullet"/>
      <w:start w:val="1"/>
    </w:lvl>
  </w:abstractNum>
  <w:abstractNum w:abstractNumId="116">
    <w:nsid w:val="14217E23"/>
    <w:multiLevelType w:val="hybridMultilevel"/>
    <w:lvl w:ilvl="0">
      <w:lvlJc w:val="left"/>
      <w:lvlText w:val="●"/>
      <w:numFmt w:val="bullet"/>
      <w:start w:val="1"/>
    </w:lvl>
    <w:lvl w:ilvl="1">
      <w:lvlJc w:val="left"/>
      <w:lvlText w:val="◦"/>
      <w:numFmt w:val="bullet"/>
      <w:start w:val="1"/>
    </w:lvl>
  </w:abstractNum>
  <w:abstractNum w:abstractNumId="117">
    <w:nsid w:val="710757D0"/>
    <w:multiLevelType w:val="hybridMultilevel"/>
    <w:lvl w:ilvl="0">
      <w:lvlJc w:val="left"/>
      <w:lvlText w:val="(%1)"/>
      <w:numFmt w:val="decimal"/>
      <w:start w:val="1"/>
    </w:lvl>
  </w:abstractNum>
  <w:abstractNum w:abstractNumId="118">
    <w:nsid w:val="5015CD1A"/>
    <w:multiLevelType w:val="hybridMultilevel"/>
    <w:lvl w:ilvl="0">
      <w:lvlJc w:val="left"/>
      <w:lvlText w:val="(%1)"/>
      <w:numFmt w:val="decimal"/>
      <w:start w:val="1"/>
    </w:lvl>
  </w:abstractNum>
  <w:abstractNum w:abstractNumId="119">
    <w:nsid w:val="424479DA"/>
    <w:multiLevelType w:val="hybridMultilevel"/>
    <w:lvl w:ilvl="0">
      <w:lvlJc w:val="left"/>
      <w:lvlText w:val="(%1)"/>
      <w:numFmt w:val="decimal"/>
      <w:start w:val="1"/>
    </w:lvl>
  </w:abstractNum>
  <w:abstractNum w:abstractNumId="120">
    <w:nsid w:val="1A9A9E69"/>
    <w:multiLevelType w:val="hybridMultilevel"/>
    <w:lvl w:ilvl="0">
      <w:lvlJc w:val="left"/>
      <w:lvlText w:val="(%1)"/>
      <w:numFmt w:val="decimal"/>
      <w:start w:val="1"/>
    </w:lvl>
  </w:abstractNum>
  <w:abstractNum w:abstractNumId="121">
    <w:nsid w:val="475E256A"/>
    <w:multiLevelType w:val="hybridMultilevel"/>
    <w:lvl w:ilvl="0">
      <w:lvlJc w:val="left"/>
      <w:lvlText w:val="●"/>
      <w:numFmt w:val="bullet"/>
      <w:start w:val="1"/>
    </w:lvl>
  </w:abstractNum>
  <w:abstractNum w:abstractNumId="122">
    <w:nsid w:val="368DB37E"/>
    <w:multiLevelType w:val="hybridMultilevel"/>
    <w:lvl w:ilvl="0">
      <w:lvlJc w:val="left"/>
      <w:lvlText w:val="●"/>
      <w:numFmt w:val="bullet"/>
      <w:start w:val="1"/>
    </w:lvl>
  </w:abstractNum>
  <w:abstractNum w:abstractNumId="123">
    <w:nsid w:val="6A3B714C"/>
    <w:multiLevelType w:val="hybridMultilevel"/>
    <w:lvl w:ilvl="0">
      <w:lvlJc w:val="left"/>
      <w:lvlText w:val="●"/>
      <w:numFmt w:val="bullet"/>
      <w:start w:val="1"/>
    </w:lvl>
  </w:abstractNum>
  <w:abstractNum w:abstractNumId="124">
    <w:nsid w:val="327B517E"/>
    <w:multiLevelType w:val="hybridMultilevel"/>
    <w:lvl w:ilvl="0">
      <w:lvlJc w:val="left"/>
      <w:lvlText w:val="(%1)"/>
      <w:numFmt w:val="decimal"/>
      <w:start w:val="1"/>
    </w:lvl>
  </w:abstractNum>
  <w:abstractNum w:abstractNumId="125">
    <w:nsid w:val="1F461B51"/>
    <w:multiLevelType w:val="hybridMultilevel"/>
    <w:lvl w:ilvl="0">
      <w:lvlJc w:val="left"/>
      <w:lvlText w:val="(%1)"/>
      <w:numFmt w:val="decimal"/>
      <w:start w:val="1"/>
    </w:lvl>
  </w:abstractNum>
  <w:abstractNum w:abstractNumId="126">
    <w:nsid w:val="29BACF25"/>
    <w:multiLevelType w:val="hybridMultilevel"/>
    <w:lvl w:ilvl="0">
      <w:lvlJc w:val="left"/>
      <w:lvlText w:val="(%1)"/>
      <w:numFmt w:val="decimal"/>
      <w:start w:val="1"/>
    </w:lvl>
  </w:abstractNum>
  <w:abstractNum w:abstractNumId="127">
    <w:nsid w:val="5D5BABB3"/>
    <w:multiLevelType w:val="hybridMultilevel"/>
    <w:lvl w:ilvl="0">
      <w:lvlJc w:val="left"/>
      <w:lvlText w:val="(%1)"/>
      <w:numFmt w:val="decimal"/>
      <w:start w:val="1"/>
    </w:lvl>
  </w:abstractNum>
  <w:abstractNum w:abstractNumId="128">
    <w:nsid w:val="51BF6B48"/>
    <w:multiLevelType w:val="hybridMultilevel"/>
    <w:lvl w:ilvl="0">
      <w:lvlJc w:val="left"/>
      <w:lvlText w:val="●"/>
      <w:numFmt w:val="bullet"/>
      <w:start w:val="1"/>
    </w:lvl>
  </w:abstractNum>
  <w:abstractNum w:abstractNumId="129">
    <w:nsid w:val="7E0F6384"/>
    <w:multiLevelType w:val="hybridMultilevel"/>
    <w:lvl w:ilvl="0">
      <w:lvlJc w:val="left"/>
      <w:lvlText w:val="(%1)"/>
      <w:numFmt w:val="decimal"/>
      <w:start w:val="1"/>
    </w:lvl>
  </w:abstractNum>
  <w:abstractNum w:abstractNumId="130">
    <w:nsid w:val="2B4B8B53"/>
    <w:multiLevelType w:val="hybridMultilevel"/>
    <w:lvl w:ilvl="0">
      <w:lvlJc w:val="left"/>
      <w:lvlText w:val="(%1)"/>
      <w:numFmt w:val="decimal"/>
      <w:start w:val="1"/>
    </w:lvl>
  </w:abstractNum>
  <w:abstractNum w:abstractNumId="131">
    <w:nsid w:val="72E3413A"/>
    <w:multiLevelType w:val="hybridMultilevel"/>
    <w:lvl w:ilvl="0">
      <w:lvlJc w:val="left"/>
      <w:lvlText w:val="●"/>
      <w:numFmt w:val="bullet"/>
      <w:start w:val="1"/>
    </w:lvl>
  </w:abstractNum>
  <w:abstractNum w:abstractNumId="132">
    <w:nsid w:val="116AE494"/>
    <w:multiLevelType w:val="hybridMultilevel"/>
    <w:lvl w:ilvl="0">
      <w:lvlJc w:val="left"/>
      <w:lvlText w:val="(%1)"/>
      <w:numFmt w:val="decimal"/>
      <w:start w:val="1"/>
    </w:lvl>
  </w:abstractNum>
  <w:abstractNum w:abstractNumId="133">
    <w:nsid w:val="3494B2FB"/>
    <w:multiLevelType w:val="hybridMultilevel"/>
    <w:lvl w:ilvl="0">
      <w:lvlJc w:val="left"/>
      <w:lvlText w:val="(%1)"/>
      <w:numFmt w:val="decimal"/>
      <w:start w:val="1"/>
    </w:lvl>
  </w:abstractNum>
  <w:abstractNum w:abstractNumId="134">
    <w:nsid w:val="B13A31"/>
    <w:multiLevelType w:val="hybridMultilevel"/>
    <w:lvl w:ilvl="0">
      <w:lvlJc w:val="left"/>
      <w:lvlText w:val="%1."/>
      <w:numFmt w:val="decimal"/>
      <w:start w:val="4"/>
    </w:lvl>
  </w:abstractNum>
  <w:abstractNum w:abstractNumId="135">
    <w:nsid w:val="64429599"/>
    <w:multiLevelType w:val="hybridMultilevel"/>
    <w:lvl w:ilvl="0">
      <w:lvlJc w:val="left"/>
      <w:lvlText w:val="*"/>
      <w:numFmt w:val="bullet"/>
      <w:start w:val="1"/>
    </w:lvl>
  </w:abstractNum>
  <w:abstractNum w:abstractNumId="136">
    <w:nsid w:val="631F1690"/>
    <w:multiLevelType w:val="hybridMultilevel"/>
    <w:lvl w:ilvl="0">
      <w:lvlJc w:val="left"/>
      <w:lvlText w:val="(%1)"/>
      <w:numFmt w:val="decimal"/>
      <w:start w:val="1"/>
    </w:lvl>
  </w:abstractNum>
  <w:abstractNum w:abstractNumId="137">
    <w:nsid w:val="25973E32"/>
    <w:multiLevelType w:val="hybridMultilevel"/>
    <w:lvl w:ilvl="0">
      <w:lvlJc w:val="left"/>
      <w:lvlText w:val="$"/>
      <w:numFmt w:val="bullet"/>
      <w:start w:val="1"/>
    </w:lvl>
  </w:abstractNum>
  <w:abstractNum w:abstractNumId="138">
    <w:nsid w:val="EAD6F57"/>
    <w:multiLevelType w:val="hybridMultilevel"/>
    <w:lvl w:ilvl="0">
      <w:lvlJc w:val="left"/>
      <w:lvlText w:val="$"/>
      <w:numFmt w:val="bullet"/>
      <w:start w:val="1"/>
    </w:lvl>
  </w:abstractNum>
  <w:abstractNum w:abstractNumId="139">
    <w:nsid w:val="6EC9D844"/>
    <w:multiLevelType w:val="hybridMultilevel"/>
    <w:lvl w:ilvl="0">
      <w:lvlJc w:val="left"/>
      <w:lvlText w:val="(%1)"/>
      <w:numFmt w:val="decimal"/>
      <w:start w:val="1"/>
    </w:lvl>
  </w:abstractNum>
  <w:abstractNum w:abstractNumId="140">
    <w:nsid w:val="5C49EAEE"/>
    <w:multiLevelType w:val="hybridMultilevel"/>
    <w:lvl w:ilvl="0">
      <w:lvlJc w:val="left"/>
      <w:lvlText w:val="(%1)"/>
      <w:numFmt w:val="decimal"/>
      <w:start w:val="1"/>
    </w:lvl>
  </w:abstractNum>
  <w:abstractNum w:abstractNumId="141">
    <w:nsid w:val="64AF49B"/>
    <w:multiLevelType w:val="hybridMultilevel"/>
    <w:lvl w:ilvl="0">
      <w:lvlJc w:val="left"/>
      <w:lvlText w:val="(%1)"/>
      <w:numFmt w:val="decimal"/>
      <w:start w:val="1"/>
    </w:lvl>
  </w:abstractNum>
  <w:abstractNum w:abstractNumId="142">
    <w:nsid w:val="397C46BC"/>
    <w:multiLevelType w:val="hybridMultilevel"/>
    <w:lvl w:ilvl="0">
      <w:lvlJc w:val="left"/>
      <w:lvlText w:val="%1."/>
      <w:numFmt w:val="decimal"/>
      <w:start w:val="10"/>
    </w:lvl>
  </w:abstractNum>
  <w:abstractNum w:abstractNumId="143">
    <w:nsid w:val="7E448DE9"/>
    <w:multiLevelType w:val="hybridMultilevel"/>
    <w:lvl w:ilvl="0">
      <w:lvlJc w:val="left"/>
      <w:lvlText w:val="(%1)"/>
      <w:numFmt w:val="decimal"/>
      <w:start w:val="1"/>
    </w:lvl>
  </w:abstractNum>
  <w:abstractNum w:abstractNumId="144">
    <w:nsid w:val="5A9CC3E5"/>
    <w:multiLevelType w:val="hybridMultilevel"/>
    <w:lvl w:ilvl="0">
      <w:lvlJc w:val="left"/>
      <w:lvlText w:val="%1."/>
      <w:numFmt w:val="decimal"/>
      <w:start w:val="12"/>
    </w:lvl>
  </w:abstractNum>
  <w:abstractNum w:abstractNumId="145">
    <w:nsid w:val="1AFE3625"/>
    <w:multiLevelType w:val="hybridMultilevel"/>
    <w:lvl w:ilvl="0">
      <w:lvlJc w:val="left"/>
      <w:lvlText w:val="(%1)"/>
      <w:numFmt w:val="decimal"/>
      <w:start w:val="1"/>
    </w:lvl>
  </w:abstractNum>
  <w:abstractNum w:abstractNumId="146">
    <w:nsid w:val="3CA88ECF"/>
    <w:multiLevelType w:val="hybridMultilevel"/>
    <w:lvl w:ilvl="0">
      <w:lvlJc w:val="left"/>
      <w:lvlText w:val="%1."/>
      <w:numFmt w:val="decimal"/>
      <w:start w:val="12"/>
    </w:lvl>
  </w:abstractNum>
  <w:abstractNum w:abstractNumId="147">
    <w:nsid w:val="6EBE4208"/>
    <w:multiLevelType w:val="hybridMultilevel"/>
    <w:lvl w:ilvl="0">
      <w:lvlJc w:val="left"/>
      <w:lvlText w:val="%1."/>
      <w:numFmt w:val="decimal"/>
      <w:start w:val="13"/>
    </w:lvl>
  </w:abstractNum>
  <w:abstractNum w:abstractNumId="148">
    <w:nsid w:val="C058DF5"/>
    <w:multiLevelType w:val="hybridMultilevel"/>
    <w:lvl w:ilvl="0">
      <w:lvlJc w:val="left"/>
      <w:lvlText w:val="●"/>
      <w:numFmt w:val="bullet"/>
      <w:start w:val="1"/>
    </w:lvl>
  </w:abstractNum>
  <w:abstractNum w:abstractNumId="149">
    <w:nsid w:val="CBE5BE9"/>
    <w:multiLevelType w:val="hybridMultilevel"/>
    <w:lvl w:ilvl="0">
      <w:lvlJc w:val="left"/>
      <w:lvlText w:val="%1."/>
      <w:numFmt w:val="decimal"/>
      <w:start w:val="15"/>
    </w:lvl>
    <w:lvl w:ilvl="1">
      <w:lvlJc w:val="left"/>
      <w:lvlText w:val="●"/>
      <w:numFmt w:val="bullet"/>
      <w:start w:val="1"/>
    </w:lvl>
  </w:abstractNum>
  <w:abstractNum w:abstractNumId="150">
    <w:nsid w:val="3102BBE2"/>
    <w:multiLevelType w:val="hybridMultilevel"/>
    <w:lvl w:ilvl="0">
      <w:lvlJc w:val="left"/>
      <w:lvlText w:val="(%1)"/>
      <w:numFmt w:val="decimal"/>
      <w:start w:val="1"/>
    </w:lvl>
  </w:abstractNum>
  <w:abstractNum w:abstractNumId="151">
    <w:nsid w:val="26A02C5E"/>
    <w:multiLevelType w:val="hybridMultilevel"/>
    <w:lvl w:ilvl="0">
      <w:lvlJc w:val="left"/>
      <w:lvlText w:val="(%1)"/>
      <w:numFmt w:val="decimal"/>
      <w:start w:val="1"/>
    </w:lvl>
  </w:abstractNum>
  <w:abstractNum w:abstractNumId="152">
    <w:nsid w:val="541C8153"/>
    <w:multiLevelType w:val="hybridMultilevel"/>
    <w:lvl w:ilvl="0">
      <w:lvlJc w:val="left"/>
      <w:lvlText w:val="(%1)"/>
      <w:numFmt w:val="decimal"/>
      <w:start w:val="1"/>
    </w:lvl>
  </w:abstractNum>
  <w:abstractNum w:abstractNumId="153">
    <w:nsid w:val="67906F60"/>
    <w:multiLevelType w:val="hybridMultilevel"/>
    <w:lvl w:ilvl="0">
      <w:lvlJc w:val="left"/>
      <w:lvlText w:val="(%1)"/>
      <w:numFmt w:val="decimal"/>
      <w:start w:val="1"/>
    </w:lvl>
  </w:abstractNum>
  <w:abstractNum w:abstractNumId="154">
    <w:nsid w:val="10DB9DAA"/>
    <w:multiLevelType w:val="hybridMultilevel"/>
    <w:lvl w:ilvl="0">
      <w:lvlJc w:val="left"/>
      <w:lvlText w:val="●"/>
      <w:numFmt w:val="bullet"/>
      <w:start w:val="1"/>
    </w:lvl>
  </w:abstractNum>
  <w:abstractNum w:abstractNumId="155">
    <w:nsid w:val="697D2D2"/>
    <w:multiLevelType w:val="hybridMultilevel"/>
    <w:lvl w:ilvl="0">
      <w:lvlJc w:val="left"/>
      <w:lvlText w:val="%1."/>
      <w:numFmt w:val="decimal"/>
      <w:start w:val="17"/>
    </w:lvl>
  </w:abstractNum>
  <w:abstractNum w:abstractNumId="156">
    <w:nsid w:val="6D68AB2"/>
    <w:multiLevelType w:val="hybridMultilevel"/>
    <w:lvl w:ilvl="0">
      <w:lvlJc w:val="left"/>
      <w:lvlText w:val="●"/>
      <w:numFmt w:val="bullet"/>
      <w:start w:val="1"/>
    </w:lvl>
  </w:abstractNum>
  <w:abstractNum w:abstractNumId="157">
    <w:nsid w:val="3A966CD0"/>
    <w:multiLevelType w:val="hybridMultilevel"/>
    <w:lvl w:ilvl="0">
      <w:lvlJc w:val="left"/>
      <w:lvlText w:val="(%1)"/>
      <w:numFmt w:val="decimal"/>
      <w:start w:val="1"/>
    </w:lvl>
  </w:abstractNum>
  <w:abstractNum w:abstractNumId="158">
    <w:nsid w:val="63F37E85"/>
    <w:multiLevelType w:val="hybridMultilevel"/>
    <w:lvl w:ilvl="0">
      <w:lvlJc w:val="left"/>
      <w:lvlText w:val="(%1)"/>
      <w:numFmt w:val="lowerRoman"/>
      <w:start w:val="1"/>
    </w:lvl>
  </w:abstractNum>
  <w:abstractNum w:abstractNumId="159">
    <w:nsid w:val="5895F5FA"/>
    <w:multiLevelType w:val="hybridMultilevel"/>
    <w:lvl w:ilvl="0">
      <w:lvlJc w:val="left"/>
      <w:lvlText w:val="%1."/>
      <w:numFmt w:val="decimal"/>
      <w:start w:val="1"/>
    </w:lvl>
  </w:abstractNum>
  <w:abstractNum w:abstractNumId="160">
    <w:nsid w:val="38A5D054"/>
    <w:multiLevelType w:val="hybridMultilevel"/>
    <w:lvl w:ilvl="0">
      <w:lvlJc w:val="left"/>
      <w:lvlText w:val="(%1)"/>
      <w:numFmt w:val="decimal"/>
      <w:start w:val="1"/>
    </w:lvl>
  </w:abstractNum>
  <w:abstractNum w:abstractNumId="161">
    <w:nsid w:val="F3F09D8"/>
    <w:multiLevelType w:val="hybridMultilevel"/>
    <w:lvl w:ilvl="0">
      <w:lvlJc w:val="left"/>
      <w:lvlText w:val="●"/>
      <w:numFmt w:val="bullet"/>
      <w:start w:val="1"/>
    </w:lvl>
  </w:abstractNum>
  <w:abstractNum w:abstractNumId="162">
    <w:nsid w:val="4B793735"/>
    <w:multiLevelType w:val="hybridMultilevel"/>
    <w:lvl w:ilvl="0">
      <w:lvlJc w:val="left"/>
      <w:lvlText w:val="$"/>
      <w:numFmt w:val="bullet"/>
      <w:start w:val="1"/>
    </w:lvl>
  </w:abstractNum>
  <w:abstractNum w:abstractNumId="163">
    <w:nsid w:val="4A10B4E8"/>
    <w:multiLevelType w:val="hybridMultilevel"/>
    <w:lvl w:ilvl="0">
      <w:lvlJc w:val="left"/>
      <w:lvlText w:val="$"/>
      <w:numFmt w:val="bullet"/>
      <w:start w:val="1"/>
    </w:lvl>
  </w:abstractNum>
  <w:abstractNum w:abstractNumId="164">
    <w:nsid w:val="43D3BCD4"/>
    <w:multiLevelType w:val="hybridMultilevel"/>
    <w:lvl w:ilvl="0">
      <w:lvlJc w:val="left"/>
      <w:lvlText w:val="$"/>
      <w:numFmt w:val="bullet"/>
      <w:start w:val="1"/>
    </w:lvl>
  </w:abstractNum>
  <w:abstractNum w:abstractNumId="165">
    <w:nsid w:val="4C2A7166"/>
    <w:multiLevelType w:val="hybridMultilevel"/>
    <w:lvl w:ilvl="0">
      <w:lvlJc w:val="left"/>
      <w:lvlText w:val="$"/>
      <w:numFmt w:val="bullet"/>
      <w:start w:val="1"/>
    </w:lvl>
  </w:abstractNum>
  <w:abstractNum w:abstractNumId="166">
    <w:nsid w:val="2E534A82"/>
    <w:multiLevelType w:val="hybridMultilevel"/>
    <w:lvl w:ilvl="0">
      <w:lvlJc w:val="left"/>
      <w:lvlText w:val="%1."/>
      <w:numFmt w:val="decimal"/>
      <w:start w:val="1"/>
    </w:lvl>
  </w:abstractNum>
  <w:abstractNum w:abstractNumId="167">
    <w:nsid w:val="26F2D364"/>
    <w:multiLevelType w:val="hybridMultilevel"/>
    <w:lvl w:ilvl="0">
      <w:lvlJc w:val="left"/>
      <w:lvlText w:val="%1."/>
      <w:numFmt w:val="decimal"/>
      <w:start w:val="2"/>
    </w:lvl>
  </w:abstractNum>
  <w:abstractNum w:abstractNumId="168">
    <w:nsid w:val="71C1AF98"/>
    <w:multiLevelType w:val="hybridMultilevel"/>
    <w:lvl w:ilvl="0">
      <w:lvlJc w:val="left"/>
      <w:lvlText w:val="%1."/>
      <w:numFmt w:val="decimal"/>
      <w:start w:val="2"/>
    </w:lvl>
  </w:abstractNum>
  <w:abstractNum w:abstractNumId="169">
    <w:nsid w:val="3D00B9D9"/>
    <w:multiLevelType w:val="hybridMultilevel"/>
    <w:lvl w:ilvl="0">
      <w:lvlJc w:val="left"/>
      <w:lvlText w:val="%1."/>
      <w:numFmt w:val="decimal"/>
      <w:start w:val="2"/>
    </w:lvl>
  </w:abstractNum>
  <w:abstractNum w:abstractNumId="170">
    <w:nsid w:val="15BCABA8"/>
    <w:multiLevelType w:val="hybridMultilevel"/>
    <w:lvl w:ilvl="0">
      <w:lvlJc w:val="left"/>
      <w:lvlText w:val="%1."/>
      <w:numFmt w:val="decimal"/>
      <w:start w:val="2"/>
    </w:lvl>
  </w:abstractNum>
  <w:abstractNum w:abstractNumId="171">
    <w:nsid w:val="4E0B9A87"/>
    <w:multiLevelType w:val="hybridMultilevel"/>
    <w:lvl w:ilvl="0">
      <w:lvlJc w:val="left"/>
      <w:lvlText w:val="%1."/>
      <w:numFmt w:val="decimal"/>
      <w:start w:val="3"/>
    </w:lvl>
  </w:abstractNum>
  <w:abstractNum w:abstractNumId="172">
    <w:nsid w:val="434BAE75"/>
    <w:multiLevelType w:val="hybridMultilevel"/>
    <w:lvl w:ilvl="0">
      <w:lvlJc w:val="left"/>
      <w:lvlText w:val="%1."/>
      <w:numFmt w:val="decimal"/>
      <w:start w:val="3"/>
    </w:lvl>
  </w:abstractNum>
  <w:abstractNum w:abstractNumId="173">
    <w:nsid w:val="4F38F265"/>
    <w:multiLevelType w:val="hybridMultilevel"/>
    <w:lvl w:ilvl="0">
      <w:lvlJc w:val="left"/>
      <w:lvlText w:val="%1."/>
      <w:numFmt w:val="decimal"/>
      <w:start w:val="4"/>
    </w:lvl>
  </w:abstractNum>
  <w:abstractNum w:abstractNumId="174">
    <w:nsid w:val="4C502870"/>
    <w:multiLevelType w:val="hybridMultilevel"/>
    <w:lvl w:ilvl="0">
      <w:lvlJc w:val="left"/>
      <w:lvlText w:val="$"/>
      <w:numFmt w:val="bullet"/>
      <w:start w:val="1"/>
    </w:lvl>
  </w:abstractNum>
  <w:abstractNum w:abstractNumId="175">
    <w:nsid w:val="1DE8725A"/>
    <w:multiLevelType w:val="hybridMultilevel"/>
    <w:lvl w:ilvl="0">
      <w:lvlJc w:val="left"/>
      <w:lvlText w:val="$"/>
      <w:numFmt w:val="bullet"/>
      <w:start w:val="1"/>
    </w:lvl>
  </w:abstractNum>
  <w:abstractNum w:abstractNumId="176">
    <w:nsid w:val="6A37288A"/>
    <w:multiLevelType w:val="hybridMultilevel"/>
    <w:lvl w:ilvl="0">
      <w:lvlJc w:val="left"/>
      <w:lvlText w:val="%1."/>
      <w:numFmt w:val="decimal"/>
      <w:start w:val="4"/>
    </w:lvl>
  </w:abstractNum>
  <w:abstractNum w:abstractNumId="177">
    <w:nsid w:val="8F8B73F"/>
    <w:multiLevelType w:val="hybridMultilevel"/>
    <w:lvl w:ilvl="0">
      <w:lvlJc w:val="left"/>
      <w:lvlText w:val="%1."/>
      <w:numFmt w:val="decimal"/>
      <w:start w:val="5"/>
    </w:lvl>
  </w:abstractNum>
  <w:abstractNum w:abstractNumId="178">
    <w:nsid w:val="CA6B462"/>
    <w:multiLevelType w:val="hybridMultilevel"/>
    <w:lvl w:ilvl="0">
      <w:lvlJc w:val="left"/>
      <w:lvlText w:val="%1."/>
      <w:numFmt w:val="decimal"/>
      <w:start w:val="6"/>
    </w:lvl>
  </w:abstractNum>
  <w:abstractNum w:abstractNumId="179">
    <w:nsid w:val="763CB680"/>
    <w:multiLevelType w:val="hybridMultilevel"/>
    <w:lvl w:ilvl="0">
      <w:lvlJc w:val="left"/>
      <w:lvlText w:val="%1."/>
      <w:numFmt w:val="decimal"/>
      <w:start w:val="7"/>
    </w:lvl>
  </w:abstractNum>
  <w:abstractNum w:abstractNumId="180">
    <w:nsid w:val="15B71329"/>
    <w:multiLevelType w:val="hybridMultilevel"/>
    <w:lvl w:ilvl="0">
      <w:lvlJc w:val="left"/>
      <w:lvlText w:val="%1."/>
      <w:numFmt w:val="decimal"/>
      <w:start w:val="1"/>
    </w:lvl>
  </w:abstractNum>
  <w:abstractNum w:abstractNumId="181">
    <w:nsid w:val="3DA97044"/>
    <w:multiLevelType w:val="hybridMultilevel"/>
    <w:lvl w:ilvl="0">
      <w:lvlJc w:val="left"/>
      <w:lvlText w:val="%1."/>
      <w:numFmt w:val="decimal"/>
      <w:start w:val="2"/>
    </w:lvl>
  </w:abstractNum>
  <w:abstractNum w:abstractNumId="182">
    <w:nsid w:val="1CDCE2DE"/>
    <w:multiLevelType w:val="hybridMultilevel"/>
    <w:lvl w:ilvl="0">
      <w:lvlJc w:val="left"/>
      <w:lvlText w:val="%1."/>
      <w:numFmt w:val="decimal"/>
      <w:start w:val="2"/>
    </w:lvl>
  </w:abstractNum>
  <w:abstractNum w:abstractNumId="183">
    <w:nsid w:val="69D3947C"/>
    <w:multiLevelType w:val="hybridMultilevel"/>
    <w:lvl w:ilvl="0">
      <w:lvlJc w:val="left"/>
      <w:lvlText w:val="%1."/>
      <w:numFmt w:val="decimal"/>
      <w:start w:val="2"/>
    </w:lvl>
  </w:abstractNum>
  <w:abstractNum w:abstractNumId="184">
    <w:nsid w:val="2539DFA5"/>
    <w:multiLevelType w:val="hybridMultilevel"/>
    <w:lvl w:ilvl="0">
      <w:lvlJc w:val="left"/>
      <w:lvlText w:val="%1."/>
      <w:numFmt w:val="decimal"/>
      <w:start w:val="2"/>
    </w:lvl>
  </w:abstractNum>
  <w:abstractNum w:abstractNumId="185">
    <w:nsid w:val="2DB88089"/>
    <w:multiLevelType w:val="hybridMultilevel"/>
    <w:lvl w:ilvl="0">
      <w:lvlJc w:val="left"/>
      <w:lvlText w:val="%1."/>
      <w:numFmt w:val="decimal"/>
      <w:start w:val="3"/>
    </w:lvl>
  </w:abstractNum>
  <w:abstractNum w:abstractNumId="186">
    <w:nsid w:val="706B674E"/>
    <w:multiLevelType w:val="hybridMultilevel"/>
    <w:lvl w:ilvl="0">
      <w:lvlJc w:val="left"/>
      <w:lvlText w:val="%1."/>
      <w:numFmt w:val="decimal"/>
      <w:start w:val="3"/>
    </w:lvl>
  </w:abstractNum>
  <w:abstractNum w:abstractNumId="187">
    <w:nsid w:val="2C106A57"/>
    <w:multiLevelType w:val="hybridMultilevel"/>
    <w:lvl w:ilvl="0">
      <w:lvlJc w:val="left"/>
      <w:lvlText w:val="%1."/>
      <w:numFmt w:val="decimal"/>
      <w:start w:val="4"/>
    </w:lvl>
  </w:abstractNum>
  <w:abstractNum w:abstractNumId="188">
    <w:nsid w:val="684EED59"/>
    <w:multiLevelType w:val="hybridMultilevel"/>
    <w:lvl w:ilvl="0">
      <w:lvlJc w:val="left"/>
      <w:lvlText w:val="%1."/>
      <w:numFmt w:val="decimal"/>
      <w:start w:val="4"/>
    </w:lvl>
  </w:abstractNum>
  <w:abstractNum w:abstractNumId="189">
    <w:nsid w:val="545EE5D3"/>
    <w:multiLevelType w:val="hybridMultilevel"/>
    <w:lvl w:ilvl="0">
      <w:lvlJc w:val="left"/>
      <w:lvlText w:val="%1."/>
      <w:numFmt w:val="decimal"/>
      <w:start w:val="5"/>
    </w:lvl>
  </w:abstractNum>
  <w:abstractNum w:abstractNumId="190">
    <w:nsid w:val="4A66051"/>
    <w:multiLevelType w:val="hybridMultilevel"/>
    <w:lvl w:ilvl="0">
      <w:lvlJc w:val="left"/>
      <w:lvlText w:val="%1."/>
      <w:numFmt w:val="decimal"/>
      <w:start w:val="6"/>
    </w:lvl>
  </w:abstractNum>
  <w:abstractNum w:abstractNumId="191">
    <w:nsid w:val="20F4BDAD"/>
    <w:multiLevelType w:val="hybridMultilevel"/>
    <w:lvl w:ilvl="0">
      <w:lvlJc w:val="left"/>
      <w:lvlText w:val="%1."/>
      <w:numFmt w:val="decimal"/>
      <w:start w:val="7"/>
    </w:lvl>
  </w:abstractNum>
  <w:abstractNum w:abstractNumId="192">
    <w:nsid w:val="639DEFAC"/>
    <w:multiLevelType w:val="hybridMultilevel"/>
    <w:lvl w:ilvl="0">
      <w:lvlJc w:val="left"/>
      <w:lvlText w:val="%1."/>
      <w:numFmt w:val="decimal"/>
      <w:start w:val="8"/>
    </w:lvl>
  </w:abstractNum>
  <w:abstractNum w:abstractNumId="193">
    <w:nsid w:val="501F9786"/>
    <w:multiLevelType w:val="hybridMultilevel"/>
    <w:lvl w:ilvl="0">
      <w:lvlJc w:val="left"/>
      <w:lvlText w:val="%1."/>
      <w:numFmt w:val="decimal"/>
      <w:start w:val="9"/>
    </w:lvl>
  </w:abstractNum>
  <w:abstractNum w:abstractNumId="194">
    <w:nsid w:val="6B057295"/>
    <w:multiLevelType w:val="hybridMultilevel"/>
    <w:lvl w:ilvl="0">
      <w:lvlJc w:val="left"/>
      <w:lvlText w:val="*"/>
      <w:numFmt w:val="bullet"/>
      <w:start w:val="1"/>
    </w:lvl>
  </w:abstractNum>
  <w:abstractNum w:abstractNumId="195">
    <w:nsid w:val="2771AC80"/>
    <w:multiLevelType w:val="hybridMultilevel"/>
    <w:lvl w:ilvl="0">
      <w:lvlJc w:val="left"/>
      <w:lvlText w:val="*"/>
      <w:numFmt w:val="bullet"/>
      <w:start w:val="1"/>
    </w:lvl>
  </w:abstractNum>
  <w:abstractNum w:abstractNumId="196">
    <w:nsid w:val="1C4A08EC"/>
    <w:multiLevelType w:val="hybridMultilevel"/>
    <w:lvl w:ilvl="0">
      <w:lvlJc w:val="left"/>
      <w:lvlText w:val="†"/>
      <w:numFmt w:val="bullet"/>
      <w:start w:val="1"/>
    </w:lvl>
  </w:abstractNum>
  <w:abstractNum w:abstractNumId="197">
    <w:nsid w:val="1958BD17"/>
    <w:multiLevelType w:val="hybridMultilevel"/>
    <w:lvl w:ilvl="0">
      <w:lvlJc w:val="left"/>
      <w:lvlText w:val="#"/>
      <w:numFmt w:val="bullet"/>
      <w:start w:val="1"/>
    </w:lvl>
  </w:abstractNum>
  <w:abstractNum w:abstractNumId="198">
    <w:nsid w:val="4E647FE4"/>
    <w:multiLevelType w:val="hybridMultilevel"/>
    <w:lvl w:ilvl="0">
      <w:lvlJc w:val="left"/>
      <w:lvlText w:val="(%1)"/>
      <w:numFmt w:val="lowerLetter"/>
      <w:start w:val="2"/>
    </w:lvl>
  </w:abstractNum>
  <w:abstractNum w:abstractNumId="199">
    <w:nsid w:val="E0BB885"/>
    <w:multiLevelType w:val="hybridMultilevel"/>
    <w:lvl w:ilvl="0">
      <w:lvlJc w:val="left"/>
      <w:lvlText w:val="(%1)"/>
      <w:numFmt w:val="decimal"/>
      <w:start w:val="1"/>
    </w:lvl>
  </w:abstractNum>
  <w:abstractNum w:abstractNumId="200">
    <w:nsid w:val="565976F1"/>
    <w:multiLevelType w:val="hybridMultilevel"/>
    <w:lvl w:ilvl="0">
      <w:lvlJc w:val="left"/>
      <w:lvlText w:val="%1."/>
      <w:numFmt w:val="decimal"/>
      <w:start w:val="1"/>
    </w:lvl>
  </w:abstractNum>
  <w:abstractNum w:abstractNumId="201">
    <w:nsid w:val="64212B8C"/>
    <w:multiLevelType w:val="hybridMultilevel"/>
    <w:lvl w:ilvl="0">
      <w:lvlJc w:val="left"/>
      <w:lvlText w:val="(%1)"/>
      <w:numFmt w:val="lowerRoman"/>
      <w:start w:val="1"/>
    </w:lvl>
  </w:abstractNum>
  <w:abstractNum w:abstractNumId="202">
    <w:nsid w:val="5C17530C"/>
    <w:multiLevelType w:val="hybridMultilevel"/>
    <w:lvl w:ilvl="0">
      <w:lvlJc w:val="left"/>
      <w:lvlText w:val="(%1)"/>
      <w:numFmt w:val="lowerRoman"/>
      <w:start w:val="2"/>
    </w:lvl>
  </w:abstractNum>
  <w:abstractNum w:abstractNumId="203">
    <w:nsid w:val="19A52566"/>
    <w:multiLevelType w:val="hybridMultilevel"/>
    <w:lvl w:ilvl="0">
      <w:lvlJc w:val="left"/>
      <w:lvlText w:val="%1."/>
      <w:numFmt w:val="decimal"/>
      <w:start w:val="5"/>
    </w:lvl>
  </w:abstractNum>
  <w:abstractNum w:abstractNumId="204">
    <w:nsid w:val="335A1DF1"/>
    <w:multiLevelType w:val="hybridMultilevel"/>
    <w:lvl w:ilvl="0">
      <w:lvlJc w:val="left"/>
      <w:lvlText w:val="(%1)"/>
      <w:numFmt w:val="lowerRoman"/>
      <w:start w:val="1"/>
    </w:lvl>
    <w:lvl w:ilvl="1">
      <w:lvlJc w:val="left"/>
      <w:lvlText w:val="(%2)"/>
      <w:numFmt w:val="decimal"/>
      <w:start w:val="1"/>
    </w:lvl>
  </w:abstractNum>
  <w:abstractNum w:abstractNumId="205">
    <w:nsid w:val="28677B7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06">
    <w:nsid w:val="378D97C0"/>
    <w:multiLevelType w:val="hybridMultilevel"/>
    <w:lvl w:ilvl="0">
      <w:lvlJc w:val="left"/>
      <w:lvlText w:val="(%1)"/>
      <w:numFmt w:val="lowerLetter"/>
      <w:start w:val="3"/>
    </w:lvl>
    <w:lvl w:ilvl="1">
      <w:lvlJc w:val="left"/>
      <w:lvlText w:val="(%2)"/>
      <w:numFmt w:val="lowerLetter"/>
      <w:start w:val="34"/>
    </w:lvl>
    <w:lvl w:ilvl="2">
      <w:lvlJc w:val="left"/>
      <w:lvlText w:val="(%3)"/>
      <w:numFmt w:val="decimal"/>
      <w:start w:val="3"/>
    </w:lvl>
  </w:abstractNum>
  <w:abstractNum w:abstractNumId="207">
    <w:nsid w:val="1D91467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08">
    <w:nsid w:val="316032BB"/>
    <w:multiLevelType w:val="hybridMultilevel"/>
    <w:lvl w:ilvl="0">
      <w:lvlJc w:val="left"/>
      <w:lvlText w:val="%1"/>
      <w:numFmt w:val="lowerRoman"/>
      <w:start w:val="1"/>
    </w:lvl>
    <w:lvl w:ilvl="1">
      <w:lvlJc w:val="left"/>
      <w:lvlText w:val="(%2)"/>
      <w:numFmt w:val="decimal"/>
      <w:start w:val="2"/>
    </w:lvl>
  </w:abstractNum>
  <w:abstractNum w:abstractNumId="209">
    <w:nsid w:val="44344C22"/>
    <w:multiLevelType w:val="hybridMultilevel"/>
    <w:lvl w:ilvl="0">
      <w:lvlJc w:val="left"/>
      <w:lvlText w:val="(%1)"/>
      <w:numFmt w:val="lowerRoman"/>
      <w:start w:val="3"/>
    </w:lvl>
    <w:lvl w:ilvl="1">
      <w:lvlJc w:val="left"/>
      <w:lvlText w:val="%2"/>
      <w:numFmt w:val="decimal"/>
      <w:start w:val="1"/>
    </w:lvl>
  </w:abstractNum>
  <w:abstractNum w:abstractNumId="210">
    <w:nsid w:val="13CDFCFC"/>
    <w:multiLevelType w:val="hybridMultilevel"/>
    <w:lvl w:ilvl="0">
      <w:lvlJc w:val="left"/>
      <w:lvlText w:val="(%1)"/>
      <w:numFmt w:val="lowerRoman"/>
      <w:start w:val="1"/>
    </w:lvl>
  </w:abstractNum>
  <w:abstractNum w:abstractNumId="211">
    <w:nsid w:val="471745E4"/>
    <w:multiLevelType w:val="hybridMultilevel"/>
    <w:lvl w:ilvl="0">
      <w:lvlJc w:val="left"/>
      <w:lvlText w:val="%1"/>
      <w:numFmt w:val="decimal"/>
      <w:start w:val="1"/>
    </w:lvl>
    <w:lvl w:ilvl="1">
      <w:lvlJc w:val="left"/>
      <w:lvlText w:val="(%2)"/>
      <w:numFmt w:val="lowerRoman"/>
      <w:start w:val="2"/>
    </w:lvl>
  </w:abstractNum>
  <w:abstractNum w:abstractNumId="212">
    <w:nsid w:val="1DDBC66"/>
    <w:multiLevelType w:val="hybridMultilevel"/>
    <w:lvl w:ilvl="0">
      <w:lvlJc w:val="left"/>
      <w:lvlText w:val="%1."/>
      <w:numFmt w:val="decimal"/>
      <w:start w:val="6"/>
    </w:lvl>
    <w:lvl w:ilvl="1">
      <w:lvlJc w:val="left"/>
      <w:lvlText w:val="%2"/>
      <w:numFmt w:val="lowerRoman"/>
      <w:start w:val="1"/>
    </w:lvl>
  </w:abstractNum>
  <w:abstractNum w:abstractNumId="213">
    <w:nsid w:val="30AADFDA"/>
    <w:multiLevelType w:val="hybridMultilevel"/>
    <w:lvl w:ilvl="0">
      <w:lvlJc w:val="left"/>
      <w:lvlText w:val="(%1)"/>
      <w:numFmt w:val="lowerRoman"/>
      <w:start w:val="1"/>
    </w:lvl>
  </w:abstractNum>
  <w:abstractNum w:abstractNumId="214">
    <w:nsid w:val="30EADA61"/>
    <w:multiLevelType w:val="hybridMultilevel"/>
    <w:lvl w:ilvl="0">
      <w:lvlJc w:val="left"/>
      <w:lvlText w:val="(%1)"/>
      <w:numFmt w:val="lowerRoman"/>
      <w:start w:val="2"/>
    </w:lvl>
  </w:abstractNum>
  <w:abstractNum w:abstractNumId="215">
    <w:nsid w:val="27179C0B"/>
    <w:multiLevelType w:val="hybridMultilevel"/>
    <w:lvl w:ilvl="0">
      <w:lvlJc w:val="left"/>
      <w:lvlText w:val="(%1)"/>
      <w:numFmt w:val="lowerRoman"/>
      <w:start w:val="1"/>
    </w:lvl>
  </w:abstractNum>
  <w:abstractNum w:abstractNumId="216">
    <w:nsid w:val="5E636063"/>
    <w:multiLevelType w:val="hybridMultilevel"/>
    <w:lvl w:ilvl="0">
      <w:lvlJc w:val="left"/>
      <w:lvlText w:val="(%1)"/>
      <w:numFmt w:val="lowerRoman"/>
      <w:start w:val="1"/>
    </w:lvl>
  </w:abstractNum>
  <w:abstractNum w:abstractNumId="217">
    <w:nsid w:val="215641AF"/>
    <w:multiLevelType w:val="hybridMultilevel"/>
    <w:lvl w:ilvl="0">
      <w:lvlJc w:val="left"/>
      <w:lvlText w:val="(%1)"/>
      <w:numFmt w:val="lowerRoman"/>
      <w:start w:val="5"/>
    </w:lvl>
  </w:abstractNum>
  <w:abstractNum w:abstractNumId="218">
    <w:nsid w:val="53280662"/>
    <w:multiLevelType w:val="hybridMultilevel"/>
    <w:lvl w:ilvl="0">
      <w:lvlJc w:val="left"/>
      <w:lvlText w:val="(%1)"/>
      <w:numFmt w:val="lowerRoman"/>
      <w:start w:val="11"/>
    </w:lvl>
    <w:lvl w:ilvl="1">
      <w:lvlJc w:val="left"/>
      <w:lvlText w:val="(%2)"/>
      <w:numFmt w:val="decimal"/>
      <w:start w:val="1"/>
    </w:lvl>
  </w:abstractNum>
  <w:abstractNum w:abstractNumId="219">
    <w:nsid w:val="46B24DBC"/>
    <w:multiLevelType w:val="hybridMultilevel"/>
    <w:lvl w:ilvl="0">
      <w:lvlJc w:val="left"/>
      <w:lvlText w:val="(%1)"/>
      <w:numFmt w:val="decimal"/>
      <w:start w:val="4"/>
    </w:lvl>
  </w:abstractNum>
  <w:abstractNum w:abstractNumId="220">
    <w:nsid w:val="75B52783"/>
    <w:multiLevelType w:val="hybridMultilevel"/>
    <w:lvl w:ilvl="0">
      <w:lvlJc w:val="left"/>
      <w:lvlText w:val="%1"/>
      <w:numFmt w:val="decimal"/>
      <w:start w:val="1"/>
    </w:lvl>
    <w:lvl w:ilvl="1">
      <w:lvlJc w:val="left"/>
      <w:lvlText w:val="(%2)"/>
      <w:numFmt w:val="lowerRoman"/>
      <w:start w:val="13"/>
    </w:lvl>
  </w:abstractNum>
  <w:abstractNum w:abstractNumId="221">
    <w:nsid w:val="57CE66B4"/>
    <w:multiLevelType w:val="hybridMultilevel"/>
    <w:lvl w:ilvl="0">
      <w:lvlJc w:val="left"/>
      <w:lvlText w:val="%1."/>
      <w:numFmt w:val="decimal"/>
      <w:start w:val="7"/>
    </w:lvl>
    <w:lvl w:ilvl="1">
      <w:lvlJc w:val="left"/>
      <w:lvlText w:val="%2"/>
      <w:numFmt w:val="lowerRoman"/>
      <w:start w:val="1"/>
    </w:lvl>
  </w:abstractNum>
  <w:abstractNum w:abstractNumId="222">
    <w:nsid w:val="67A70B69"/>
    <w:multiLevelType w:val="hybridMultilevel"/>
    <w:lvl w:ilvl="0">
      <w:lvlJc w:val="left"/>
      <w:lvlText w:val="(%1)"/>
      <w:numFmt w:val="lowerRoman"/>
      <w:start w:val="1"/>
    </w:lvl>
  </w:abstractNum>
  <w:abstractNum w:abstractNumId="223">
    <w:nsid w:val="5953172F"/>
    <w:multiLevelType w:val="hybridMultilevel"/>
    <w:lvl w:ilvl="0">
      <w:lvlJc w:val="left"/>
      <w:lvlText w:val="(%1)"/>
      <w:numFmt w:val="lowerRoman"/>
      <w:start w:val="2"/>
    </w:lvl>
  </w:abstractNum>
  <w:abstractNum w:abstractNumId="224">
    <w:nsid w:val="27EDFE3A"/>
    <w:multiLevelType w:val="hybridMultilevel"/>
    <w:lvl w:ilvl="0">
      <w:lvlJc w:val="left"/>
      <w:lvlText w:val="%1."/>
      <w:numFmt w:val="decimal"/>
      <w:start w:val="8"/>
    </w:lvl>
  </w:abstractNum>
  <w:abstractNum w:abstractNumId="225">
    <w:nsid w:val="52AC7DFF"/>
    <w:multiLevelType w:val="hybridMultilevel"/>
    <w:lvl w:ilvl="0">
      <w:lvlJc w:val="left"/>
      <w:lvlText w:val="(%1)"/>
      <w:numFmt w:val="lowerRoman"/>
      <w:start w:val="1"/>
    </w:lvl>
  </w:abstractNum>
  <w:abstractNum w:abstractNumId="226">
    <w:nsid w:val="C4C3AF"/>
    <w:multiLevelType w:val="hybridMultilevel"/>
    <w:lvl w:ilvl="0">
      <w:lvlJc w:val="left"/>
      <w:lvlText w:val="%1."/>
      <w:numFmt w:val="decimal"/>
      <w:start w:val="9"/>
    </w:lvl>
  </w:abstractNum>
  <w:abstractNum w:abstractNumId="227">
    <w:nsid w:val="44380727"/>
    <w:multiLevelType w:val="hybridMultilevel"/>
    <w:lvl w:ilvl="0">
      <w:lvlJc w:val="left"/>
      <w:lvlText w:val="%1."/>
      <w:numFmt w:val="decimal"/>
      <w:start w:val="10"/>
    </w:lvl>
  </w:abstractNum>
  <w:abstractNum w:abstractNumId="228">
    <w:nsid w:val="6C053B16"/>
    <w:multiLevelType w:val="hybridMultilevel"/>
    <w:lvl w:ilvl="0">
      <w:lvlJc w:val="left"/>
      <w:lvlText w:val="%1."/>
      <w:numFmt w:val="decimal"/>
      <w:start w:val="12"/>
    </w:lvl>
  </w:abstractNum>
  <w:abstractNum w:abstractNumId="229">
    <w:nsid w:val="4F294393"/>
    <w:multiLevelType w:val="hybridMultilevel"/>
    <w:lvl w:ilvl="0">
      <w:lvlJc w:val="left"/>
      <w:lvlText w:val="%1."/>
      <w:numFmt w:val="decimal"/>
      <w:start w:val="13"/>
    </w:lvl>
  </w:abstractNum>
  <w:abstractNum w:abstractNumId="230">
    <w:nsid w:val="5243BFAC"/>
    <w:multiLevelType w:val="hybridMultilevel"/>
    <w:lvl w:ilvl="0">
      <w:lvlJc w:val="left"/>
      <w:lvlText w:val="%1."/>
      <w:numFmt w:val="decimal"/>
      <w:start w:val="14"/>
    </w:lvl>
    <w:lvl w:ilvl="1">
      <w:lvlJc w:val="left"/>
      <w:lvlText w:val="(%2)"/>
      <w:numFmt w:val="lowerLetter"/>
      <w:start w:val="1"/>
    </w:lvl>
  </w:abstractNum>
  <w:abstractNum w:abstractNumId="231">
    <w:nsid w:val="425EB207"/>
    <w:multiLevelType w:val="hybridMultilevel"/>
    <w:lvl w:ilvl="0">
      <w:lvlJc w:val="left"/>
      <w:lvlText w:val="(%1)"/>
      <w:numFmt w:val="lowerLetter"/>
      <w:start w:val="7"/>
    </w:lvl>
  </w:abstractNum>
  <w:abstractNum w:abstractNumId="232">
    <w:nsid w:val="334A6F1F"/>
    <w:multiLevelType w:val="hybridMultilevel"/>
    <w:lvl w:ilvl="0">
      <w:lvlJc w:val="left"/>
      <w:lvlText w:val="%1"/>
      <w:numFmt w:val="decimal"/>
      <w:start w:val="1"/>
    </w:lvl>
    <w:lvl w:ilvl="1">
      <w:lvlJc w:val="left"/>
      <w:lvlText w:val="(%2)"/>
      <w:numFmt w:val="lowerLetter"/>
      <w:start w:val="24"/>
    </w:lvl>
  </w:abstractNum>
  <w:abstractNum w:abstractNumId="233">
    <w:nsid w:val="2E5B12B8"/>
    <w:multiLevelType w:val="hybridMultilevel"/>
    <w:lvl w:ilvl="0">
      <w:lvlJc w:val="left"/>
      <w:lvlText w:val="%1."/>
      <w:numFmt w:val="decimal"/>
      <w:start w:val="16"/>
    </w:lvl>
    <w:lvl w:ilvl="1">
      <w:lvlJc w:val="left"/>
      <w:lvlText w:val="%2"/>
      <w:numFmt w:val="lowerLetter"/>
      <w:start w:val="1"/>
    </w:lvl>
  </w:abstractNum>
  <w:abstractNum w:abstractNumId="234">
    <w:nsid w:val="5C03D76D"/>
    <w:multiLevelType w:val="hybridMultilevel"/>
    <w:lvl w:ilvl="0">
      <w:lvlJc w:val="left"/>
      <w:lvlText w:val="(%1)"/>
      <w:numFmt w:val="lowerRoman"/>
      <w:start w:val="2"/>
    </w:lvl>
  </w:abstractNum>
  <w:abstractNum w:abstractNumId="235">
    <w:nsid w:val="66A48D11"/>
    <w:multiLevelType w:val="hybridMultilevel"/>
    <w:lvl w:ilvl="0">
      <w:lvlJc w:val="left"/>
      <w:lvlText w:val="%1."/>
      <w:numFmt w:val="lowerLetter"/>
      <w:start w:val="10"/>
    </w:lvl>
  </w:abstractNum>
  <w:abstractNum w:abstractNumId="236">
    <w:nsid w:val="56C28E34"/>
    <w:multiLevelType w:val="hybridMultilevel"/>
    <w:lvl w:ilvl="0">
      <w:lvlJc w:val="left"/>
      <w:lvlText w:val="%1."/>
      <w:numFmt w:val="decimal"/>
      <w:start w:val="1"/>
    </w:lvl>
  </w:abstractNum>
  <w:abstractNum w:abstractNumId="237">
    <w:nsid w:val="13916F2D"/>
    <w:multiLevelType w:val="hybridMultilevel"/>
    <w:lvl w:ilvl="0">
      <w:lvlJc w:val="left"/>
      <w:lvlText w:val="$"/>
      <w:numFmt w:val="bullet"/>
      <w:start w:val="1"/>
    </w:lvl>
  </w:abstractNum>
  <w:abstractNum w:abstractNumId="238">
    <w:nsid w:val="435D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23" Type="http://schemas.openxmlformats.org/officeDocument/2006/relationships/image" Target="media/image396.png"/><Relationship Id="rId424" Type="http://schemas.openxmlformats.org/officeDocument/2006/relationships/image" Target="media/image397.png"/><Relationship Id="rId425" Type="http://schemas.openxmlformats.org/officeDocument/2006/relationships/image" Target="media/image398.png"/><Relationship Id="rId426" Type="http://schemas.openxmlformats.org/officeDocument/2006/relationships/image" Target="media/image399.png"/><Relationship Id="rId427" Type="http://schemas.openxmlformats.org/officeDocument/2006/relationships/image" Target="media/image400.png"/><Relationship Id="rId428" Type="http://schemas.openxmlformats.org/officeDocument/2006/relationships/image" Target="media/image401.png"/><Relationship Id="rId429" Type="http://schemas.openxmlformats.org/officeDocument/2006/relationships/image" Target="media/image402.png"/><Relationship Id="rId430" Type="http://schemas.openxmlformats.org/officeDocument/2006/relationships/image" Target="media/image403.png"/><Relationship Id="rId431" Type="http://schemas.openxmlformats.org/officeDocument/2006/relationships/image" Target="media/image404.png"/><Relationship Id="rId432" Type="http://schemas.openxmlformats.org/officeDocument/2006/relationships/image" Target="media/image405.png"/><Relationship Id="rId433" Type="http://schemas.openxmlformats.org/officeDocument/2006/relationships/image" Target="media/image406.png"/><Relationship Id="rId434" Type="http://schemas.openxmlformats.org/officeDocument/2006/relationships/image" Target="media/image407.png"/><Relationship Id="rId435" Type="http://schemas.openxmlformats.org/officeDocument/2006/relationships/image" Target="media/image408.png"/><Relationship Id="rId436" Type="http://schemas.openxmlformats.org/officeDocument/2006/relationships/image" Target="media/image409.png"/><Relationship Id="rId437" Type="http://schemas.openxmlformats.org/officeDocument/2006/relationships/image" Target="media/image410.png"/><Relationship Id="rId438" Type="http://schemas.openxmlformats.org/officeDocument/2006/relationships/image" Target="media/image411.png"/><Relationship Id="rId439" Type="http://schemas.openxmlformats.org/officeDocument/2006/relationships/image" Target="media/image412.png"/><Relationship Id="rId440" Type="http://schemas.openxmlformats.org/officeDocument/2006/relationships/image" Target="media/image413.png"/><Relationship Id="rId441" Type="http://schemas.openxmlformats.org/officeDocument/2006/relationships/image" Target="media/image414.png"/><Relationship Id="rId442" Type="http://schemas.openxmlformats.org/officeDocument/2006/relationships/image" Target="media/image415.png"/><Relationship Id="rId443" Type="http://schemas.openxmlformats.org/officeDocument/2006/relationships/image" Target="media/image416.png"/><Relationship Id="rId444" Type="http://schemas.openxmlformats.org/officeDocument/2006/relationships/image" Target="media/image417.png"/><Relationship Id="rId445" Type="http://schemas.openxmlformats.org/officeDocument/2006/relationships/image" Target="media/image418.png"/><Relationship Id="rId446" Type="http://schemas.openxmlformats.org/officeDocument/2006/relationships/image" Target="media/image419.jpeg"/><Relationship Id="rId447" Type="http://schemas.openxmlformats.org/officeDocument/2006/relationships/image" Target="media/image420.png"/><Relationship Id="rId448" Type="http://schemas.openxmlformats.org/officeDocument/2006/relationships/image" Target="media/image421.jpeg"/><Relationship Id="rId449" Type="http://schemas.openxmlformats.org/officeDocument/2006/relationships/image" Target="media/image422.png"/><Relationship Id="rId450" Type="http://schemas.openxmlformats.org/officeDocument/2006/relationships/image" Target="media/image423.jpeg"/><Relationship Id="rId451" Type="http://schemas.openxmlformats.org/officeDocument/2006/relationships/image" Target="media/image424.png"/><Relationship Id="rId452" Type="http://schemas.openxmlformats.org/officeDocument/2006/relationships/image" Target="media/image425.png"/><Relationship Id="rId453" Type="http://schemas.openxmlformats.org/officeDocument/2006/relationships/image" Target="media/image426.png"/><Relationship Id="rId454" Type="http://schemas.openxmlformats.org/officeDocument/2006/relationships/image" Target="media/image427.png"/><Relationship Id="rId455" Type="http://schemas.openxmlformats.org/officeDocument/2006/relationships/image" Target="media/image428.png"/><Relationship Id="rId456" Type="http://schemas.openxmlformats.org/officeDocument/2006/relationships/image" Target="media/image429.png"/><Relationship Id="rId457" Type="http://schemas.openxmlformats.org/officeDocument/2006/relationships/image" Target="media/image430.png"/><Relationship Id="rId458" Type="http://schemas.openxmlformats.org/officeDocument/2006/relationships/image" Target="media/image431.png"/><Relationship Id="rId459" Type="http://schemas.openxmlformats.org/officeDocument/2006/relationships/image" Target="media/image432.png"/><Relationship Id="rId460" Type="http://schemas.openxmlformats.org/officeDocument/2006/relationships/image" Target="media/image433.png"/><Relationship Id="rId403" Type="http://schemas.openxmlformats.org/officeDocument/2006/relationships/hyperlink" Target="http://www.sec.gov/Archives/edgar/data/1842279/000119312521347023/d270539dex21.htm" TargetMode="External"/><Relationship Id="rId404" Type="http://schemas.openxmlformats.org/officeDocument/2006/relationships/hyperlink" Target="http://www.sec.gov/Archives/edgar/data/1842279/000121390022042020/ea163248ex3-2_opal.htm" TargetMode="External"/><Relationship Id="rId405" Type="http://schemas.openxmlformats.org/officeDocument/2006/relationships/hyperlink" Target="http://www.sec.gov/Archives/edgar/data/1842279/000119312521073580/d118209dex43.htm" TargetMode="External"/><Relationship Id="rId406" Type="http://schemas.openxmlformats.org/officeDocument/2006/relationships/hyperlink" Target="http://www.sec.gov/Archives/edgar/data/1842279/000119312521096722/d167128dex41.htm" TargetMode="External"/><Relationship Id="rId407" Type="http://schemas.openxmlformats.org/officeDocument/2006/relationships/hyperlink" Target="http://www.sec.gov/Archives/edgar/data/1842279/000121390022024612/fs42022a3ex10-1_arclight2.htm" TargetMode="External"/><Relationship Id="rId408" Type="http://schemas.openxmlformats.org/officeDocument/2006/relationships/hyperlink" Target="http://www.sec.gov/Archives/edgar/data/1842279/000121390022042020/ea163248ex10-2_opal.htm" TargetMode="External"/><Relationship Id="rId409" Type="http://schemas.openxmlformats.org/officeDocument/2006/relationships/hyperlink" Target="http://www.sec.gov/Archives/edgar/data/1842279/000119312521096722/d167128dex104.htm" TargetMode="External"/><Relationship Id="rId410" Type="http://schemas.openxmlformats.org/officeDocument/2006/relationships/hyperlink" Target="http://www.sec.gov/Archives/edgar/data/1842279/000119312521347023/d270539dex102.htm" TargetMode="External"/><Relationship Id="rId411" Type="http://schemas.openxmlformats.org/officeDocument/2006/relationships/hyperlink" Target="http://www.sec.gov/Archives/edgar/data/1842279/000119312521347023/d270539dex101.htm" TargetMode="External"/><Relationship Id="rId412" Type="http://schemas.openxmlformats.org/officeDocument/2006/relationships/hyperlink" Target="http://www.sec.gov/Archives/edgar/data/1842279/000121390022025716/ea159809ex10-1_arclight2.htm" TargetMode="External"/><Relationship Id="rId413" Type="http://schemas.openxmlformats.org/officeDocument/2006/relationships/hyperlink" Target="http://www.sec.gov/Archives/edgar/data/1842279/000121390022042020/ea163248ex10-6_opal.htm" TargetMode="External"/><Relationship Id="rId414" Type="http://schemas.openxmlformats.org/officeDocument/2006/relationships/hyperlink" Target="http://www.sec.gov/Archives/edgar/data/1842279/000121390022042020/ea163248ex10-7_opal.htm" TargetMode="External"/><Relationship Id="rId415" Type="http://schemas.openxmlformats.org/officeDocument/2006/relationships/hyperlink" Target="http://www.sec.gov/Archives/edgar/data/1842279/000121390022042020/ea163248ex10-8_opal.htm" TargetMode="External"/><Relationship Id="rId416" Type="http://schemas.openxmlformats.org/officeDocument/2006/relationships/hyperlink" Target="http://www.sec.gov/Archives/edgar/data/1842279/000121390022015221/ea157420ex10-8_arclight2.htm" TargetMode="External"/><Relationship Id="rId417" Type="http://schemas.openxmlformats.org/officeDocument/2006/relationships/hyperlink" Target="http://www.sec.gov/Archives/edgar/data/1842279/000121390022015221/ea157420ex10-9_arclight2.htm" TargetMode="External"/><Relationship Id="rId418" Type="http://schemas.openxmlformats.org/officeDocument/2006/relationships/hyperlink" Target="http://www.sec.gov/Archives/edgar/data/1842279/000121390022015221/ea157420ex10-10_arclight2.htm" TargetMode="External"/><Relationship Id="rId419" Type="http://schemas.openxmlformats.org/officeDocument/2006/relationships/hyperlink" Target="http://www.sec.gov/Archives/edgar/data/1842279/000121390022015221/ea157420ex10-11_arclight2.htm" TargetMode="External"/><Relationship Id="rId420" Type="http://schemas.openxmlformats.org/officeDocument/2006/relationships/hyperlink" Target="http://www.sec.gov/Archives/edgar/data/1842279/000121390022015221/ea157420ex10-12_arclight2.htm" TargetMode="External"/><Relationship Id="rId421" Type="http://schemas.openxmlformats.org/officeDocument/2006/relationships/hyperlink" Target="http://www.sec.gov/Archives/edgar/data/1842279/000121390022015221/ea157420ex10-13_arclight2.htm" TargetMode="External"/><Relationship Id="rId422" Type="http://schemas.openxmlformats.org/officeDocument/2006/relationships/hyperlink" Target="http://www.sec.gov/Archives/edgar/data/1842279/000121390022042020/ea163248ex21-1_op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2022-08-11T05:55:34Z</dcterms:created>
  <dcterms:modified xsi:type="dcterms:W3CDTF">2022-08-11T05:55:34Z</dcterms:modified>
</cp:coreProperties>
</file>