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635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635115"/>
                    </a:xfrm>
                    <a:prstGeom prst="rect">
                      <a:avLst/>
                    </a:prstGeom>
                    <a:noFill/>
                  </pic:spPr>
                </pic:pic>
              </a:graphicData>
            </a:graphic>
          </wp:anchor>
        </w:drawing>
      </w:r>
    </w:p>
    <w:p>
      <w:pPr>
        <w:spacing w:after="0" w:line="90" w:lineRule="exact"/>
        <w:rPr>
          <w:sz w:val="24"/>
          <w:szCs w:val="24"/>
          <w:color w:val="auto"/>
        </w:rPr>
      </w:pPr>
    </w:p>
    <w:p>
      <w:pPr>
        <w:sectPr>
          <w:pgSz w:w="11900" w:h="16931"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Revers Daniel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100"/>
              <w:spacing w:after="0"/>
              <w:rPr>
                <w:sz w:val="20"/>
                <w:szCs w:val="20"/>
                <w:color w:val="auto"/>
              </w:rPr>
            </w:pPr>
            <w:r>
              <w:rPr>
                <w:rFonts w:ascii="Arial" w:cs="Arial" w:eastAsia="Arial" w:hAnsi="Arial"/>
                <w:sz w:val="14"/>
                <w:szCs w:val="14"/>
                <w:color w:val="auto"/>
              </w:rPr>
              <w:t>(First)</w:t>
            </w:r>
          </w:p>
        </w:tc>
        <w:tc>
          <w:tcPr>
            <w:tcW w:w="1580" w:type="dxa"/>
            <w:vAlign w:val="bottom"/>
          </w:tcPr>
          <w:p>
            <w:pPr>
              <w:ind w:left="4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0000FF"/>
              </w:rPr>
              <w:t>200 CLARENDON ST,</w:t>
            </w:r>
          </w:p>
        </w:tc>
        <w:tc>
          <w:tcPr>
            <w:tcW w:w="15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55TH FLOOR</w:t>
            </w:r>
          </w:p>
        </w:tc>
        <w:tc>
          <w:tcPr>
            <w:tcW w:w="9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BOSTON</w:t>
            </w:r>
          </w:p>
        </w:tc>
        <w:tc>
          <w:tcPr>
            <w:tcW w:w="920" w:type="dxa"/>
            <w:vAlign w:val="bottom"/>
          </w:tcPr>
          <w:p>
            <w:pPr>
              <w:ind w:left="100"/>
              <w:spacing w:after="0"/>
              <w:rPr>
                <w:sz w:val="20"/>
                <w:szCs w:val="20"/>
                <w:color w:val="auto"/>
              </w:rPr>
            </w:pPr>
            <w:r>
              <w:rPr>
                <w:rFonts w:ascii="Arial" w:cs="Arial" w:eastAsia="Arial" w:hAnsi="Arial"/>
                <w:sz w:val="18"/>
                <w:szCs w:val="18"/>
                <w:color w:val="0000FF"/>
              </w:rPr>
              <w:t>MA</w:t>
            </w:r>
          </w:p>
        </w:tc>
        <w:tc>
          <w:tcPr>
            <w:tcW w:w="1580" w:type="dxa"/>
            <w:vAlign w:val="bottom"/>
          </w:tcPr>
          <w:p>
            <w:pPr>
              <w:ind w:left="40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00"/>
              <w:spacing w:after="0"/>
              <w:rPr>
                <w:sz w:val="20"/>
                <w:szCs w:val="20"/>
                <w:color w:val="auto"/>
              </w:rPr>
            </w:pPr>
            <w:r>
              <w:rPr>
                <w:rFonts w:ascii="Arial" w:cs="Arial" w:eastAsia="Arial" w:hAnsi="Arial"/>
                <w:sz w:val="14"/>
                <w:szCs w:val="14"/>
                <w:color w:val="auto"/>
              </w:rPr>
              <w:t>(State)</w:t>
            </w:r>
          </w:p>
        </w:tc>
        <w:tc>
          <w:tcPr>
            <w:tcW w:w="1580" w:type="dxa"/>
            <w:vAlign w:val="bottom"/>
          </w:tcPr>
          <w:p>
            <w:pPr>
              <w:ind w:left="4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OPAL Fuels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OPAL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20" w:type="dxa"/>
            <w:vAlign w:val="bottom"/>
            <w:gridSpan w:val="3"/>
          </w:tcPr>
          <w:p>
            <w:pPr>
              <w:ind w:left="80"/>
              <w:spacing w:after="0"/>
              <w:rPr>
                <w:sz w:val="20"/>
                <w:szCs w:val="20"/>
                <w:color w:val="auto"/>
              </w:rPr>
            </w:pPr>
            <w:r>
              <w:rPr>
                <w:rFonts w:ascii="Arial" w:cs="Arial" w:eastAsia="Arial" w:hAnsi="Arial"/>
                <w:sz w:val="18"/>
                <w:szCs w:val="18"/>
                <w:color w:val="0000FF"/>
              </w:rPr>
              <w:t>06/06/2023</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31"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2,308,310</w:t>
            </w:r>
          </w:p>
        </w:tc>
        <w:tc>
          <w:tcPr>
            <w:tcW w:w="240" w:type="dxa"/>
            <w:vAlign w:val="bottom"/>
          </w:tcPr>
          <w:p>
            <w:pPr>
              <w:spacing w:after="0"/>
              <w:rPr>
                <w:sz w:val="22"/>
                <w:szCs w:val="22"/>
                <w:color w:val="auto"/>
              </w:rPr>
            </w:pPr>
          </w:p>
        </w:tc>
        <w:tc>
          <w:tcPr>
            <w:tcW w:w="600" w:type="dxa"/>
            <w:vAlign w:val="bottom"/>
            <w:vMerge w:val="restart"/>
          </w:tcPr>
          <w:p>
            <w:pPr>
              <w:jc w:val="center"/>
              <w:ind w:right="233"/>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top w:val="single" w:sz="8" w:color="2C2C2C"/>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06/06/2023</w:t>
            </w: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8"/>
              </w:rPr>
              <w:t>6,000</w:t>
            </w:r>
          </w:p>
        </w:tc>
        <w:tc>
          <w:tcPr>
            <w:tcW w:w="4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540" w:type="dxa"/>
            <w:vAlign w:val="bottom"/>
            <w:tcBorders>
              <w:top w:val="single" w:sz="8" w:color="2C2C2C"/>
              <w:bottom w:val="single" w:sz="8" w:color="2C2C2C"/>
            </w:tcBorders>
          </w:tcPr>
          <w:p>
            <w:pPr>
              <w:jc w:val="right"/>
              <w:ind w:right="41"/>
              <w:spacing w:after="0"/>
              <w:rPr>
                <w:sz w:val="20"/>
                <w:szCs w:val="20"/>
                <w:color w:val="auto"/>
              </w:rPr>
            </w:pPr>
            <w:r>
              <w:rPr>
                <w:rFonts w:ascii="Arial" w:cs="Arial" w:eastAsia="Arial" w:hAnsi="Arial"/>
                <w:sz w:val="11"/>
                <w:szCs w:val="11"/>
                <w:color w:val="008000"/>
              </w:rPr>
              <w:t>(2)</w:t>
            </w: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1,333,662</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233"/>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(3)</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06/06/2023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vMerge w:val="restart"/>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(4)</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540" w:type="dxa"/>
            <w:vAlign w:val="bottom"/>
            <w:vMerge w:val="restart"/>
          </w:tcPr>
          <w:p>
            <w:pPr>
              <w:jc w:val="right"/>
              <w:ind w:right="41"/>
              <w:spacing w:after="0"/>
              <w:rPr>
                <w:sz w:val="20"/>
                <w:szCs w:val="20"/>
                <w:color w:val="auto"/>
              </w:rPr>
            </w:pPr>
            <w:r>
              <w:rPr>
                <w:rFonts w:ascii="Arial" w:cs="Arial" w:eastAsia="Arial" w:hAnsi="Arial"/>
                <w:sz w:val="11"/>
                <w:szCs w:val="11"/>
                <w:color w:val="008000"/>
              </w:rPr>
              <w:t>(4)</w:t>
            </w: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497,178</w:t>
            </w:r>
          </w:p>
        </w:tc>
        <w:tc>
          <w:tcPr>
            <w:tcW w:w="240" w:type="dxa"/>
            <w:vAlign w:val="bottom"/>
          </w:tcPr>
          <w:p>
            <w:pPr>
              <w:spacing w:after="0"/>
              <w:rPr>
                <w:sz w:val="22"/>
                <w:szCs w:val="22"/>
                <w:color w:val="auto"/>
              </w:rPr>
            </w:pPr>
          </w:p>
        </w:tc>
        <w:tc>
          <w:tcPr>
            <w:tcW w:w="600" w:type="dxa"/>
            <w:vAlign w:val="bottom"/>
            <w:vMerge w:val="restart"/>
          </w:tcPr>
          <w:p>
            <w:pPr>
              <w:jc w:val="center"/>
              <w:ind w:right="233"/>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(6)</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06/07/2023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(7)</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10,000</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right"/>
              <w:ind w:right="41"/>
              <w:spacing w:after="0"/>
              <w:rPr>
                <w:sz w:val="20"/>
                <w:szCs w:val="20"/>
                <w:color w:val="auto"/>
              </w:rPr>
            </w:pPr>
            <w:r>
              <w:rPr>
                <w:rFonts w:ascii="Arial" w:cs="Arial" w:eastAsia="Arial" w:hAnsi="Arial"/>
                <w:sz w:val="11"/>
                <w:szCs w:val="11"/>
                <w:color w:val="008000"/>
              </w:rPr>
              <w:t>(7)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1,323,662</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33"/>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(8)</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06/07/2023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vMerge w:val="restart"/>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(7)</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540" w:type="dxa"/>
            <w:vAlign w:val="bottom"/>
            <w:vMerge w:val="restart"/>
          </w:tcPr>
          <w:p>
            <w:pPr>
              <w:jc w:val="right"/>
              <w:ind w:right="41"/>
              <w:spacing w:after="0"/>
              <w:rPr>
                <w:sz w:val="20"/>
                <w:szCs w:val="20"/>
                <w:color w:val="auto"/>
              </w:rPr>
            </w:pPr>
            <w:r>
              <w:rPr>
                <w:rFonts w:ascii="Arial" w:cs="Arial" w:eastAsia="Arial" w:hAnsi="Arial"/>
                <w:sz w:val="11"/>
                <w:szCs w:val="11"/>
                <w:color w:val="008000"/>
              </w:rPr>
              <w:t>(7)</w:t>
            </w: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492,178</w:t>
            </w:r>
          </w:p>
        </w:tc>
        <w:tc>
          <w:tcPr>
            <w:tcW w:w="240" w:type="dxa"/>
            <w:vAlign w:val="bottom"/>
          </w:tcPr>
          <w:p>
            <w:pPr>
              <w:spacing w:after="0"/>
              <w:rPr>
                <w:sz w:val="22"/>
                <w:szCs w:val="22"/>
                <w:color w:val="auto"/>
              </w:rPr>
            </w:pPr>
          </w:p>
        </w:tc>
        <w:tc>
          <w:tcPr>
            <w:tcW w:w="600" w:type="dxa"/>
            <w:vAlign w:val="bottom"/>
            <w:vMerge w:val="restart"/>
          </w:tcPr>
          <w:p>
            <w:pPr>
              <w:jc w:val="center"/>
              <w:ind w:right="233"/>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(10)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0"/>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2"/>
          </w:tcPr>
          <w:p>
            <w:pPr>
              <w:jc w:val="center"/>
              <w:ind w:left="2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60" w:type="dxa"/>
            <w:vAlign w:val="bottom"/>
            <w:gridSpan w:val="10"/>
          </w:tcPr>
          <w:p>
            <w:pPr>
              <w:jc w:val="center"/>
              <w:ind w:right="18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4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right="300"/>
              <w:spacing w:after="0" w:line="136"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2,308,310 shares of Class A common stock, par value $0.0001 per share ("Class A common stock"), of the Issuer are held directly by ArcLight CTC Holdings II, L.P., a Delaware limited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3" w:lineRule="exact"/>
        <w:rPr>
          <w:rFonts w:ascii="Arial" w:cs="Arial" w:eastAsia="Arial" w:hAnsi="Arial"/>
          <w:sz w:val="12"/>
          <w:szCs w:val="12"/>
          <w:color w:val="008000"/>
        </w:rPr>
      </w:pPr>
    </w:p>
    <w:p>
      <w:pPr>
        <w:ind w:left="40" w:right="160" w:firstLine="9"/>
        <w:spacing w:after="0" w:line="26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price is a volume weighted average price ("VWAP"). The reported securities were sold in open market transactions at prices ranging from $6.22 to $6.34, inclusive. The reporting person undertakes to provide to the SEC, the Issuer or any stockholder of the Issuer, upon request, the relevant amount of shares sold to the market at each price within the ranges set forth in footnotes (4) and</w:t>
      </w:r>
    </w:p>
    <w:p>
      <w:pPr>
        <w:ind w:left="40"/>
        <w:spacing w:after="0"/>
        <w:rPr>
          <w:rFonts w:ascii="Arial" w:cs="Arial" w:eastAsia="Arial" w:hAnsi="Arial"/>
          <w:sz w:val="12"/>
          <w:szCs w:val="12"/>
          <w:color w:val="008000"/>
        </w:rPr>
      </w:pPr>
      <w:r>
        <w:rPr>
          <w:rFonts w:ascii="Arial" w:cs="Arial" w:eastAsia="Arial" w:hAnsi="Arial"/>
          <w:sz w:val="14"/>
          <w:szCs w:val="14"/>
          <w:color w:val="008000"/>
        </w:rPr>
        <w:t>(7) of this Form 4.</w:t>
      </w:r>
    </w:p>
    <w:p>
      <w:pPr>
        <w:spacing w:after="0" w:line="29"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include 1,333,662 shares which were previously reported as indirectly held but were received in a distribution by the Sponsor on April 27, 2023.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is a VWAP. The reported securities were sold in open market transactions at prices ranging from $6.22 and $6.33, inclusive.</w:t>
      </w:r>
    </w:p>
    <w:p>
      <w:pPr>
        <w:spacing w:after="0" w:line="41" w:lineRule="exact"/>
        <w:rPr>
          <w:rFonts w:ascii="Arial" w:cs="Arial" w:eastAsia="Arial" w:hAnsi="Arial"/>
          <w:sz w:val="14"/>
          <w:szCs w:val="14"/>
          <w:color w:val="008000"/>
        </w:rPr>
      </w:pPr>
    </w:p>
    <w:p>
      <w:pPr>
        <w:ind w:left="40" w:right="24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were sold by Revers Special Ops Holdings, LLC, a Delaware limited liability company ("Special Ops Holdings"). After giving effect to such transaction, the reported securities consists of (i) 331,235 shares of Class A common stock held directly by ACHP B, L.P., a Delaware limited partnership ("ACHP B"), (ii) 69,572 shares of Class A common stock held directly by ACTC Holdings GP II, LLC, a Delaware limited liability company and general partner of the Sponsor ("ACTC GP"), and (iii) 96,371 shares of Class A common stock held directly by Special Ops Holdings.</w:t>
      </w:r>
    </w:p>
    <w:p>
      <w:pPr>
        <w:spacing w:after="0" w:line="31" w:lineRule="exact"/>
        <w:rPr>
          <w:rFonts w:ascii="Arial" w:cs="Arial" w:eastAsia="Arial" w:hAnsi="Arial"/>
          <w:sz w:val="14"/>
          <w:szCs w:val="14"/>
          <w:color w:val="008000"/>
        </w:rPr>
      </w:pPr>
    </w:p>
    <w:p>
      <w:pPr>
        <w:ind w:left="40" w:right="3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5) Mr. Revers has voting and investment discretion with respect to the securities held by ACHP B, ACTC GP and Special Ops Holdings, and thus may be deemed to have beneficial ownership of such securities. Mr. Revers expressly disclaims beneficial ownership of such securities except to the extent of his pecuniary interest therein.</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is a VWAP. The reported securities were sold in open market transactions at prices ranging from $6.21 and $6.39,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include 1,323,662 shares which were previously reported as indirectly held but were received in a distribution by the Sponsor on April 27, 2023.</w:t>
      </w:r>
    </w:p>
    <w:p>
      <w:pPr>
        <w:spacing w:after="0" w:line="41" w:lineRule="exact"/>
        <w:rPr>
          <w:rFonts w:ascii="Arial" w:cs="Arial" w:eastAsia="Arial" w:hAnsi="Arial"/>
          <w:sz w:val="14"/>
          <w:szCs w:val="14"/>
          <w:color w:val="008000"/>
        </w:rPr>
      </w:pPr>
    </w:p>
    <w:p>
      <w:pPr>
        <w:ind w:left="40" w:right="20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were sold by Special Ops Holdings. After giving effect to such transaction, the reported securities consists of (i) 331,235 shares of Class A common stock held directly by ACHP B, L.P., a Delaware limited partnership ("ACHP B"), (ii) 69,572 shares of Class A common stock held directly by ACTC Holdings GP II, LLC, a Delaware limited liability company and general partner of the Sponsor ("ACTC GP"), and (iii) 91,371 shares of Class A common stock held directly by Revers Special Ops Holdings, LLC, a Delaware limited liability company ("Special Ops Holdings").</w:t>
      </w:r>
    </w:p>
    <w:p>
      <w:pPr>
        <w:spacing w:after="0" w:line="31" w:lineRule="exact"/>
        <w:rPr>
          <w:rFonts w:ascii="Arial" w:cs="Arial" w:eastAsia="Arial" w:hAnsi="Arial"/>
          <w:sz w:val="14"/>
          <w:szCs w:val="14"/>
          <w:color w:val="008000"/>
        </w:rPr>
      </w:pPr>
    </w:p>
    <w:p>
      <w:pPr>
        <w:ind w:left="40" w:right="260" w:firstLine="9"/>
        <w:spacing w:after="0" w:line="318"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9) Mr. Revers has voting and investment discretion with respect to the securities held by ACHP B, ACTC GP and Special Ops Holdings, and thus may be deemed to have beneficial ownership of such securities. Mr. Revers expressly disclaims beneficial ownership of such securities except to the extent of his pecuniary interest therein.</w:t>
      </w:r>
    </w:p>
    <w:p>
      <w:pPr>
        <w:sectPr>
          <w:pgSz w:w="11900" w:h="16931" w:orient="portrait"/>
          <w:cols w:equalWidth="0" w:num="1">
            <w:col w:w="11080"/>
          </w:cols>
          <w:pgMar w:left="460" w:top="226"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By: /s/ Daniel R. Revers</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06/08/2023</w:t>
            </w:r>
          </w:p>
        </w:tc>
      </w:tr>
      <w:tr>
        <w:trPr>
          <w:trHeight w:val="20"/>
        </w:trPr>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49"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545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2023-06-08T20:58:30Z</dcterms:created>
  <dcterms:modified xsi:type="dcterms:W3CDTF">2023-06-08T20:58:30Z</dcterms:modified>
</cp:coreProperties>
</file>