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Gatti Marco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WHITE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10601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0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04/28/2023</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04/28/2023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496,852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496,852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On April 28, 2023, ArcLight CTC Holdings II, L.P., a Delaware limited partnership, distributed the reported securities to its partners for no consideration.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Marco Gatti</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05/02/2023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ind w:right="20" w:firstLine="640"/>
        <w:spacing w:after="0" w:line="235" w:lineRule="auto"/>
        <w:rPr>
          <w:sz w:val="20"/>
          <w:szCs w:val="20"/>
          <w:color w:val="auto"/>
        </w:rPr>
      </w:pPr>
      <w:r>
        <w:rPr>
          <w:rFonts w:ascii="Times New Roman" w:cs="Times New Roman" w:eastAsia="Times New Roman" w:hAnsi="Times New Roman"/>
          <w:sz w:val="18"/>
          <w:szCs w:val="18"/>
          <w:color w:val="auto"/>
        </w:rPr>
        <w:t>The undersigned, as a Section 16 reporting person of OPAL Fuels Inc. (the “Company”), hereby constitutes and appoints John Coghlin, Aruna Gollamudi, and Ann Anthony the undersigned’s true and lawful attorneys-in-fact to:</w:t>
      </w:r>
    </w:p>
    <w:p>
      <w:pPr>
        <w:spacing w:after="0" w:line="181" w:lineRule="exact"/>
        <w:rPr>
          <w:sz w:val="20"/>
          <w:szCs w:val="20"/>
          <w:color w:val="auto"/>
        </w:rPr>
      </w:pPr>
    </w:p>
    <w:p>
      <w:pPr>
        <w:ind w:left="1280" w:hanging="634"/>
        <w:spacing w:after="0" w:line="234" w:lineRule="auto"/>
        <w:tabs>
          <w:tab w:leader="none" w:pos="98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197" w:lineRule="exact"/>
        <w:rPr>
          <w:rFonts w:ascii="Times New Roman" w:cs="Times New Roman" w:eastAsia="Times New Roman" w:hAnsi="Times New Roman"/>
          <w:sz w:val="17"/>
          <w:szCs w:val="17"/>
          <w:color w:val="auto"/>
        </w:rPr>
      </w:pPr>
    </w:p>
    <w:p>
      <w:pPr>
        <w:ind w:left="1280" w:hanging="634"/>
        <w:spacing w:after="0" w:line="235" w:lineRule="auto"/>
        <w:tabs>
          <w:tab w:leader="none" w:pos="9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undersigned hereby grants to each attorney-in-fact full power and authority to do and perform any and every act and thing whatsoever</w:t>
      </w:r>
    </w:p>
    <w:p>
      <w:pPr>
        <w:jc w:val="both"/>
        <w:ind w:right="20"/>
        <w:spacing w:after="0" w:line="206" w:lineRule="auto"/>
        <w:rPr>
          <w:sz w:val="20"/>
          <w:szCs w:val="20"/>
          <w:color w:val="auto"/>
        </w:rPr>
      </w:pPr>
      <w:r>
        <w:rPr>
          <w:rFonts w:ascii="Times New Roman" w:cs="Times New Roman" w:eastAsia="Times New Roman" w:hAnsi="Times New Roman"/>
          <w:sz w:val="18"/>
          <w:szCs w:val="18"/>
          <w:color w:val="auto"/>
        </w:rPr>
        <w:t>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w:t>
      </w:r>
    </w:p>
    <w:p>
      <w:pPr>
        <w:jc w:val="both"/>
        <w:ind w:right="20"/>
        <w:spacing w:after="0" w:line="223" w:lineRule="auto"/>
        <w:rPr>
          <w:sz w:val="20"/>
          <w:szCs w:val="20"/>
          <w:color w:val="auto"/>
        </w:rPr>
      </w:pPr>
      <w:r>
        <w:rPr>
          <w:rFonts w:ascii="Times New Roman" w:cs="Times New Roman" w:eastAsia="Times New Roman" w:hAnsi="Times New Roman"/>
          <w:sz w:val="18"/>
          <w:szCs w:val="18"/>
          <w:color w:val="auto"/>
        </w:rPr>
        <w:t>undersigned, is not assuming, nor is the Company assuming, any of the undersigned’s responsibilities to comply with Section 16 of the Securities Exchange Act of 1934 (as amended).</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w:t>
      </w:r>
    </w:p>
    <w:p>
      <w:pPr>
        <w:jc w:val="both"/>
        <w:spacing w:after="0" w:line="223" w:lineRule="auto"/>
        <w:rPr>
          <w:sz w:val="20"/>
          <w:szCs w:val="20"/>
          <w:color w:val="auto"/>
        </w:rPr>
      </w:pPr>
      <w:r>
        <w:rPr>
          <w:rFonts w:ascii="Times New Roman" w:cs="Times New Roman" w:eastAsia="Times New Roman" w:hAnsi="Times New Roman"/>
          <w:sz w:val="18"/>
          <w:szCs w:val="18"/>
          <w:color w:val="auto"/>
        </w:rPr>
        <w:t>the undersigned’s holdings of and transactions in securities issued by the Company, unless earlier revoked by the undersigned in a signed writing delivered to the Company and the foregoing attorneys-in-fact.</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date below.</w:t>
      </w:r>
    </w:p>
    <w:p>
      <w:pPr>
        <w:spacing w:after="0" w:line="200" w:lineRule="exact"/>
        <w:rPr>
          <w:sz w:val="20"/>
          <w:szCs w:val="20"/>
          <w:color w:val="auto"/>
        </w:rPr>
      </w:pPr>
    </w:p>
    <w:p>
      <w:pPr>
        <w:spacing w:after="0" w:line="326" w:lineRule="exact"/>
        <w:rPr>
          <w:sz w:val="20"/>
          <w:szCs w:val="20"/>
          <w:color w:val="auto"/>
        </w:rPr>
      </w:pPr>
    </w:p>
    <w:tbl>
      <w:tblPr>
        <w:tblLayout w:type="fixed"/>
        <w:tblInd w:w="5100" w:type="dxa"/>
        <w:tblCellMar>
          <w:top w:w="0" w:type="dxa"/>
          <w:left w:w="0" w:type="dxa"/>
          <w:bottom w:w="0" w:type="dxa"/>
          <w:right w:w="0" w:type="dxa"/>
        </w:tblCellMar>
      </w:tblPr>
      <w:tr>
        <w:trPr>
          <w:trHeight w:val="2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Marco Gatti</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20"/>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Marco Gatti</w:t>
            </w:r>
          </w:p>
        </w:tc>
        <w:tc>
          <w:tcPr>
            <w:tcW w:w="0" w:type="dxa"/>
            <w:vAlign w:val="bottom"/>
          </w:tcPr>
          <w:p>
            <w:pPr>
              <w:spacing w:after="0"/>
              <w:rPr>
                <w:sz w:val="1"/>
                <w:szCs w:val="1"/>
                <w:color w:val="auto"/>
              </w:rPr>
            </w:pPr>
          </w:p>
        </w:tc>
      </w:tr>
      <w:tr>
        <w:trPr>
          <w:trHeight w:val="299"/>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760" w:type="dxa"/>
            <w:vAlign w:val="bottom"/>
            <w:vMerge w:val="continue"/>
          </w:tcPr>
          <w:p>
            <w:pPr>
              <w:spacing w:after="0"/>
              <w:rPr>
                <w:sz w:val="20"/>
                <w:szCs w:val="20"/>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5/2/2023</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SMRH:4885-0718-2121.1</w:t>
            </w:r>
          </w:p>
        </w:tc>
        <w:tc>
          <w:tcPr>
            <w:tcW w:w="2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bl>
    <w:p>
      <w:pPr>
        <w:ind w:left="10160"/>
        <w:spacing w:after="0"/>
        <w:rPr>
          <w:sz w:val="20"/>
          <w:szCs w:val="20"/>
          <w:color w:val="auto"/>
        </w:rPr>
      </w:pPr>
      <w:r>
        <w:rPr>
          <w:rFonts w:ascii="Times New Roman" w:cs="Times New Roman" w:eastAsia="Times New Roman" w:hAnsi="Times New Roman"/>
          <w:sz w:val="14"/>
          <w:szCs w:val="14"/>
          <w:color w:val="auto"/>
        </w:rPr>
        <w:t>77SX-332720</w:t>
      </w:r>
    </w:p>
    <w:sectPr>
      <w:pgSz w:w="11900" w:h="16838" w:orient="portrait"/>
      <w:cols w:equalWidth="0" w:num="1">
        <w:col w:w="10980"/>
      </w:cols>
      <w:pgMar w:left="460" w:top="10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1381"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2023-05-02T20:25:10Z</dcterms:created>
  <dcterms:modified xsi:type="dcterms:W3CDTF">2023-05-02T20:25:10Z</dcterms:modified>
</cp:coreProperties>
</file>