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11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3"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16, 2022</w:t>
      </w:r>
    </w:p>
    <w:p>
      <w:pPr>
        <w:spacing w:after="0" w:line="30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9"/>
          <w:szCs w:val="29"/>
          <w:b w:val="1"/>
          <w:bCs w:val="1"/>
          <w:color w:val="auto"/>
        </w:rPr>
        <w:t>OPAL Fuels Inc.</w:t>
      </w:r>
    </w:p>
    <w:p>
      <w:pPr>
        <w:spacing w:after="0" w:line="9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6" w:lineRule="exact"/>
        <w:rPr>
          <w:sz w:val="24"/>
          <w:szCs w:val="24"/>
          <w:color w:val="auto"/>
        </w:rPr>
      </w:pPr>
    </w:p>
    <w:tbl>
      <w:tblPr>
        <w:tblLayout w:type="fixed"/>
        <w:tblInd w:w="800" w:type="dxa"/>
        <w:tblCellMar>
          <w:top w:w="0" w:type="dxa"/>
          <w:left w:w="0" w:type="dxa"/>
          <w:bottom w:w="0" w:type="dxa"/>
          <w:right w:w="0" w:type="dxa"/>
        </w:tblCellMar>
      </w:tblPr>
      <w:tr>
        <w:trPr>
          <w:trHeight w:val="233"/>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001-40272</w:t>
            </w:r>
          </w:p>
        </w:tc>
        <w:tc>
          <w:tcPr>
            <w:tcW w:w="29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4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One North Lexington Avenue</w:t>
            </w:r>
            <w:r>
              <w:rPr>
                <w:rFonts w:ascii="Arial" w:cs="Arial" w:eastAsia="Arial" w:hAnsi="Arial"/>
                <w:sz w:val="18"/>
                <w:szCs w:val="18"/>
                <w:b w:val="1"/>
                <w:bCs w:val="1"/>
                <w:color w:val="3051F2"/>
                <w:w w:val="99"/>
              </w:rPr>
              <w:t>,</w:t>
            </w:r>
            <w:r>
              <w:rPr>
                <w:rFonts w:ascii="Times New Roman" w:cs="Times New Roman" w:eastAsia="Times New Roman" w:hAnsi="Times New Roman"/>
                <w:sz w:val="18"/>
                <w:szCs w:val="18"/>
                <w:b w:val="1"/>
                <w:bCs w:val="1"/>
                <w:color w:val="auto"/>
                <w:w w:val="99"/>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10601</w:t>
            </w:r>
          </w:p>
        </w:tc>
      </w:tr>
      <w:tr>
        <w:trPr>
          <w:trHeight w:val="28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8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(914) 705-4000</w:t>
      </w:r>
    </w:p>
    <w:p>
      <w:pPr>
        <w:spacing w:after="0" w:line="32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8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77" w:lineRule="exact"/>
        <w:rPr>
          <w:sz w:val="24"/>
          <w:szCs w:val="24"/>
          <w:color w:val="auto"/>
        </w:rPr>
      </w:pPr>
    </w:p>
    <w:p>
      <w:pPr>
        <w:ind w:left="700" w:hanging="449"/>
        <w:spacing w:after="0"/>
        <w:tabs>
          <w:tab w:leader="none" w:pos="700" w:val="left"/>
        </w:tabs>
        <w:numPr>
          <w:ilvl w:val="0"/>
          <w:numId w:val="1"/>
        </w:numPr>
        <w:rPr>
          <w:rFonts w:ascii="MS PGothic" w:cs="MS PGothic" w:eastAsia="MS PGothic" w:hAnsi="MS PGothic"/>
          <w:sz w:val="40"/>
          <w:szCs w:val="40"/>
          <w:color w:val="auto"/>
          <w:vertAlign w:val="subscript"/>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sz w:val="24"/>
          <w:szCs w:val="24"/>
          <w:color w:val="auto"/>
        </w:rPr>
      </w:pPr>
    </w:p>
    <w:p>
      <w:pPr>
        <w:ind w:left="700" w:hanging="442"/>
        <w:spacing w:after="0"/>
        <w:tabs>
          <w:tab w:leader="none" w:pos="7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ectPr>
          <w:pgSz w:w="11900" w:h="16838" w:orient="portrait"/>
          <w:cols w:equalWidth="0" w:num="1">
            <w:col w:w="10720"/>
          </w:cols>
          <w:pgMar w:left="320" w:top="1245" w:right="859" w:bottom="1440" w:gutter="0" w:footer="0" w:header="0"/>
        </w:sectPr>
      </w:pPr>
    </w:p>
    <w:p>
      <w:pPr>
        <w:spacing w:after="0" w:line="29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73" w:lineRule="exact"/>
        <w:rPr>
          <w:sz w:val="24"/>
          <w:szCs w:val="24"/>
          <w:color w:val="auto"/>
        </w:rPr>
      </w:pPr>
    </w:p>
    <w:p>
      <w:pPr>
        <w:jc w:val="cente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Title of each class</w:t>
      </w:r>
    </w:p>
    <w:p>
      <w:pPr>
        <w:spacing w:after="0" w:line="67" w:lineRule="exact"/>
        <w:rPr>
          <w:sz w:val="24"/>
          <w:szCs w:val="24"/>
          <w:color w:val="auto"/>
        </w:rPr>
      </w:pPr>
    </w:p>
    <w:p>
      <w:pPr>
        <w:jc w:val="center"/>
        <w:ind w:left="120"/>
        <w:spacing w:after="0"/>
        <w:rPr>
          <w:sz w:val="20"/>
          <w:szCs w:val="20"/>
          <w:color w:val="auto"/>
        </w:rPr>
      </w:pPr>
      <w:r>
        <w:rPr>
          <w:rFonts w:ascii="Times New Roman" w:cs="Times New Roman" w:eastAsia="Times New Roman" w:hAnsi="Times New Roman"/>
          <w:sz w:val="18"/>
          <w:szCs w:val="18"/>
          <w:color w:val="auto"/>
        </w:rPr>
        <w:t>Class A Common Stock, par value $.0001 per share</w:t>
      </w:r>
    </w:p>
    <w:p>
      <w:pPr>
        <w:spacing w:after="0" w:line="77" w:lineRule="exact"/>
        <w:rPr>
          <w:sz w:val="24"/>
          <w:szCs w:val="24"/>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Warrants, each whole warrant exercisable for one share of Class A 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Calibri" w:cs="Calibri" w:eastAsia="Calibri" w:hAnsi="Calibri"/>
          <w:sz w:val="17"/>
          <w:szCs w:val="17"/>
          <w:b w:val="1"/>
          <w:bCs w:val="1"/>
          <w:color w:val="auto"/>
        </w:rPr>
        <w:t>Trading Symbol(s)</w:t>
      </w:r>
    </w:p>
    <w:p>
      <w:pPr>
        <w:spacing w:after="0" w:line="80"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8"/>
          <w:szCs w:val="18"/>
          <w:color w:val="auto"/>
        </w:rPr>
        <w:t>OPAL</w:t>
      </w:r>
    </w:p>
    <w:p>
      <w:pPr>
        <w:spacing w:after="0" w:line="185"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8"/>
          <w:szCs w:val="18"/>
          <w:color w:val="auto"/>
        </w:rPr>
        <w:t>OPALW</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2"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u w:val="single" w:color="auto"/>
          <w:color w:val="auto"/>
        </w:rPr>
        <w:t>Name of each exchange on which registered</w:t>
      </w:r>
    </w:p>
    <w:p>
      <w:pPr>
        <w:spacing w:after="0" w:line="7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The Nasdaq Stock Market LLC</w:t>
      </w:r>
    </w:p>
    <w:p>
      <w:pPr>
        <w:spacing w:after="0" w:line="185"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color w:val="auto"/>
        </w:rPr>
        <w:t>The Nasdaq Stock Market LLC</w:t>
      </w:r>
    </w:p>
    <w:p>
      <w:pPr>
        <w:spacing w:after="0" w:line="346" w:lineRule="exact"/>
        <w:rPr>
          <w:sz w:val="24"/>
          <w:szCs w:val="24"/>
          <w:color w:val="auto"/>
        </w:rPr>
      </w:pPr>
    </w:p>
    <w:p>
      <w:pPr>
        <w:sectPr>
          <w:pgSz w:w="11900" w:h="16838" w:orient="portrait"/>
          <w:cols w:equalWidth="0" w:num="3">
            <w:col w:w="4640" w:space="120"/>
            <w:col w:w="1780" w:space="720"/>
            <w:col w:w="3460"/>
          </w:cols>
          <w:pgMar w:left="320" w:top="1245" w:right="85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ectPr>
          <w:pgSz w:w="11900" w:h="16838" w:orient="portrait"/>
          <w:cols w:equalWidth="0" w:num="1">
            <w:col w:w="10720"/>
          </w:cols>
          <w:pgMar w:left="320" w:top="1245" w:right="859" w:bottom="1440" w:gutter="0" w:footer="0" w:header="0"/>
          <w:type w:val="continuous"/>
        </w:sectPr>
      </w:pPr>
    </w:p>
    <w:bookmarkStart w:id="1" w:name="page2"/>
    <w:bookmarkEnd w:id="1"/>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166" w:lineRule="exact"/>
        <w:rPr>
          <w:sz w:val="20"/>
          <w:szCs w:val="20"/>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ectPr>
          <w:pgSz w:w="11900" w:h="16838" w:orient="portrait"/>
          <w:cols w:equalWidth="0" w:num="1">
            <w:col w:w="11240"/>
          </w:cols>
          <w:pgMar w:left="320" w:top="115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As previously disclosed, on November 18, 2022, OPAL Fuels Inc., a Delaware corporation (the “Company”), announced the commencement of an exchange offer (the “Offer”) and consent solicitation (the “Consent Solicitation”) relating to its outstanding (i) public warrants to purchase shares of Class A common stock of the Company, par value $0.0001 per share (the “Class A common stock”), which warrants trade on The Nasdaq Capital Market under the symbol “OPALW”(the “public warrants”), and (ii) private placement warrants to purchase shares of Class A common stock (the “private placement warrants” and, together with the public warrants, the “warrants”). The Company offered to all holders of the warrants the opportunity to receive 0.250 shares of Class A common stock in exchange for each outstanding warrant tendered by the holder and exchanged pursuant to the Offer. Concurrently with the Offer, the Company solicited consents from holders of the warrants to amend the warrant agreement that governs all of the warrants (the “Warrant Agreement”) to permit the Company to require that each warrant that is outstanding upon the closing of the Offer be exchanged for 0.225 shares of Class A common stock, which is a ratio 10% less than the exchange ratio applicable to the Offer (such amendment, the “Warrant Amendment”).</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Offer and Consent Solicitation expired at 11:59 p.m., Eastern Time, on December 16, 2022. The Company has been advised that 13,240,756 warrants (including 4,209 warrants tendered through guaranteed delivery), or approximately 85.7% of the outstanding warrants, were validly tendered and not validly withdrawn prior to the expiration of the Offer and Consent Solicitation. The Company expects to accept all validly tendered warrants for exchange and settlement on or before December 21, 2022.</w:t>
      </w:r>
    </w:p>
    <w:p>
      <w:pPr>
        <w:spacing w:after="0" w:line="2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addition, pursuant to the Consent Solicitation, the Company received the approval of parties representing approximately 96.5% of the outstanding public warrants and approximately 78.5% of the outstanding private placement warrants to enter into the Warrant Amendment, which exceeds the threshold of 65% of each of the outstanding public warrants and outstanding private placement warrants required to effect the Warrant Amendment. Accordingly, the Company and Continental Stock Transfer &amp; Trust Company entered into the Warrant Amendment, dated December 19, 2022, and the Company announced that it will exercise its right, in accordance with the terms of the Warrant Amendment, to exchange each warrant that is outstanding upon the closing of the Offer for 0.225 shares of Class A common stock per warrant (the “Post-Offer Exchange”). The Company has fixed the date for the Post-Offer Exchange as December 23, 2022.</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Warrant Amendment is qualified in its entirety by reference to the Warrant Amendment, which is filed as Exhibit 10.1 to this Current Report on Form 8-K and is incorporated by reference 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1.01 of this Current Report on Form 8-K is incorporated by reference into this Item 3.03.</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1.01 of this Current Report on Form 8-K is incorporated by reference into this Item 5.07.</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19, 2022, the Company issued a press release announcing the final results of the Offer and Consent Solicitation and the Company’s entry into the Warrant Amendment. A copy of the press release is attached as Exhibit 99.1 and is incorporated by reference 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This announcement is for informational purposes only and shall not constitute an offer to purchase or a solicitation of an offer to sell the warrants or an offer to sell or a solicitation of an offer to buy any shares of Class A common stock in any state in which such offer, solicitation, or sale would be unlawful before registration or qualification under the laws of any such state. The Offer and Consent Solicitation were made only through, and pursuant to the terms and conditions set forth in, the Company’s Schedule TO, prospectus/offer to exchange, and related letter of transmittal, and the complete terms and conditions of the Offer and Consent Solicitation are set forth in the Schedule TO, prospectus/offer to exchange, and related letter of transmittal.</w:t>
      </w:r>
    </w:p>
    <w:p>
      <w:pPr>
        <w:sectPr>
          <w:pgSz w:w="11900" w:h="16838" w:orient="portrait"/>
          <w:cols w:equalWidth="0" w:num="1">
            <w:col w:w="11240"/>
          </w:cols>
          <w:pgMar w:left="320" w:top="1319" w:right="339" w:bottom="1440" w:gutter="0" w:footer="0" w:header="0"/>
        </w:sectPr>
      </w:pPr>
    </w:p>
    <w:bookmarkStart w:id="3" w:name="page4"/>
    <w:bookmarkEnd w:id="3"/>
    <w:p>
      <w:pPr>
        <w:jc w:val="both"/>
        <w:spacing w:after="0" w:line="266" w:lineRule="auto"/>
        <w:rPr>
          <w:sz w:val="20"/>
          <w:szCs w:val="20"/>
          <w:color w:val="auto"/>
        </w:rPr>
      </w:pPr>
      <w:r>
        <w:rPr>
          <w:rFonts w:ascii="Times New Roman" w:cs="Times New Roman" w:eastAsia="Times New Roman" w:hAnsi="Times New Roman"/>
          <w:sz w:val="18"/>
          <w:szCs w:val="18"/>
          <w:color w:val="auto"/>
        </w:rPr>
        <w:t>A registration statement on Form S-4 filed by the Company with the U.S. Securities and Exchange Commission (the “SEC”) registering the Class A common stock issuable in the Offer and the Post-Offer Exchange was declared effective by the SEC on December 15,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federal securities laws, including statements regarding the expected acceptance by the Company of all validly tendered warrants for exchange, the closing of the Offer and Consent Solicitation, and the consummation of the Post-Offer Exchange. These forward-looking statements generally are identified by the words “believe,” “project,” “expect,” “anticipate,” “estimate,” “intend,” “strategy,” “future,” “opportunity,” “plan,” “may,” “should,” “will,” “would,” “will be,” “will continue,” “will likely result,” and similar expressions, but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Current Report on Form 8-K, including, but not limited to those described under the section entitled “Risk Factors” in the Company’s Registration Statement on Form S-4, filed November 18, 2022, as such factors may be updated from time to time in the Company’s periodic filings with the SEC, which are accessible on the SEC’s website at www.sec.gov.</w:t>
      </w:r>
    </w:p>
    <w:p>
      <w:pPr>
        <w:spacing w:after="0" w:line="2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Current Report on Form 8-K may not occur and actual results could differ materially and adversely from those anticipated.</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We do not give any assurance that we will achieve our expectations.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20" w:type="dxa"/>
            <w:vAlign w:val="bottom"/>
          </w:tcPr>
          <w:p>
            <w:pPr>
              <w:spacing w:after="0"/>
              <w:rPr>
                <w:sz w:val="20"/>
                <w:szCs w:val="20"/>
                <w:color w:val="auto"/>
              </w:rPr>
            </w:pPr>
          </w:p>
        </w:tc>
        <w:tc>
          <w:tcPr>
            <w:tcW w:w="8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40"/>
        </w:trPr>
        <w:tc>
          <w:tcPr>
            <w:tcW w:w="2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3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45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Amendment No. 1 to Warrant Agreement, dated December 19, 2022, by and between OPAL Fuels Inc. and</w:t>
            </w:r>
          </w:p>
        </w:tc>
        <w:tc>
          <w:tcPr>
            <w:tcW w:w="20" w:type="dxa"/>
            <w:vAlign w:val="bottom"/>
          </w:tcPr>
          <w:p>
            <w:pPr>
              <w:spacing w:after="0"/>
              <w:rPr>
                <w:sz w:val="24"/>
                <w:szCs w:val="24"/>
                <w:color w:val="auto"/>
              </w:rPr>
            </w:pPr>
          </w:p>
        </w:tc>
      </w:tr>
      <w:tr>
        <w:trPr>
          <w:trHeight w:val="210"/>
        </w:trPr>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Continental Stock Transfer &amp; Trust Company</w:t>
            </w:r>
          </w:p>
        </w:tc>
        <w:tc>
          <w:tcPr>
            <w:tcW w:w="5280" w:type="dxa"/>
            <w:vAlign w:val="bottom"/>
            <w:gridSpan w:val="3"/>
          </w:tcPr>
          <w:p>
            <w:pPr>
              <w:spacing w:after="0"/>
              <w:rPr>
                <w:sz w:val="18"/>
                <w:szCs w:val="18"/>
                <w:color w:val="auto"/>
              </w:rPr>
            </w:pPr>
          </w:p>
        </w:tc>
      </w:tr>
      <w:tr>
        <w:trPr>
          <w:trHeight w:val="250"/>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5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Press release issued by OPAL Fuels Inc., dated December 19, 2022</w:t>
            </w:r>
          </w:p>
        </w:tc>
      </w:tr>
      <w:tr>
        <w:trPr>
          <w:trHeight w:val="20"/>
        </w:trPr>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40" w:type="dxa"/>
            <w:vAlign w:val="bottom"/>
            <w:gridSpan w:val="2"/>
            <w:shd w:val="clear" w:color="auto" w:fill="0000FF"/>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r>
      <w:tr>
        <w:trPr>
          <w:trHeight w:val="304"/>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240"/>
          </w:cols>
          <w:pgMar w:left="320" w:top="108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December 19, 2022</w:t>
      </w:r>
    </w:p>
    <w:p>
      <w:pPr>
        <w:spacing w:after="0" w:line="6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Ann Anthony</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 Anthony</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32" w:right="339" w:bottom="1440" w:gutter="0" w:footer="0" w:header="0"/>
        </w:sectPr>
      </w:pPr>
    </w:p>
    <w:bookmarkStart w:id="5" w:name="page6"/>
    <w:bookmarkEnd w:id="5"/>
    <w:p>
      <w:pPr>
        <w:ind w:left="9600"/>
        <w:spacing w:after="0"/>
        <w:rPr>
          <w:sz w:val="20"/>
          <w:szCs w:val="20"/>
          <w:color w:val="auto"/>
        </w:rPr>
      </w:pPr>
      <w:r>
        <w:rPr>
          <w:rFonts w:ascii="Times New Roman" w:cs="Times New Roman" w:eastAsia="Times New Roman" w:hAnsi="Times New Roman"/>
          <w:sz w:val="21"/>
          <w:szCs w:val="21"/>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 TO WARRANT AGREEMENT</w:t>
      </w:r>
    </w:p>
    <w:p>
      <w:pPr>
        <w:spacing w:after="0" w:line="204"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This amendment (this “</w:t>
      </w:r>
      <w:r>
        <w:rPr>
          <w:rFonts w:ascii="Times New Roman" w:cs="Times New Roman" w:eastAsia="Times New Roman" w:hAnsi="Times New Roman"/>
          <w:sz w:val="22"/>
          <w:szCs w:val="22"/>
          <w:b w:val="1"/>
          <w:bCs w:val="1"/>
          <w:i w:val="1"/>
          <w:iCs w:val="1"/>
          <w:color w:val="auto"/>
        </w:rPr>
        <w:t>Amendment</w:t>
      </w:r>
      <w:r>
        <w:rPr>
          <w:rFonts w:ascii="Times New Roman" w:cs="Times New Roman" w:eastAsia="Times New Roman" w:hAnsi="Times New Roman"/>
          <w:sz w:val="22"/>
          <w:szCs w:val="22"/>
          <w:color w:val="auto"/>
        </w:rPr>
        <w:t>”) is made as of December 19, 2022, by and between OPAL Fuels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Continental Stock Transfer &amp; Trust Company, a New York corporation, as warrant agent (the “</w:t>
      </w:r>
      <w:r>
        <w:rPr>
          <w:rFonts w:ascii="Times New Roman" w:cs="Times New Roman" w:eastAsia="Times New Roman" w:hAnsi="Times New Roman"/>
          <w:sz w:val="22"/>
          <w:szCs w:val="22"/>
          <w:b w:val="1"/>
          <w:bCs w:val="1"/>
          <w:i w:val="1"/>
          <w:iCs w:val="1"/>
          <w:color w:val="auto"/>
        </w:rPr>
        <w:t>Warrant Agent</w:t>
      </w:r>
      <w:r>
        <w:rPr>
          <w:rFonts w:ascii="Times New Roman" w:cs="Times New Roman" w:eastAsia="Times New Roman" w:hAnsi="Times New Roman"/>
          <w:sz w:val="22"/>
          <w:szCs w:val="22"/>
          <w:color w:val="auto"/>
        </w:rPr>
        <w:t>”), and constitutes an amendment to that certain Warrant Agreement, dated as of March 25, 2021 (the “</w:t>
      </w:r>
      <w:r>
        <w:rPr>
          <w:rFonts w:ascii="Times New Roman" w:cs="Times New Roman" w:eastAsia="Times New Roman" w:hAnsi="Times New Roman"/>
          <w:sz w:val="22"/>
          <w:szCs w:val="22"/>
          <w:b w:val="1"/>
          <w:bCs w:val="1"/>
          <w:i w:val="1"/>
          <w:iCs w:val="1"/>
          <w:color w:val="auto"/>
        </w:rPr>
        <w:t>Existing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Warrant Agreement</w:t>
      </w:r>
      <w:r>
        <w:rPr>
          <w:rFonts w:ascii="Times New Roman" w:cs="Times New Roman" w:eastAsia="Times New Roman" w:hAnsi="Times New Roman"/>
          <w:sz w:val="22"/>
          <w:szCs w:val="22"/>
          <w:color w:val="auto"/>
        </w:rPr>
        <w:t>”), by and between the Company (as successor ArcLight Clean Transition Corp. II (“</w:t>
      </w:r>
      <w:r>
        <w:rPr>
          <w:rFonts w:ascii="Times New Roman" w:cs="Times New Roman" w:eastAsia="Times New Roman" w:hAnsi="Times New Roman"/>
          <w:sz w:val="22"/>
          <w:szCs w:val="22"/>
          <w:b w:val="1"/>
          <w:bCs w:val="1"/>
          <w:i w:val="1"/>
          <w:iCs w:val="1"/>
          <w:color w:val="auto"/>
        </w:rPr>
        <w:t>ACTC II</w:t>
      </w:r>
      <w:r>
        <w:rPr>
          <w:rFonts w:ascii="Times New Roman" w:cs="Times New Roman" w:eastAsia="Times New Roman" w:hAnsi="Times New Roman"/>
          <w:sz w:val="22"/>
          <w:szCs w:val="22"/>
          <w:color w:val="auto"/>
        </w:rPr>
        <w:t>”)) and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Warrant Agent. Capitalized terms used but not otherwise defined in this Amendment shall have the meanings given to such terms in the Existing Warrant Agreement.</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WHEREAS, on July 21, 2022, ACTC II domesticated as a Delaware corporation and changed its name to “Opal Fuels Inc.” and, on July 21, 2021, completed its business combination with OPAL Fuels LLC (the “</w:t>
      </w:r>
      <w:r>
        <w:rPr>
          <w:rFonts w:ascii="Times New Roman" w:cs="Times New Roman" w:eastAsia="Times New Roman" w:hAnsi="Times New Roman"/>
          <w:sz w:val="22"/>
          <w:szCs w:val="22"/>
          <w:b w:val="1"/>
          <w:bCs w:val="1"/>
          <w:i w:val="1"/>
          <w:iCs w:val="1"/>
          <w:color w:val="auto"/>
        </w:rPr>
        <w:t>Business Combination</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WHEREAS, in accordance with Section 4.5 of the Existing Warrant Agreement, upon effectiveness of the Business Combination, the holders of the Warrants thereafter had the right to purchase and receive, upon the basis and upon the terms and conditions specified in the Warrants and in lieu of Ordinary Shares of ACTC II immediately theretofore purchasable and receivable upon the exercise of the rights represented thereby, an Alternative Issuance (as defined in the Existing Warrant Agreement) in shares of Class A common stock, par value $0.0001 per share, of the Company (the “</w:t>
      </w:r>
      <w:r>
        <w:rPr>
          <w:rFonts w:ascii="Times New Roman" w:cs="Times New Roman" w:eastAsia="Times New Roman" w:hAnsi="Times New Roman"/>
          <w:sz w:val="22"/>
          <w:szCs w:val="22"/>
          <w:b w:val="1"/>
          <w:bCs w:val="1"/>
          <w:i w:val="1"/>
          <w:iCs w:val="1"/>
          <w:color w:val="auto"/>
        </w:rPr>
        <w:t>Class A common stock</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WHEREAS, Section 9.8 of the Existing Warrant Agreement provides that the Company and the Warrant Agent may amend, subject to certain conditions provided therein, the Existing Warrant Agreement with the vote or written consent of the Registered Holders of 65% of the number of then outstanding Public Warrants and, solely with respect to any amendment to the terms of the Private Placement Warrants, 65% of the number of the then outstanding Private Placement Warrants;</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WHEREAS, the Company desires to amend the Existing Warrant Agreement to provide the Company with the right to require the holders of the Warrants to exchange all of the outstanding Warrants for shares of Class A common stock, on the terms and subject to the conditions set forth herein; and</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WHEREAS, in the exchange offer and consent solicitation undertaken by the Company pursuant to the Registration Statement on Form S-4 filed with the U.S. Securities and Exchange Commission, the Registered Holders of more than 65% of each of the then-outstanding Public Warrants and 65% of the then-outstanding Private Placement Warrants consented to and approved this Amendment.</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NOW, THEREFORE, in consideration of the mutual agreements contained herein and other good and valuable consideration, the receipt and sufficiency of which are hereby acknowledged, and intending to be legally bound hereby, the parties hereto agree to amend the Existing Warrant Agreement as set forth herein.</w:t>
      </w:r>
    </w:p>
    <w:p>
      <w:pPr>
        <w:spacing w:after="0" w:line="179" w:lineRule="exact"/>
        <w:rPr>
          <w:sz w:val="20"/>
          <w:szCs w:val="20"/>
          <w:color w:val="auto"/>
        </w:rPr>
      </w:pPr>
    </w:p>
    <w:p>
      <w:pPr>
        <w:ind w:left="880" w:hanging="224"/>
        <w:spacing w:after="0"/>
        <w:tabs>
          <w:tab w:leader="none" w:pos="8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of Existing Warrant Agreement</w:t>
      </w:r>
      <w:r>
        <w:rPr>
          <w:rFonts w:ascii="Times New Roman" w:cs="Times New Roman" w:eastAsia="Times New Roman" w:hAnsi="Times New Roman"/>
          <w:sz w:val="22"/>
          <w:szCs w:val="22"/>
          <w:color w:val="auto"/>
        </w:rPr>
        <w:t>. The Existing Warrant Agreement is hereby amended by adding:</w:t>
      </w:r>
    </w:p>
    <w:p>
      <w:pPr>
        <w:spacing w:after="0" w:line="206" w:lineRule="exact"/>
        <w:rPr>
          <w:rFonts w:ascii="Times New Roman" w:cs="Times New Roman" w:eastAsia="Times New Roman" w:hAnsi="Times New Roman"/>
          <w:sz w:val="22"/>
          <w:szCs w:val="22"/>
          <w:color w:val="auto"/>
        </w:rPr>
      </w:pPr>
    </w:p>
    <w:p>
      <w:pPr>
        <w:ind w:left="660" w:right="7880"/>
        <w:spacing w:after="0" w:line="49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(a) the new </w:t>
      </w:r>
      <w:r>
        <w:rPr>
          <w:rFonts w:ascii="Times New Roman" w:cs="Times New Roman" w:eastAsia="Times New Roman" w:hAnsi="Times New Roman"/>
          <w:sz w:val="21"/>
          <w:szCs w:val="21"/>
          <w:u w:val="single" w:color="auto"/>
          <w:color w:val="auto"/>
        </w:rPr>
        <w:t>Section 6A</w:t>
      </w:r>
      <w:r>
        <w:rPr>
          <w:rFonts w:ascii="Times New Roman" w:cs="Times New Roman" w:eastAsia="Times New Roman" w:hAnsi="Times New Roman"/>
          <w:sz w:val="21"/>
          <w:szCs w:val="21"/>
          <w:color w:val="auto"/>
        </w:rPr>
        <w:t xml:space="preserve"> thereto: “6A </w:t>
      </w:r>
      <w:r>
        <w:rPr>
          <w:rFonts w:ascii="Times New Roman" w:cs="Times New Roman" w:eastAsia="Times New Roman" w:hAnsi="Times New Roman"/>
          <w:sz w:val="21"/>
          <w:szCs w:val="21"/>
          <w:u w:val="single" w:color="auto"/>
          <w:color w:val="auto"/>
        </w:rPr>
        <w:t>Mandatory Exchange</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94" w:right="339" w:bottom="1440" w:gutter="0" w:footer="0" w:header="0"/>
        </w:sectPr>
      </w:pPr>
    </w:p>
    <w:bookmarkStart w:id="6" w:name="page7"/>
    <w:bookmarkEnd w:id="6"/>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6A.1 </w:t>
      </w:r>
      <w:r>
        <w:rPr>
          <w:rFonts w:ascii="Times New Roman" w:cs="Times New Roman" w:eastAsia="Times New Roman" w:hAnsi="Times New Roman"/>
          <w:sz w:val="22"/>
          <w:szCs w:val="22"/>
          <w:u w:val="single" w:color="auto"/>
          <w:color w:val="auto"/>
        </w:rPr>
        <w:t>The Business Combination</w:t>
      </w:r>
      <w:r>
        <w:rPr>
          <w:rFonts w:ascii="Times New Roman" w:cs="Times New Roman" w:eastAsia="Times New Roman" w:hAnsi="Times New Roman"/>
          <w:sz w:val="22"/>
          <w:szCs w:val="22"/>
          <w:color w:val="auto"/>
        </w:rPr>
        <w:t>. On July 21, 2022, the Company domesticated as a Delaware corporation and changed its name to “OPAL Fuels Inc.” and, on July 21, 2022, completed its business combination with OPAL Fuels LLC (the “</w:t>
      </w:r>
      <w:r>
        <w:rPr>
          <w:rFonts w:ascii="Times New Roman" w:cs="Times New Roman" w:eastAsia="Times New Roman" w:hAnsi="Times New Roman"/>
          <w:sz w:val="22"/>
          <w:szCs w:val="22"/>
          <w:b w:val="1"/>
          <w:bCs w:val="1"/>
          <w:i w:val="1"/>
          <w:iCs w:val="1"/>
          <w:color w:val="auto"/>
        </w:rPr>
        <w:t>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Combination</w:t>
      </w:r>
      <w:r>
        <w:rPr>
          <w:rFonts w:ascii="Times New Roman" w:cs="Times New Roman" w:eastAsia="Times New Roman" w:hAnsi="Times New Roman"/>
          <w:sz w:val="22"/>
          <w:szCs w:val="22"/>
          <w:color w:val="auto"/>
        </w:rPr>
        <w:t>”). In accordance with Section 4.5 of this Agreement, upon effectiveness of the Business Combination, the holders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of the Warrants thereafter had the right to purchase and receive, upon the basis and upon the terms and conditions specified in the Warrants and in lieu of Ordinary Shares of the Company immediately theretofore purchasable and receivable upon the exercise of the rights represented thereby, an Alternative Issuance in shares of Class A common stock, par value $0.0001 per share, of OPAL Fuels Inc. (the “</w:t>
      </w:r>
      <w:r>
        <w:rPr>
          <w:rFonts w:ascii="Times New Roman" w:cs="Times New Roman" w:eastAsia="Times New Roman" w:hAnsi="Times New Roman"/>
          <w:sz w:val="22"/>
          <w:szCs w:val="22"/>
          <w:b w:val="1"/>
          <w:bCs w:val="1"/>
          <w:i w:val="1"/>
          <w:iCs w:val="1"/>
          <w:color w:val="auto"/>
        </w:rPr>
        <w:t>Class A common stock</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648"/>
        <w:spacing w:after="0" w:line="207" w:lineRule="auto"/>
        <w:rPr>
          <w:sz w:val="20"/>
          <w:szCs w:val="20"/>
          <w:color w:val="auto"/>
        </w:rPr>
      </w:pPr>
      <w:r>
        <w:rPr>
          <w:rFonts w:ascii="Times New Roman" w:cs="Times New Roman" w:eastAsia="Times New Roman" w:hAnsi="Times New Roman"/>
          <w:sz w:val="22"/>
          <w:szCs w:val="22"/>
          <w:color w:val="auto"/>
        </w:rPr>
        <w:t xml:space="preserve">6A.2 </w:t>
      </w:r>
      <w:r>
        <w:rPr>
          <w:rFonts w:ascii="Times New Roman" w:cs="Times New Roman" w:eastAsia="Times New Roman" w:hAnsi="Times New Roman"/>
          <w:sz w:val="22"/>
          <w:szCs w:val="22"/>
          <w:u w:val="single" w:color="auto"/>
          <w:color w:val="auto"/>
        </w:rPr>
        <w:t>Company Election to Exchange</w:t>
      </w:r>
      <w:r>
        <w:rPr>
          <w:rFonts w:ascii="Times New Roman" w:cs="Times New Roman" w:eastAsia="Times New Roman" w:hAnsi="Times New Roman"/>
          <w:sz w:val="22"/>
          <w:szCs w:val="22"/>
          <w:color w:val="auto"/>
        </w:rPr>
        <w:t>. Notwithstanding any other provision in this Agreement to the contrary, all (and not less than all) of the outstanding Warrants may be exchanged, at the option of the Company, at any time while they are exercisable and prior to their expiration, at the office of the Warrant Agent, upon notice to the Registered Holders of the then-outstanding Warrants, as described in Section 6A.3 below, for shares of Class A common stock (or any Alternative Issuance pursuant to Section 4.5), at the exchange rate of 0.225 shares of Class A common stock (or any Alternative Issuance pursuant to Section 4.5) for each Warrant held by the holder thereof (the “</w:t>
      </w:r>
      <w:r>
        <w:rPr>
          <w:rFonts w:ascii="Times New Roman" w:cs="Times New Roman" w:eastAsia="Times New Roman" w:hAnsi="Times New Roman"/>
          <w:sz w:val="22"/>
          <w:szCs w:val="22"/>
          <w:b w:val="1"/>
          <w:bCs w:val="1"/>
          <w:i w:val="1"/>
          <w:iCs w:val="1"/>
          <w:color w:val="auto"/>
        </w:rPr>
        <w:t>Consideration</w:t>
      </w:r>
      <w:r>
        <w:rPr>
          <w:rFonts w:ascii="Times New Roman" w:cs="Times New Roman" w:eastAsia="Times New Roman" w:hAnsi="Times New Roman"/>
          <w:sz w:val="22"/>
          <w:szCs w:val="22"/>
          <w:color w:val="auto"/>
        </w:rPr>
        <w:t>”) (subject to equitable adjustment by the Company in the event of any stock splits, stock dividends, recapitalizations, or similar transaction with respect to the shares of Class A common stock). In lieu of issuing fractional shares, any holder of Warrants who would otherwise have been entitled to receive fractional shares as Consideration will, after aggregating all such fractional shares of such holder, be paid in cash (without interest) in an amount equal to such fractional part of a share multiplied by $7.13.</w:t>
      </w:r>
    </w:p>
    <w:p>
      <w:pPr>
        <w:spacing w:after="0" w:line="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6A.3 </w:t>
      </w:r>
      <w:r>
        <w:rPr>
          <w:rFonts w:ascii="Times New Roman" w:cs="Times New Roman" w:eastAsia="Times New Roman" w:hAnsi="Times New Roman"/>
          <w:sz w:val="22"/>
          <w:szCs w:val="22"/>
          <w:u w:val="single" w:color="auto"/>
          <w:color w:val="auto"/>
        </w:rPr>
        <w:t>Date Fixed for, and Notice of, Exchange</w:t>
      </w:r>
      <w:r>
        <w:rPr>
          <w:rFonts w:ascii="Times New Roman" w:cs="Times New Roman" w:eastAsia="Times New Roman" w:hAnsi="Times New Roman"/>
          <w:sz w:val="22"/>
          <w:szCs w:val="22"/>
          <w:color w:val="auto"/>
        </w:rPr>
        <w:t>. In the event that the Company elects to exchange all of the Warrants, the Company shall fix a date for the exchange (the “</w:t>
      </w:r>
      <w:r>
        <w:rPr>
          <w:rFonts w:ascii="Times New Roman" w:cs="Times New Roman" w:eastAsia="Times New Roman" w:hAnsi="Times New Roman"/>
          <w:sz w:val="22"/>
          <w:szCs w:val="22"/>
          <w:b w:val="1"/>
          <w:bCs w:val="1"/>
          <w:i w:val="1"/>
          <w:iCs w:val="1"/>
          <w:color w:val="auto"/>
        </w:rPr>
        <w:t>Exchange Date</w:t>
      </w:r>
      <w:r>
        <w:rPr>
          <w:rFonts w:ascii="Times New Roman" w:cs="Times New Roman" w:eastAsia="Times New Roman" w:hAnsi="Times New Roman"/>
          <w:sz w:val="22"/>
          <w:szCs w:val="22"/>
          <w:color w:val="auto"/>
        </w:rPr>
        <w:t>”). Notice of exchange shall be mailed by first class mail, postage prepaid, by the Company not less than 15 days prior to the Exchange Date to the Registered Holders at their last addresses as they shall appear on the registration books. Any notice mailed in the manner herein provided shall be conclusively presumed to have been duly given whether or not the Registered Holder received such notice. The Company will make a public announcement of its election following the mailing of such notice.</w:t>
      </w:r>
    </w:p>
    <w:p>
      <w:pPr>
        <w:spacing w:after="0" w:line="18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1"/>
          <w:szCs w:val="21"/>
          <w:color w:val="auto"/>
        </w:rPr>
        <w:t xml:space="preserve">6A.4 </w:t>
      </w:r>
      <w:r>
        <w:rPr>
          <w:rFonts w:ascii="Times New Roman" w:cs="Times New Roman" w:eastAsia="Times New Roman" w:hAnsi="Times New Roman"/>
          <w:sz w:val="21"/>
          <w:szCs w:val="21"/>
          <w:u w:val="single" w:color="auto"/>
          <w:color w:val="auto"/>
        </w:rPr>
        <w:t>Exercise After Notice of Exchange</w:t>
      </w:r>
      <w:r>
        <w:rPr>
          <w:rFonts w:ascii="Times New Roman" w:cs="Times New Roman" w:eastAsia="Times New Roman" w:hAnsi="Times New Roman"/>
          <w:sz w:val="21"/>
          <w:szCs w:val="21"/>
          <w:color w:val="auto"/>
        </w:rPr>
        <w:t xml:space="preserve">. The Warrants may be exercised, for cash (or on a “cashless basis” in accordance with clause (ii) </w:t>
      </w:r>
      <w:r>
        <w:rPr>
          <w:rFonts w:ascii="Times New Roman" w:cs="Times New Roman" w:eastAsia="Times New Roman" w:hAnsi="Times New Roman"/>
          <w:sz w:val="21"/>
          <w:szCs w:val="21"/>
          <w:u w:val="single" w:color="auto"/>
          <w:color w:val="auto"/>
        </w:rPr>
        <w:t>subsection 3.3.1(c)</w:t>
      </w:r>
      <w:r>
        <w:rPr>
          <w:rFonts w:ascii="Times New Roman" w:cs="Times New Roman" w:eastAsia="Times New Roman" w:hAnsi="Times New Roman"/>
          <w:sz w:val="21"/>
          <w:szCs w:val="21"/>
          <w:color w:val="auto"/>
        </w:rPr>
        <w:t xml:space="preserve"> of this Agreement, with an adjustment to the definition of “Sponsor Fair Market Value” to (A) correct such defined term to “</w:t>
      </w:r>
      <w:r>
        <w:rPr>
          <w:rFonts w:ascii="Times New Roman" w:cs="Times New Roman" w:eastAsia="Times New Roman" w:hAnsi="Times New Roman"/>
          <w:sz w:val="21"/>
          <w:szCs w:val="21"/>
          <w:b w:val="1"/>
          <w:bCs w:val="1"/>
          <w:i w:val="1"/>
          <w:iCs w:val="1"/>
          <w:color w:val="auto"/>
        </w:rPr>
        <w:t>Sponsor Exercise Fair Market Value</w:t>
      </w:r>
      <w:r>
        <w:rPr>
          <w:rFonts w:ascii="Times New Roman" w:cs="Times New Roman" w:eastAsia="Times New Roman" w:hAnsi="Times New Roman"/>
          <w:sz w:val="21"/>
          <w:szCs w:val="21"/>
          <w:color w:val="auto"/>
        </w:rPr>
        <w:t xml:space="preserve">” and (B) to substitute the date on which the notice of exchange is sent for the date on which the notice of exercise is sent) at any time after notice of exchange shall have been given by the Company pursuant to </w:t>
      </w:r>
      <w:r>
        <w:rPr>
          <w:rFonts w:ascii="Times New Roman" w:cs="Times New Roman" w:eastAsia="Times New Roman" w:hAnsi="Times New Roman"/>
          <w:sz w:val="21"/>
          <w:szCs w:val="21"/>
          <w:u w:val="single" w:color="auto"/>
          <w:color w:val="auto"/>
        </w:rPr>
        <w:t>Section 6A.3</w:t>
      </w:r>
      <w:r>
        <w:rPr>
          <w:rFonts w:ascii="Times New Roman" w:cs="Times New Roman" w:eastAsia="Times New Roman" w:hAnsi="Times New Roman"/>
          <w:sz w:val="21"/>
          <w:szCs w:val="21"/>
          <w:color w:val="auto"/>
        </w:rPr>
        <w:t xml:space="preserve"> hereof and prior to the Exchange Date. On and after the Exchange Date, the Registered Holder of the Warrants shall have no further rights except to receive, upon surrender of the Warrants, the Consideration.”</w:t>
      </w:r>
    </w:p>
    <w:p>
      <w:pPr>
        <w:spacing w:after="0" w:line="181" w:lineRule="exact"/>
        <w:rPr>
          <w:sz w:val="20"/>
          <w:szCs w:val="20"/>
          <w:color w:val="auto"/>
        </w:rPr>
      </w:pPr>
    </w:p>
    <w:p>
      <w:pPr>
        <w:ind w:left="880" w:hanging="224"/>
        <w:spacing w:after="0"/>
        <w:tabs>
          <w:tab w:leader="none" w:pos="8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 Provisions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This Amendment shall be deemed severable, and the invalidity or unenforceability of any term or provision hereof shall not affect the validity or enforceability of this Amendment or of any other term or provision hereof. Furthermore, in lieu of any such invalid or unenforceable term or provision, the parties hereto intend that there shall be added as a part of this Amendment a provision as similar in terms to such invalid or unenforceable provision as may be possible and be valid and enforceable.</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The validity, interpretation, and performance of this Amendment and of the Warrants shall be governed in all respects by the laws of the State of New York,</w:t>
      </w:r>
    </w:p>
    <w:p>
      <w:pPr>
        <w:spacing w:after="0" w:line="380"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SMRH:4893-9113-3508.2</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bl>
    <w:p>
      <w:pPr>
        <w:sectPr>
          <w:pgSz w:w="11900" w:h="16838" w:orient="portrait"/>
          <w:cols w:equalWidth="0" w:num="1">
            <w:col w:w="11240"/>
          </w:cols>
          <w:pgMar w:left="320" w:top="1395" w:right="339" w:bottom="1440" w:gutter="0" w:footer="0" w:header="0"/>
        </w:sectPr>
      </w:pPr>
    </w:p>
    <w:bookmarkStart w:id="7" w:name="page8"/>
    <w:bookmarkEnd w:id="7"/>
    <w:p>
      <w:pPr>
        <w:jc w:val="both"/>
        <w:spacing w:after="0" w:line="217" w:lineRule="auto"/>
        <w:rPr>
          <w:sz w:val="20"/>
          <w:szCs w:val="20"/>
          <w:color w:val="auto"/>
        </w:rPr>
      </w:pPr>
      <w:r>
        <w:rPr>
          <w:rFonts w:ascii="Times New Roman" w:cs="Times New Roman" w:eastAsia="Times New Roman" w:hAnsi="Times New Roman"/>
          <w:sz w:val="22"/>
          <w:szCs w:val="22"/>
          <w:color w:val="auto"/>
        </w:rPr>
        <w:t>without giving effect to conflicts of law principles that would result in the application of the substantive laws of another jurisdiction. The Company hereby agrees that any action, proceeding, or claim against it arising out of or relating in any way to this Amendment shall be brought and enforced in the courts of the State of New York or the United States District Court for the Southern District of New York, and irrevocably submits to such jurisdiction, which jurisdiction shall be exclusive. The Company hereby waives any objection to such exclusive jurisdiction and that such courts represent an inconvenient forum.</w:t>
      </w:r>
    </w:p>
    <w:p>
      <w:pPr>
        <w:spacing w:after="0" w:line="179"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any number of counterparts (which may include counterparts delivered by any standard form of telecommunication) and each of such counterparts shall for all purposes be deemed to be an original, and all such counterparts shall together constitute but one and the same instrument. The words “execution,” “signed,” “signature,” and words of like import in this Amendment or in any other certificate, agreement, or document related to this Amendment, if any,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Effect of Headings</w:t>
      </w:r>
      <w:r>
        <w:rPr>
          <w:rFonts w:ascii="Times New Roman" w:cs="Times New Roman" w:eastAsia="Times New Roman" w:hAnsi="Times New Roman"/>
          <w:sz w:val="22"/>
          <w:szCs w:val="22"/>
          <w:color w:val="auto"/>
        </w:rPr>
        <w:t>. The section headings herein are for convenience only and are not part of this Amendment and shall not affect the interpretation thereof.</w:t>
      </w:r>
    </w:p>
    <w:p>
      <w:pPr>
        <w:spacing w:after="0" w:line="177"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Existing Warrant Agreement, as modified by this Amendment, constitutes the entire understanding of the parties and supersedes all prior agreements, understandings, arrangements, promises, and commitments, whether written or oral, express, or implied, relating to the subject matter hereof, and all such prior agreements, understandings, arrangements, promises, and commitments are hereby canceled and terminated.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SMRH:4893-9113-3508.2</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bl>
    <w:p>
      <w:pPr>
        <w:sectPr>
          <w:pgSz w:w="11900" w:h="16838" w:orient="portrait"/>
          <w:cols w:equalWidth="0" w:num="1">
            <w:col w:w="11240"/>
          </w:cols>
          <w:pgMar w:left="320" w:top="1395" w:right="339" w:bottom="1440" w:gutter="0" w:footer="0" w:header="0"/>
        </w:sectPr>
      </w:pPr>
    </w:p>
    <w:bookmarkStart w:id="8" w:name="page9"/>
    <w:bookmarkEnd w:id="8"/>
    <w:p>
      <w:pPr>
        <w:ind w:firstLine="648"/>
        <w:spacing w:after="0" w:line="236" w:lineRule="auto"/>
        <w:rPr>
          <w:sz w:val="20"/>
          <w:szCs w:val="20"/>
          <w:color w:val="auto"/>
        </w:rPr>
      </w:pPr>
      <w:r>
        <w:rPr>
          <w:rFonts w:ascii="Times New Roman" w:cs="Times New Roman" w:eastAsia="Times New Roman" w:hAnsi="Times New Roman"/>
          <w:sz w:val="22"/>
          <w:szCs w:val="22"/>
          <w:color w:val="auto"/>
        </w:rPr>
        <w:t>IN WITNESS WHEREOF, each of the parties has caused this Amendment to be duly executed as of the date first above written.</w:t>
      </w: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OPAL FUELS INC.</w:t>
      </w:r>
    </w:p>
    <w:p>
      <w:pPr>
        <w:spacing w:after="0" w:line="251"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Jonathan Maurer</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Name: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-160020</wp:posOffset>
            </wp:positionV>
            <wp:extent cx="30175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Title: Co-Chief Executive Officer</w:t>
      </w: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CONTINENTAL STOCK TRANSFER &amp; TRUST</w:t>
      </w:r>
    </w:p>
    <w:p>
      <w:pPr>
        <w:ind w:left="20"/>
        <w:spacing w:after="0"/>
        <w:rPr>
          <w:sz w:val="20"/>
          <w:szCs w:val="20"/>
          <w:color w:val="auto"/>
        </w:rPr>
      </w:pPr>
      <w:r>
        <w:rPr>
          <w:rFonts w:ascii="Times New Roman" w:cs="Times New Roman" w:eastAsia="Times New Roman" w:hAnsi="Times New Roman"/>
          <w:sz w:val="22"/>
          <w:szCs w:val="22"/>
          <w:b w:val="1"/>
          <w:bCs w:val="1"/>
          <w:color w:val="auto"/>
        </w:rPr>
        <w:t xml:space="preserve">COMPANY, </w:t>
      </w:r>
      <w:r>
        <w:rPr>
          <w:rFonts w:ascii="Times New Roman" w:cs="Times New Roman" w:eastAsia="Times New Roman" w:hAnsi="Times New Roman"/>
          <w:sz w:val="22"/>
          <w:szCs w:val="22"/>
          <w:color w:val="auto"/>
        </w:rPr>
        <w:t>as Warrant Agent</w:t>
      </w:r>
    </w:p>
    <w:p>
      <w:pPr>
        <w:spacing w:after="0" w:line="223"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Ana Gois</w:t>
      </w:r>
    </w:p>
    <w:p>
      <w:pPr>
        <w:spacing w:after="0" w:line="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Name: Ana Gois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-160020</wp:posOffset>
            </wp:positionV>
            <wp:extent cx="30175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[Signature Page to Warrant Amendment]</w:t>
      </w:r>
    </w:p>
    <w:p>
      <w:pPr>
        <w:sectPr>
          <w:pgSz w:w="11900" w:h="16838" w:orient="portrait"/>
          <w:cols w:equalWidth="0" w:num="1">
            <w:col w:w="11020"/>
          </w:cols>
          <w:pgMar w:left="320" w:top="1395" w:right="55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645920" cy="428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64592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IMMEDIATE RELEASE</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OPAL Fuels Inc. Announces Successful Warrant Exchange Offer</w:t>
      </w:r>
    </w:p>
    <w:p>
      <w:pPr>
        <w:spacing w:after="0" w:line="27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 xml:space="preserve">WHITE PLAINS, N.Y. – (December 19, 2022) – </w:t>
      </w:r>
      <w:r>
        <w:rPr>
          <w:rFonts w:ascii="Times New Roman" w:cs="Times New Roman" w:eastAsia="Times New Roman" w:hAnsi="Times New Roman"/>
          <w:sz w:val="21"/>
          <w:szCs w:val="21"/>
          <w:u w:val="single" w:color="auto"/>
          <w:color w:val="0000FF"/>
        </w:rPr>
        <w:t>OPAL Fuels Inc.</w:t>
      </w:r>
      <w:r>
        <w:rPr>
          <w:rFonts w:ascii="Times New Roman" w:cs="Times New Roman" w:eastAsia="Times New Roman" w:hAnsi="Times New Roman"/>
          <w:sz w:val="21"/>
          <w:szCs w:val="21"/>
          <w:color w:val="auto"/>
        </w:rPr>
        <w:t xml:space="preserve"> (“OPAL Fuels” or the “Company”) (Nasdaq: OPAL), a leading vertically integrated producer and distributor of renewable natural gas, today announced the expiration and results of its previously disclosed exchange offer (the “Offer”) and consent solicitation (the “Consent Solicitation”) relating to its outstanding</w:t>
      </w:r>
    </w:p>
    <w:p>
      <w:pPr>
        <w:spacing w:after="0" w:line="2" w:lineRule="exact"/>
        <w:rPr>
          <w:sz w:val="20"/>
          <w:szCs w:val="20"/>
          <w:color w:val="auto"/>
        </w:rPr>
      </w:pPr>
    </w:p>
    <w:p>
      <w:pPr>
        <w:jc w:val="both"/>
        <w:ind w:firstLine="8"/>
        <w:spacing w:after="0" w:line="210" w:lineRule="auto"/>
        <w:tabs>
          <w:tab w:leader="none" w:pos="284"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public warrants to purchase shares of Class A common stock of the Company, par value $0.0001 per share (the “Class A common stock”), which warrants trade on The Nasdaq Capital Market (the “Nasdaq”) under the symbol “OPALW”(the “public warrants”), and (ii) private placement warrants to purchase shares of Class A common stock (the “private placement warrants” and, together with the public warrants, the “warrants”). The Offer and Consent Solicitation expired at 11:59 p.m., Eastern Time, on December 16, 2022. The purpose of the Offer and Consent Solicitation is to simplify the Company’s capital structure and reduce the potential dilutive impact of the warrants, thereby providing the Company with more flexibility for financing its operations in the future.</w:t>
      </w:r>
    </w:p>
    <w:p>
      <w:pPr>
        <w:spacing w:after="0" w:line="18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The Company has been advised that 13,240,756 warrants (including 4,209 warrants tendered through guaranteed delivery), or approximately 85.7% of the outstanding warrants, were validly tendered and not validly withdrawn prior to the expiration of the Offer and Consent Solicitation. The Company expects to accept all validly tendered warrants for exchange and settlement on or before December 21, 2022.</w:t>
      </w:r>
    </w:p>
    <w:p>
      <w:pPr>
        <w:spacing w:after="0" w:line="179"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In addition, pursuant to the Consent Solicitation, the Company received the approval of parties representing approximately 96.5% of the outstanding public warrants and approximately 78.5% of the outstanding private placement warrants to amend the warrant agreement that governs the warrants (such amendment, the “Warrant Amendment”), which exceeds the threshold of 65% of each of the outstanding public warrants and outstanding private placement warrants required to effect the Warrant Amendment. Accordingly, the Company and Continental Stock Transfer &amp; Trust Company entered into the Warrant Amendment, dated December 19, 2022, and the Company announced that it will exercise its right, in accordance with the terms of the Warrant Amendment, to exchange each warrant that is outstanding upon the closing of the Offer for 0.225 shares of Class A common stock per warrant, which is a ratio 10% less than the exchange ratio applicable to the Offer (the “Post-Offer Exchange”). The Company has fixed the date for the Post-Offer Exchange as December 23, 2022.</w:t>
      </w:r>
    </w:p>
    <w:p>
      <w:pPr>
        <w:spacing w:after="0" w:line="185"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As a result of the completion of the Offer and the Post-Offer Exchange, no warrants will remain outstanding. Accordingly, the public warrants will be suspended from trading on the Nasdaq and will be delisted upon completion of the Post-Offer Exchange. The shares of Class A common stock will continue to be listed and trade on the Nasdaq under the symbol “OPAL.” Following completion of the Offer, there are approximately 28,981,579 shares of Class A common stock outstanding (an increase of approximately 12.9% from prior to the closing of the Offer) and following completion of the Post-Offer Exchange there will be approximately 29,477,870 shares of Class A common stock outstanding (an increase of approximately 14.8% from prior to the closing of the Offer and the Post-Offer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40" w:right="339" w:bottom="1440" w:gutter="0" w:footer="0" w:header="0"/>
        </w:sectPr>
      </w:pPr>
    </w:p>
    <w:bookmarkStart w:id="10" w:name="page11"/>
    <w:bookmarkEnd w:id="10"/>
    <w:p>
      <w:pPr>
        <w:jc w:val="both"/>
        <w:spacing w:after="0" w:line="225" w:lineRule="auto"/>
        <w:rPr>
          <w:sz w:val="20"/>
          <w:szCs w:val="20"/>
          <w:color w:val="auto"/>
        </w:rPr>
      </w:pPr>
      <w:r>
        <w:rPr>
          <w:rFonts w:ascii="Times New Roman" w:cs="Times New Roman" w:eastAsia="Times New Roman" w:hAnsi="Times New Roman"/>
          <w:sz w:val="22"/>
          <w:szCs w:val="22"/>
          <w:color w:val="auto"/>
        </w:rPr>
        <w:t>The Company engaged BofA Securities as the dealer manager for the Offer and Consent Solicitation, D.F. King &amp; Co., Inc. as the information agent for the Offer and Consent Solicitation, and Continental Stock Transfer &amp; Trust Company served as the exchange agent for the Offer and Consent Solicitation.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OPAL Fuels Inc.</w:t>
      </w:r>
    </w:p>
    <w:p>
      <w:pPr>
        <w:jc w:val="both"/>
        <w:spacing w:after="0" w:line="204" w:lineRule="auto"/>
        <w:rPr>
          <w:sz w:val="20"/>
          <w:szCs w:val="20"/>
          <w:color w:val="auto"/>
        </w:rPr>
      </w:pPr>
      <w:r>
        <w:rPr>
          <w:rFonts w:ascii="Times New Roman" w:cs="Times New Roman" w:eastAsia="Times New Roman" w:hAnsi="Times New Roman"/>
          <w:sz w:val="22"/>
          <w:szCs w:val="22"/>
          <w:u w:val="single" w:color="auto"/>
          <w:color w:val="0000FF"/>
        </w:rPr>
        <w:t>OPAL Fuels Inc.</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(Nasdaq: OPAL) is a leading vertically integrated renewable fuels platform involved in the production and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distribution of renewable natural gas (“RNG”) for the heavy-duty truck market. RNG is a proven low-carbon fuel that is rapidly decarbonizing the transportation industry now while also significantly reducing fuel costs for fleet owners. OPAL Fuels captures harmful methane emissions at the source and recycles the trapped energy into a commercially viable, lower-cost alternative to diesel fuel. The Company also develops, constructs, and services RNG and hydrogen fueling stations. As a producer and distributor of carbon-reducing fuel for heavy-duty truck fleets for more than a decade, OPAL Fuels delivers complete renewable solutions to customers and production partners.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jc w:val="both"/>
        <w:spacing w:after="0" w:line="206" w:lineRule="auto"/>
        <w:rPr>
          <w:sz w:val="20"/>
          <w:szCs w:val="20"/>
          <w:color w:val="auto"/>
        </w:rPr>
      </w:pPr>
      <w:r>
        <w:rPr>
          <w:rFonts w:ascii="Times New Roman" w:cs="Times New Roman" w:eastAsia="Times New Roman" w:hAnsi="Times New Roman"/>
          <w:sz w:val="22"/>
          <w:szCs w:val="22"/>
          <w:color w:val="auto"/>
        </w:rPr>
        <w:t>Certain statements in this communication may be considered forward-looking statements within the meaning of the “safe harbor” provisions of the United States Private Securities Litigation Reform Act of 1995. Forward-looking statements are statements that are not historical facts and generally relate to future events or OPAL Fuels’ (the “Company’s”)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are subject to risks and uncertainties, which could cause actual results to differ materially from those expressed or implied by such forward-looking statements. New risks and uncertainties may emerge from time to time, and it is not possible to predict all risks and uncertainties. These forward-looking statements are based upon estimates and assumptions that, while considered reasonable by the Company and its management, as the case may be, are inherently uncertain and subject to material change. Factors that may cause actual results to differ materially from current expectations include various factors beyond management’s control, including, but not limited to, general economic conditions and other risks, uncertainties and factors set forth in the sections entitled “Risk Factors” and “Cautionary Statement Regarding Forward-Looking Statements” in the Company’s quarterly report on Form 10-Q, and other filings it makes with the Securities and Exchange Commission.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Except as required by law,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Disclaimer</w:t>
      </w:r>
    </w:p>
    <w:p>
      <w:pPr>
        <w:jc w:val="both"/>
        <w:spacing w:after="0" w:line="214" w:lineRule="auto"/>
        <w:rPr>
          <w:sz w:val="20"/>
          <w:szCs w:val="20"/>
          <w:color w:val="auto"/>
        </w:rPr>
      </w:pPr>
      <w:r>
        <w:rPr>
          <w:rFonts w:ascii="Times New Roman" w:cs="Times New Roman" w:eastAsia="Times New Roman" w:hAnsi="Times New Roman"/>
          <w:sz w:val="22"/>
          <w:szCs w:val="22"/>
          <w:color w:val="auto"/>
        </w:rPr>
        <w:t>This communication is for informational purposes only and is neither an offer to purchase, nor a solicitation of an offer to sell, subscribe for or buy, any securities,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39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b w:val="1"/>
          <w:bCs w:val="1"/>
          <w:color w:val="auto"/>
        </w:rPr>
        <w:t>Contact information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w:t>
      </w:r>
    </w:p>
    <w:p>
      <w:pPr>
        <w:spacing w:after="0" w:line="204" w:lineRule="auto"/>
        <w:rPr>
          <w:sz w:val="20"/>
          <w:szCs w:val="20"/>
          <w:color w:val="auto"/>
        </w:rPr>
      </w:pPr>
      <w:r>
        <w:rPr>
          <w:rFonts w:ascii="Times New Roman" w:cs="Times New Roman" w:eastAsia="Times New Roman" w:hAnsi="Times New Roman"/>
          <w:sz w:val="22"/>
          <w:szCs w:val="22"/>
          <w:color w:val="auto"/>
        </w:rPr>
        <w:t>Jason Stewart</w:t>
      </w:r>
    </w:p>
    <w:p>
      <w:pPr>
        <w:spacing w:after="0" w:line="205" w:lineRule="auto"/>
        <w:rPr>
          <w:sz w:val="20"/>
          <w:szCs w:val="20"/>
          <w:color w:val="auto"/>
        </w:rPr>
      </w:pPr>
      <w:r>
        <w:rPr>
          <w:rFonts w:ascii="Times New Roman" w:cs="Times New Roman" w:eastAsia="Times New Roman" w:hAnsi="Times New Roman"/>
          <w:sz w:val="22"/>
          <w:szCs w:val="22"/>
          <w:color w:val="auto"/>
        </w:rPr>
        <w:t>Senior Director Public Relations &amp; Marketing</w:t>
      </w:r>
    </w:p>
    <w:p>
      <w:pPr>
        <w:spacing w:after="0" w:line="205" w:lineRule="auto"/>
        <w:rPr>
          <w:sz w:val="20"/>
          <w:szCs w:val="20"/>
          <w:color w:val="auto"/>
        </w:rPr>
      </w:pPr>
      <w:r>
        <w:rPr>
          <w:rFonts w:ascii="Times New Roman" w:cs="Times New Roman" w:eastAsia="Times New Roman" w:hAnsi="Times New Roman"/>
          <w:sz w:val="22"/>
          <w:szCs w:val="22"/>
          <w:color w:val="auto"/>
        </w:rPr>
        <w:t>914-421-5336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jstewart@opalfuels.com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ICR, Inc.</w:t>
      </w:r>
    </w:p>
    <w:p>
      <w:pPr>
        <w:spacing w:after="0"/>
        <w:rPr>
          <w:sz w:val="20"/>
          <w:szCs w:val="20"/>
          <w:color w:val="auto"/>
        </w:rPr>
      </w:pPr>
      <w:r>
        <w:rPr>
          <w:rFonts w:ascii="Times New Roman" w:cs="Times New Roman" w:eastAsia="Times New Roman" w:hAnsi="Times New Roman"/>
          <w:sz w:val="22"/>
          <w:szCs w:val="22"/>
          <w:u w:val="single" w:color="auto"/>
          <w:color w:val="0000FF"/>
        </w:rPr>
        <w:t>OPALFuelsPR@icrinc.com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Investors</w:t>
      </w:r>
    </w:p>
    <w:p>
      <w:pPr>
        <w:spacing w:after="0" w:line="204" w:lineRule="auto"/>
        <w:rPr>
          <w:sz w:val="20"/>
          <w:szCs w:val="20"/>
          <w:color w:val="auto"/>
        </w:rPr>
      </w:pPr>
      <w:r>
        <w:rPr>
          <w:rFonts w:ascii="Times New Roman" w:cs="Times New Roman" w:eastAsia="Times New Roman" w:hAnsi="Times New Roman"/>
          <w:sz w:val="22"/>
          <w:szCs w:val="22"/>
          <w:color w:val="auto"/>
        </w:rPr>
        <w:t>Todd Firestone</w:t>
      </w:r>
    </w:p>
    <w:p>
      <w:pPr>
        <w:spacing w:after="0" w:line="1" w:lineRule="exact"/>
        <w:rPr>
          <w:sz w:val="20"/>
          <w:szCs w:val="20"/>
          <w:color w:val="auto"/>
        </w:rPr>
      </w:pPr>
    </w:p>
    <w:p>
      <w:pPr>
        <w:ind w:right="4879"/>
        <w:spacing w:after="0" w:line="204" w:lineRule="auto"/>
        <w:rPr>
          <w:sz w:val="20"/>
          <w:szCs w:val="20"/>
          <w:color w:val="auto"/>
        </w:rPr>
      </w:pPr>
      <w:r>
        <w:rPr>
          <w:rFonts w:ascii="Times New Roman" w:cs="Times New Roman" w:eastAsia="Times New Roman" w:hAnsi="Times New Roman"/>
          <w:sz w:val="22"/>
          <w:szCs w:val="22"/>
          <w:color w:val="auto"/>
        </w:rPr>
        <w:t>Vice President Investor Relations &amp; Corporate Development 914-705-4001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investors@opalfuels.com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0"/>
          <w:szCs w:val="20"/>
          <w:color w:val="auto"/>
        </w:rPr>
        <w:t>3</w:t>
      </w:r>
    </w:p>
    <w:sectPr>
      <w:pgSz w:w="11900" w:h="16838" w:orient="portrait"/>
      <w:cols w:equalWidth="0" w:num="1">
        <w:col w:w="10139"/>
      </w:cols>
      <w:pgMar w:left="320" w:top="13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2022-12-20T05:17:01Z</dcterms:created>
  <dcterms:modified xsi:type="dcterms:W3CDTF">2022-12-20T05:17:01Z</dcterms:modified>
</cp:coreProperties>
</file>