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-629285</wp:posOffset>
            </wp:positionV>
            <wp:extent cx="58420" cy="642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-629285</wp:posOffset>
            </wp:positionV>
            <wp:extent cx="58420" cy="642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23495</wp:posOffset>
            </wp:positionV>
            <wp:extent cx="6993255" cy="467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7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Maurer Jonathan Gilbert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1000, PARK AVENUE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APT 4E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OPAL Fuels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OPAL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5" w:right="620" w:firstLine="5"/>
        <w:spacing w:after="0" w:line="25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5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Co-Chief Executive Officer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5" w:space="720"/>
            <w:col w:w="335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ind w:righ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10/04/2022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-2019300</wp:posOffset>
            </wp:positionV>
            <wp:extent cx="29210" cy="20243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7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restricted stock units ("RSUs"), which represent a contingent right to receive one share of Common Stock for each RSU. The RSUs vest 100% on October 3, 2023 provided that the Reporting Person remains in continuous service on the vesting date.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Coghlin as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7035" TargetMode="External"/><Relationship Id="rId13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2022-10-04T18:12:58Z</dcterms:created>
  <dcterms:modified xsi:type="dcterms:W3CDTF">2022-10-04T18:12:58Z</dcterms:modified>
</cp:coreProperties>
</file>