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-663575</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-629285</wp:posOffset>
            </wp:positionV>
            <wp:extent cx="58420" cy="642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747395</wp:posOffset>
            </wp:positionV>
            <wp:extent cx="7045960" cy="4805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05045"/>
                    </a:xfrm>
                    <a:prstGeom prst="rect">
                      <a:avLst/>
                    </a:prstGeom>
                    <a:noFill/>
                  </pic:spPr>
                </pic:pic>
              </a:graphicData>
            </a:graphic>
          </wp:anchor>
        </w:drawing>
      </w:r>
    </w:p>
    <w:p>
      <w:pPr>
        <w:spacing w:after="0" w:line="124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Sutton Scott McDougald</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line="282" w:lineRule="auto"/>
        <w:rPr>
          <w:sz w:val="20"/>
          <w:szCs w:val="20"/>
          <w:color w:val="auto"/>
        </w:rPr>
      </w:pPr>
      <w:r>
        <w:rPr>
          <w:rFonts w:ascii="Times New Roman" w:cs="Times New Roman" w:eastAsia="Times New Roman" w:hAnsi="Times New Roman"/>
          <w:sz w:val="17"/>
          <w:szCs w:val="17"/>
          <w:color w:val="0000FF"/>
        </w:rPr>
        <w:t>ONE NORTH LEXINGTON AVENUE (14TH FLOOR)</w:t>
      </w:r>
    </w:p>
    <w:p>
      <w:pPr>
        <w:spacing w:after="0" w:line="279"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WHITE</w:t>
            </w: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NY</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10601</w:t>
            </w:r>
          </w:p>
        </w:tc>
        <w:tc>
          <w:tcPr>
            <w:tcW w:w="0" w:type="dxa"/>
            <w:vAlign w:val="bottom"/>
          </w:tcPr>
          <w:p>
            <w:pPr>
              <w:spacing w:after="0"/>
              <w:rPr>
                <w:sz w:val="1"/>
                <w:szCs w:val="1"/>
                <w:color w:val="auto"/>
              </w:rPr>
            </w:pPr>
          </w:p>
        </w:tc>
      </w:tr>
      <w:tr>
        <w:trPr>
          <w:trHeight w:val="11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PLAINS</w:t>
            </w:r>
          </w:p>
        </w:tc>
        <w:tc>
          <w:tcPr>
            <w:tcW w:w="10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9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3"/>
        </w:trPr>
        <w:tc>
          <w:tcPr>
            <w:tcW w:w="3820" w:type="dxa"/>
            <w:vAlign w:val="bottom"/>
            <w:gridSpan w:val="4"/>
          </w:tcPr>
          <w:p>
            <w:pPr>
              <w:ind w:left="60"/>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OPAL Fuels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OPAL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280" w:type="dxa"/>
            <w:vAlign w:val="bottom"/>
            <w:tcBorders>
              <w:bottom w:val="single" w:sz="8" w:color="2C2C2C"/>
            </w:tcBorders>
          </w:tcPr>
          <w:p>
            <w:pPr>
              <w:spacing w:after="0"/>
              <w:rPr>
                <w:sz w:val="15"/>
                <w:szCs w:val="15"/>
                <w:color w:val="auto"/>
              </w:rPr>
            </w:pPr>
          </w:p>
        </w:tc>
        <w:tc>
          <w:tcPr>
            <w:tcW w:w="236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11/01/2025</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00" w:space="540"/>
            <w:col w:w="7240"/>
          </w:cols>
          <w:pgMar w:left="460" w:top="216" w:right="359" w:bottom="1440" w:gutter="0" w:footer="0" w:header="0"/>
          <w:type w:val="continuous"/>
        </w:sectPr>
      </w:pPr>
    </w:p>
    <w:p>
      <w:pPr>
        <w:spacing w:after="0" w:line="5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7"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4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23,340</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11/01/2025</w:t>
            </w:r>
          </w:p>
        </w:tc>
        <w:tc>
          <w:tcPr>
            <w:tcW w:w="108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23,340</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line="143" w:lineRule="exact"/>
              <w:rPr>
                <w:sz w:val="20"/>
                <w:szCs w:val="20"/>
                <w:color w:val="auto"/>
              </w:rPr>
            </w:pPr>
            <w:r>
              <w:rPr>
                <w:rFonts w:ascii="Times New Roman" w:cs="Times New Roman" w:eastAsia="Times New Roman" w:hAnsi="Times New Roman"/>
                <w:sz w:val="13"/>
                <w:szCs w:val="13"/>
                <w:color w:val="0000FF"/>
              </w:rPr>
              <w:t>23,340</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60" w:firstLine="3"/>
        <w:spacing w:after="0" w:line="243"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 2025, the Reporting Person was granted 23,340 RSUs pursuant to the terms of the Issuer's 2022 Omnibus Equity Incentive Plan. The RSUs are scheduled to vest on October 31, 2026, provided that the Reporting Person continues to provide services to the Issuer through the applicable vesting date. Each restricted stock unit represents the right to receive, at settlement, one share of Class A common stock.</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Coghlin as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11/03/2025</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42832"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2025-11-03T16:10:08Z</dcterms:created>
  <dcterms:modified xsi:type="dcterms:W3CDTF">2025-11-03T16:10:08Z</dcterms:modified>
</cp:coreProperties>
</file>