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tabs>
          <w:tab w:leader="none" w:pos="188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OPAL Fuels Inc.</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 $0.0001 Par Value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68347P103</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29-Dec-23</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5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ind w:left="1700" w:hanging="955"/>
        <w:spacing w:after="0" w:line="238" w:lineRule="auto"/>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13d-1(d)</w:t>
      </w:r>
    </w:p>
    <w:p>
      <w:pPr>
        <w:spacing w:after="0" w:line="169" w:lineRule="exact"/>
        <w:rPr>
          <w:sz w:val="24"/>
          <w:szCs w:val="24"/>
          <w:color w:val="auto"/>
        </w:rPr>
      </w:pPr>
    </w:p>
    <w:p>
      <w:pPr>
        <w:ind w:right="2759"/>
        <w:spacing w:after="0" w:line="31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2" w:lineRule="exact"/>
        <w:rPr>
          <w:sz w:val="24"/>
          <w:szCs w:val="24"/>
          <w:color w:val="auto"/>
        </w:rPr>
      </w:pPr>
    </w:p>
    <w:p>
      <w:pPr>
        <w:jc w:val="both"/>
        <w:ind w:right="265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9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68347P103</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Names of Reporting Persons.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Barclays PLC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 Check the Appropriate Box if a Member of a Group (See Instructions)</w:t>
      </w:r>
    </w:p>
    <w:p>
      <w:pPr>
        <w:spacing w:after="0" w:line="19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 [ ]</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 [ ]</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 SEC Use Only</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 Citizenship or Place of Organization</w:t>
      </w:r>
    </w:p>
    <w:p>
      <w:pPr>
        <w:spacing w:after="0" w:line="169"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2900" w:type="dxa"/>
            <w:vAlign w:val="bottom"/>
          </w:tcPr>
          <w:p>
            <w:pPr>
              <w:spacing w:after="0"/>
              <w:rPr>
                <w:sz w:val="20"/>
                <w:szCs w:val="20"/>
                <w:color w:val="auto"/>
              </w:rPr>
            </w:pPr>
            <w:r>
              <w:rPr>
                <w:rFonts w:ascii="Courier New" w:cs="Courier New" w:eastAsia="Courier New" w:hAnsi="Courier New"/>
                <w:sz w:val="18"/>
                <w:szCs w:val="18"/>
                <w:color w:val="auto"/>
              </w:rPr>
              <w:t>England, United Kingdom</w:t>
            </w:r>
          </w:p>
        </w:tc>
        <w:tc>
          <w:tcPr>
            <w:tcW w:w="8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900" w:type="dxa"/>
            <w:vAlign w:val="bottom"/>
            <w:vMerge w:val="restart"/>
          </w:tcPr>
          <w:p>
            <w:pPr>
              <w:spacing w:after="0"/>
              <w:rPr>
                <w:sz w:val="20"/>
                <w:szCs w:val="20"/>
                <w:color w:val="auto"/>
              </w:rPr>
            </w:pPr>
            <w:r>
              <w:rPr>
                <w:rFonts w:ascii="Courier New" w:cs="Courier New" w:eastAsia="Courier New" w:hAnsi="Courier New"/>
                <w:sz w:val="18"/>
                <w:szCs w:val="18"/>
                <w:color w:val="auto"/>
              </w:rPr>
              <w:t>Number of</w:t>
            </w:r>
          </w:p>
        </w:tc>
        <w:tc>
          <w:tcPr>
            <w:tcW w:w="800" w:type="dxa"/>
            <w:vAlign w:val="bottom"/>
          </w:tcPr>
          <w:p>
            <w:pPr>
              <w:ind w:left="480"/>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290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2,179,689</w:t>
            </w:r>
          </w:p>
        </w:tc>
        <w:tc>
          <w:tcPr>
            <w:tcW w:w="0" w:type="dxa"/>
            <w:vAlign w:val="bottom"/>
          </w:tcPr>
          <w:p>
            <w:pPr>
              <w:spacing w:after="0"/>
              <w:rPr>
                <w:sz w:val="1"/>
                <w:szCs w:val="1"/>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800" w:type="dxa"/>
            <w:vAlign w:val="bottom"/>
            <w:vMerge w:val="restart"/>
          </w:tcPr>
          <w:p>
            <w:pPr>
              <w:ind w:left="480"/>
              <w:spacing w:after="0"/>
              <w:rPr>
                <w:sz w:val="20"/>
                <w:szCs w:val="20"/>
                <w:color w:val="auto"/>
              </w:rPr>
            </w:pPr>
            <w:r>
              <w:rPr>
                <w:rFonts w:ascii="Courier New" w:cs="Courier New" w:eastAsia="Courier New" w:hAnsi="Courier New"/>
                <w:sz w:val="4"/>
                <w:szCs w:val="4"/>
                <w:color w:val="auto"/>
                <w:w w:val="76"/>
                <w:vertAlign w:val="subscript"/>
              </w:rPr>
              <w:t>6.</w:t>
            </w:r>
            <w:r>
              <w:rPr>
                <w:rFonts w:ascii="Courier New" w:cs="Courier New" w:eastAsia="Courier New" w:hAnsi="Courier New"/>
                <w:sz w:val="2"/>
                <w:szCs w:val="2"/>
                <w:color w:val="auto"/>
                <w:w w:val="76"/>
              </w:rPr>
              <w:t>------------------------------</w:t>
            </w:r>
          </w:p>
        </w:tc>
        <w:tc>
          <w:tcPr>
            <w:tcW w:w="284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800" w:type="dxa"/>
            <w:vAlign w:val="bottom"/>
            <w:vMerge w:val="continue"/>
          </w:tcPr>
          <w:p>
            <w:pPr>
              <w:spacing w:after="0"/>
              <w:rPr>
                <w:sz w:val="17"/>
                <w:szCs w:val="17"/>
                <w:color w:val="auto"/>
              </w:rPr>
            </w:pPr>
          </w:p>
        </w:tc>
        <w:tc>
          <w:tcPr>
            <w:tcW w:w="2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80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800" w:type="dxa"/>
            <w:vAlign w:val="bottom"/>
            <w:vMerge w:val="restart"/>
          </w:tcPr>
          <w:p>
            <w:pPr>
              <w:ind w:left="480"/>
              <w:spacing w:after="0"/>
              <w:rPr>
                <w:sz w:val="20"/>
                <w:szCs w:val="20"/>
                <w:color w:val="auto"/>
              </w:rPr>
            </w:pPr>
            <w:r>
              <w:rPr>
                <w:rFonts w:ascii="Courier New" w:cs="Courier New" w:eastAsia="Courier New" w:hAnsi="Courier New"/>
                <w:sz w:val="4"/>
                <w:szCs w:val="4"/>
                <w:color w:val="auto"/>
                <w:w w:val="76"/>
                <w:vertAlign w:val="subscript"/>
              </w:rPr>
              <w:t>7.</w:t>
            </w:r>
            <w:r>
              <w:rPr>
                <w:rFonts w:ascii="Courier New" w:cs="Courier New" w:eastAsia="Courier New" w:hAnsi="Courier New"/>
                <w:sz w:val="2"/>
                <w:szCs w:val="2"/>
                <w:color w:val="auto"/>
                <w:w w:val="76"/>
              </w:rPr>
              <w:t>------------------------------</w:t>
            </w:r>
          </w:p>
        </w:tc>
        <w:tc>
          <w:tcPr>
            <w:tcW w:w="2840" w:type="dxa"/>
            <w:vAlign w:val="bottom"/>
            <w:vMerge w:val="restart"/>
          </w:tcPr>
          <w:p>
            <w:pPr>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800" w:type="dxa"/>
            <w:vAlign w:val="bottom"/>
            <w:vMerge w:val="continue"/>
          </w:tcPr>
          <w:p>
            <w:pPr>
              <w:spacing w:after="0"/>
              <w:rPr>
                <w:sz w:val="17"/>
                <w:szCs w:val="17"/>
                <w:color w:val="auto"/>
              </w:rPr>
            </w:pPr>
          </w:p>
        </w:tc>
        <w:tc>
          <w:tcPr>
            <w:tcW w:w="2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2,179,689</w:t>
            </w:r>
          </w:p>
        </w:tc>
        <w:tc>
          <w:tcPr>
            <w:tcW w:w="0" w:type="dxa"/>
            <w:vAlign w:val="bottom"/>
          </w:tcPr>
          <w:p>
            <w:pPr>
              <w:spacing w:after="0"/>
              <w:rPr>
                <w:sz w:val="1"/>
                <w:szCs w:val="1"/>
                <w:color w:val="auto"/>
              </w:rPr>
            </w:pPr>
          </w:p>
        </w:tc>
      </w:tr>
      <w:tr>
        <w:trPr>
          <w:trHeight w:val="203"/>
        </w:trPr>
        <w:tc>
          <w:tcPr>
            <w:tcW w:w="2900" w:type="dxa"/>
            <w:vAlign w:val="bottom"/>
          </w:tcPr>
          <w:p>
            <w:pPr>
              <w:spacing w:after="0"/>
              <w:rPr>
                <w:sz w:val="17"/>
                <w:szCs w:val="17"/>
                <w:color w:val="auto"/>
              </w:rPr>
            </w:pPr>
          </w:p>
        </w:tc>
        <w:tc>
          <w:tcPr>
            <w:tcW w:w="36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2900" w:type="dxa"/>
            <w:vAlign w:val="bottom"/>
          </w:tcPr>
          <w:p>
            <w:pPr>
              <w:spacing w:after="0"/>
              <w:rPr>
                <w:sz w:val="17"/>
                <w:szCs w:val="17"/>
                <w:color w:val="auto"/>
              </w:rPr>
            </w:pPr>
          </w:p>
        </w:tc>
        <w:tc>
          <w:tcPr>
            <w:tcW w:w="8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8.</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r>
        <w:trPr>
          <w:trHeight w:val="296"/>
        </w:trPr>
        <w:tc>
          <w:tcPr>
            <w:tcW w:w="2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40" w:type="dxa"/>
            <w:vAlign w:val="bottom"/>
          </w:tcPr>
          <w:p>
            <w:pPr>
              <w:ind w:left="52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bl>
    <w:p>
      <w:pPr>
        <w:spacing w:after="0" w:line="1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 Aggregate Amount Beneficially Owned by Each Reporting Person</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2,179,689</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ind w:left="420" w:hanging="412"/>
        <w:spacing w:after="0" w:line="238"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ind w:left="2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Instructions)  [ ]</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7.79%</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12. Type of Reporting Person (See Instructions)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HC</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68347P103</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1. Names of Reporting Persons.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Barclays Bank PLC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Check the Appropriate Box if a Member of a Group (See Instructions)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 ]</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 [ ]</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SEC Use Only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 Citizenship or Place of Organization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900" w:type="dxa"/>
            <w:vAlign w:val="bottom"/>
          </w:tcPr>
          <w:p>
            <w:pPr>
              <w:spacing w:after="0"/>
              <w:rPr>
                <w:sz w:val="20"/>
                <w:szCs w:val="20"/>
                <w:color w:val="auto"/>
              </w:rPr>
            </w:pPr>
            <w:r>
              <w:rPr>
                <w:rFonts w:ascii="Courier New" w:cs="Courier New" w:eastAsia="Courier New" w:hAnsi="Courier New"/>
                <w:sz w:val="18"/>
                <w:szCs w:val="18"/>
                <w:color w:val="auto"/>
              </w:rPr>
              <w:t>England, United Kingdom</w:t>
            </w:r>
          </w:p>
        </w:tc>
        <w:tc>
          <w:tcPr>
            <w:tcW w:w="8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900" w:type="dxa"/>
            <w:vAlign w:val="bottom"/>
            <w:vMerge w:val="restart"/>
          </w:tcPr>
          <w:p>
            <w:pPr>
              <w:spacing w:after="0"/>
              <w:rPr>
                <w:sz w:val="20"/>
                <w:szCs w:val="20"/>
                <w:color w:val="auto"/>
              </w:rPr>
            </w:pPr>
            <w:r>
              <w:rPr>
                <w:rFonts w:ascii="Courier New" w:cs="Courier New" w:eastAsia="Courier New" w:hAnsi="Courier New"/>
                <w:sz w:val="18"/>
                <w:szCs w:val="18"/>
                <w:color w:val="auto"/>
              </w:rPr>
              <w:t>Number of</w:t>
            </w:r>
          </w:p>
        </w:tc>
        <w:tc>
          <w:tcPr>
            <w:tcW w:w="800" w:type="dxa"/>
            <w:vAlign w:val="bottom"/>
          </w:tcPr>
          <w:p>
            <w:pPr>
              <w:ind w:left="480"/>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290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2,179,689</w:t>
            </w:r>
          </w:p>
        </w:tc>
        <w:tc>
          <w:tcPr>
            <w:tcW w:w="0" w:type="dxa"/>
            <w:vAlign w:val="bottom"/>
          </w:tcPr>
          <w:p>
            <w:pPr>
              <w:spacing w:after="0"/>
              <w:rPr>
                <w:sz w:val="1"/>
                <w:szCs w:val="1"/>
                <w:color w:val="auto"/>
              </w:rPr>
            </w:pPr>
          </w:p>
        </w:tc>
      </w:tr>
      <w:tr>
        <w:trPr>
          <w:trHeight w:val="202"/>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800" w:type="dxa"/>
            <w:vAlign w:val="bottom"/>
            <w:vMerge w:val="restart"/>
          </w:tcPr>
          <w:p>
            <w:pPr>
              <w:ind w:left="480"/>
              <w:spacing w:after="0"/>
              <w:rPr>
                <w:sz w:val="20"/>
                <w:szCs w:val="20"/>
                <w:color w:val="auto"/>
              </w:rPr>
            </w:pPr>
            <w:r>
              <w:rPr>
                <w:rFonts w:ascii="Courier New" w:cs="Courier New" w:eastAsia="Courier New" w:hAnsi="Courier New"/>
                <w:sz w:val="4"/>
                <w:szCs w:val="4"/>
                <w:color w:val="auto"/>
                <w:w w:val="76"/>
                <w:vertAlign w:val="subscript"/>
              </w:rPr>
              <w:t>6.</w:t>
            </w:r>
            <w:r>
              <w:rPr>
                <w:rFonts w:ascii="Courier New" w:cs="Courier New" w:eastAsia="Courier New" w:hAnsi="Courier New"/>
                <w:sz w:val="2"/>
                <w:szCs w:val="2"/>
                <w:color w:val="auto"/>
                <w:w w:val="76"/>
              </w:rPr>
              <w:t>------------------------------</w:t>
            </w:r>
          </w:p>
        </w:tc>
        <w:tc>
          <w:tcPr>
            <w:tcW w:w="284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800" w:type="dxa"/>
            <w:vAlign w:val="bottom"/>
            <w:vMerge w:val="continue"/>
          </w:tcPr>
          <w:p>
            <w:pPr>
              <w:spacing w:after="0"/>
              <w:rPr>
                <w:sz w:val="17"/>
                <w:szCs w:val="17"/>
                <w:color w:val="auto"/>
              </w:rPr>
            </w:pPr>
          </w:p>
        </w:tc>
        <w:tc>
          <w:tcPr>
            <w:tcW w:w="2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80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800" w:type="dxa"/>
            <w:vAlign w:val="bottom"/>
            <w:vMerge w:val="restart"/>
          </w:tcPr>
          <w:p>
            <w:pPr>
              <w:ind w:left="480"/>
              <w:spacing w:after="0"/>
              <w:rPr>
                <w:sz w:val="20"/>
                <w:szCs w:val="20"/>
                <w:color w:val="auto"/>
              </w:rPr>
            </w:pPr>
            <w:r>
              <w:rPr>
                <w:rFonts w:ascii="Courier New" w:cs="Courier New" w:eastAsia="Courier New" w:hAnsi="Courier New"/>
                <w:sz w:val="4"/>
                <w:szCs w:val="4"/>
                <w:color w:val="auto"/>
                <w:w w:val="76"/>
                <w:vertAlign w:val="subscript"/>
              </w:rPr>
              <w:t>7.</w:t>
            </w:r>
            <w:r>
              <w:rPr>
                <w:rFonts w:ascii="Courier New" w:cs="Courier New" w:eastAsia="Courier New" w:hAnsi="Courier New"/>
                <w:sz w:val="2"/>
                <w:szCs w:val="2"/>
                <w:color w:val="auto"/>
                <w:w w:val="76"/>
              </w:rPr>
              <w:t>------------------------------</w:t>
            </w:r>
          </w:p>
        </w:tc>
        <w:tc>
          <w:tcPr>
            <w:tcW w:w="2840" w:type="dxa"/>
            <w:vAlign w:val="bottom"/>
            <w:vMerge w:val="restart"/>
          </w:tcPr>
          <w:p>
            <w:pPr>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800" w:type="dxa"/>
            <w:vAlign w:val="bottom"/>
            <w:vMerge w:val="continue"/>
          </w:tcPr>
          <w:p>
            <w:pPr>
              <w:spacing w:after="0"/>
              <w:rPr>
                <w:sz w:val="17"/>
                <w:szCs w:val="17"/>
                <w:color w:val="auto"/>
              </w:rPr>
            </w:pPr>
          </w:p>
        </w:tc>
        <w:tc>
          <w:tcPr>
            <w:tcW w:w="2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2,179,689</w:t>
            </w:r>
          </w:p>
        </w:tc>
        <w:tc>
          <w:tcPr>
            <w:tcW w:w="0" w:type="dxa"/>
            <w:vAlign w:val="bottom"/>
          </w:tcPr>
          <w:p>
            <w:pPr>
              <w:spacing w:after="0"/>
              <w:rPr>
                <w:sz w:val="1"/>
                <w:szCs w:val="1"/>
                <w:color w:val="auto"/>
              </w:rPr>
            </w:pPr>
          </w:p>
        </w:tc>
      </w:tr>
      <w:tr>
        <w:trPr>
          <w:trHeight w:val="203"/>
        </w:trPr>
        <w:tc>
          <w:tcPr>
            <w:tcW w:w="2900" w:type="dxa"/>
            <w:vAlign w:val="bottom"/>
          </w:tcPr>
          <w:p>
            <w:pPr>
              <w:spacing w:after="0"/>
              <w:rPr>
                <w:sz w:val="17"/>
                <w:szCs w:val="17"/>
                <w:color w:val="auto"/>
              </w:rPr>
            </w:pPr>
          </w:p>
        </w:tc>
        <w:tc>
          <w:tcPr>
            <w:tcW w:w="36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2900" w:type="dxa"/>
            <w:vAlign w:val="bottom"/>
          </w:tcPr>
          <w:p>
            <w:pPr>
              <w:spacing w:after="0"/>
              <w:rPr>
                <w:sz w:val="17"/>
                <w:szCs w:val="17"/>
                <w:color w:val="auto"/>
              </w:rPr>
            </w:pPr>
          </w:p>
        </w:tc>
        <w:tc>
          <w:tcPr>
            <w:tcW w:w="8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8.</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r>
        <w:trPr>
          <w:trHeight w:val="296"/>
        </w:trPr>
        <w:tc>
          <w:tcPr>
            <w:tcW w:w="2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40" w:type="dxa"/>
            <w:vAlign w:val="bottom"/>
          </w:tcPr>
          <w:p>
            <w:pPr>
              <w:ind w:left="52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 Aggregate Amount Beneficially Owned by Each Reporting Person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2,179,689</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ind w:left="2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Instructions)  [ ]</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7.79%</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12. Type of Reporting Person (See Instructions)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68347P103</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Item 1.</w:t>
      </w:r>
    </w:p>
    <w:p>
      <w:pPr>
        <w:spacing w:after="0" w:line="169" w:lineRule="exact"/>
        <w:rPr>
          <w:sz w:val="20"/>
          <w:szCs w:val="20"/>
          <w:color w:val="auto"/>
        </w:rPr>
      </w:pPr>
    </w:p>
    <w:p>
      <w:pPr>
        <w:ind w:left="860" w:right="7699" w:hanging="852"/>
        <w:spacing w:after="0" w:line="420" w:lineRule="auto"/>
        <w:tabs>
          <w:tab w:leader="none" w:pos="439"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OPAL Fuels Inc.</w:t>
      </w:r>
    </w:p>
    <w:p>
      <w:pPr>
        <w:spacing w:after="0" w:line="175" w:lineRule="exact"/>
        <w:rPr>
          <w:rFonts w:ascii="Courier New" w:cs="Courier New" w:eastAsia="Courier New" w:hAnsi="Courier New"/>
          <w:sz w:val="16"/>
          <w:szCs w:val="16"/>
          <w:color w:val="auto"/>
        </w:rPr>
      </w:pPr>
    </w:p>
    <w:p>
      <w:pPr>
        <w:ind w:left="860" w:right="4659" w:hanging="852"/>
        <w:spacing w:after="0" w:line="257" w:lineRule="auto"/>
        <w:tabs>
          <w:tab w:leader="none" w:pos="43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One North Lexington Avenue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Suite 1450</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White Plains, NY 10601</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Name of Person Filing:</w:t>
      </w:r>
    </w:p>
    <w:p>
      <w:pPr>
        <w:sectPr>
          <w:pgSz w:w="11900" w:h="16838" w:orient="portrait"/>
          <w:cols w:equalWidth="0" w:num="1">
            <w:col w:w="10139"/>
          </w:cols>
          <w:pgMar w:left="320" w:top="110" w:right="1440" w:bottom="0" w:gutter="0" w:footer="0" w:header="0"/>
        </w:sectPr>
      </w:pPr>
    </w:p>
    <w:bookmarkStart w:id="2" w:name="page3"/>
    <w:bookmarkEnd w:id="2"/>
    <w:p>
      <w:pPr>
        <w:ind w:left="1280" w:hanging="429"/>
        <w:spacing w:after="0"/>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Barclays PLC</w:t>
      </w:r>
    </w:p>
    <w:p>
      <w:pPr>
        <w:spacing w:after="0" w:line="30" w:lineRule="exact"/>
        <w:rPr>
          <w:rFonts w:ascii="Courier New" w:cs="Courier New" w:eastAsia="Courier New" w:hAnsi="Courier New"/>
          <w:sz w:val="18"/>
          <w:szCs w:val="18"/>
          <w:color w:val="auto"/>
        </w:rPr>
      </w:pPr>
    </w:p>
    <w:p>
      <w:pPr>
        <w:ind w:left="1280" w:hanging="429"/>
        <w:spacing w:after="0"/>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Barclays Bank PLC</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30" w:lineRule="exact"/>
        <w:rPr>
          <w:rFonts w:ascii="Courier New" w:cs="Courier New" w:eastAsia="Courier New" w:hAnsi="Courier New"/>
          <w:sz w:val="18"/>
          <w:szCs w:val="18"/>
          <w:color w:val="auto"/>
        </w:rPr>
      </w:pPr>
    </w:p>
    <w:p>
      <w:pPr>
        <w:ind w:left="1280" w:hanging="429"/>
        <w:spacing w:after="0" w:line="238" w:lineRule="auto"/>
        <w:tabs>
          <w:tab w:leader="none" w:pos="128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Barclays PLC</w:t>
      </w:r>
    </w:p>
    <w:p>
      <w:pPr>
        <w:ind w:left="860"/>
        <w:spacing w:after="0" w:line="238" w:lineRule="auto"/>
        <w:rPr>
          <w:sz w:val="20"/>
          <w:szCs w:val="20"/>
          <w:color w:val="auto"/>
        </w:rPr>
      </w:pPr>
      <w:r>
        <w:rPr>
          <w:rFonts w:ascii="Courier New" w:cs="Courier New" w:eastAsia="Courier New" w:hAnsi="Courier New"/>
          <w:sz w:val="18"/>
          <w:szCs w:val="18"/>
          <w:color w:val="auto"/>
        </w:rPr>
        <w:t>1 Churchill Place,</w:t>
      </w:r>
    </w:p>
    <w:p>
      <w:pPr>
        <w:spacing w:after="0" w:line="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London, E14 5HP, England</w:t>
      </w:r>
    </w:p>
    <w:p>
      <w:pPr>
        <w:spacing w:after="0" w:line="169" w:lineRule="exact"/>
        <w:rPr>
          <w:sz w:val="20"/>
          <w:szCs w:val="20"/>
          <w:color w:val="auto"/>
        </w:rPr>
      </w:pPr>
    </w:p>
    <w:p>
      <w:pPr>
        <w:ind w:left="860" w:right="6759" w:hanging="9"/>
        <w:spacing w:after="0" w:line="344" w:lineRule="auto"/>
        <w:tabs>
          <w:tab w:leader="none" w:pos="1281"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Barclays Bank PLC 1 Churchill Place, London, E14 5HP, England</w:t>
      </w:r>
    </w:p>
    <w:p>
      <w:pPr>
        <w:spacing w:after="0" w:line="233"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30" w:lineRule="exact"/>
        <w:rPr>
          <w:rFonts w:ascii="Courier New" w:cs="Courier New" w:eastAsia="Courier New" w:hAnsi="Courier New"/>
          <w:sz w:val="18"/>
          <w:szCs w:val="18"/>
          <w:color w:val="auto"/>
        </w:rPr>
      </w:pPr>
    </w:p>
    <w:p>
      <w:pPr>
        <w:ind w:left="1280" w:hanging="429"/>
        <w:spacing w:after="0" w:line="238" w:lineRule="auto"/>
        <w:tabs>
          <w:tab w:leader="none" w:pos="12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Barclays PLC: England, United Kingdom</w:t>
      </w:r>
    </w:p>
    <w:p>
      <w:pPr>
        <w:ind w:left="1280" w:hanging="429"/>
        <w:spacing w:after="0"/>
        <w:tabs>
          <w:tab w:leader="none" w:pos="12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Barclays Bank PLC: England, United Kingdom</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 $0.0001 Par Value</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68347P103</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If this statement is filed pursuant to Sub-Section 240.13d-1</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 or 240.13d-2(b)</w:t>
      </w:r>
    </w:p>
    <w:p>
      <w:pPr>
        <w:ind w:left="860"/>
        <w:spacing w:after="0"/>
        <w:rPr>
          <w:sz w:val="20"/>
          <w:szCs w:val="20"/>
          <w:color w:val="auto"/>
        </w:rPr>
      </w:pPr>
      <w:r>
        <w:rPr>
          <w:rFonts w:ascii="Courier New" w:cs="Courier New" w:eastAsia="Courier New" w:hAnsi="Courier New"/>
          <w:sz w:val="18"/>
          <w:szCs w:val="18"/>
          <w:color w:val="auto"/>
        </w:rPr>
        <w:t>or (c), check whether the person filing is a:</w:t>
      </w:r>
    </w:p>
    <w:p>
      <w:pPr>
        <w:spacing w:after="0" w:line="169" w:lineRule="exact"/>
        <w:rPr>
          <w:sz w:val="20"/>
          <w:szCs w:val="20"/>
          <w:color w:val="auto"/>
        </w:rPr>
      </w:pPr>
    </w:p>
    <w:p>
      <w:pPr>
        <w:ind w:left="860" w:right="4339" w:hanging="852"/>
        <w:spacing w:after="0" w:line="257" w:lineRule="auto"/>
        <w:tabs>
          <w:tab w:leader="none" w:pos="43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Broker or dealer registered under section 15 of the Act (15 U.S.C. 78o);</w:t>
      </w:r>
    </w:p>
    <w:p>
      <w:pPr>
        <w:ind w:left="420" w:hanging="412"/>
        <w:spacing w:after="0" w:line="238"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w:t>
      </w:r>
    </w:p>
    <w:p>
      <w:pPr>
        <w:spacing w:after="0" w:line="169" w:lineRule="exact"/>
        <w:rPr>
          <w:sz w:val="20"/>
          <w:szCs w:val="20"/>
          <w:color w:val="auto"/>
        </w:rPr>
      </w:pPr>
    </w:p>
    <w:p>
      <w:pPr>
        <w:ind w:left="860" w:right="2659" w:hanging="852"/>
        <w:spacing w:after="0" w:line="257" w:lineRule="auto"/>
        <w:tabs>
          <w:tab w:leader="none" w:pos="43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80a-8);</w:t>
      </w:r>
    </w:p>
    <w:p>
      <w:pPr>
        <w:ind w:left="420" w:hanging="412"/>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w:t>
      </w:r>
    </w:p>
    <w:p>
      <w:pPr>
        <w:spacing w:after="0" w:line="169" w:lineRule="exact"/>
        <w:rPr>
          <w:sz w:val="20"/>
          <w:szCs w:val="20"/>
          <w:color w:val="auto"/>
        </w:rPr>
      </w:pPr>
    </w:p>
    <w:p>
      <w:pPr>
        <w:ind w:left="860" w:right="2859" w:hanging="852"/>
        <w:spacing w:after="0" w:line="257" w:lineRule="auto"/>
        <w:tabs>
          <w:tab w:leader="none" w:pos="43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Sub-Section 240.13d-1(b)(1)(ii)(F);</w:t>
      </w:r>
    </w:p>
    <w:p>
      <w:pPr>
        <w:ind w:left="860" w:right="2859" w:hanging="852"/>
        <w:spacing w:after="0" w:line="238" w:lineRule="auto"/>
        <w:tabs>
          <w:tab w:leader="none" w:pos="43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Sub-Section 240.13d-1(b)(1)(ii)(G);</w:t>
      </w:r>
    </w:p>
    <w:p>
      <w:pPr>
        <w:ind w:left="860" w:right="3499" w:hanging="852"/>
        <w:spacing w:after="0" w:line="238" w:lineRule="auto"/>
        <w:tabs>
          <w:tab w:leader="none" w:pos="43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ind w:left="860" w:right="3079" w:hanging="852"/>
        <w:spacing w:after="0" w:line="238" w:lineRule="auto"/>
        <w:tabs>
          <w:tab w:leader="none" w:pos="43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ind w:left="420" w:hanging="412"/>
        <w:spacing w:after="0" w:line="238"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non-U.S. institution that is the functional equivalent</w:t>
      </w:r>
    </w:p>
    <w:p>
      <w:pPr>
        <w:ind w:left="860"/>
        <w:spacing w:after="0" w:line="238" w:lineRule="auto"/>
        <w:rPr>
          <w:sz w:val="20"/>
          <w:szCs w:val="20"/>
          <w:color w:val="auto"/>
        </w:rPr>
      </w:pPr>
      <w:r>
        <w:rPr>
          <w:rFonts w:ascii="Courier New" w:cs="Courier New" w:eastAsia="Courier New" w:hAnsi="Courier New"/>
          <w:sz w:val="18"/>
          <w:szCs w:val="18"/>
          <w:color w:val="auto"/>
        </w:rPr>
        <w:t>of any of the institutions listed in</w:t>
      </w:r>
    </w:p>
    <w:p>
      <w:pPr>
        <w:ind w:left="860"/>
        <w:spacing w:after="0"/>
        <w:rPr>
          <w:sz w:val="20"/>
          <w:szCs w:val="20"/>
          <w:color w:val="auto"/>
        </w:rPr>
      </w:pPr>
      <w:r>
        <w:rPr>
          <w:rFonts w:ascii="Courier New" w:cs="Courier New" w:eastAsia="Courier New" w:hAnsi="Courier New"/>
          <w:sz w:val="18"/>
          <w:szCs w:val="18"/>
          <w:color w:val="auto"/>
        </w:rPr>
        <w:t>Rule 240.13d-1 (b)(1)(ii)(A) through (I);</w:t>
      </w:r>
    </w:p>
    <w:p>
      <w:pPr>
        <w:ind w:left="420" w:hanging="412"/>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Sub-Section 240.13d-1(b)(1)(ii)(J).</w:t>
      </w:r>
    </w:p>
    <w:p>
      <w:pPr>
        <w:spacing w:after="0" w:line="169"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Provide the following information regarding the</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aggregate number and percentage of the class of securities</w:t>
      </w:r>
    </w:p>
    <w:p>
      <w:pPr>
        <w:ind w:left="860"/>
        <w:spacing w:after="0"/>
        <w:rPr>
          <w:sz w:val="20"/>
          <w:szCs w:val="20"/>
          <w:color w:val="auto"/>
        </w:rPr>
      </w:pPr>
      <w:r>
        <w:rPr>
          <w:rFonts w:ascii="Courier New" w:cs="Courier New" w:eastAsia="Courier New" w:hAnsi="Courier New"/>
          <w:sz w:val="18"/>
          <w:szCs w:val="18"/>
          <w:color w:val="auto"/>
        </w:rPr>
        <w:t>of the issuer identified in Item 1.</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Amount beneficially owned:</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the response(s) to Item 9 on the attached cover page(s).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 Percent of class:</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the response(s)to Item 11 on the attached cover page(s).</w:t>
      </w:r>
    </w:p>
    <w:p>
      <w:pPr>
        <w:spacing w:after="0" w:line="169" w:lineRule="exact"/>
        <w:rPr>
          <w:sz w:val="20"/>
          <w:szCs w:val="20"/>
          <w:color w:val="auto"/>
        </w:rPr>
      </w:pPr>
    </w:p>
    <w:p>
      <w:pPr>
        <w:ind w:left="420" w:hanging="412"/>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700" w:right="4239" w:hanging="849"/>
        <w:spacing w:after="0" w:line="292" w:lineRule="auto"/>
        <w:tabs>
          <w:tab w:leader="none" w:pos="1595"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See the response(s) to Item 5 on the attached cover page(s).</w:t>
      </w:r>
    </w:p>
    <w:p>
      <w:pPr>
        <w:spacing w:after="0" w:line="65" w:lineRule="exact"/>
        <w:rPr>
          <w:rFonts w:ascii="Courier New" w:cs="Courier New" w:eastAsia="Courier New" w:hAnsi="Courier New"/>
          <w:sz w:val="18"/>
          <w:szCs w:val="18"/>
          <w:color w:val="auto"/>
        </w:rPr>
      </w:pPr>
    </w:p>
    <w:p>
      <w:pPr>
        <w:ind w:left="1700" w:right="4019" w:hanging="849"/>
        <w:spacing w:after="0" w:line="292" w:lineRule="auto"/>
        <w:tabs>
          <w:tab w:leader="none" w:pos="1595"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See the response(s) to Item 6 on the attached cover page(s).</w:t>
      </w:r>
    </w:p>
    <w:p>
      <w:pPr>
        <w:spacing w:after="0" w:line="65" w:lineRule="exact"/>
        <w:rPr>
          <w:rFonts w:ascii="Courier New" w:cs="Courier New" w:eastAsia="Courier New" w:hAnsi="Courier New"/>
          <w:sz w:val="18"/>
          <w:szCs w:val="18"/>
          <w:color w:val="auto"/>
        </w:rPr>
      </w:pPr>
    </w:p>
    <w:p>
      <w:pPr>
        <w:ind w:left="1700" w:right="4559" w:hanging="849"/>
        <w:spacing w:after="0" w:line="257" w:lineRule="auto"/>
        <w:tabs>
          <w:tab w:leader="none" w:pos="1595"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700" w:right="455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the response(s) to Item 7 on the attached cover page(s).</w:t>
      </w:r>
    </w:p>
    <w:p>
      <w:pPr>
        <w:spacing w:after="0" w:line="50" w:lineRule="exact"/>
        <w:rPr>
          <w:rFonts w:ascii="Courier New" w:cs="Courier New" w:eastAsia="Courier New" w:hAnsi="Courier New"/>
          <w:sz w:val="18"/>
          <w:szCs w:val="18"/>
          <w:color w:val="auto"/>
        </w:rPr>
      </w:pPr>
    </w:p>
    <w:p>
      <w:pPr>
        <w:ind w:left="1580" w:hanging="729"/>
        <w:spacing w:after="0"/>
        <w:tabs>
          <w:tab w:leader="none" w:pos="15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p>
      <w:pPr>
        <w:sectPr>
          <w:pgSz w:w="11900" w:h="16838" w:orient="portrait"/>
          <w:cols w:equalWidth="0" w:num="1">
            <w:col w:w="10139"/>
          </w:cols>
          <w:pgMar w:left="320" w:top="110" w:right="1440" w:bottom="0" w:gutter="0" w:footer="0" w:header="0"/>
        </w:sectPr>
      </w:pPr>
    </w:p>
    <w:bookmarkStart w:id="3" w:name="page4"/>
    <w:bookmarkEnd w:id="3"/>
    <w:p>
      <w:pPr>
        <w:ind w:left="1700"/>
        <w:spacing w:after="0"/>
        <w:rPr>
          <w:sz w:val="20"/>
          <w:szCs w:val="20"/>
          <w:color w:val="auto"/>
        </w:rPr>
      </w:pPr>
      <w:r>
        <w:rPr>
          <w:rFonts w:ascii="Courier New" w:cs="Courier New" w:eastAsia="Courier New" w:hAnsi="Courier New"/>
          <w:sz w:val="18"/>
          <w:szCs w:val="18"/>
          <w:color w:val="auto"/>
        </w:rPr>
        <w:t>disposition of:</w:t>
      </w:r>
    </w:p>
    <w:p>
      <w:pPr>
        <w:spacing w:after="0" w:line="29" w:lineRule="exact"/>
        <w:rPr>
          <w:sz w:val="20"/>
          <w:szCs w:val="20"/>
          <w:color w:val="auto"/>
        </w:rPr>
      </w:pPr>
    </w:p>
    <w:p>
      <w:pPr>
        <w:ind w:left="1700"/>
        <w:spacing w:after="0"/>
        <w:tabs>
          <w:tab w:leader="none" w:pos="4200" w:val="left"/>
        </w:tabs>
        <w:rPr>
          <w:sz w:val="20"/>
          <w:szCs w:val="20"/>
          <w:color w:val="auto"/>
        </w:rPr>
      </w:pPr>
      <w:r>
        <w:rPr>
          <w:rFonts w:ascii="Courier New" w:cs="Courier New" w:eastAsia="Courier New" w:hAnsi="Courier New"/>
          <w:sz w:val="18"/>
          <w:szCs w:val="18"/>
          <w:color w:val="auto"/>
        </w:rPr>
        <w:t>See the response(s) to</w:t>
      </w:r>
      <w:r>
        <w:rPr>
          <w:sz w:val="20"/>
          <w:szCs w:val="20"/>
          <w:color w:val="auto"/>
        </w:rPr>
        <w:tab/>
      </w:r>
      <w:r>
        <w:rPr>
          <w:rFonts w:ascii="Courier New" w:cs="Courier New" w:eastAsia="Courier New" w:hAnsi="Courier New"/>
          <w:sz w:val="16"/>
          <w:szCs w:val="16"/>
          <w:color w:val="auto"/>
        </w:rPr>
        <w:t>Item 8 on the</w:t>
      </w:r>
    </w:p>
    <w:p>
      <w:pPr>
        <w:ind w:left="1700"/>
        <w:spacing w:after="0"/>
        <w:rPr>
          <w:sz w:val="20"/>
          <w:szCs w:val="20"/>
          <w:color w:val="auto"/>
        </w:rPr>
      </w:pPr>
      <w:r>
        <w:rPr>
          <w:rFonts w:ascii="Courier New" w:cs="Courier New" w:eastAsia="Courier New" w:hAnsi="Courier New"/>
          <w:sz w:val="18"/>
          <w:szCs w:val="18"/>
          <w:color w:val="auto"/>
        </w:rPr>
        <w:t>attached cover page(s).</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0"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780" w:type="dxa"/>
            <w:vAlign w:val="bottom"/>
            <w:gridSpan w:val="2"/>
          </w:tcPr>
          <w:p>
            <w:pPr>
              <w:spacing w:after="0"/>
              <w:rPr>
                <w:sz w:val="20"/>
                <w:szCs w:val="20"/>
                <w:color w:val="auto"/>
              </w:rPr>
            </w:pPr>
            <w:r>
              <w:rPr>
                <w:rFonts w:ascii="Courier New" w:cs="Courier New" w:eastAsia="Courier New" w:hAnsi="Courier New"/>
                <w:sz w:val="18"/>
                <w:szCs w:val="18"/>
                <w:color w:val="auto"/>
              </w:rPr>
              <w:t>If this</w:t>
            </w:r>
          </w:p>
        </w:tc>
        <w:tc>
          <w:tcPr>
            <w:tcW w:w="2000" w:type="dxa"/>
            <w:vAlign w:val="bottom"/>
          </w:tcPr>
          <w:p>
            <w:pPr>
              <w:jc w:val="right"/>
              <w:spacing w:after="0"/>
              <w:rPr>
                <w:sz w:val="20"/>
                <w:szCs w:val="20"/>
                <w:color w:val="auto"/>
              </w:rPr>
            </w:pPr>
            <w:r>
              <w:rPr>
                <w:rFonts w:ascii="Courier New" w:cs="Courier New" w:eastAsia="Courier New" w:hAnsi="Courier New"/>
                <w:sz w:val="18"/>
                <w:szCs w:val="18"/>
                <w:color w:val="auto"/>
                <w:w w:val="98"/>
              </w:rPr>
              <w:t>statement is being</w:t>
            </w:r>
          </w:p>
        </w:tc>
        <w:tc>
          <w:tcPr>
            <w:tcW w:w="3420" w:type="dxa"/>
            <w:vAlign w:val="bottom"/>
          </w:tcPr>
          <w:p>
            <w:pPr>
              <w:ind w:left="60"/>
              <w:spacing w:after="0"/>
              <w:rPr>
                <w:sz w:val="20"/>
                <w:szCs w:val="20"/>
                <w:color w:val="auto"/>
              </w:rPr>
            </w:pPr>
            <w:r>
              <w:rPr>
                <w:rFonts w:ascii="Courier New" w:cs="Courier New" w:eastAsia="Courier New" w:hAnsi="Courier New"/>
                <w:sz w:val="18"/>
                <w:szCs w:val="18"/>
                <w:color w:val="auto"/>
              </w:rPr>
              <w:t>filed to report the fact</w:t>
            </w:r>
          </w:p>
        </w:tc>
      </w:tr>
      <w:tr>
        <w:trPr>
          <w:trHeight w:val="203"/>
        </w:trPr>
        <w:tc>
          <w:tcPr>
            <w:tcW w:w="7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that as</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of the date hereof</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the reporting person has ceased</w:t>
            </w:r>
          </w:p>
        </w:tc>
      </w:tr>
      <w:tr>
        <w:trPr>
          <w:trHeight w:val="203"/>
        </w:trPr>
        <w:tc>
          <w:tcPr>
            <w:tcW w:w="5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to be</w:t>
            </w:r>
          </w:p>
        </w:tc>
        <w:tc>
          <w:tcPr>
            <w:tcW w:w="2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the beneficial owner</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of more than five percent of the</w:t>
            </w:r>
          </w:p>
        </w:tc>
      </w:tr>
      <w:tr>
        <w:trPr>
          <w:trHeight w:val="296"/>
        </w:trPr>
        <w:tc>
          <w:tcPr>
            <w:tcW w:w="560" w:type="dxa"/>
            <w:vAlign w:val="bottom"/>
          </w:tcPr>
          <w:p>
            <w:pPr>
              <w:spacing w:after="0"/>
              <w:rPr>
                <w:sz w:val="20"/>
                <w:szCs w:val="20"/>
                <w:color w:val="auto"/>
              </w:rPr>
            </w:pPr>
            <w:r>
              <w:rPr>
                <w:rFonts w:ascii="Courier New" w:cs="Courier New" w:eastAsia="Courier New" w:hAnsi="Courier New"/>
                <w:sz w:val="18"/>
                <w:szCs w:val="18"/>
                <w:color w:val="auto"/>
                <w:w w:val="99"/>
              </w:rPr>
              <w:t>class</w:t>
            </w:r>
          </w:p>
        </w:tc>
        <w:tc>
          <w:tcPr>
            <w:tcW w:w="22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of securities, check</w:t>
            </w:r>
          </w:p>
        </w:tc>
        <w:tc>
          <w:tcPr>
            <w:tcW w:w="3420" w:type="dxa"/>
            <w:vAlign w:val="bottom"/>
          </w:tcPr>
          <w:p>
            <w:pPr>
              <w:ind w:left="60"/>
              <w:spacing w:after="0"/>
              <w:rPr>
                <w:sz w:val="20"/>
                <w:szCs w:val="20"/>
                <w:color w:val="auto"/>
              </w:rPr>
            </w:pPr>
            <w:r>
              <w:rPr>
                <w:rFonts w:ascii="Courier New" w:cs="Courier New" w:eastAsia="Courier New" w:hAnsi="Courier New"/>
                <w:sz w:val="18"/>
                <w:szCs w:val="18"/>
                <w:color w:val="auto"/>
              </w:rPr>
              <w:t>the following</w:t>
            </w:r>
          </w:p>
        </w:tc>
      </w:tr>
    </w:tbl>
    <w:p>
      <w:pPr>
        <w:spacing w:after="0" w:line="109"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860" w:right="4239" w:hanging="842"/>
        <w:spacing w:after="0" w:line="346"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700" w:right="3279" w:hanging="1684"/>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66"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See Exhibit 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By signing below I certify that, to the best of my</w:t>
      </w:r>
    </w:p>
    <w:p>
      <w:pPr>
        <w:spacing w:after="0" w:line="2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knowledge and belief, the securities referred to</w:t>
      </w:r>
    </w:p>
    <w:p>
      <w:pPr>
        <w:ind w:left="1700"/>
        <w:spacing w:after="0" w:line="238" w:lineRule="auto"/>
        <w:rPr>
          <w:sz w:val="20"/>
          <w:szCs w:val="20"/>
          <w:color w:val="auto"/>
        </w:rPr>
      </w:pPr>
      <w:r>
        <w:rPr>
          <w:rFonts w:ascii="Courier New" w:cs="Courier New" w:eastAsia="Courier New" w:hAnsi="Courier New"/>
          <w:sz w:val="18"/>
          <w:szCs w:val="18"/>
          <w:color w:val="auto"/>
        </w:rPr>
        <w:t>above were acquired and are held in the ordinary</w:t>
      </w:r>
    </w:p>
    <w:p>
      <w:pPr>
        <w:ind w:left="1700"/>
        <w:spacing w:after="0" w:line="238" w:lineRule="auto"/>
        <w:rPr>
          <w:sz w:val="20"/>
          <w:szCs w:val="20"/>
          <w:color w:val="auto"/>
        </w:rPr>
      </w:pPr>
      <w:r>
        <w:rPr>
          <w:rFonts w:ascii="Courier New" w:cs="Courier New" w:eastAsia="Courier New" w:hAnsi="Courier New"/>
          <w:sz w:val="18"/>
          <w:szCs w:val="18"/>
          <w:color w:val="auto"/>
        </w:rPr>
        <w:t>course of business and were not acquired and are</w:t>
      </w:r>
    </w:p>
    <w:p>
      <w:pPr>
        <w:ind w:left="1700"/>
        <w:spacing w:after="0"/>
        <w:rPr>
          <w:sz w:val="20"/>
          <w:szCs w:val="20"/>
          <w:color w:val="auto"/>
        </w:rPr>
      </w:pPr>
      <w:r>
        <w:rPr>
          <w:rFonts w:ascii="Courier New" w:cs="Courier New" w:eastAsia="Courier New" w:hAnsi="Courier New"/>
          <w:sz w:val="18"/>
          <w:szCs w:val="18"/>
          <w:color w:val="auto"/>
        </w:rPr>
        <w:t>not held for the purpose of or with the effect of</w:t>
      </w:r>
    </w:p>
    <w:p>
      <w:pPr>
        <w:ind w:left="1700"/>
        <w:spacing w:after="0" w:line="238" w:lineRule="auto"/>
        <w:rPr>
          <w:sz w:val="20"/>
          <w:szCs w:val="20"/>
          <w:color w:val="auto"/>
        </w:rPr>
      </w:pPr>
      <w:r>
        <w:rPr>
          <w:rFonts w:ascii="Courier New" w:cs="Courier New" w:eastAsia="Courier New" w:hAnsi="Courier New"/>
          <w:sz w:val="18"/>
          <w:szCs w:val="18"/>
          <w:color w:val="auto"/>
        </w:rPr>
        <w:t>changing or influencing the</w:t>
      </w:r>
    </w:p>
    <w:p>
      <w:pPr>
        <w:ind w:left="1700"/>
        <w:spacing w:after="0"/>
        <w:rPr>
          <w:sz w:val="20"/>
          <w:szCs w:val="20"/>
          <w:color w:val="auto"/>
        </w:rPr>
      </w:pPr>
      <w:r>
        <w:rPr>
          <w:rFonts w:ascii="Courier New" w:cs="Courier New" w:eastAsia="Courier New" w:hAnsi="Courier New"/>
          <w:sz w:val="16"/>
          <w:szCs w:val="16"/>
          <w:color w:val="auto"/>
        </w:rPr>
        <w:t>control of the issuer of the securities and were not</w:t>
      </w:r>
    </w:p>
    <w:p>
      <w:pPr>
        <w:spacing w:after="0" w:line="20"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acquired and are not held in connection</w:t>
      </w:r>
    </w:p>
    <w:p>
      <w:pPr>
        <w:ind w:left="1700"/>
        <w:spacing w:after="0" w:line="238" w:lineRule="auto"/>
        <w:rPr>
          <w:sz w:val="20"/>
          <w:szCs w:val="20"/>
          <w:color w:val="auto"/>
        </w:rPr>
      </w:pPr>
      <w:r>
        <w:rPr>
          <w:rFonts w:ascii="Courier New" w:cs="Courier New" w:eastAsia="Courier New" w:hAnsi="Courier New"/>
          <w:sz w:val="18"/>
          <w:szCs w:val="18"/>
          <w:color w:val="auto"/>
        </w:rPr>
        <w:t>with or as a participant in any transaction</w:t>
      </w:r>
    </w:p>
    <w:p>
      <w:pPr>
        <w:ind w:left="1700"/>
        <w:spacing w:after="0"/>
        <w:rPr>
          <w:sz w:val="20"/>
          <w:szCs w:val="20"/>
          <w:color w:val="auto"/>
        </w:rPr>
      </w:pPr>
      <w:r>
        <w:rPr>
          <w:rFonts w:ascii="Courier New" w:cs="Courier New" w:eastAsia="Courier New" w:hAnsi="Courier New"/>
          <w:sz w:val="18"/>
          <w:szCs w:val="18"/>
          <w:color w:val="auto"/>
        </w:rPr>
        <w:t>having that purpose or effect.</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After reasonable inquiry and to the best of my</w:t>
      </w:r>
    </w:p>
    <w:p>
      <w:pPr>
        <w:spacing w:after="0" w:line="2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knowledge and belief, I certify that the</w:t>
      </w:r>
    </w:p>
    <w:p>
      <w:pPr>
        <w:ind w:left="1700"/>
        <w:spacing w:after="0" w:line="238" w:lineRule="auto"/>
        <w:rPr>
          <w:sz w:val="20"/>
          <w:szCs w:val="20"/>
          <w:color w:val="auto"/>
        </w:rPr>
      </w:pPr>
      <w:r>
        <w:rPr>
          <w:rFonts w:ascii="Courier New" w:cs="Courier New" w:eastAsia="Courier New" w:hAnsi="Courier New"/>
          <w:sz w:val="18"/>
          <w:szCs w:val="18"/>
          <w:color w:val="auto"/>
        </w:rPr>
        <w:t>information set forth in this statement is true,</w:t>
      </w:r>
    </w:p>
    <w:p>
      <w:pPr>
        <w:ind w:left="1700"/>
        <w:spacing w:after="0"/>
        <w:rPr>
          <w:sz w:val="20"/>
          <w:szCs w:val="20"/>
          <w:color w:val="auto"/>
        </w:rPr>
      </w:pPr>
      <w:r>
        <w:rPr>
          <w:rFonts w:ascii="Courier New" w:cs="Courier New" w:eastAsia="Courier New" w:hAnsi="Courier New"/>
          <w:sz w:val="18"/>
          <w:szCs w:val="18"/>
          <w:color w:val="auto"/>
        </w:rPr>
        <w:t>complete and correct.</w:t>
      </w:r>
    </w:p>
    <w:p>
      <w:pPr>
        <w:spacing w:after="0" w:line="16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Dated: February 13, 2024</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By : Ramya Rao</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Title: Director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INDEX TO EXHIBITS</w:t>
      </w:r>
    </w:p>
    <w:p>
      <w:pPr>
        <w:spacing w:after="0" w:line="16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Exhibit A</w:t>
      </w:r>
      <w:r>
        <w:rPr>
          <w:sz w:val="20"/>
          <w:szCs w:val="20"/>
          <w:color w:val="auto"/>
        </w:rPr>
        <w:tab/>
      </w:r>
      <w:r>
        <w:rPr>
          <w:rFonts w:ascii="Courier New" w:cs="Courier New" w:eastAsia="Courier New" w:hAnsi="Courier New"/>
          <w:sz w:val="16"/>
          <w:szCs w:val="16"/>
          <w:color w:val="auto"/>
        </w:rPr>
        <w:t>Item 7 Information</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Exhibit B</w:t>
      </w:r>
      <w:r>
        <w:rPr>
          <w:sz w:val="20"/>
          <w:szCs w:val="20"/>
          <w:color w:val="auto"/>
        </w:rPr>
        <w:tab/>
      </w:r>
      <w:r>
        <w:rPr>
          <w:rFonts w:ascii="Courier New" w:cs="Courier New" w:eastAsia="Courier New" w:hAnsi="Courier New"/>
          <w:sz w:val="16"/>
          <w:szCs w:val="16"/>
          <w:color w:val="auto"/>
        </w:rPr>
        <w:t>Joint Filing Agreement</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110" w:right="1440" w:bottom="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ind w:left="860" w:right="4119"/>
        <w:spacing w:after="0" w:line="257" w:lineRule="auto"/>
        <w:rPr>
          <w:sz w:val="20"/>
          <w:szCs w:val="20"/>
          <w:color w:val="auto"/>
        </w:rPr>
      </w:pPr>
      <w:r>
        <w:rPr>
          <w:rFonts w:ascii="Courier New" w:cs="Courier New" w:eastAsia="Courier New" w:hAnsi="Courier New"/>
          <w:sz w:val="18"/>
          <w:szCs w:val="18"/>
          <w:color w:val="auto"/>
        </w:rPr>
        <w:t>The securities being reported on by Barclays PLC, as a parent holding company,</w:t>
      </w:r>
    </w:p>
    <w:p>
      <w:pPr>
        <w:ind w:left="860" w:right="3699"/>
        <w:spacing w:after="0" w:line="238" w:lineRule="auto"/>
        <w:rPr>
          <w:sz w:val="20"/>
          <w:szCs w:val="20"/>
          <w:color w:val="auto"/>
        </w:rPr>
      </w:pPr>
      <w:r>
        <w:rPr>
          <w:rFonts w:ascii="Courier New" w:cs="Courier New" w:eastAsia="Courier New" w:hAnsi="Courier New"/>
          <w:sz w:val="18"/>
          <w:szCs w:val="18"/>
          <w:color w:val="auto"/>
        </w:rPr>
        <w:t>are owned, or may be deemed to be beneficially owned, by</w:t>
      </w:r>
    </w:p>
    <w:p>
      <w:pPr>
        <w:ind w:left="860"/>
        <w:spacing w:after="0"/>
        <w:rPr>
          <w:sz w:val="20"/>
          <w:szCs w:val="20"/>
          <w:color w:val="auto"/>
        </w:rPr>
      </w:pPr>
      <w:r>
        <w:rPr>
          <w:rFonts w:ascii="Courier New" w:cs="Courier New" w:eastAsia="Courier New" w:hAnsi="Courier New"/>
          <w:sz w:val="18"/>
          <w:szCs w:val="18"/>
          <w:color w:val="auto"/>
        </w:rPr>
        <w:t>Barclays Bank PLC,</w:t>
      </w:r>
    </w:p>
    <w:p>
      <w:pPr>
        <w:ind w:left="860"/>
        <w:spacing w:after="0" w:line="238" w:lineRule="auto"/>
        <w:rPr>
          <w:sz w:val="20"/>
          <w:szCs w:val="20"/>
          <w:color w:val="auto"/>
        </w:rPr>
      </w:pPr>
      <w:r>
        <w:rPr>
          <w:rFonts w:ascii="Courier New" w:cs="Courier New" w:eastAsia="Courier New" w:hAnsi="Courier New"/>
          <w:sz w:val="18"/>
          <w:szCs w:val="18"/>
          <w:color w:val="auto"/>
        </w:rPr>
        <w:t>a non-US banking institution registered with the Financial</w:t>
      </w:r>
    </w:p>
    <w:p>
      <w:pPr>
        <w:ind w:left="860"/>
        <w:spacing w:after="0" w:line="238" w:lineRule="auto"/>
        <w:rPr>
          <w:sz w:val="20"/>
          <w:szCs w:val="20"/>
          <w:color w:val="auto"/>
        </w:rPr>
      </w:pPr>
      <w:r>
        <w:rPr>
          <w:rFonts w:ascii="Courier New" w:cs="Courier New" w:eastAsia="Courier New" w:hAnsi="Courier New"/>
          <w:sz w:val="18"/>
          <w:szCs w:val="18"/>
          <w:color w:val="auto"/>
        </w:rPr>
        <w:t>Conduct</w:t>
      </w:r>
    </w:p>
    <w:p>
      <w:pPr>
        <w:ind w:left="860"/>
        <w:spacing w:after="0"/>
        <w:rPr>
          <w:sz w:val="20"/>
          <w:szCs w:val="20"/>
          <w:color w:val="auto"/>
        </w:rPr>
      </w:pPr>
      <w:r>
        <w:rPr>
          <w:rFonts w:ascii="Courier New" w:cs="Courier New" w:eastAsia="Courier New" w:hAnsi="Courier New"/>
          <w:sz w:val="18"/>
          <w:szCs w:val="18"/>
          <w:color w:val="auto"/>
        </w:rPr>
        <w:t>Authority</w:t>
      </w:r>
    </w:p>
    <w:p>
      <w:pPr>
        <w:ind w:left="860" w:right="2659"/>
        <w:spacing w:after="0" w:line="238" w:lineRule="auto"/>
        <w:rPr>
          <w:sz w:val="20"/>
          <w:szCs w:val="20"/>
          <w:color w:val="auto"/>
        </w:rPr>
      </w:pPr>
      <w:r>
        <w:rPr>
          <w:rFonts w:ascii="Courier New" w:cs="Courier New" w:eastAsia="Courier New" w:hAnsi="Courier New"/>
          <w:sz w:val="18"/>
          <w:szCs w:val="18"/>
          <w:color w:val="auto"/>
        </w:rPr>
        <w:t>authorised by the Prudential Regulation Authority and regulated by the Financial</w:t>
      </w:r>
    </w:p>
    <w:p>
      <w:pPr>
        <w:ind w:left="860"/>
        <w:spacing w:after="0"/>
        <w:rPr>
          <w:sz w:val="20"/>
          <w:szCs w:val="20"/>
          <w:color w:val="auto"/>
        </w:rPr>
      </w:pPr>
      <w:r>
        <w:rPr>
          <w:rFonts w:ascii="Courier New" w:cs="Courier New" w:eastAsia="Courier New" w:hAnsi="Courier New"/>
          <w:sz w:val="18"/>
          <w:szCs w:val="18"/>
          <w:color w:val="auto"/>
        </w:rPr>
        <w:t>Conduct Authority and the Prudential Regulation Authority in</w:t>
      </w:r>
    </w:p>
    <w:p>
      <w:pPr>
        <w:ind w:left="860"/>
        <w:spacing w:after="0" w:line="238" w:lineRule="auto"/>
        <w:rPr>
          <w:sz w:val="20"/>
          <w:szCs w:val="20"/>
          <w:color w:val="auto"/>
        </w:rPr>
      </w:pPr>
      <w:r>
        <w:rPr>
          <w:rFonts w:ascii="Courier New" w:cs="Courier New" w:eastAsia="Courier New" w:hAnsi="Courier New"/>
          <w:sz w:val="18"/>
          <w:szCs w:val="18"/>
          <w:color w:val="auto"/>
        </w:rPr>
        <w:t>the United Kingdom.</w:t>
      </w:r>
    </w:p>
    <w:p>
      <w:pPr>
        <w:ind w:left="860"/>
        <w:spacing w:after="0" w:line="238" w:lineRule="auto"/>
        <w:rPr>
          <w:sz w:val="20"/>
          <w:szCs w:val="20"/>
          <w:color w:val="auto"/>
        </w:rPr>
      </w:pPr>
      <w:r>
        <w:rPr>
          <w:rFonts w:ascii="Courier New" w:cs="Courier New" w:eastAsia="Courier New" w:hAnsi="Courier New"/>
          <w:sz w:val="18"/>
          <w:szCs w:val="18"/>
          <w:color w:val="auto"/>
        </w:rPr>
        <w:t>Barclays Bank PLC,</w:t>
      </w:r>
    </w:p>
    <w:p>
      <w:pPr>
        <w:spacing w:after="0" w:line="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is a wholly-owned subsidiary of Barclays PLC.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AGREEMENT</w:t>
      </w:r>
    </w:p>
    <w:p>
      <w:pPr>
        <w:spacing w:after="0" w:line="31" w:lineRule="exact"/>
        <w:rPr>
          <w:sz w:val="20"/>
          <w:szCs w:val="20"/>
          <w:color w:val="auto"/>
        </w:rPr>
      </w:pPr>
    </w:p>
    <w:p>
      <w:pPr>
        <w:ind w:right="2759"/>
        <w:spacing w:after="0" w:line="238" w:lineRule="auto"/>
        <w:rPr>
          <w:sz w:val="20"/>
          <w:szCs w:val="20"/>
          <w:color w:val="auto"/>
        </w:rPr>
      </w:pPr>
      <w:r>
        <w:rPr>
          <w:rFonts w:ascii="Courier New" w:cs="Courier New" w:eastAsia="Courier New" w:hAnsi="Courier New"/>
          <w:sz w:val="18"/>
          <w:szCs w:val="18"/>
          <w:color w:val="auto"/>
        </w:rPr>
        <w:t>The undersigned hereby agree that the Statement on Schedule 13G filed herewith (and any amendments thereto), is being filed jointly with the Securities and Exchange Commission pursuant to</w:t>
      </w:r>
    </w:p>
    <w:p>
      <w:pPr>
        <w:spacing w:after="0" w:line="1" w:lineRule="exact"/>
        <w:rPr>
          <w:sz w:val="20"/>
          <w:szCs w:val="20"/>
          <w:color w:val="auto"/>
        </w:rPr>
      </w:pPr>
    </w:p>
    <w:p>
      <w:pPr>
        <w:ind w:right="3919"/>
        <w:spacing w:after="0" w:line="309" w:lineRule="auto"/>
        <w:rPr>
          <w:sz w:val="20"/>
          <w:szCs w:val="20"/>
          <w:color w:val="auto"/>
        </w:rPr>
      </w:pPr>
      <w:r>
        <w:rPr>
          <w:rFonts w:ascii="Courier New" w:cs="Courier New" w:eastAsia="Courier New" w:hAnsi="Courier New"/>
          <w:sz w:val="18"/>
          <w:szCs w:val="18"/>
          <w:color w:val="auto"/>
        </w:rPr>
        <w:t>Rule 13d-1(k)(1) under the Securities Exchange Act of 1934, as amended, on behalf of each such person.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13, 2024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BARCLAYS PLC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 Ramya Rao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Director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Barclays Bank PLC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 Ramya Rao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Director</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upperLetter"/>
      <w:start w:val="24"/>
    </w:lvl>
  </w:abstractNum>
  <w:abstractNum w:abstractNumId="1">
    <w:nsid w:val="7545E146"/>
    <w:multiLevelType w:val="hybridMultilevel"/>
    <w:lvl w:ilvl="0">
      <w:lvlJc w:val="left"/>
      <w:lvlText w:val="%1."/>
      <w:numFmt w:val="decimal"/>
      <w:start w:val="10"/>
    </w:lvl>
  </w:abstractNum>
  <w:abstractNum w:abstractNumId="2">
    <w:nsid w:val="515F007C"/>
    <w:multiLevelType w:val="hybridMultilevel"/>
    <w:lvl w:ilvl="0">
      <w:lvlJc w:val="left"/>
      <w:lvlText w:val="%1."/>
      <w:numFmt w:val="decimal"/>
      <w:start w:val="10"/>
    </w:lvl>
  </w:abstractNum>
  <w:abstractNum w:abstractNumId="3">
    <w:nsid w:val="5BD062C2"/>
    <w:multiLevelType w:val="hybridMultilevel"/>
    <w:lvl w:ilvl="0">
      <w:lvlJc w:val="left"/>
      <w:lvlText w:val="(%1)"/>
      <w:numFmt w:val="lowerLetter"/>
      <w:start w:val="1"/>
    </w:lvl>
  </w:abstractNum>
  <w:abstractNum w:abstractNumId="4">
    <w:nsid w:val="12200854"/>
    <w:multiLevelType w:val="hybridMultilevel"/>
    <w:lvl w:ilvl="0">
      <w:lvlJc w:val="left"/>
      <w:lvlText w:val="%1"/>
      <w:numFmt w:val="lowerLetter"/>
      <w:start w:val="1"/>
    </w:lvl>
    <w:lvl w:ilvl="1">
      <w:lvlJc w:val="left"/>
      <w:lvlText w:val="(%2)"/>
      <w:numFmt w:val="decimal"/>
      <w:start w:val="1"/>
    </w:lvl>
  </w:abstractNum>
  <w:abstractNum w:abstractNumId="5">
    <w:nsid w:val="4DB127F8"/>
    <w:multiLevelType w:val="hybridMultilevel"/>
    <w:lvl w:ilvl="0">
      <w:lvlJc w:val="left"/>
      <w:lvlText w:val="(%1)"/>
      <w:numFmt w:val="lowerLetter"/>
      <w:start w:val="2"/>
    </w:lvl>
    <w:lvl w:ilvl="1">
      <w:lvlJc w:val="left"/>
      <w:lvlText w:val="(%2)"/>
      <w:numFmt w:val="decimal"/>
      <w:start w:val="1"/>
    </w:lvl>
  </w:abstractNum>
  <w:abstractNum w:abstractNumId="6">
    <w:nsid w:val="216231B"/>
    <w:multiLevelType w:val="hybridMultilevel"/>
    <w:lvl w:ilvl="0">
      <w:lvlJc w:val="left"/>
      <w:lvlText w:val="%1"/>
      <w:numFmt w:val="lowerLetter"/>
      <w:start w:val="1"/>
    </w:lvl>
    <w:lvl w:ilvl="1">
      <w:lvlJc w:val="left"/>
      <w:lvlText w:val="(%2)"/>
      <w:numFmt w:val="decimal"/>
      <w:start w:val="2"/>
    </w:lvl>
  </w:abstractNum>
  <w:abstractNum w:abstractNumId="7">
    <w:nsid w:val="1F16E9E8"/>
    <w:multiLevelType w:val="hybridMultilevel"/>
    <w:lvl w:ilvl="0">
      <w:lvlJc w:val="left"/>
      <w:lvlText w:val="(%1)"/>
      <w:numFmt w:val="lowerLetter"/>
      <w:start w:val="3"/>
    </w:lvl>
    <w:lvl w:ilvl="1">
      <w:lvlJc w:val="left"/>
      <w:lvlText w:val="(%2)"/>
      <w:numFmt w:val="decimal"/>
      <w:start w:val="1"/>
    </w:lvl>
  </w:abstractNum>
  <w:abstractNum w:abstractNumId="8">
    <w:nsid w:val="1190CDE7"/>
    <w:multiLevelType w:val="hybridMultilevel"/>
    <w:lvl w:ilvl="0">
      <w:lvlJc w:val="left"/>
      <w:lvlText w:val="(%1)"/>
      <w:numFmt w:val="lowerLetter"/>
      <w:start w:val="1"/>
    </w:lvl>
  </w:abstractNum>
  <w:abstractNum w:abstractNumId="9">
    <w:nsid w:val="66EF438D"/>
    <w:multiLevelType w:val="hybridMultilevel"/>
    <w:lvl w:ilvl="0">
      <w:lvlJc w:val="left"/>
      <w:lvlText w:val="(%1)"/>
      <w:numFmt w:val="lowerLetter"/>
      <w:start w:val="4"/>
    </w:lvl>
  </w:abstractNum>
  <w:abstractNum w:abstractNumId="10">
    <w:nsid w:val="140E0F76"/>
    <w:multiLevelType w:val="hybridMultilevel"/>
    <w:lvl w:ilvl="0">
      <w:lvlJc w:val="left"/>
      <w:lvlText w:val="(%1)"/>
      <w:numFmt w:val="lowerLetter"/>
      <w:start w:val="6"/>
    </w:lvl>
  </w:abstractNum>
  <w:abstractNum w:abstractNumId="11">
    <w:nsid w:val="3352255A"/>
    <w:multiLevelType w:val="hybridMultilevel"/>
    <w:lvl w:ilvl="0">
      <w:lvlJc w:val="left"/>
      <w:lvlText w:val="(%1)"/>
      <w:numFmt w:val="lowerLetter"/>
      <w:start w:val="11"/>
    </w:lvl>
  </w:abstractNum>
  <w:abstractNum w:abstractNumId="12">
    <w:nsid w:val="109CF92E"/>
    <w:multiLevelType w:val="hybridMultilevel"/>
    <w:lvl w:ilvl="0">
      <w:lvlJc w:val="left"/>
      <w:lvlText w:val="(%1)"/>
      <w:numFmt w:val="lowerLetter"/>
      <w:start w:val="3"/>
    </w:lvl>
    <w:lvl w:ilvl="1">
      <w:lvlJc w:val="left"/>
      <w:lvlText w:val="(%2)"/>
      <w:numFmt w:val="lowerRoman"/>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2024-02-14T17:25:27Z</dcterms:created>
  <dcterms:modified xsi:type="dcterms:W3CDTF">2024-02-14T17:25:27Z</dcterms:modified>
</cp:coreProperties>
</file>