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4758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58055"/>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Edelbach Scott</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04/08/2025</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38"/>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17" w:lineRule="exact"/>
        <w:rPr>
          <w:sz w:val="24"/>
          <w:szCs w:val="24"/>
          <w:color w:val="auto"/>
        </w:rPr>
      </w:pPr>
    </w:p>
    <w:p>
      <w:pPr>
        <w:sectPr>
          <w:pgSz w:w="11900" w:h="16838" w:orient="portrait"/>
          <w:cols w:equalWidth="0" w:num="3">
            <w:col w:w="3520" w:space="400"/>
            <w:col w:w="3102" w:space="720"/>
            <w:col w:w="3338"/>
          </w:cols>
          <w:pgMar w:left="460" w:top="216" w:right="359" w:bottom="1440" w:gutter="0" w:footer="0" w:header="0"/>
          <w:type w:val="continuous"/>
        </w:sectPr>
      </w:pP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7"/>
          </w:tcPr>
          <w:p>
            <w:pPr>
              <w:jc w:val="center"/>
              <w:ind w:right="2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WHITE</w:t>
            </w:r>
          </w:p>
        </w:tc>
        <w:tc>
          <w:tcPr>
            <w:tcW w:w="17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10601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PLAINS</w:t>
            </w:r>
          </w:p>
        </w:tc>
        <w:tc>
          <w:tcPr>
            <w:tcW w:w="17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2"/>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5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1"/>
              </w:rPr>
              <w:t>Transaction</w:t>
            </w: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1"/>
                <w:szCs w:val="11"/>
                <w:color w:val="008000"/>
              </w:rPr>
              <w:t>(1)</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008000"/>
              </w:rPr>
              <w:t>(2)(3)(4)(5)</w:t>
            </w: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48,612</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1.53</w:t>
            </w: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04/08/2025</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48,612</w:t>
            </w: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6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03/31/2035</w:t>
            </w:r>
          </w:p>
        </w:tc>
        <w:tc>
          <w:tcPr>
            <w:tcW w:w="6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48,612</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Issuer's 2022 Omnibus Equity Incentive Plan (the "Plan").</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9"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an option to purchase shares of the Issuer's Class A common stock (the "Option") at an exercise price of $1.53 per share, which was the volume weighted average price of the Issuer's Class A common stock for the five days immediately preceding April 8, 2025, as quoted on the Nasdaq Stock Market. The Option vests in three (3) equal installments on each of the following dates:</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(i) March 31, 2026, (ii) March 31, 2027, and (iii) March 31, 2028, provided, that the Reporting Person continues to provide services to the Issuer through the applicable vesting date.</w:t>
      </w:r>
    </w:p>
    <w:p>
      <w:pPr>
        <w:spacing w:after="0" w:line="30" w:lineRule="exact"/>
        <w:rPr>
          <w:rFonts w:ascii="Times New Roman" w:cs="Times New Roman" w:eastAsia="Times New Roman" w:hAnsi="Times New Roman"/>
          <w:sz w:val="12"/>
          <w:szCs w:val="12"/>
          <w:color w:val="008000"/>
        </w:rPr>
      </w:pPr>
    </w:p>
    <w:p>
      <w:pPr>
        <w:ind w:left="40" w:right="36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p>
      <w:pPr>
        <w:spacing w:after="0" w:line="16" w:lineRule="exact"/>
        <w:rPr>
          <w:rFonts w:ascii="Times New Roman" w:cs="Times New Roman" w:eastAsia="Times New Roman" w:hAnsi="Times New Roman"/>
          <w:sz w:val="13"/>
          <w:szCs w:val="13"/>
          <w:color w:val="008000"/>
        </w:rPr>
      </w:pPr>
    </w:p>
    <w:p>
      <w:pPr>
        <w:ind w:left="40" w:right="280" w:firstLine="2"/>
        <w:spacing w:after="0" w:line="292"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occurrence of a termination by reason of the Reporting Person's death, any unvested portion of the Option shall accelerate and vest in full.</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Coghlin as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04/10/2025</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0676"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2025-04-10T18:11:11Z</dcterms:created>
  <dcterms:modified xsi:type="dcterms:W3CDTF">2025-04-10T18:11:11Z</dcterms:modified>
</cp:coreProperties>
</file>