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U.S. Securities and Exchange Commission on March 8, 2021</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No. 333-252730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3"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2"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Amendment No. 1</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to</w:t>
      </w:r>
    </w:p>
    <w:p>
      <w:pPr>
        <w:jc w:val="center"/>
        <w:ind w:right="-99"/>
        <w:spacing w:after="0"/>
        <w:rPr>
          <w:sz w:val="20"/>
          <w:szCs w:val="20"/>
          <w:color w:val="auto"/>
        </w:rPr>
      </w:pPr>
      <w:r>
        <w:rPr>
          <w:rFonts w:ascii="Arial" w:cs="Arial" w:eastAsia="Arial" w:hAnsi="Arial"/>
          <w:sz w:val="27"/>
          <w:szCs w:val="27"/>
          <w:b w:val="1"/>
          <w:bCs w:val="1"/>
          <w:color w:val="auto"/>
        </w:rPr>
        <w:t>FORM S-1</w:t>
      </w:r>
    </w:p>
    <w:p>
      <w:pPr>
        <w:jc w:val="center"/>
        <w:ind w:right="-99"/>
        <w:spacing w:after="0"/>
        <w:rPr>
          <w:sz w:val="20"/>
          <w:szCs w:val="20"/>
          <w:color w:val="auto"/>
        </w:rPr>
      </w:pPr>
      <w:r>
        <w:rPr>
          <w:rFonts w:ascii="Arial" w:cs="Arial" w:eastAsia="Arial" w:hAnsi="Arial"/>
          <w:sz w:val="27"/>
          <w:szCs w:val="27"/>
          <w:b w:val="1"/>
          <w:bCs w:val="1"/>
          <w:color w:val="auto"/>
        </w:rPr>
        <w:t>REGISTRATION STATEMENT</w:t>
      </w: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3"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ArcLight Clean Transition Corp. II</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9" w:lineRule="exact"/>
        <w:rPr>
          <w:sz w:val="24"/>
          <w:szCs w:val="24"/>
          <w:color w:val="auto"/>
        </w:rPr>
      </w:pPr>
    </w:p>
    <w:tbl>
      <w:tblPr>
        <w:tblLayout w:type="fixed"/>
        <w:tblInd w:w="1160" w:type="dxa"/>
        <w:tblCellMar>
          <w:top w:w="0" w:type="dxa"/>
          <w:left w:w="0" w:type="dxa"/>
          <w:bottom w:w="0" w:type="dxa"/>
          <w:right w:w="0" w:type="dxa"/>
        </w:tblCellMar>
      </w:tblPr>
      <w:tr>
        <w:trPr>
          <w:trHeight w:val="172"/>
        </w:trPr>
        <w:tc>
          <w:tcPr>
            <w:tcW w:w="2720" w:type="dxa"/>
            <w:vAlign w:val="bottom"/>
          </w:tcPr>
          <w:p>
            <w:pPr>
              <w:jc w:val="center"/>
              <w:ind w:right="993"/>
              <w:spacing w:after="0"/>
              <w:rPr>
                <w:sz w:val="20"/>
                <w:szCs w:val="20"/>
                <w:color w:val="auto"/>
              </w:rPr>
            </w:pPr>
            <w:r>
              <w:rPr>
                <w:rFonts w:ascii="Arial" w:cs="Arial" w:eastAsia="Arial" w:hAnsi="Arial"/>
                <w:sz w:val="15"/>
                <w:szCs w:val="15"/>
                <w:b w:val="1"/>
                <w:bCs w:val="1"/>
                <w:color w:val="auto"/>
                <w:w w:val="92"/>
              </w:rPr>
              <w:t>Cayman Islands</w:t>
            </w:r>
          </w:p>
        </w:tc>
        <w:tc>
          <w:tcPr>
            <w:tcW w:w="3760" w:type="dxa"/>
            <w:vAlign w:val="bottom"/>
          </w:tcPr>
          <w:p>
            <w:pPr>
              <w:jc w:val="center"/>
              <w:spacing w:after="0"/>
              <w:rPr>
                <w:sz w:val="20"/>
                <w:szCs w:val="20"/>
                <w:color w:val="auto"/>
              </w:rPr>
            </w:pPr>
            <w:r>
              <w:rPr>
                <w:rFonts w:ascii="Arial" w:cs="Arial" w:eastAsia="Arial" w:hAnsi="Arial"/>
                <w:sz w:val="15"/>
                <w:szCs w:val="15"/>
                <w:b w:val="1"/>
                <w:bCs w:val="1"/>
                <w:color w:val="auto"/>
                <w:w w:val="95"/>
              </w:rPr>
              <w:t>6770</w:t>
            </w:r>
          </w:p>
        </w:tc>
        <w:tc>
          <w:tcPr>
            <w:tcW w:w="2360" w:type="dxa"/>
            <w:vAlign w:val="bottom"/>
          </w:tcPr>
          <w:p>
            <w:pPr>
              <w:jc w:val="center"/>
              <w:ind w:left="1033"/>
              <w:spacing w:after="0"/>
              <w:rPr>
                <w:sz w:val="20"/>
                <w:szCs w:val="20"/>
                <w:color w:val="auto"/>
              </w:rPr>
            </w:pPr>
            <w:r>
              <w:rPr>
                <w:rFonts w:ascii="Arial" w:cs="Arial" w:eastAsia="Arial" w:hAnsi="Arial"/>
                <w:sz w:val="15"/>
                <w:szCs w:val="15"/>
                <w:b w:val="1"/>
                <w:bCs w:val="1"/>
                <w:color w:val="auto"/>
                <w:w w:val="92"/>
              </w:rPr>
              <w:t>98-1578357</w:t>
            </w:r>
          </w:p>
        </w:tc>
      </w:tr>
      <w:tr>
        <w:trPr>
          <w:trHeight w:val="135"/>
        </w:trPr>
        <w:tc>
          <w:tcPr>
            <w:tcW w:w="2720" w:type="dxa"/>
            <w:vAlign w:val="bottom"/>
          </w:tcPr>
          <w:p>
            <w:pPr>
              <w:jc w:val="center"/>
              <w:ind w:right="99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360" w:type="dxa"/>
            <w:vAlign w:val="bottom"/>
          </w:tcPr>
          <w:p>
            <w:pPr>
              <w:jc w:val="center"/>
              <w:ind w:left="1033"/>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20" w:type="dxa"/>
            <w:vAlign w:val="bottom"/>
          </w:tcPr>
          <w:p>
            <w:pPr>
              <w:jc w:val="center"/>
              <w:ind w:right="1013"/>
              <w:spacing w:after="0"/>
              <w:rPr>
                <w:sz w:val="20"/>
                <w:szCs w:val="20"/>
                <w:color w:val="auto"/>
              </w:rPr>
            </w:pPr>
            <w:r>
              <w:rPr>
                <w:rFonts w:ascii="Arial" w:cs="Arial" w:eastAsia="Arial" w:hAnsi="Arial"/>
                <w:sz w:val="13"/>
                <w:szCs w:val="13"/>
                <w:b w:val="1"/>
                <w:bCs w:val="1"/>
                <w:color w:val="auto"/>
                <w:w w:val="88"/>
              </w:rPr>
              <w:t>incorporation or organization)</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60" w:type="dxa"/>
            <w:vAlign w:val="bottom"/>
          </w:tcPr>
          <w:p>
            <w:pPr>
              <w:jc w:val="center"/>
              <w:ind w:left="1033"/>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200 Clarendon Street, 55th Floor</w:t>
      </w:r>
    </w:p>
    <w:p>
      <w:pPr>
        <w:jc w:val="center"/>
        <w:ind w:right="-99"/>
        <w:spacing w:after="0" w:line="226" w:lineRule="auto"/>
        <w:rPr>
          <w:sz w:val="20"/>
          <w:szCs w:val="20"/>
          <w:color w:val="auto"/>
        </w:rPr>
      </w:pPr>
      <w:r>
        <w:rPr>
          <w:rFonts w:ascii="Arial" w:cs="Arial" w:eastAsia="Arial" w:hAnsi="Arial"/>
          <w:sz w:val="14"/>
          <w:szCs w:val="14"/>
          <w:b w:val="1"/>
          <w:bCs w:val="1"/>
          <w:color w:val="auto"/>
        </w:rPr>
        <w:t>Boston, Massachusetts 02116</w:t>
      </w:r>
    </w:p>
    <w:p>
      <w:pPr>
        <w:jc w:val="center"/>
        <w:ind w:right="-99"/>
        <w:spacing w:after="0" w:line="225" w:lineRule="auto"/>
        <w:rPr>
          <w:sz w:val="20"/>
          <w:szCs w:val="20"/>
          <w:color w:val="auto"/>
        </w:rPr>
      </w:pPr>
      <w:r>
        <w:rPr>
          <w:rFonts w:ascii="Arial" w:cs="Arial" w:eastAsia="Arial" w:hAnsi="Arial"/>
          <w:sz w:val="14"/>
          <w:szCs w:val="14"/>
          <w:b w:val="1"/>
          <w:bCs w:val="1"/>
          <w:color w:val="auto"/>
        </w:rPr>
        <w:t>617-531-6300</w:t>
      </w: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John F. Erhard</w:t>
      </w:r>
    </w:p>
    <w:p>
      <w:pPr>
        <w:jc w:val="center"/>
        <w:ind w:right="-9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200 Clarendon Street, 55th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Boston, Massachusetts 02116</w:t>
      </w:r>
    </w:p>
    <w:p>
      <w:pPr>
        <w:jc w:val="center"/>
        <w:ind w:right="-99"/>
        <w:spacing w:after="0" w:line="225" w:lineRule="auto"/>
        <w:rPr>
          <w:sz w:val="20"/>
          <w:szCs w:val="20"/>
          <w:color w:val="auto"/>
        </w:rPr>
      </w:pPr>
      <w:r>
        <w:rPr>
          <w:rFonts w:ascii="Arial" w:cs="Arial" w:eastAsia="Arial" w:hAnsi="Arial"/>
          <w:sz w:val="14"/>
          <w:szCs w:val="14"/>
          <w:b w:val="1"/>
          <w:bCs w:val="1"/>
          <w:color w:val="auto"/>
        </w:rPr>
        <w:t>617-531-6300</w:t>
      </w: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tbl>
      <w:tblPr>
        <w:tblLayout w:type="fixed"/>
        <w:tblInd w:w="2060" w:type="dxa"/>
        <w:tblCellMar>
          <w:top w:w="0" w:type="dxa"/>
          <w:left w:w="0" w:type="dxa"/>
          <w:bottom w:w="0" w:type="dxa"/>
          <w:right w:w="0" w:type="dxa"/>
        </w:tblCellMar>
      </w:tblPr>
      <w:tr>
        <w:trPr>
          <w:trHeight w:val="182"/>
        </w:trPr>
        <w:tc>
          <w:tcPr>
            <w:tcW w:w="2500" w:type="dxa"/>
            <w:vAlign w:val="bottom"/>
          </w:tcPr>
          <w:p>
            <w:pPr>
              <w:spacing w:after="0"/>
              <w:rPr>
                <w:sz w:val="15"/>
                <w:szCs w:val="15"/>
                <w:color w:val="auto"/>
              </w:rPr>
            </w:pPr>
          </w:p>
        </w:tc>
        <w:tc>
          <w:tcPr>
            <w:tcW w:w="4740" w:type="dxa"/>
            <w:vAlign w:val="bottom"/>
          </w:tcPr>
          <w:p>
            <w:pPr>
              <w:ind w:left="840"/>
              <w:spacing w:after="0"/>
              <w:rPr>
                <w:sz w:val="20"/>
                <w:szCs w:val="20"/>
                <w:color w:val="auto"/>
              </w:rPr>
            </w:pPr>
            <w:r>
              <w:rPr>
                <w:rFonts w:ascii="Arial" w:cs="Arial" w:eastAsia="Arial" w:hAnsi="Arial"/>
                <w:sz w:val="14"/>
                <w:szCs w:val="14"/>
                <w:b w:val="1"/>
                <w:bCs w:val="1"/>
                <w:i w:val="1"/>
                <w:iCs w:val="1"/>
                <w:color w:val="auto"/>
              </w:rPr>
              <w:t>Copies:</w:t>
            </w:r>
          </w:p>
        </w:tc>
      </w:tr>
      <w:tr>
        <w:trPr>
          <w:trHeight w:val="151"/>
        </w:trPr>
        <w:tc>
          <w:tcPr>
            <w:tcW w:w="2500" w:type="dxa"/>
            <w:vAlign w:val="bottom"/>
          </w:tcPr>
          <w:p>
            <w:pPr>
              <w:jc w:val="center"/>
              <w:ind w:right="768"/>
              <w:spacing w:after="0" w:line="151" w:lineRule="exact"/>
              <w:rPr>
                <w:sz w:val="20"/>
                <w:szCs w:val="20"/>
                <w:color w:val="auto"/>
              </w:rPr>
            </w:pPr>
            <w:r>
              <w:rPr>
                <w:rFonts w:ascii="Arial" w:cs="Arial" w:eastAsia="Arial" w:hAnsi="Arial"/>
                <w:sz w:val="14"/>
                <w:szCs w:val="14"/>
                <w:b w:val="1"/>
                <w:bCs w:val="1"/>
                <w:color w:val="auto"/>
                <w:w w:val="96"/>
              </w:rPr>
              <w:t>Christian O. Nagler</w:t>
            </w:r>
          </w:p>
        </w:tc>
        <w:tc>
          <w:tcPr>
            <w:tcW w:w="4740" w:type="dxa"/>
            <w:vAlign w:val="bottom"/>
          </w:tcPr>
          <w:p>
            <w:pPr>
              <w:jc w:val="center"/>
              <w:ind w:left="2988"/>
              <w:spacing w:after="0" w:line="151" w:lineRule="exact"/>
              <w:rPr>
                <w:sz w:val="20"/>
                <w:szCs w:val="20"/>
                <w:color w:val="auto"/>
              </w:rPr>
            </w:pPr>
            <w:r>
              <w:rPr>
                <w:rFonts w:ascii="Arial" w:cs="Arial" w:eastAsia="Arial" w:hAnsi="Arial"/>
                <w:sz w:val="14"/>
                <w:szCs w:val="14"/>
                <w:b w:val="1"/>
                <w:bCs w:val="1"/>
                <w:color w:val="auto"/>
                <w:w w:val="92"/>
              </w:rPr>
              <w:t>Joel L. Rubinstein</w:t>
            </w:r>
          </w:p>
        </w:tc>
      </w:tr>
      <w:tr>
        <w:trPr>
          <w:trHeight w:val="148"/>
        </w:trPr>
        <w:tc>
          <w:tcPr>
            <w:tcW w:w="25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0"/>
              </w:rPr>
              <w:t>James S. Rowe</w:t>
            </w:r>
          </w:p>
        </w:tc>
        <w:tc>
          <w:tcPr>
            <w:tcW w:w="474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8"/>
              </w:rPr>
              <w:t>White &amp; Case LLP</w:t>
            </w:r>
          </w:p>
        </w:tc>
      </w:tr>
      <w:tr>
        <w:trPr>
          <w:trHeight w:val="148"/>
        </w:trPr>
        <w:tc>
          <w:tcPr>
            <w:tcW w:w="25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rPr>
              <w:t>Kirkland &amp; Ellis LLP</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0"/>
              </w:rPr>
              <w:t>1221 6th Avenue</w:t>
            </w:r>
          </w:p>
        </w:tc>
      </w:tr>
      <w:tr>
        <w:trPr>
          <w:trHeight w:val="149"/>
        </w:trPr>
        <w:tc>
          <w:tcPr>
            <w:tcW w:w="25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1"/>
              </w:rPr>
              <w:t>601 Lexington Avenue</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4"/>
              </w:rPr>
              <w:t>New York, New York 10020</w:t>
            </w:r>
          </w:p>
        </w:tc>
      </w:tr>
      <w:tr>
        <w:trPr>
          <w:trHeight w:val="148"/>
        </w:trPr>
        <w:tc>
          <w:tcPr>
            <w:tcW w:w="25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4"/>
              </w:rPr>
              <w:t>New York, New York 10022</w:t>
            </w:r>
          </w:p>
        </w:tc>
        <w:tc>
          <w:tcPr>
            <w:tcW w:w="474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3"/>
              </w:rPr>
              <w:t>(212) 819-8200</w:t>
            </w:r>
          </w:p>
        </w:tc>
      </w:tr>
      <w:tr>
        <w:trPr>
          <w:trHeight w:val="186"/>
        </w:trPr>
        <w:tc>
          <w:tcPr>
            <w:tcW w:w="2500" w:type="dxa"/>
            <w:vAlign w:val="bottom"/>
          </w:tcPr>
          <w:p>
            <w:pPr>
              <w:jc w:val="center"/>
              <w:ind w:right="768"/>
              <w:spacing w:after="0"/>
              <w:rPr>
                <w:sz w:val="20"/>
                <w:szCs w:val="20"/>
                <w:color w:val="auto"/>
              </w:rPr>
            </w:pPr>
            <w:r>
              <w:rPr>
                <w:rFonts w:ascii="Arial" w:cs="Arial" w:eastAsia="Arial" w:hAnsi="Arial"/>
                <w:sz w:val="14"/>
                <w:szCs w:val="14"/>
                <w:b w:val="1"/>
                <w:bCs w:val="1"/>
                <w:color w:val="auto"/>
                <w:w w:val="93"/>
              </w:rPr>
              <w:t>(212) 446-4800</w:t>
            </w:r>
          </w:p>
        </w:tc>
        <w:tc>
          <w:tcPr>
            <w:tcW w:w="47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93345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25" w:lineRule="exact"/>
        <w:rPr>
          <w:sz w:val="24"/>
          <w:szCs w:val="24"/>
          <w:color w:val="auto"/>
        </w:rPr>
      </w:pPr>
    </w:p>
    <w:p>
      <w:pPr>
        <w:ind w:left="120" w:right="540" w:firstLine="440"/>
        <w:spacing w:after="0" w:line="177"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2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00" w:firstLine="4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Securities Exchange Act of 1934, as amended (the “Exchange Act”).</w:t>
      </w:r>
    </w:p>
    <w:tbl>
      <w:tblPr>
        <w:tblLayout w:type="fixed"/>
        <w:tblInd w:w="120" w:type="dxa"/>
        <w:tblCellMar>
          <w:top w:w="0" w:type="dxa"/>
          <w:left w:w="0" w:type="dxa"/>
          <w:bottom w:w="0" w:type="dxa"/>
          <w:right w:w="0" w:type="dxa"/>
        </w:tblCellMar>
      </w:tblPr>
      <w:tr>
        <w:trPr>
          <w:trHeight w:val="195"/>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62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62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5340" w:type="dxa"/>
            <w:vAlign w:val="bottom"/>
          </w:tcPr>
          <w:p>
            <w:pPr>
              <w:ind w:left="362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83820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530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r>
      <w:tr>
        <w:trPr>
          <w:trHeight w:val="102"/>
        </w:trPr>
        <w:tc>
          <w:tcPr>
            <w:tcW w:w="530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0"/>
                <w:szCs w:val="10"/>
                <w:b w:val="1"/>
                <w:bCs w:val="1"/>
                <w:color w:val="auto"/>
              </w:rPr>
              <w:t>Proposed</w:t>
            </w:r>
          </w:p>
        </w:tc>
        <w:tc>
          <w:tcPr>
            <w:tcW w:w="142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0"/>
                <w:szCs w:val="10"/>
                <w:b w:val="1"/>
                <w:bCs w:val="1"/>
                <w:color w:val="auto"/>
              </w:rPr>
              <w:t>Proposed</w:t>
            </w:r>
          </w:p>
        </w:tc>
        <w:tc>
          <w:tcPr>
            <w:tcW w:w="1400" w:type="dxa"/>
            <w:vAlign w:val="bottom"/>
          </w:tcPr>
          <w:p>
            <w:pPr>
              <w:spacing w:after="0"/>
              <w:rPr>
                <w:sz w:val="8"/>
                <w:szCs w:val="8"/>
                <w:color w:val="auto"/>
              </w:rPr>
            </w:pPr>
          </w:p>
        </w:tc>
      </w:tr>
      <w:tr>
        <w:trPr>
          <w:trHeight w:val="135"/>
        </w:trPr>
        <w:tc>
          <w:tcPr>
            <w:tcW w:w="530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jc w:val="center"/>
              <w:ind w:left="32"/>
              <w:spacing w:after="0" w:line="135" w:lineRule="exact"/>
              <w:rPr>
                <w:sz w:val="20"/>
                <w:szCs w:val="20"/>
                <w:color w:val="auto"/>
              </w:rPr>
            </w:pPr>
            <w:r>
              <w:rPr>
                <w:rFonts w:ascii="Arial" w:cs="Arial" w:eastAsia="Arial" w:hAnsi="Arial"/>
                <w:sz w:val="13"/>
                <w:szCs w:val="13"/>
                <w:b w:val="1"/>
                <w:bCs w:val="1"/>
                <w:color w:val="auto"/>
                <w:w w:val="89"/>
              </w:rPr>
              <w:t>Amount</w:t>
            </w:r>
          </w:p>
        </w:tc>
        <w:tc>
          <w:tcPr>
            <w:tcW w:w="1440" w:type="dxa"/>
            <w:vAlign w:val="bottom"/>
            <w:tcBorders>
              <w:right w:val="single" w:sz="8" w:color="auto"/>
            </w:tcBorders>
          </w:tcPr>
          <w:p>
            <w:pPr>
              <w:jc w:val="center"/>
              <w:ind w:left="14"/>
              <w:spacing w:after="0" w:line="135" w:lineRule="exact"/>
              <w:rPr>
                <w:sz w:val="20"/>
                <w:szCs w:val="20"/>
                <w:color w:val="auto"/>
              </w:rPr>
            </w:pPr>
            <w:r>
              <w:rPr>
                <w:rFonts w:ascii="Arial" w:cs="Arial" w:eastAsia="Arial" w:hAnsi="Arial"/>
                <w:sz w:val="13"/>
                <w:szCs w:val="13"/>
                <w:b w:val="1"/>
                <w:bCs w:val="1"/>
                <w:color w:val="auto"/>
                <w:w w:val="93"/>
              </w:rPr>
              <w:t>Maximum</w:t>
            </w:r>
          </w:p>
        </w:tc>
        <w:tc>
          <w:tcPr>
            <w:tcW w:w="14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400" w:type="dxa"/>
            <w:vAlign w:val="bottom"/>
          </w:tcPr>
          <w:p>
            <w:pPr>
              <w:spacing w:after="0"/>
              <w:rPr>
                <w:sz w:val="11"/>
                <w:szCs w:val="11"/>
                <w:color w:val="auto"/>
              </w:rPr>
            </w:pPr>
          </w:p>
        </w:tc>
      </w:tr>
      <w:tr>
        <w:trPr>
          <w:trHeight w:val="135"/>
        </w:trPr>
        <w:tc>
          <w:tcPr>
            <w:tcW w:w="5300" w:type="dxa"/>
            <w:vAlign w:val="bottom"/>
            <w:tcBorders>
              <w:right w:val="single" w:sz="8" w:color="auto"/>
            </w:tcBorders>
          </w:tcPr>
          <w:p>
            <w:pPr>
              <w:ind w:left="2060"/>
              <w:spacing w:after="0" w:line="135" w:lineRule="exact"/>
              <w:rPr>
                <w:sz w:val="20"/>
                <w:szCs w:val="20"/>
                <w:color w:val="auto"/>
              </w:rPr>
            </w:pPr>
            <w:r>
              <w:rPr>
                <w:rFonts w:ascii="Arial" w:cs="Arial" w:eastAsia="Arial" w:hAnsi="Arial"/>
                <w:sz w:val="13"/>
                <w:szCs w:val="13"/>
                <w:b w:val="1"/>
                <w:bCs w:val="1"/>
                <w:color w:val="auto"/>
              </w:rPr>
              <w:t>Title of Each Class of</w:t>
            </w:r>
          </w:p>
        </w:tc>
        <w:tc>
          <w:tcPr>
            <w:tcW w:w="1460" w:type="dxa"/>
            <w:vAlign w:val="bottom"/>
            <w:tcBorders>
              <w:right w:val="single" w:sz="8" w:color="auto"/>
            </w:tcBorders>
          </w:tcPr>
          <w:p>
            <w:pPr>
              <w:jc w:val="center"/>
              <w:ind w:left="12"/>
              <w:spacing w:after="0" w:line="135" w:lineRule="exact"/>
              <w:rPr>
                <w:sz w:val="20"/>
                <w:szCs w:val="20"/>
                <w:color w:val="auto"/>
              </w:rPr>
            </w:pPr>
            <w:r>
              <w:rPr>
                <w:rFonts w:ascii="Arial" w:cs="Arial" w:eastAsia="Arial" w:hAnsi="Arial"/>
                <w:sz w:val="13"/>
                <w:szCs w:val="13"/>
                <w:b w:val="1"/>
                <w:bCs w:val="1"/>
                <w:color w:val="auto"/>
                <w:w w:val="82"/>
              </w:rPr>
              <w:t>Being</w:t>
            </w:r>
          </w:p>
        </w:tc>
        <w:tc>
          <w:tcPr>
            <w:tcW w:w="14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 Price</w:t>
            </w:r>
          </w:p>
        </w:tc>
        <w:tc>
          <w:tcPr>
            <w:tcW w:w="14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5300" w:type="dxa"/>
            <w:vAlign w:val="bottom"/>
            <w:tcBorders>
              <w:bottom w:val="single" w:sz="8" w:color="auto"/>
              <w:right w:val="single" w:sz="8" w:color="auto"/>
            </w:tcBorders>
          </w:tcPr>
          <w:p>
            <w:pPr>
              <w:ind w:left="1940"/>
              <w:spacing w:after="0"/>
              <w:rPr>
                <w:sz w:val="20"/>
                <w:szCs w:val="20"/>
                <w:color w:val="auto"/>
              </w:rPr>
            </w:pPr>
            <w:r>
              <w:rPr>
                <w:rFonts w:ascii="Arial" w:cs="Arial" w:eastAsia="Arial" w:hAnsi="Arial"/>
                <w:sz w:val="13"/>
                <w:szCs w:val="13"/>
                <w:b w:val="1"/>
                <w:bCs w:val="1"/>
                <w:color w:val="auto"/>
              </w:rPr>
              <w:t>Security Being Registered</w:t>
            </w:r>
          </w:p>
        </w:tc>
        <w:tc>
          <w:tcPr>
            <w:tcW w:w="146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3"/>
                <w:szCs w:val="13"/>
                <w:b w:val="1"/>
                <w:bCs w:val="1"/>
                <w:color w:val="auto"/>
                <w:w w:val="86"/>
              </w:rPr>
              <w:t>Registered(3)</w:t>
            </w:r>
          </w:p>
        </w:tc>
        <w:tc>
          <w:tcPr>
            <w:tcW w:w="144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7"/>
              </w:rPr>
              <w:t>per Security(1)</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Price(1)</w:t>
            </w:r>
          </w:p>
        </w:tc>
        <w:tc>
          <w:tcPr>
            <w:tcW w:w="1400" w:type="dxa"/>
            <w:vAlign w:val="bottom"/>
            <w:tcBorders>
              <w:bottom w:val="single" w:sz="8" w:color="auto"/>
            </w:tcBorders>
          </w:tcPr>
          <w:p>
            <w:pPr>
              <w:jc w:val="center"/>
              <w:ind w:left="11"/>
              <w:spacing w:after="0"/>
              <w:rPr>
                <w:sz w:val="20"/>
                <w:szCs w:val="20"/>
                <w:color w:val="auto"/>
              </w:rPr>
            </w:pPr>
            <w:r>
              <w:rPr>
                <w:rFonts w:ascii="Arial" w:cs="Arial" w:eastAsia="Arial" w:hAnsi="Arial"/>
                <w:sz w:val="13"/>
                <w:szCs w:val="13"/>
                <w:b w:val="1"/>
                <w:bCs w:val="1"/>
                <w:color w:val="auto"/>
                <w:w w:val="86"/>
              </w:rPr>
              <w:t>Registration Fee</w:t>
            </w:r>
          </w:p>
        </w:tc>
      </w:tr>
      <w:tr>
        <w:trPr>
          <w:trHeight w:val="123"/>
        </w:trPr>
        <w:tc>
          <w:tcPr>
            <w:tcW w:w="5300" w:type="dxa"/>
            <w:vAlign w:val="bottom"/>
            <w:tcBorders>
              <w:right w:val="single" w:sz="8" w:color="auto"/>
            </w:tcBorders>
          </w:tcPr>
          <w:p>
            <w:pPr>
              <w:spacing w:after="0" w:line="123" w:lineRule="exact"/>
              <w:rPr>
                <w:sz w:val="20"/>
                <w:szCs w:val="20"/>
                <w:color w:val="auto"/>
              </w:rPr>
            </w:pPr>
            <w:r>
              <w:rPr>
                <w:rFonts w:ascii="Arial" w:cs="Arial" w:eastAsia="Arial" w:hAnsi="Arial"/>
                <w:sz w:val="14"/>
                <w:szCs w:val="14"/>
                <w:color w:val="auto"/>
                <w:w w:val="96"/>
              </w:rPr>
              <w:t>Units, each consisting of one Class A ordinary share, $0.0001 par value, and one-fifth of</w:t>
            </w:r>
          </w:p>
        </w:tc>
        <w:tc>
          <w:tcPr>
            <w:tcW w:w="146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400" w:type="dxa"/>
            <w:vAlign w:val="bottom"/>
          </w:tcPr>
          <w:p>
            <w:pPr>
              <w:spacing w:after="0"/>
              <w:rPr>
                <w:sz w:val="10"/>
                <w:szCs w:val="10"/>
                <w:color w:val="auto"/>
              </w:rPr>
            </w:pPr>
          </w:p>
        </w:tc>
      </w:tr>
      <w:tr>
        <w:trPr>
          <w:trHeight w:val="167"/>
        </w:trPr>
        <w:tc>
          <w:tcPr>
            <w:tcW w:w="53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one redeemable warrant(2)</w:t>
            </w:r>
          </w:p>
        </w:tc>
        <w:tc>
          <w:tcPr>
            <w:tcW w:w="146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color w:val="auto"/>
                <w:w w:val="94"/>
              </w:rPr>
              <w:t>28,750,000 units</w:t>
            </w:r>
          </w:p>
        </w:tc>
        <w:tc>
          <w:tcPr>
            <w:tcW w:w="1440" w:type="dxa"/>
            <w:vAlign w:val="bottom"/>
            <w:tcBorders>
              <w:bottom w:val="single" w:sz="8" w:color="auto"/>
              <w:right w:val="single" w:sz="8" w:color="auto"/>
            </w:tcBorders>
          </w:tcPr>
          <w:p>
            <w:pPr>
              <w:jc w:val="right"/>
              <w:ind w:right="414"/>
              <w:spacing w:after="0"/>
              <w:rPr>
                <w:sz w:val="20"/>
                <w:szCs w:val="20"/>
                <w:color w:val="auto"/>
              </w:rPr>
            </w:pPr>
            <w:r>
              <w:rPr>
                <w:rFonts w:ascii="Arial" w:cs="Arial" w:eastAsia="Arial" w:hAnsi="Arial"/>
                <w:sz w:val="14"/>
                <w:szCs w:val="14"/>
                <w:color w:val="auto"/>
              </w:rPr>
              <w:t>$10.00</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$287,500,000</w:t>
            </w:r>
          </w:p>
        </w:tc>
        <w:tc>
          <w:tcPr>
            <w:tcW w:w="140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color w:val="auto"/>
                <w:w w:val="94"/>
              </w:rPr>
              <w:t>$31,367</w:t>
            </w:r>
          </w:p>
        </w:tc>
      </w:tr>
      <w:tr>
        <w:trPr>
          <w:trHeight w:val="142"/>
        </w:trPr>
        <w:tc>
          <w:tcPr>
            <w:tcW w:w="5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ordinary shares included as part of the units</w:t>
            </w:r>
          </w:p>
        </w:tc>
        <w:tc>
          <w:tcPr>
            <w:tcW w:w="14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28,750,000 shares</w:t>
            </w:r>
          </w:p>
        </w:tc>
        <w:tc>
          <w:tcPr>
            <w:tcW w:w="1440" w:type="dxa"/>
            <w:vAlign w:val="bottom"/>
            <w:tcBorders>
              <w:bottom w:val="single" w:sz="8" w:color="auto"/>
              <w:right w:val="single" w:sz="8" w:color="auto"/>
            </w:tcBorders>
          </w:tcPr>
          <w:p>
            <w:pPr>
              <w:ind w:left="640"/>
              <w:spacing w:after="0" w:line="142"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right w:val="single" w:sz="8" w:color="auto"/>
            </w:tcBorders>
          </w:tcPr>
          <w:p>
            <w:pPr>
              <w:ind w:left="640"/>
              <w:spacing w:after="0" w:line="142"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 (4)</w:t>
            </w:r>
          </w:p>
        </w:tc>
      </w:tr>
      <w:tr>
        <w:trPr>
          <w:trHeight w:val="142"/>
        </w:trPr>
        <w:tc>
          <w:tcPr>
            <w:tcW w:w="5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Redeemable warrants included as part of the units</w:t>
            </w:r>
          </w:p>
        </w:tc>
        <w:tc>
          <w:tcPr>
            <w:tcW w:w="14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5,750,000 warrants</w:t>
            </w:r>
          </w:p>
        </w:tc>
        <w:tc>
          <w:tcPr>
            <w:tcW w:w="1440" w:type="dxa"/>
            <w:vAlign w:val="bottom"/>
            <w:tcBorders>
              <w:bottom w:val="single" w:sz="8" w:color="auto"/>
              <w:right w:val="single" w:sz="8" w:color="auto"/>
            </w:tcBorders>
          </w:tcPr>
          <w:p>
            <w:pPr>
              <w:ind w:left="640"/>
              <w:spacing w:after="0" w:line="142"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right w:val="single" w:sz="8" w:color="auto"/>
            </w:tcBorders>
          </w:tcPr>
          <w:p>
            <w:pPr>
              <w:ind w:left="640"/>
              <w:spacing w:after="0" w:line="142"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 (4)</w:t>
            </w:r>
          </w:p>
        </w:tc>
      </w:tr>
      <w:tr>
        <w:trPr>
          <w:trHeight w:val="142"/>
        </w:trPr>
        <w:tc>
          <w:tcPr>
            <w:tcW w:w="5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ordinary shares underlying redeemable warrants included in the units</w:t>
            </w:r>
          </w:p>
        </w:tc>
        <w:tc>
          <w:tcPr>
            <w:tcW w:w="14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0"/>
              </w:rPr>
              <w:t>5,750,000 shares</w:t>
            </w:r>
          </w:p>
        </w:tc>
        <w:tc>
          <w:tcPr>
            <w:tcW w:w="1440" w:type="dxa"/>
            <w:vAlign w:val="bottom"/>
            <w:tcBorders>
              <w:bottom w:val="single" w:sz="8" w:color="auto"/>
              <w:right w:val="single" w:sz="8" w:color="auto"/>
            </w:tcBorders>
          </w:tcPr>
          <w:p>
            <w:pPr>
              <w:jc w:val="right"/>
              <w:ind w:right="414"/>
              <w:spacing w:after="0" w:line="142" w:lineRule="exact"/>
              <w:rPr>
                <w:sz w:val="20"/>
                <w:szCs w:val="20"/>
                <w:color w:val="auto"/>
              </w:rPr>
            </w:pPr>
            <w:r>
              <w:rPr>
                <w:rFonts w:ascii="Arial" w:cs="Arial" w:eastAsia="Arial" w:hAnsi="Arial"/>
                <w:sz w:val="14"/>
                <w:szCs w:val="14"/>
                <w:color w:val="auto"/>
              </w:rPr>
              <w:t>$ 11.50</w:t>
            </w:r>
          </w:p>
        </w:tc>
        <w:tc>
          <w:tcPr>
            <w:tcW w:w="14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$66,125,000</w:t>
            </w:r>
          </w:p>
        </w:tc>
        <w:tc>
          <w:tcPr>
            <w:tcW w:w="1400" w:type="dxa"/>
            <w:vAlign w:val="bottom"/>
            <w:tcBorders>
              <w:bottom w:val="single" w:sz="8" w:color="auto"/>
            </w:tcBorders>
          </w:tcPr>
          <w:p>
            <w:pPr>
              <w:jc w:val="center"/>
              <w:ind w:left="11"/>
              <w:spacing w:after="0" w:line="142" w:lineRule="exact"/>
              <w:rPr>
                <w:sz w:val="20"/>
                <w:szCs w:val="20"/>
                <w:color w:val="auto"/>
              </w:rPr>
            </w:pPr>
            <w:r>
              <w:rPr>
                <w:rFonts w:ascii="Arial" w:cs="Arial" w:eastAsia="Arial" w:hAnsi="Arial"/>
                <w:sz w:val="14"/>
                <w:szCs w:val="14"/>
                <w:color w:val="auto"/>
                <w:w w:val="94"/>
              </w:rPr>
              <w:t>$ 7,215</w:t>
            </w:r>
          </w:p>
        </w:tc>
      </w:tr>
      <w:tr>
        <w:trPr>
          <w:trHeight w:val="142"/>
        </w:trPr>
        <w:tc>
          <w:tcPr>
            <w:tcW w:w="5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$353,625,000</w:t>
            </w:r>
          </w:p>
        </w:tc>
        <w:tc>
          <w:tcPr>
            <w:tcW w:w="1400" w:type="dxa"/>
            <w:vAlign w:val="bottom"/>
            <w:tcBorders>
              <w:bottom w:val="single" w:sz="8" w:color="auto"/>
            </w:tcBorders>
          </w:tcPr>
          <w:p>
            <w:pPr>
              <w:jc w:val="center"/>
              <w:ind w:left="11"/>
              <w:spacing w:after="0" w:line="142" w:lineRule="exact"/>
              <w:rPr>
                <w:sz w:val="20"/>
                <w:szCs w:val="20"/>
                <w:color w:val="auto"/>
              </w:rPr>
            </w:pPr>
            <w:r>
              <w:rPr>
                <w:rFonts w:ascii="Arial" w:cs="Arial" w:eastAsia="Arial" w:hAnsi="Arial"/>
                <w:sz w:val="14"/>
                <w:szCs w:val="14"/>
                <w:color w:val="auto"/>
                <w:w w:val="94"/>
              </w:rPr>
              <w:t>$38,582(5)</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w:t>
      </w:r>
    </w:p>
    <w:p>
      <w:pPr>
        <w:ind w:left="540" w:right="36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3,750,000 units, consisting of 3,750,000 Class A ordinary shares and 750,000 redeemable warrants, which may be issued upon exercise of a 45-day option granted to the underwriters to cover over-allotments, if any.</w:t>
      </w:r>
    </w:p>
    <w:p>
      <w:pPr>
        <w:ind w:left="540" w:right="62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there are also being registered an indeterminable number of additional securities as may be offered or issued to prevent dilution resulting from share sub-divisions, share dividends, or similar transactions.</w:t>
      </w:r>
    </w:p>
    <w:p>
      <w:pPr>
        <w:ind w:left="54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 fee pursuant to Rule 457(g).</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ind w:left="120" w:right="4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MARCH 8, 2021</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ArcLight Clean Transition Corp. II</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$250,000,000</w:t>
      </w:r>
    </w:p>
    <w:p>
      <w:pPr>
        <w:spacing w:after="0" w:line="43"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25,000,000 Units</w:t>
      </w:r>
    </w:p>
    <w:p>
      <w:pPr>
        <w:spacing w:after="0" w:line="59"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4"/>
          <w:szCs w:val="14"/>
          <w:color w:val="auto"/>
        </w:rPr>
        <w:t>ArcLight Clean Transition Corp. II is a blank check company incorporated as a Cayman Islands exempted company for the purpose of effecting a merger, share exchange, asset acquisition, share purchase, reorganization or similar business combination with one or more businesses or entities, which we refer to as our initial business combination. We have not selected any business combination target and we have not, nor has anyone on our behalf, initiated any substantive discussions, directly or indirectly, with any business combination target. We will not be limited to a particular industry or geographic region in our identification and acquisition of a target company.</w:t>
      </w:r>
    </w:p>
    <w:p>
      <w:pPr>
        <w:spacing w:after="0" w:line="37" w:lineRule="exact"/>
        <w:rPr>
          <w:sz w:val="20"/>
          <w:szCs w:val="20"/>
          <w:color w:val="auto"/>
        </w:rPr>
      </w:pPr>
    </w:p>
    <w:p>
      <w:pPr>
        <w:ind w:left="120" w:right="360" w:firstLine="440"/>
        <w:spacing w:after="0" w:line="266" w:lineRule="auto"/>
        <w:rPr>
          <w:sz w:val="20"/>
          <w:szCs w:val="20"/>
          <w:color w:val="auto"/>
        </w:rPr>
      </w:pPr>
      <w:r>
        <w:rPr>
          <w:rFonts w:ascii="Arial" w:cs="Arial" w:eastAsia="Arial" w:hAnsi="Arial"/>
          <w:sz w:val="14"/>
          <w:szCs w:val="14"/>
          <w:color w:val="auto"/>
        </w:rPr>
        <w:t>This is an initial public offering of our securities. Each unit has an offering price of $10.00 and consists of one Class A ordinary share and one-fifth of one redeemable warrant. Each whole warrant entitles the holder thereof to purchase one Class A ordinary share at a price of $11.50 per share, subject to adjustment as described herein. The underwriters have a 45-day option from the date of this prospectus to purchase up to 3,750,000 additional units to cover over-allotments, if any.</w:t>
      </w:r>
    </w:p>
    <w:p>
      <w:pPr>
        <w:spacing w:after="0" w:line="1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5"/>
          <w:szCs w:val="15"/>
          <w:color w:val="auto"/>
        </w:rPr>
        <w:t>We will provide our public shareholders with the opportunity to redeem all or a portion of their Class A ordinary shares upon the completion of our initial business combination, subject to the limitations as described herein. If we have not consummated an initial business combination within 24 months, or 30 months from the closing of this offering if we have executed a letter of intent, agreement in principle or definitive agreement for an initial business combination within 24 months from the closing of this offering, we will redeem 100% of the public shares for cash, subject to applicable law and certain conditions as described herein.</w:t>
      </w:r>
    </w:p>
    <w:p>
      <w:pPr>
        <w:spacing w:after="0" w:line="37" w:lineRule="exact"/>
        <w:rPr>
          <w:sz w:val="20"/>
          <w:szCs w:val="20"/>
          <w:color w:val="auto"/>
        </w:rPr>
      </w:pPr>
    </w:p>
    <w:p>
      <w:pPr>
        <w:ind w:left="120" w:right="40" w:firstLine="440"/>
        <w:spacing w:after="0" w:line="232" w:lineRule="auto"/>
        <w:rPr>
          <w:sz w:val="20"/>
          <w:szCs w:val="20"/>
          <w:color w:val="auto"/>
        </w:rPr>
      </w:pPr>
      <w:r>
        <w:rPr>
          <w:rFonts w:ascii="Arial" w:cs="Arial" w:eastAsia="Arial" w:hAnsi="Arial"/>
          <w:sz w:val="15"/>
          <w:szCs w:val="15"/>
          <w:color w:val="auto"/>
        </w:rPr>
        <w:t>Our sponsor, ArcLight CTC Holdings II, L.P., has agreed to purchase 8,000,000 warrants (or 8,750,000 warrants if the underwriters’ overallotment option is exercised in full), each exercisable to purchase one Class A ordinary share at $11.50 per share, subject to adjustment, at a price of $1.00 per warrant, in a private placement to occur concurrently with the closing of this offering. Our initial shareholders currently own 7,187,500 Class B ordinary shares, up to 937,500 of which are subject to forfeiture depending on the extent to which the underwriters’ over-allotment option is exercised. The Class B ordinary shares will automatically convert into Class A ordinary shares at the time of our initial business combination or earlier at the option of the holders thereof as described herein. Prior to our initial business combination, only holders of our Class B ordinary shares will be entitled to vote on the appointment of directors.</w:t>
      </w:r>
    </w:p>
    <w:p>
      <w:pPr>
        <w:spacing w:after="0" w:line="53"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4"/>
          <w:szCs w:val="14"/>
          <w:color w:val="auto"/>
        </w:rPr>
        <w:t>Currently, there is no public market for our securities. We intend to apply to have our units listed on the Nasdaq Capital Market, on NASDAQ, under the symbol “ACTDU” We expect that the Class A ordinary shares and warrants comprising the units will begin separate trading on NASDAQ under the symbols “ACTD,” and “ACTDW,” respectively, on the 52nd day following the date of this prospectus unless the underwriters permit earlier separate trading and we have satisfied certain conditions.</w:t>
      </w:r>
    </w:p>
    <w:p>
      <w:pPr>
        <w:spacing w:after="0" w:line="18" w:lineRule="exact"/>
        <w:rPr>
          <w:sz w:val="20"/>
          <w:szCs w:val="20"/>
          <w:color w:val="auto"/>
        </w:rPr>
      </w:pPr>
    </w:p>
    <w:p>
      <w:pPr>
        <w:ind w:left="120" w:firstLine="440"/>
        <w:spacing w:after="0" w:line="255" w:lineRule="auto"/>
        <w:rPr>
          <w:sz w:val="20"/>
          <w:szCs w:val="20"/>
          <w:color w:val="auto"/>
        </w:rPr>
      </w:pPr>
      <w:r>
        <w:rPr>
          <w:rFonts w:ascii="Arial" w:cs="Arial" w:eastAsia="Arial" w:hAnsi="Arial"/>
          <w:sz w:val="15"/>
          <w:szCs w:val="15"/>
          <w:color w:val="auto"/>
        </w:rPr>
        <w:t>We are an “emerging growth company” and a “smaller reporting company” under applicable federal securities laws and will be subject to reduced public company reporting requirements.</w:t>
      </w:r>
    </w:p>
    <w:p>
      <w:pPr>
        <w:spacing w:after="0" w:line="20" w:lineRule="exact"/>
        <w:rPr>
          <w:sz w:val="20"/>
          <w:szCs w:val="20"/>
          <w:color w:val="auto"/>
        </w:rPr>
      </w:pPr>
    </w:p>
    <w:p>
      <w:pPr>
        <w:ind w:left="120" w:right="320" w:firstLine="4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See “</w:t>
      </w:r>
      <w:hyperlink w:anchor="page3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34 for a discussion of information that should be considered in connection with an investment in our securities. Investors will not be entitled to protections normally afforded to investors in Rule 419 blank check offerings.</w:t>
      </w:r>
    </w:p>
    <w:p>
      <w:pPr>
        <w:spacing w:after="0" w:line="46"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5"/>
          <w:szCs w:val="15"/>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 offer or invitations to subscribe for securities may be made to the public in the Cayman Islands.</w:t>
      </w:r>
    </w:p>
    <w:p>
      <w:pPr>
        <w:spacing w:after="0" w:line="6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Per Unit</w:t>
            </w: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155"/>
        </w:trPr>
        <w:tc>
          <w:tcPr>
            <w:tcW w:w="45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Public offering price</w:t>
            </w:r>
          </w:p>
        </w:tc>
        <w:tc>
          <w:tcPr>
            <w:tcW w:w="18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10.00</w:t>
            </w:r>
          </w:p>
        </w:tc>
        <w:tc>
          <w:tcPr>
            <w:tcW w:w="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8"/>
              </w:rPr>
              <w:t>250,000,000</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Underwriting discounts and commissions(1)</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540"/>
              <w:spacing w:after="0" w:line="162" w:lineRule="exact"/>
              <w:rPr>
                <w:sz w:val="20"/>
                <w:szCs w:val="20"/>
                <w:color w:val="auto"/>
              </w:rPr>
            </w:pPr>
            <w:r>
              <w:rPr>
                <w:rFonts w:ascii="Arial" w:cs="Arial" w:eastAsia="Arial" w:hAnsi="Arial"/>
                <w:sz w:val="15"/>
                <w:szCs w:val="15"/>
                <w:color w:val="auto"/>
              </w:rPr>
              <w:t>0.55</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w w:val="98"/>
              </w:rPr>
              <w:t>13,750,000</w:t>
            </w: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before expenses, to us</w:t>
            </w:r>
          </w:p>
        </w:tc>
        <w:tc>
          <w:tcPr>
            <w:tcW w:w="19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9.45</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w w:val="88"/>
              </w:rPr>
              <w:t>236,250,000</w:t>
            </w:r>
          </w:p>
        </w:tc>
      </w:tr>
    </w:tbl>
    <w:p>
      <w:pPr>
        <w:spacing w:after="0" w:line="68" w:lineRule="exact"/>
        <w:rPr>
          <w:sz w:val="20"/>
          <w:szCs w:val="20"/>
          <w:color w:val="auto"/>
        </w:rPr>
      </w:pPr>
    </w:p>
    <w:p>
      <w:pPr>
        <w:ind w:left="540" w:right="40" w:hanging="424"/>
        <w:spacing w:after="0" w:line="253"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$0.35 per unit, or $8,750,000 (or up to $10,062,500 if the underwriters’ option to purchase additional units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Class A ordinary shares sold as part of the units in this offering, as described in this prospectus. Does not include certain fees and expenses payable to the underwriters in connection with this offering. See “Underwriting” for a description of compensation and other items of value payable to the underwriters.</w:t>
      </w:r>
    </w:p>
    <w:p>
      <w:pPr>
        <w:spacing w:after="0" w:line="29" w:lineRule="exact"/>
        <w:rPr>
          <w:sz w:val="20"/>
          <w:szCs w:val="20"/>
          <w:color w:val="auto"/>
        </w:rPr>
      </w:pPr>
    </w:p>
    <w:p>
      <w:pPr>
        <w:ind w:left="120" w:right="460" w:firstLine="440"/>
        <w:spacing w:after="0"/>
        <w:rPr>
          <w:sz w:val="20"/>
          <w:szCs w:val="20"/>
          <w:color w:val="auto"/>
        </w:rPr>
      </w:pPr>
      <w:r>
        <w:rPr>
          <w:rFonts w:ascii="Arial" w:cs="Arial" w:eastAsia="Arial" w:hAnsi="Arial"/>
          <w:sz w:val="15"/>
          <w:szCs w:val="15"/>
          <w:color w:val="auto"/>
        </w:rPr>
        <w:t>Of the proceeds we receive from this offering and the sale of the private placement warrants described in this prospectus, $250 million, or $287.5 million if the underwriters’ option to purchase additional units is exercised in full ($10.00 per unit in either case), will be deposited into a U.S.-based trust account at Citibank, N.A., with Continental Stock Transfer &amp; Trust Company acting as trustee.</w:t>
      </w:r>
    </w:p>
    <w:p>
      <w:pPr>
        <w:sectPr>
          <w:pgSz w:w="11900" w:h="16838" w:orient="portrait"/>
          <w:cols w:equalWidth="0" w:num="1">
            <w:col w:w="11100"/>
          </w:cols>
          <w:pgMar w:left="320" w:top="459" w:right="479" w:bottom="1440" w:gutter="0" w:footer="0" w:header="0"/>
        </w:sectPr>
      </w:pPr>
    </w:p>
    <w:p>
      <w:pPr>
        <w:spacing w:after="0" w:line="5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underwriters are offering the units for sale on a firm commitment basis. The underwriters expect to deliver the units to the purchasers on or about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2021.</w:t>
      </w:r>
    </w:p>
    <w:p>
      <w:pPr>
        <w:spacing w:after="0" w:line="80" w:lineRule="exact"/>
        <w:rPr>
          <w:sz w:val="20"/>
          <w:szCs w:val="20"/>
          <w:color w:val="auto"/>
        </w:rPr>
      </w:pPr>
    </w:p>
    <w:p>
      <w:pPr>
        <w:sectPr>
          <w:pgSz w:w="11900" w:h="16838" w:orient="portrait"/>
          <w:cols w:equalWidth="0" w:num="2">
            <w:col w:w="9720" w:space="640"/>
            <w:col w:w="74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3"/>
          <w:szCs w:val="13"/>
          <w:color w:val="auto"/>
        </w:rPr>
        <w:t>Joint Book-Running Managers</w:t>
      </w:r>
    </w:p>
    <w:p>
      <w:pPr>
        <w:sectPr>
          <w:pgSz w:w="11900" w:h="16838" w:orient="portrait"/>
          <w:cols w:equalWidth="0" w:num="1">
            <w:col w:w="11100"/>
          </w:cols>
          <w:pgMar w:left="320" w:top="459" w:right="479" w:bottom="1440" w:gutter="0" w:footer="0" w:header="0"/>
          <w:type w:val="continuous"/>
        </w:sectPr>
      </w:pPr>
    </w:p>
    <w:p>
      <w:pPr>
        <w:spacing w:after="0" w:line="75"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Citigroup</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Barclays</w:t>
      </w:r>
    </w:p>
    <w:p>
      <w:pPr>
        <w:spacing w:after="0" w:line="131" w:lineRule="exact"/>
        <w:rPr>
          <w:sz w:val="20"/>
          <w:szCs w:val="20"/>
          <w:color w:val="auto"/>
        </w:rPr>
      </w:pPr>
    </w:p>
    <w:p>
      <w:pPr>
        <w:sectPr>
          <w:pgSz w:w="11900" w:h="16838" w:orient="portrait"/>
          <w:cols w:equalWidth="0" w:num="2">
            <w:col w:w="9020" w:space="720"/>
            <w:col w:w="1360"/>
          </w:cols>
          <w:pgMar w:left="320" w:top="459" w:right="479" w:bottom="1440" w:gutter="0" w:footer="0" w:header="0"/>
          <w:type w:val="continuous"/>
        </w:sectPr>
      </w:pPr>
    </w:p>
    <w:p>
      <w:pPr>
        <w:ind w:left="392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2021</w:t>
      </w:r>
    </w:p>
    <w:p>
      <w:pPr>
        <w:sectPr>
          <w:pgSz w:w="11900" w:h="16838" w:orient="portrait"/>
          <w:cols w:equalWidth="0" w:num="2">
            <w:col w:w="6160" w:space="720"/>
            <w:col w:w="4220"/>
          </w:cols>
          <w:pgMar w:left="320" w:top="459" w:right="4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responsible for the information contained in this prospectus. We have not authorized anyone to provide you with different information, and neither we nor the underwriters take any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8300" w:type="dxa"/>
            <w:vAlign w:val="bottom"/>
          </w:tcPr>
          <w:p>
            <w:pPr>
              <w:ind w:left="304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0"/>
                <w:szCs w:val="20"/>
                <w:color w:val="auto"/>
              </w:rPr>
            </w:pPr>
          </w:p>
        </w:tc>
      </w:tr>
      <w:tr>
        <w:trPr>
          <w:trHeight w:val="445"/>
        </w:trPr>
        <w:tc>
          <w:tcPr>
            <w:tcW w:w="15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SUMMARY</w:t>
              </w:r>
            </w:hyperlink>
          </w:p>
        </w:tc>
        <w:tc>
          <w:tcPr>
            <w:tcW w:w="8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SUMMARY FINANCIAL DATA</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0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CAUTIONARY NOTE REGARDING FORWARD-LOOKING STATEMENTS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USE OF PROCEEDS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DIVIDEND POLICY</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50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DILUTION</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0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CAPITALIZATION</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MANAGEMENT’S DISCUSSION AND ANALYSIS OF FINANCIAL CONDITION AND RESULTS OF OPERATIONS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PROPOSED BUSINESS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500" w:type="dxa"/>
            <w:vAlign w:val="bottom"/>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MANAGEMENT</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PRINCIPAL SHAREHOLDERS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CERTAIN RELATIONSHIPS AND RELATED PARTY TRANSACTIONS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DESCRIPTION OF SECURITIES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500" w:type="dxa"/>
            <w:vAlign w:val="bottom"/>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TAXATION</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500" w:type="dxa"/>
            <w:vAlign w:val="bottom"/>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UNDERWRITING</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1500" w:type="dxa"/>
            <w:vAlign w:val="bottom"/>
          </w:tcPr>
          <w:p>
            <w:pPr>
              <w:spacing w:after="0"/>
              <w:rPr>
                <w:rFonts w:ascii="Arial" w:cs="Arial" w:eastAsia="Arial" w:hAnsi="Arial"/>
                <w:sz w:val="18"/>
                <w:szCs w:val="18"/>
                <w:u w:val="single" w:color="auto"/>
                <w:color w:val="0000EE"/>
                <w:w w:val="99"/>
              </w:rPr>
            </w:pPr>
            <w:hyperlink w:anchor="page179">
              <w:r>
                <w:rPr>
                  <w:rFonts w:ascii="Arial" w:cs="Arial" w:eastAsia="Arial" w:hAnsi="Arial"/>
                  <w:sz w:val="18"/>
                  <w:szCs w:val="18"/>
                  <w:u w:val="single" w:color="auto"/>
                  <w:color w:val="0000EE"/>
                  <w:w w:val="99"/>
                </w:rPr>
                <w:t>LEGAL MATTERS</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1500" w:type="dxa"/>
            <w:vAlign w:val="bottom"/>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EXPERTS</w:t>
              </w:r>
            </w:hyperlink>
          </w:p>
        </w:tc>
        <w:tc>
          <w:tcPr>
            <w:tcW w:w="8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9800" w:type="dxa"/>
            <w:vAlign w:val="bottom"/>
            <w:gridSpan w:val="2"/>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WHERE YOU CAN FIND ADDITIONAL INFORMATION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9800" w:type="dxa"/>
            <w:vAlign w:val="bottom"/>
            <w:gridSpan w:val="2"/>
          </w:tcPr>
          <w:p>
            <w:pPr>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INDEX TO FINANCIAL STATEMENTS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432"/>
        </w:trPr>
        <w:tc>
          <w:tcPr>
            <w:tcW w:w="1500" w:type="dxa"/>
            <w:vAlign w:val="bottom"/>
          </w:tcPr>
          <w:p>
            <w:pPr>
              <w:ind w:left="440"/>
              <w:spacing w:after="0"/>
              <w:rPr>
                <w:sz w:val="20"/>
                <w:szCs w:val="20"/>
                <w:color w:val="auto"/>
              </w:rPr>
            </w:pPr>
            <w:r>
              <w:rPr>
                <w:rFonts w:ascii="Arial" w:cs="Arial" w:eastAsia="Arial" w:hAnsi="Arial"/>
                <w:sz w:val="18"/>
                <w:szCs w:val="18"/>
                <w:b w:val="1"/>
                <w:bCs w:val="1"/>
                <w:color w:val="auto"/>
              </w:rPr>
              <w:t>Until</w:t>
            </w:r>
          </w:p>
        </w:tc>
        <w:tc>
          <w:tcPr>
            <w:tcW w:w="9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89"/>
              </w:rPr>
              <w:t>, 2021, all dealers that effect transactions in these securities, whether or not participating in this offering, may be required</w:t>
            </w:r>
          </w:p>
        </w:tc>
      </w:tr>
    </w:tbl>
    <w:p>
      <w:pPr>
        <w:ind w:left="120" w:right="180"/>
        <w:spacing w:after="0" w:line="260" w:lineRule="auto"/>
        <w:rPr>
          <w:sz w:val="20"/>
          <w:szCs w:val="20"/>
          <w:color w:val="auto"/>
        </w:rPr>
      </w:pPr>
      <w:r>
        <w:rPr>
          <w:rFonts w:ascii="Arial" w:cs="Arial" w:eastAsia="Arial" w:hAnsi="Arial"/>
          <w:sz w:val="18"/>
          <w:szCs w:val="18"/>
          <w:b w:val="1"/>
          <w:bCs w:val="1"/>
          <w:color w:val="auto"/>
        </w:rPr>
        <w:t>to deliver a prospectus. This is in addition to the dealer’s obligation to deliver a prospectus when acting as an underwriter and with respect to unsold allotments or subscriptions.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21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6217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300" w:right="120" w:firstLine="426"/>
        <w:spacing w:after="0" w:line="263" w:lineRule="auto"/>
        <w:rPr>
          <w:sz w:val="20"/>
          <w:szCs w:val="20"/>
          <w:color w:val="auto"/>
        </w:rPr>
      </w:pPr>
      <w:r>
        <w:rPr>
          <w:rFonts w:ascii="Arial" w:cs="Arial" w:eastAsia="Arial" w:hAnsi="Arial"/>
          <w:sz w:val="18"/>
          <w:szCs w:val="18"/>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31" w:lineRule="exact"/>
        <w:rPr>
          <w:sz w:val="20"/>
          <w:szCs w:val="20"/>
          <w:color w:val="auto"/>
        </w:rPr>
      </w:pPr>
    </w:p>
    <w:p>
      <w:pPr>
        <w:ind w:left="1240" w:right="16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“ACTC I” are to ArcLight Clean Transition Corp., a Cayman Islands exempted company and blank check company incorporated for substantially similar purposes as our company;</w:t>
      </w:r>
    </w:p>
    <w:p>
      <w:pPr>
        <w:spacing w:after="0" w:line="75" w:lineRule="exact"/>
        <w:rPr>
          <w:rFonts w:ascii="Arial" w:cs="Arial" w:eastAsia="Arial" w:hAnsi="Arial"/>
          <w:sz w:val="18"/>
          <w:szCs w:val="18"/>
          <w:color w:val="auto"/>
        </w:rPr>
      </w:pPr>
    </w:p>
    <w:p>
      <w:pPr>
        <w:ind w:left="1240" w:right="66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and restated memorandum and article of association” are to the amended and restated memorandum and articles of association that the company will adopt prior to the consummation of this offering;</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“Companies Act” are to the Companies Act (As Revised) of the Cayman Islands as the same may be amended from time to time;</w:t>
      </w:r>
    </w:p>
    <w:p>
      <w:pPr>
        <w:spacing w:after="0" w:line="153" w:lineRule="exact"/>
        <w:rPr>
          <w:rFonts w:ascii="Arial" w:cs="Arial" w:eastAsia="Arial" w:hAnsi="Arial"/>
          <w:sz w:val="16"/>
          <w:szCs w:val="16"/>
          <w:color w:val="auto"/>
        </w:rPr>
      </w:pPr>
    </w:p>
    <w:p>
      <w:pPr>
        <w:ind w:left="1240" w:right="100" w:hanging="415"/>
        <w:spacing w:after="0" w:line="259"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“founder shares” are to our Class B ordinary shares initially issued to our sponsor in a private placement prior to this offering and the Class A ordinary shares that will be issued upon the automatic conversion of the Class B ordinary shares at the time of our initial business combination or earlier at the option of the holders thereof (for the avoidance of doubt, such Class A ordinary shares will not be “public shares”);</w:t>
      </w:r>
    </w:p>
    <w:p>
      <w:pPr>
        <w:spacing w:after="0" w:line="92" w:lineRule="exact"/>
        <w:rPr>
          <w:rFonts w:ascii="Arial" w:cs="Arial" w:eastAsia="Arial" w:hAnsi="Arial"/>
          <w:sz w:val="18"/>
          <w:szCs w:val="18"/>
          <w:color w:val="auto"/>
        </w:rPr>
      </w:pPr>
    </w:p>
    <w:p>
      <w:pPr>
        <w:ind w:left="1240" w:right="52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or our “management team” are to our executive officers and directors (including our director nominees that will become directors in connection with the consummation of this offering);</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shares” are to our Class A ordinary shares and our Class B ordinary shares;</w:t>
      </w:r>
    </w:p>
    <w:p>
      <w:pPr>
        <w:spacing w:after="0" w:line="130"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placement warrants” are to the warrants to be issued to our sponsor in a private placement simultaneously with the closing of this offering and upon conversion of working capital loans, if any;</w:t>
      </w:r>
    </w:p>
    <w:p>
      <w:pPr>
        <w:spacing w:after="0" w:line="75"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shares” are to our Class A ordinary shares sold as part of the units in this offering (whether they are purchased in this offering or thereafter in the open market);</w:t>
      </w:r>
    </w:p>
    <w:p>
      <w:pPr>
        <w:spacing w:after="0" w:line="75" w:lineRule="exact"/>
        <w:rPr>
          <w:rFonts w:ascii="Arial" w:cs="Arial" w:eastAsia="Arial" w:hAnsi="Arial"/>
          <w:sz w:val="18"/>
          <w:szCs w:val="18"/>
          <w:color w:val="auto"/>
        </w:rPr>
      </w:pPr>
    </w:p>
    <w:p>
      <w:pPr>
        <w:jc w:val="both"/>
        <w:ind w:left="1240" w:right="200" w:hanging="415"/>
        <w:spacing w:after="0" w:line="286"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“public shareholders” are to the holders of our public shares, including our sponsor and management team to the extent our sponsor and/or members of our management team purchase public shares, provided that our sponsor’s and each member of our management team’s status as a “public shareholder” will only exist with respect to such public shares;</w:t>
      </w:r>
    </w:p>
    <w:p>
      <w:pPr>
        <w:spacing w:after="0" w:line="70" w:lineRule="exact"/>
        <w:rPr>
          <w:rFonts w:ascii="Arial" w:cs="Arial" w:eastAsia="Arial" w:hAnsi="Arial"/>
          <w:sz w:val="17"/>
          <w:szCs w:val="17"/>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 are to ArcLight CTC Holdings II, L.P., a Delaware limited partnership;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“us,” “our,” “company” or “our company” are to ArcLight Clean Transition Corp. II, a Cayman Islands exempted company.</w:t>
      </w:r>
    </w:p>
    <w:p>
      <w:pPr>
        <w:spacing w:after="0" w:line="23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Any forfeiture of shares described in this prospectus will take effect as a surrender of shares for no consideration of such shares as a matter of Cayman Islands law. Any conversion of the Class B ordinary shares described in this prospectus will take effect as a compulsory redemption of Class B ordinary shares and an issuance of Class A ordinary shares as a matter of Cayman Islands law. Any share dividends described in this prospectus will take effect as share capitalizations as a matter of Cayman Islands law.</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Unless we tell you otherwise, the information in this prospectus assumes that the underwriters will not exercise their over-allotment option.</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ArcLight Clean Transition Corp. II is a blank check company newly incorporated as a Cayman Islands exempted entity for the purpose of effecting a merger, share exchange, asset acquisition, share purchase,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spacing w:after="0" w:line="263" w:lineRule="auto"/>
        <w:rPr>
          <w:sz w:val="20"/>
          <w:szCs w:val="20"/>
          <w:color w:val="auto"/>
        </w:rPr>
      </w:pPr>
      <w:r>
        <w:rPr>
          <w:rFonts w:ascii="Arial" w:cs="Arial" w:eastAsia="Arial" w:hAnsi="Arial"/>
          <w:sz w:val="18"/>
          <w:szCs w:val="18"/>
          <w:color w:val="auto"/>
        </w:rPr>
        <w:t>reorganization or similar business combination with one or more businesses or entities, which we refer to throughout this prospectus as our initial business combination. We have not selected any business combination targets and we have not, nor has anyone on our behalf, initiated any substantive discussions, directly or indirectly, with any business combination targets.</w:t>
      </w:r>
    </w:p>
    <w:p>
      <w:pPr>
        <w:spacing w:after="0" w:line="184"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We intend to pursue opportunities created by the accelerating transition toward sustainable use of energy and natural resources. The renewable energy sector has emerged from a niche source of electricity to be the key driver of growth in the industry, with an estimated $1.5 trillion invested globally between 2015 through 2019 according to IEA. Our sponsor has been a leader in identifying this trend and making investments in the renewable energy sector. Our primary areas of focus include products, equipment, services and technologies enabling the continued decarbonization of the economy. We plan to target companies that serve rapidly growing segments in the clean energy ecosystem, including renewable power generation, energy storage, the distributed electrical grid, zero-emission transportation, renewable fuels, carbon capture, utilization and storage, zero/low-carbon industrial applications and sustainable manufacturing. We believe that market leaders within these high-impact segments can deliver superior long-term returns to equity investors.</w:t>
      </w:r>
    </w:p>
    <w:p>
      <w:pPr>
        <w:spacing w:after="0" w:line="178"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Our sponsor is an affiliate of ArcLight Capital Partners, LLC (“ArcLight”), one of the leading private equity firms focused on energy infrastructure investments in North America. Since inception, ArcLight has been at the forefront of the energy transition, investing $23 billion in 111 platform investments across the energy infrastructure landscape, including approximately 5 gigawatts of renewable generation as well as critical assets within the U.S. electric grid. ArcLight has also extensive exposure to the transportation sector through its investments in multiple fuel supply and logistics companies. ArcLight’s joint venture and transaction counterparties range from some of the largest global corporations to privately-held, entrepreneur-led businesses. We expect that ArcLight’s long standing operational partner, Consolidated Asset Management Services, LLC (“CAMS”), which is minority-owned by an affiliate of ArcLight and which has a 12-year working relationship with ArcLight, will bring to bear its experience in providing information technology, environmental health and safety, engineering, due diligence and general operating services to the renewable energy sector, as well as its relationships with an extensive network of equipment, services and software providers.</w:t>
      </w:r>
    </w:p>
    <w:p>
      <w:pPr>
        <w:spacing w:after="0" w:line="166" w:lineRule="exact"/>
        <w:rPr>
          <w:sz w:val="20"/>
          <w:szCs w:val="20"/>
          <w:color w:val="auto"/>
        </w:rPr>
      </w:pPr>
    </w:p>
    <w:p>
      <w:pPr>
        <w:jc w:val="both"/>
        <w:ind w:left="300" w:right="560" w:firstLine="426"/>
        <w:spacing w:after="0" w:line="263" w:lineRule="auto"/>
        <w:rPr>
          <w:sz w:val="20"/>
          <w:szCs w:val="20"/>
          <w:color w:val="auto"/>
        </w:rPr>
      </w:pPr>
      <w:r>
        <w:rPr>
          <w:rFonts w:ascii="Arial" w:cs="Arial" w:eastAsia="Arial" w:hAnsi="Arial"/>
          <w:sz w:val="18"/>
          <w:szCs w:val="18"/>
          <w:color w:val="auto"/>
        </w:rPr>
        <w:t>We are confident that our sponsor’s extensive track record, established investment team, broad industry relationships and deal-making capabilities give us a distinct advantage to capitalize on the long-term opportunities created by the ongoing transition toward a clean energy economy.</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We believe that the inexorable global economic transition toward the sustainable use of energy and natural resources presents significant, attractive investment opportunities within existing and emerging industries. Between 2009 and 2019, global non-hydro renewables generation capacity grew by over 1,000 GW, increasing its share of power generation from approximately 3% to approximately 10% according to BP. We believe that over the coming decades the pace and scope of investments will continue to increase exponentially, as the urgency of decarbonizing the economy grows and the number of sectors ripe for transitioning to a sustainable model proliferates. Additionally, the regulatory frameworks incentivizing the adoption of sustainable practices and technologies, such as the European Union’s Action Plan on Financing Sustainable Growth and related Taxonomy Regulation, are expected to become increasingly favorable to the sectors that we are targeting over time. These trends provide long-term tailwinds for companies that develop assets and provide equipment, software and services enabling an integrated approach to the continued decarbonization of the economy.</w:t>
      </w:r>
    </w:p>
    <w:p>
      <w:pPr>
        <w:spacing w:after="0" w:line="181" w:lineRule="exact"/>
        <w:rPr>
          <w:sz w:val="20"/>
          <w:szCs w:val="20"/>
          <w:color w:val="auto"/>
        </w:rPr>
      </w:pPr>
    </w:p>
    <w:p>
      <w:pPr>
        <w:jc w:val="both"/>
        <w:ind w:left="300" w:right="60" w:firstLine="426"/>
        <w:spacing w:after="0" w:line="263" w:lineRule="auto"/>
        <w:rPr>
          <w:sz w:val="20"/>
          <w:szCs w:val="20"/>
          <w:color w:val="auto"/>
        </w:rPr>
      </w:pPr>
      <w:r>
        <w:rPr>
          <w:rFonts w:ascii="Arial" w:cs="Arial" w:eastAsia="Arial" w:hAnsi="Arial"/>
          <w:sz w:val="18"/>
          <w:szCs w:val="18"/>
          <w:color w:val="auto"/>
        </w:rPr>
        <w:t>As part of this transition, we expect rapidly growing penetration of intermittent renewable resources, distributed generation and storage, and power-intensive distributed applications such as charging stations, which will in turn require an increase in grid assets and technologies, both at the utility scale and at the edge of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87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96" w:lineRule="auto"/>
        <w:rPr>
          <w:sz w:val="20"/>
          <w:szCs w:val="20"/>
          <w:color w:val="auto"/>
        </w:rPr>
      </w:pPr>
      <w:r>
        <w:rPr>
          <w:rFonts w:ascii="Arial" w:cs="Arial" w:eastAsia="Arial" w:hAnsi="Arial"/>
          <w:sz w:val="16"/>
          <w:szCs w:val="16"/>
          <w:color w:val="auto"/>
        </w:rPr>
        <w:t>network. These changes are poised to create opportunities for the providers of equipment, services and software that facilitate the efficient and customer-focused deployment and management of an evolving and growing electrical infrastructure network and the integration with legacy utility operations. Similarly, we anticipate large, sustained opportunities to deploy energy efficiency solutions as part of the upgrading of the building sector in the residential, commercial, industrial and public-sector end markets. We believe that similar opportunities will develop in the water, chemicals, industrial, construction and manufacturing sectors, all of which will require investment and expertise to develop tailored solutions.</w:t>
      </w:r>
    </w:p>
    <w:p>
      <w:pPr>
        <w:spacing w:after="0" w:line="161" w:lineRule="exact"/>
        <w:rPr>
          <w:sz w:val="20"/>
          <w:szCs w:val="20"/>
          <w:color w:val="auto"/>
        </w:rPr>
      </w:pPr>
    </w:p>
    <w:p>
      <w:pPr>
        <w:ind w:left="300" w:right="400" w:firstLine="426"/>
        <w:spacing w:after="0" w:line="279" w:lineRule="auto"/>
        <w:rPr>
          <w:sz w:val="20"/>
          <w:szCs w:val="20"/>
          <w:color w:val="auto"/>
        </w:rPr>
      </w:pPr>
      <w:r>
        <w:rPr>
          <w:rFonts w:ascii="Arial" w:cs="Arial" w:eastAsia="Arial" w:hAnsi="Arial"/>
          <w:sz w:val="17"/>
          <w:szCs w:val="17"/>
          <w:color w:val="auto"/>
        </w:rPr>
        <w:t>We also believe that the migration of the transportation sector toward zero-emission vehicles will spur investments in electric charging, hydrogen refueling and renewable-fuel production networks. Furthermore, the ongoing re-thinking of transportation across public, private and shared mobility solutions, combined with the advent of autonomous driving technologies will create a paradigm shift on the technology and infrastructure required to support the circulation of passenger and commercial vehicles.</w:t>
      </w:r>
    </w:p>
    <w:p>
      <w:pPr>
        <w:spacing w:after="0" w:line="171" w:lineRule="exact"/>
        <w:rPr>
          <w:sz w:val="20"/>
          <w:szCs w:val="20"/>
          <w:color w:val="auto"/>
        </w:rPr>
      </w:pPr>
    </w:p>
    <w:p>
      <w:pPr>
        <w:jc w:val="both"/>
        <w:ind w:left="300" w:right="460" w:firstLine="426"/>
        <w:spacing w:after="0" w:line="263" w:lineRule="auto"/>
        <w:rPr>
          <w:sz w:val="20"/>
          <w:szCs w:val="20"/>
          <w:color w:val="auto"/>
        </w:rPr>
      </w:pPr>
      <w:r>
        <w:rPr>
          <w:rFonts w:ascii="Arial" w:cs="Arial" w:eastAsia="Arial" w:hAnsi="Arial"/>
          <w:sz w:val="18"/>
          <w:szCs w:val="18"/>
          <w:color w:val="auto"/>
        </w:rPr>
        <w:t>In summary, we believe that innovative, well-managed, market leaders within these high-impact sectors can capitalize on rapid market adoption of technologies capable of enhancing operating efficiencies, performance and convenience to asset owners and end users, delivering superior long-term returns to equity investors.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Sponsor</w:t>
      </w:r>
    </w:p>
    <w:p>
      <w:pPr>
        <w:spacing w:after="0" w:line="121"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color w:val="auto"/>
        </w:rPr>
        <w:t>ArcLight is one of the leading firms focused on energy infrastructure investments in North America. Established in 2001 and based in Boston, Massachusetts, ArcLight has invested $23 billion in 111 platform investments across the energy infrastructure landscape since inception. ArcLight’s investors include many of the largest pension funds, sovereign wealth funds, and endowments in the world. ArcLight has a highly experienced investment team complemented by a broad range of in-house specialists and external advisers. We expect that ArcLight’s resources will be made available to assist us in executing our initial business combination.</w:t>
      </w:r>
    </w:p>
    <w:p>
      <w:pPr>
        <w:spacing w:after="0" w:line="176" w:lineRule="exact"/>
        <w:rPr>
          <w:sz w:val="20"/>
          <w:szCs w:val="20"/>
          <w:color w:val="auto"/>
        </w:rPr>
      </w:pPr>
    </w:p>
    <w:p>
      <w:pPr>
        <w:ind w:left="300" w:right="140" w:firstLine="426"/>
        <w:spacing w:after="0" w:line="273" w:lineRule="auto"/>
        <w:rPr>
          <w:sz w:val="20"/>
          <w:szCs w:val="20"/>
          <w:color w:val="auto"/>
        </w:rPr>
      </w:pPr>
      <w:r>
        <w:rPr>
          <w:rFonts w:ascii="Arial" w:cs="Arial" w:eastAsia="Arial" w:hAnsi="Arial"/>
          <w:sz w:val="17"/>
          <w:szCs w:val="17"/>
          <w:color w:val="auto"/>
        </w:rPr>
        <w:t>Having recognized the value of sound stewardship and control, ArcLight’s environmental, social and governance (“ESG”) policies and programs have been evolving since the formal adoption of its ESG Investment Guidelines in 2011. For example, in 2015, ArcLight developed its formal ESG program and since that time has formed an ESG team that includes, from time to time, members of our investment, compliance, risk management, and investor relations teams. The ESG team works with ArcLight’s broader team and investments to build ESG awareness and capacity, to gather and report on certain ESG data, and, in a manner consistent with its fiduciary duties to its investors, to identify opportunities to build ESG considerations into ArcLight’s investment and management decisions.</w:t>
      </w:r>
    </w:p>
    <w:p>
      <w:pPr>
        <w:spacing w:after="0" w:line="178"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ArcLight Clean Transition Corp., an affiliate of our sponsor launched with a similar mission to our Company, announced a business combination with Proterra Inc. on January 12, 2021. Proterra Inc. is a leader in the design and manufacture of zero-emission electric transit vehicles and EV technology solutions for commercial applications. This acquisition, expected to close in the first half of 2021, highlights our sponsor’s connectivity and knowledge in the electric mobility space.</w:t>
      </w:r>
    </w:p>
    <w:p>
      <w:pPr>
        <w:spacing w:after="0" w:line="187" w:lineRule="exact"/>
        <w:rPr>
          <w:sz w:val="20"/>
          <w:szCs w:val="20"/>
          <w:color w:val="auto"/>
        </w:rPr>
      </w:pPr>
    </w:p>
    <w:p>
      <w:pPr>
        <w:ind w:left="300" w:right="340" w:firstLine="426"/>
        <w:spacing w:after="0" w:line="257" w:lineRule="auto"/>
        <w:rPr>
          <w:sz w:val="20"/>
          <w:szCs w:val="20"/>
          <w:color w:val="auto"/>
        </w:rPr>
      </w:pPr>
      <w:r>
        <w:rPr>
          <w:rFonts w:ascii="Arial" w:cs="Arial" w:eastAsia="Arial" w:hAnsi="Arial"/>
          <w:sz w:val="18"/>
          <w:szCs w:val="18"/>
          <w:color w:val="auto"/>
        </w:rPr>
        <w:t>ArcLight has owned interests in approximately 5 gigawatts of renewable energy infrastructure, including, at the time of construction, the largest wind project ever developed in the U.S. ArcLight recognized the importance of the clean energy transition early and deployed capital to support this core belief through multiple investments in renewables generation, electric grids, automotive refueling infrastructure and logistics. ArcLight began investing in renewable energy in 2001 and has since invested $4 billion in 16 platforms representing 88 individual renewable projects, including:</w:t>
      </w:r>
    </w:p>
    <w:p>
      <w:pPr>
        <w:spacing w:after="0" w:line="93" w:lineRule="exact"/>
        <w:rPr>
          <w:sz w:val="20"/>
          <w:szCs w:val="20"/>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Alta Wind: 1,550-megawatt wind development, the largest in the U.S. at the time of construction;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84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Terra-Gen: Developer, owner and operator of a 653-megawatt portfolio of utility-scale clean energy assets at the time of exit; and</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 River Hydro: 584-megawatt hydroelectric power platform, the largest in New England.</w:t>
      </w:r>
    </w:p>
    <w:p>
      <w:pPr>
        <w:spacing w:after="0" w:line="225"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color w:val="auto"/>
        </w:rPr>
        <w:t>ArcLight also has differentiated insights into the electrical grid and the grid’s ongoing evolution to support the increased penetration of renewables and grid-edge applications. ArcLight has invested in multiple grid assets, including:</w:t>
      </w:r>
    </w:p>
    <w:p>
      <w:pPr>
        <w:spacing w:after="0" w:line="76" w:lineRule="exact"/>
        <w:rPr>
          <w:sz w:val="20"/>
          <w:szCs w:val="20"/>
          <w:color w:val="auto"/>
        </w:rPr>
      </w:pPr>
    </w:p>
    <w:p>
      <w:pPr>
        <w:ind w:left="1240" w:hanging="415"/>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Path 15: 1,500-megawatt line upgrade that debottlenecked a critical Southern-to-Northern California power interconnect; and</w:t>
      </w:r>
    </w:p>
    <w:p>
      <w:pPr>
        <w:spacing w:after="0" w:line="142" w:lineRule="exact"/>
        <w:rPr>
          <w:rFonts w:ascii="Arial" w:cs="Arial" w:eastAsia="Arial" w:hAnsi="Arial"/>
          <w:sz w:val="17"/>
          <w:szCs w:val="17"/>
          <w:color w:val="auto"/>
        </w:rPr>
      </w:pPr>
    </w:p>
    <w:p>
      <w:pPr>
        <w:ind w:left="1240" w:right="68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Neptune Regional Transmission System: 660-megawatt undersea and underground direct current line that provides more than 20 percent of Long Island’s typical electricity demand</w:t>
      </w:r>
    </w:p>
    <w:p>
      <w:pPr>
        <w:spacing w:after="0" w:line="170"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Furthermore, ArcLight’s extensive experience in the fuel supply and logistics space provide us with unique and real-time insights into critical factors impacting the successful rollout of biofuels and EV charging infrastructure, including automotive consumer behavior, real estate development and convenience offerings. Representative investments include:</w:t>
      </w:r>
    </w:p>
    <w:p>
      <w:pPr>
        <w:spacing w:after="0" w:line="89" w:lineRule="exact"/>
        <w:rPr>
          <w:sz w:val="20"/>
          <w:szCs w:val="20"/>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Thorntons, the owner and operator of more than 200 convenience stores and travel centers;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Gulf, one of the largest branded sales platforms in the automotive industry</w:t>
      </w:r>
    </w:p>
    <w:p>
      <w:pPr>
        <w:spacing w:after="0" w:line="225" w:lineRule="exact"/>
        <w:rPr>
          <w:sz w:val="20"/>
          <w:szCs w:val="20"/>
          <w:color w:val="auto"/>
        </w:rPr>
      </w:pPr>
    </w:p>
    <w:p>
      <w:pPr>
        <w:ind w:left="300" w:right="440" w:firstLine="426"/>
        <w:spacing w:after="0" w:line="342" w:lineRule="auto"/>
        <w:rPr>
          <w:sz w:val="20"/>
          <w:szCs w:val="20"/>
          <w:color w:val="auto"/>
        </w:rPr>
      </w:pPr>
      <w:r>
        <w:rPr>
          <w:rFonts w:ascii="Arial" w:cs="Arial" w:eastAsia="Arial" w:hAnsi="Arial"/>
          <w:sz w:val="16"/>
          <w:szCs w:val="16"/>
          <w:color w:val="auto"/>
        </w:rPr>
        <w:t>As a result of its long-dated presence in the clean energy transition space, ArcLight has developed deep relationships with companies, executives and intermediaries that we believe will provide us with an advantage in accessing business combination opportunities in the space.</w:t>
      </w:r>
    </w:p>
    <w:p>
      <w:pPr>
        <w:spacing w:after="0" w:line="124"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We currently have a formal arrangement in place with CAMS, ArcLight’s operational partner, whereby CAMS would make available to us a team of individuals highly experienced across the various sectors in which we expect to complete our initial business combination. Formed in 2007, CAMS has more than ~1,500 employees providing operational and asset management services to the renewable and conventional energy sectors, including information technology, environmental health and safety, asset integrity, engineering and due diligence services. CAMS has been involved in over 100 projects, including 19 wind facilities and 23 solar facilities totaling over 3.4 gigawatts. CAMS is also an industry leader in the decommissioning of legacy fossil generation facilities and the repurposing and repowering of sites for solar and battery storage installation. Through its day-to-day activities, CAMS has developed strong commercial and strategic relationships with most large equipment, services and software providers within the renewable segment, giving it a unique perspective on market-leading companies in the industry.</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121" w:lineRule="exact"/>
        <w:rPr>
          <w:sz w:val="20"/>
          <w:szCs w:val="20"/>
          <w:color w:val="auto"/>
        </w:rPr>
      </w:pPr>
    </w:p>
    <w:p>
      <w:pPr>
        <w:ind w:left="300" w:right="300" w:firstLine="426"/>
        <w:spacing w:after="0" w:line="263" w:lineRule="auto"/>
        <w:rPr>
          <w:sz w:val="20"/>
          <w:szCs w:val="20"/>
          <w:color w:val="auto"/>
        </w:rPr>
      </w:pPr>
      <w:r>
        <w:rPr>
          <w:rFonts w:ascii="Arial" w:cs="Arial" w:eastAsia="Arial" w:hAnsi="Arial"/>
          <w:sz w:val="18"/>
          <w:szCs w:val="18"/>
          <w:color w:val="auto"/>
        </w:rPr>
        <w:t>Our company is supported by a full management team with decades of experience completing transactions and managing several billion dollars of equity capital in the renewable energy, power and energy infrastructure sectors. Our management team is expected to be supported by ArcLight and CAMS. Our operations will also be overseen by an experienced board of directors.</w:t>
      </w:r>
    </w:p>
    <w:p>
      <w:pPr>
        <w:spacing w:after="0" w:line="184" w:lineRule="exact"/>
        <w:rPr>
          <w:sz w:val="20"/>
          <w:szCs w:val="20"/>
          <w:color w:val="auto"/>
        </w:rPr>
      </w:pPr>
    </w:p>
    <w:p>
      <w:pPr>
        <w:ind w:left="300" w:right="460" w:firstLine="426"/>
        <w:spacing w:after="0" w:line="275" w:lineRule="auto"/>
        <w:rPr>
          <w:sz w:val="20"/>
          <w:szCs w:val="20"/>
          <w:color w:val="auto"/>
        </w:rPr>
      </w:pPr>
      <w:r>
        <w:rPr>
          <w:rFonts w:ascii="Arial" w:cs="Arial" w:eastAsia="Arial" w:hAnsi="Arial"/>
          <w:sz w:val="17"/>
          <w:szCs w:val="17"/>
          <w:color w:val="auto"/>
        </w:rPr>
        <w:t>Daniel R. Revers serves as our Chairman. Mr. Revers is the founder of ArcLight and has 30 years of energy finance and private equity experience. Mr. Revers is responsible for overall investment, asset management, strategic planning, and operations of ArcLight and its funds. Mr. Revers has also been serving as Chairman of the board of directors of ACTC I (Nasdaq: ACTC) since September 2020. Mr. Revers was previously a director at American Midstream Partners, L.P. and JP Energy Partners, L.P. Prior to forming ArcLight in 2001, Mr. Revers was a Managing Director in the Corporate Finance Group at John Hancock Financial Services, a private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75" w:lineRule="auto"/>
        <w:rPr>
          <w:sz w:val="20"/>
          <w:szCs w:val="20"/>
          <w:color w:val="auto"/>
        </w:rPr>
      </w:pPr>
      <w:r>
        <w:rPr>
          <w:rFonts w:ascii="Arial" w:cs="Arial" w:eastAsia="Arial" w:hAnsi="Arial"/>
          <w:sz w:val="17"/>
          <w:szCs w:val="17"/>
          <w:color w:val="auto"/>
        </w:rPr>
        <w:t>insurance and financial services firm, where he was responsible for the origination, execution, and management of a $6 billion portfolio consisting of debt, equity, and mezzanine investments in the energy industry. Prior to joining John Hancock in 1995, Mr. Revers held various financial positions at Wheelabrator Technologies, where he specialized in the development, acquisition, and financing of domestic and international power and energy projects. Mr. Revers earned a Bachelor of Arts in Economics from Lafayette College and a Master of Business Administration from the Amos Tuck School of Business Administration at Dartmouth College.</w:t>
      </w:r>
    </w:p>
    <w:p>
      <w:pPr>
        <w:spacing w:after="0" w:line="176"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John F. Erhard (“Jake F. Erhard”) serves as our President, Chief Executive Officer and Director. Mr. Erhard is also a Partner and Head of ESG at ArcLight, where he has worked in various leadership positions since September 2001. Mr. Erhard has 20 years of energy finance and private equity experience. Mr. Erhard has also been serving as President, Chief Executive Officer and a Director of ACTC I (Nasdaq: ACTC) since September 2020 and will join the board of directors of Proterra upon the closing of the business combination between Proterra and ACTC I. Mr. Erhard was previously a director at American Midstream Partners, L.P., Buckeye Partners, LP, and JP Energy Partners, L.P. Prior to joining ArcLight, Mr. Erhard was an Analyst at the investment banking firm Schroder Wertheim, where he focused on mergers and acquisitions. Mr. Erhard earned a Bachelor of Arts in Economics from Princeton University and a Juris Doctor from Harvard Law School.</w:t>
      </w:r>
    </w:p>
    <w:p>
      <w:pPr>
        <w:spacing w:after="0" w:line="177"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Marco F. Gatti serves as our Chief Financial Officer. Mr. Gatti joined ArcLight in 2018 and has 11 years of energy and private equity experience. Mr. Gatti has also been serving as Chief Financial Officer of ACTC I (Nasdaq: ACTC) since September 2020. Prior to joining ArcLight,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177" w:lineRule="exact"/>
        <w:rPr>
          <w:sz w:val="20"/>
          <w:szCs w:val="20"/>
          <w:color w:val="auto"/>
        </w:rPr>
      </w:pPr>
    </w:p>
    <w:p>
      <w:pPr>
        <w:ind w:left="300" w:right="80" w:firstLine="426"/>
        <w:spacing w:after="0" w:line="296" w:lineRule="auto"/>
        <w:rPr>
          <w:sz w:val="20"/>
          <w:szCs w:val="20"/>
          <w:color w:val="auto"/>
        </w:rPr>
      </w:pPr>
      <w:r>
        <w:rPr>
          <w:rFonts w:ascii="Arial" w:cs="Arial" w:eastAsia="Arial" w:hAnsi="Arial"/>
          <w:sz w:val="16"/>
          <w:szCs w:val="16"/>
          <w:color w:val="auto"/>
        </w:rPr>
        <w:t>Kerrick S. Knauth (“Rick S. Knauth”) serves as our Chief Operating Officer. Mr. Knauth joined CAMS in 2013 and has 25 years of energy project development and asset management experience. Mr. Knauth has also been serving as Chief Operating Officer of ACTC I (Nasdaq: ACTC) since September 2020. Prior to CAMS, Mr. Knauth was a Director at Vestas, a Danish wind turbine manufacturer, where he held both contract negotiation and asset management roles. Mr. Knauth has a bachelor’s degree in engineering from Tulane University and an MA in Economics and International Relations from the Johns Hopkins School of Advanced International Studies, with a concentration in energy and the environment.</w:t>
      </w:r>
    </w:p>
    <w:p>
      <w:pPr>
        <w:spacing w:after="0" w:line="161" w:lineRule="exact"/>
        <w:rPr>
          <w:sz w:val="20"/>
          <w:szCs w:val="20"/>
          <w:color w:val="auto"/>
        </w:rPr>
      </w:pPr>
    </w:p>
    <w:p>
      <w:pPr>
        <w:ind w:left="300" w:right="180" w:firstLine="426"/>
        <w:spacing w:after="0" w:line="255" w:lineRule="auto"/>
        <w:rPr>
          <w:sz w:val="20"/>
          <w:szCs w:val="20"/>
          <w:color w:val="auto"/>
        </w:rPr>
      </w:pPr>
      <w:r>
        <w:rPr>
          <w:rFonts w:ascii="Arial" w:cs="Arial" w:eastAsia="Arial" w:hAnsi="Arial"/>
          <w:sz w:val="18"/>
          <w:szCs w:val="18"/>
          <w:color w:val="auto"/>
        </w:rPr>
        <w:t>Christine M. Miller serves as our General Counsel. Ms. Miller joined ArcLight in 2004 and has 23 years of legal experience in the areas of investment transactions and fund operations, with 21 years specific to energy finance and private equity. Ms. Miller has also been serving as General Counsel of ACTC I (Nasdaq: ACTC) since September 2020. Prior to joining ArcLight, she was Counsel in John Hancock’s Investment Law Division, where she represented investment managers and advised institutional investors in purchasing private debt and equity securities. Ms. Miller earned a Bachelor of Arts in Political Science from the University of Massachusetts at Amherst and a Juris Doctor from Boston University School of Law.</w:t>
      </w:r>
    </w:p>
    <w:p>
      <w:pPr>
        <w:spacing w:after="0" w:line="192"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Arno Harris has agreed to serve on our board of directors. Mr. Harris has spent the last 25 years starting and growing successful businesses in high technology, clean energy and electric mobility. Mr. Harris has also been serving on the board of directors of ACTC I (Nasdaq: ACTC). He now advises startups and growth companies, helping them to raise capital and achieve scale. In addition to his advisory work, Mr. Harris serves as an independent director for Pacific Gas &amp; Electric Company (NYSE:PCG), California’s largest investor-owned utility, and Azure Power Global Limited (NYSE:AZRE), India’s leading solar developer with almost 2GW of operating assets and over 5GW in development. Between 2006 and 2015, Mr. Harris was the founder, CEO and chair of Recurrent Energy, one of North America’s largest solar project developers. Prior to Recurrent Energy,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80"/>
        <w:spacing w:after="0" w:line="277" w:lineRule="auto"/>
        <w:rPr>
          <w:sz w:val="20"/>
          <w:szCs w:val="20"/>
          <w:color w:val="auto"/>
        </w:rPr>
      </w:pPr>
      <w:r>
        <w:rPr>
          <w:rFonts w:ascii="Arial" w:cs="Arial" w:eastAsia="Arial" w:hAnsi="Arial"/>
          <w:sz w:val="18"/>
          <w:szCs w:val="18"/>
          <w:color w:val="auto"/>
        </w:rPr>
        <w:t>Mr. Harris was the founder and CEO of Prevalent Power, one of California’s fastest growing commercial solar project developers. Mr. Harris earned a Bachelor of Arts from the University of California Berkeley.</w:t>
      </w:r>
    </w:p>
    <w:p>
      <w:pPr>
        <w:spacing w:after="0" w:line="170" w:lineRule="exact"/>
        <w:rPr>
          <w:sz w:val="20"/>
          <w:szCs w:val="20"/>
          <w:color w:val="auto"/>
        </w:rPr>
      </w:pPr>
    </w:p>
    <w:p>
      <w:pPr>
        <w:ind w:left="300" w:right="60" w:firstLine="426"/>
        <w:spacing w:after="0" w:line="269" w:lineRule="auto"/>
        <w:rPr>
          <w:sz w:val="20"/>
          <w:szCs w:val="20"/>
          <w:color w:val="auto"/>
        </w:rPr>
      </w:pPr>
      <w:r>
        <w:rPr>
          <w:rFonts w:ascii="Arial" w:cs="Arial" w:eastAsia="Arial" w:hAnsi="Arial"/>
          <w:sz w:val="17"/>
          <w:szCs w:val="17"/>
          <w:color w:val="auto"/>
        </w:rPr>
        <w:t>Dr. Ja-Chin Audrey Lee has agreed to serve on our board of directors. Dr. Lee has 15 years of experience in clean energy. Dr. Lee has also been serving on the board of directors of ACTC I (Nasdaq: ACTC). Previously, Dr. Lee served as Vice President of Energy Services at Sunrun Inc (NASDAQ: RUN) from 2017 to 2020. Prior to Sunrun, she served as Vice President of Analytics and Design at Advanced Microgrid Solutions from 2014 to 2017. Before her role at Advanced Microgrid Solutions, Dr. Lee was appointed by the Governor as Advisor to the President of the California Public Utilities Commission from 2011 to 2014, where she led the approval of first-in-the-nation rules on customer energy data. Dr. Lee serves on the board of Gridworks, a non-profit that convenes, educates and empowers stakeholders to decarbonize electricity grids. She also serves on the board of Pinnacle Engines, commercializing advanced engines for reduced petroleum usage and greenhouse gas emissions. Dr. Lee also serves on the board of Redaptive, an Efficiency-as-a-Service tool for commercial and industrial customers. She volunteered as Co-Chair and Co-Founder of Clean Energy for Biden. Dr. Lee earned her Ph.D. and M.S. in Electrical Engineering from Princeton University and her B.S. in Applied Physics from the California Institute of Technology.</w:t>
      </w:r>
    </w:p>
    <w:p>
      <w:pPr>
        <w:spacing w:after="0" w:line="185"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Brian Goncher has agreed to serve on our board of directors. Mr. Goncher is Strategy Advisor to Powerhouse and active member of Clean Energy for Biden with more than 42 years of experience in finance, management and consulting. Mr. Goncher has also been serving on the board of directors of ACTC I (Nasdaq: ACTC). Mr. Goncher was a Managing Director at Deloitte until 2019, where he created and led their Energy Tech Practice. Before Deloitte, Mr. Goncher was a venture capitalist at Frontier Ventures between 1997 and 2000, and Crystal Ventures between 2000 and 2003 where he invested in technology companies. In addition, between 1990 and 1996, Mr. Goncher created and led the Emerging Company Services Group at Coopers &amp; Lybrand (now part of PwC). He provided financial and strategic consulting services to tech startups. Earlier in his career, Mr. Goncher was the founder/CFO of several technology-enabled startups and a Corporate Banking Officer at Bank of America. Mr. Goncher earned a BS in Economics and MBA in Finance from the University of Chicago.</w:t>
      </w:r>
    </w:p>
    <w:p>
      <w:pPr>
        <w:spacing w:after="0" w:line="178"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Steven Berkenfeld has agreed to serve on our board of directors. After 33 years, Mr. Berkenfeld retired from a career in investment banking in 2019 to focus entirely on impact and sustainability. Steven is founder and principal of Ecotopia Consulting LLC and is primarily engaged in advising earlier stage, mission driven companies. Mr. Berkenfeld has also been serving on the board of directors of ACTC I (Nasdaq: ACTC). Previously he was a Managing Director in Investment Banking at Barclays where he served as senior sponsor of the Environmental and Social Impact Banking Initiative and was co head of the firm’s Cleantech Initiative. Before joining Barclays in 2008, Steven spent over 21 years at Lehman Brothers in numerous roles including Chief Investment Officer of the firm’s Private Equity Division. Steven is former chair of the board of the Sierra Club Foundation, and is a sponsor of several projects, and board member of several other organizations, focused on social impact and sustainability. He holds a J.D. from Columbia Law School and a Bachelor’s Degree from Cornell University.</w:t>
      </w:r>
    </w:p>
    <w:p>
      <w:pPr>
        <w:spacing w:after="0" w:line="165"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In July 2020, an affiliate of our Sponsor incorporated ACTC I, a blank check company incorporated for substantially similar purposes as our company. ACTC I completed its initial public offering in September 2020, in which it sold a total of 27,750,000 units, each consisting of one Class A ordinary share of ACTC I and one-half of one redeemable warrant to purchase one Class A ordinary share of ACTC I, for an offering price of $10.00 per unit, generating aggregate proceeds of $277.5 million. Mr. Erhard is the President and Chief Executive Officer of ACTC I and a director on ACTC I’s board of directors, Mr. Gatti is the Chief Financial Officer of ACTC I, Mr. Revers is the Chairman of the board of directors of ACTC I, Mr. Knauth serves as Chief Operating Officer of ACTC I and Ms. Miller serves as General Counsel of ACTC I, Mr. Harris, Dr. Lee, Mr. Berkenfeld and Mr. Goncher all serve on ACTC I’s board of directors, and each owes fiduciary duties under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Cayman Islands law to ACTC I. On January 12, 2021, ACTC I announced that it had entered into a definitive agreement with Proterra Inc, a leading innovator in commercial vehicle electrification technology, to combine. The transaction is expected to close in the first half of 2021, subject to the satisfaction of customary closing conditions, including the approval of the shareholders of ACTC I. Upon the closing of the transaction, it is expected that Proterra Inc will trade under the ticker symbol PTRA on NASDAQ.</w:t>
      </w:r>
    </w:p>
    <w:p>
      <w:pPr>
        <w:spacing w:after="0" w:line="187" w:lineRule="exact"/>
        <w:rPr>
          <w:sz w:val="20"/>
          <w:szCs w:val="20"/>
          <w:color w:val="auto"/>
        </w:rPr>
      </w:pPr>
    </w:p>
    <w:p>
      <w:pPr>
        <w:ind w:left="300" w:right="120" w:firstLine="426"/>
        <w:spacing w:after="0" w:line="286" w:lineRule="auto"/>
        <w:rPr>
          <w:sz w:val="20"/>
          <w:szCs w:val="20"/>
          <w:color w:val="auto"/>
        </w:rPr>
      </w:pPr>
      <w:r>
        <w:rPr>
          <w:rFonts w:ascii="Arial" w:cs="Arial" w:eastAsia="Arial" w:hAnsi="Arial"/>
          <w:sz w:val="16"/>
          <w:szCs w:val="16"/>
          <w:color w:val="auto"/>
        </w:rPr>
        <w:t>With respect to the above, past performance of our management team (including with respect to ACTC I), ArcLight and CAMS is not a guarantee of either (i) success with respect to any business combination that may be consummated, (ii) the ability to successfully identify and execute a transaction or (iii) the success of any business ultimately identified or acquired. You should not rely on the historical record of management, ArcLight, CAMS or their respective affiliates as indicative of future performance. Past performance by our management team (including with respect to ACTC I), ArcLight and CAMS, including investments and transactions in which they have participated and businesses with which they have been associated, may not be indicative of future performance of an investment in us, and we may be unable to provide positive returns to shareholders. See “Risk Factors — Past performance by our management team (including with respect to ACTC I), ArcLight and CAMS or their respective affiliates may not be indicative of future performance of an investment in us.” References to total amounts invested in across the energy infrastructure landscape and amounts invested in renewable energy infrastructure refer to the gross capital invested in such portfolio investments without reduction for any “recycled” distributions from such portfolio investments (e.g. sales or recapitalization proceeds from portfolio investments that have been distributed to the applicable fund by a portfolio company within approximately one year of the date of the investment). All capacity ratings presented herein are nominal ratings, which may differ from nameplate and/or seasonal ratings. Nominal ratings are the most typical representation of capacity and differ from nameplate and/or seasonal ratings, which are calculated based on defined conditions that vary (e.g. temperature and other inputs). For a list of our executive officers and entities for which a conflict of interest may or does exist between such officers and the company, please refer to “Management — Conflicts of Interest.”</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Our business strategy is to identify and complete an initial business combination that creates substantial long-term value for our shareholders. We will seek targets that we believe are market leaders in facilitating the transition of the energy industry toward decarbonization and sustainability and are positioned to generate long-term value and growing cash flows. We believe ArcLight’s network of proprietary transaction sources and relationships, combined with its investment team’s deep experience in the renewable energy industry, will allow us to effectively and efficiently identify and evaluate potential opportunities for our initial business combination. In addition to ArcLight’s network and expertise, we plan to leverage CAMS’ footprint and relationships with service providers, clients and counterparties, to extend our access to opportunities. We will seek to:</w:t>
      </w:r>
    </w:p>
    <w:p>
      <w:pPr>
        <w:spacing w:after="0" w:line="100" w:lineRule="exact"/>
        <w:rPr>
          <w:sz w:val="20"/>
          <w:szCs w:val="20"/>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capitalize on the wide opportunity set of companies driving the transition toward decarbonization and sustainability;</w:t>
      </w:r>
    </w:p>
    <w:p>
      <w:pPr>
        <w:spacing w:after="0" w:line="130" w:lineRule="exact"/>
        <w:rPr>
          <w:rFonts w:ascii="Arial" w:cs="Arial" w:eastAsia="Arial" w:hAnsi="Arial"/>
          <w:sz w:val="18"/>
          <w:szCs w:val="18"/>
          <w:color w:val="auto"/>
        </w:rPr>
      </w:pPr>
    </w:p>
    <w:p>
      <w:pPr>
        <w:ind w:left="1240" w:right="32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 our management team and sponsor’s wealth of knowledge of the renewable energy and transportation industry to identify promising subsectors and market-leading companies within them;</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 the transactional experience of our management team and sponsor to effectuate a transaction;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utilize CAMS’ network and team of experts to identify and diligence targets, and potentially transform companies;</w:t>
      </w:r>
    </w:p>
    <w:p>
      <w:pPr>
        <w:spacing w:after="0" w:line="130"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 and prepare potential targets to succeed as public companies and take advantage of unique opportunities offered by the public markets; and</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 the combination target or targets at the board level, providing guidance on organic and accretive value creation opportunities to capitalize on the opportunities offered by the energy transition.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Acquisition Criteria</w:t>
      </w:r>
    </w:p>
    <w:p>
      <w:pPr>
        <w:spacing w:after="0" w:line="121" w:lineRule="exact"/>
        <w:rPr>
          <w:sz w:val="20"/>
          <w:szCs w:val="20"/>
          <w:color w:val="auto"/>
        </w:rPr>
      </w:pPr>
    </w:p>
    <w:p>
      <w:pPr>
        <w:ind w:left="300" w:right="320" w:firstLine="426"/>
        <w:spacing w:after="0" w:line="259" w:lineRule="auto"/>
        <w:rPr>
          <w:sz w:val="20"/>
          <w:szCs w:val="20"/>
          <w:color w:val="auto"/>
        </w:rPr>
      </w:pPr>
      <w:r>
        <w:rPr>
          <w:rFonts w:ascii="Arial" w:cs="Arial" w:eastAsia="Arial" w:hAnsi="Arial"/>
          <w:sz w:val="18"/>
          <w:szCs w:val="18"/>
          <w:color w:val="auto"/>
        </w:rPr>
        <w:t>Consistent with our Business Strategy, we have established the following general criteria and guidelines to evaluate prospective target businesses. We will use these criteria and guidelines in evaluating acquisition opportunities, but we may decide to enter into our initial business combination with a target business that does not meet all of these criteria and guidelines and may consider criteria and guidelines not set forth below. We intend to acquire a business or an entity that we believe:</w:t>
      </w:r>
    </w:p>
    <w:p>
      <w:pPr>
        <w:spacing w:after="0" w:line="92" w:lineRule="exact"/>
        <w:rPr>
          <w:sz w:val="20"/>
          <w:szCs w:val="20"/>
          <w:color w:val="auto"/>
        </w:rPr>
      </w:pPr>
    </w:p>
    <w:p>
      <w:pPr>
        <w:ind w:left="1240" w:right="2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exhibits, or has the potential to develop, fundamentally sound financial performance, with visibility into revenue and cash flow growth and relatively predictable future financial performance;</w:t>
      </w:r>
    </w:p>
    <w:p>
      <w:pPr>
        <w:spacing w:after="0" w:line="75"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an active market participant in the global development of the clean energy industry, continued decarbonization of the industrial, government and consumer spaces, and/or broader transition toward a sustainable economic model;</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targets large addressable markets with long-term tailwinds and low risk of obsolescence;</w:t>
      </w:r>
    </w:p>
    <w:p>
      <w:pPr>
        <w:spacing w:after="0" w:line="130" w:lineRule="exact"/>
        <w:rPr>
          <w:rFonts w:ascii="Arial" w:cs="Arial" w:eastAsia="Arial" w:hAnsi="Arial"/>
          <w:sz w:val="18"/>
          <w:szCs w:val="18"/>
          <w:color w:val="auto"/>
        </w:rPr>
      </w:pPr>
    </w:p>
    <w:p>
      <w:pPr>
        <w:ind w:left="1240" w:right="74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a defensible market position with differentiated product offerings, technology, assets, distribution channels, supply chain capabilities or other sustainable competitive advantages;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can serve as a platform for both organic and acquisitive growth;</w:t>
      </w:r>
    </w:p>
    <w:p>
      <w:pPr>
        <w:spacing w:after="0" w:line="130"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led by an experienced management team with a proven track record and complementary capabilities, or is open to enhancing the existing management team’s strengths with additional talent through our network; and</w:t>
      </w:r>
    </w:p>
    <w:p>
      <w:pPr>
        <w:spacing w:after="0" w:line="75" w:lineRule="exact"/>
        <w:rPr>
          <w:rFonts w:ascii="Arial" w:cs="Arial" w:eastAsia="Arial" w:hAnsi="Arial"/>
          <w:sz w:val="18"/>
          <w:szCs w:val="18"/>
          <w:color w:val="auto"/>
        </w:rPr>
      </w:pPr>
    </w:p>
    <w:p>
      <w:pPr>
        <w:ind w:left="1240" w:right="58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embraces the potential to utilize our industry experience, as well as our operating, strategic, financing and M&amp;A capabilities to maximize the value to shareholders.</w:t>
      </w:r>
    </w:p>
    <w:p>
      <w:pPr>
        <w:spacing w:after="0" w:line="170"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and our sponsor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tender offer documents or proxy solicitation materials that we would file with the SEC.</w:t>
      </w:r>
    </w:p>
    <w:p>
      <w:pPr>
        <w:spacing w:after="0" w:line="192"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color w:val="auto"/>
        </w:rPr>
        <w:t>In evaluating prospective business combinations, we expect to conduct a thorough due diligence review process. This due diligence review process will be specific to the target business, but will include, among other things and to the extent relevant to the specific opportunity, a review of historical and projected financial and operating data, meetings with management and their financial sponsors, on-site inspection of assets, discussions with customers, legal and environmental reviews and other reviews as we deem appropriate. We will also utilize our management team’s expertise and ArcLight’s relationships and transaction execution abilities, as well as CAMS’ operational know-how to evaluate operating and financial projections, and to determine the appropriate return expectations given the risk profile of the target business.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believe the sourcing, valuation, diligence and execution capabilities of our management team, and the broader teams at ArcLight and CAMS will provide us with a significant pipeline of opportunities from which to evaluate and select a target for an initial business combination that will benefit from our extensive experience. Our competitive strengths include the following:</w:t>
      </w:r>
    </w:p>
    <w:p>
      <w:pPr>
        <w:spacing w:after="0" w:line="89" w:lineRule="exact"/>
        <w:rPr>
          <w:sz w:val="20"/>
          <w:szCs w:val="20"/>
          <w:color w:val="auto"/>
        </w:rPr>
      </w:pPr>
    </w:p>
    <w:p>
      <w:pPr>
        <w:ind w:left="1240" w:right="18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management team and sponsor with a long track record of attaining opportunities through propriety transaction sources and a wide network of relationships;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management team and sponsor with industry-leading experience in sectors focused on decarbonization;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sponsor with an experienced and large investment team that will assist in all aspects of transaction execution;</w:t>
      </w:r>
    </w:p>
    <w:p>
      <w:pPr>
        <w:spacing w:after="0" w:line="130" w:lineRule="exact"/>
        <w:rPr>
          <w:rFonts w:ascii="Arial" w:cs="Arial" w:eastAsia="Arial" w:hAnsi="Arial"/>
          <w:sz w:val="18"/>
          <w:szCs w:val="18"/>
          <w:color w:val="auto"/>
        </w:rPr>
      </w:pPr>
    </w:p>
    <w:p>
      <w:pPr>
        <w:ind w:left="1240" w:right="480" w:hanging="415"/>
        <w:spacing w:after="0" w:line="342"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partnership with CAMS, which will provide extensive operational capabilities, market insights, and relationships built through extensive activities surrounding commercial and operational management of investments, acquisitions and divestitures;</w:t>
      </w:r>
    </w:p>
    <w:p>
      <w:pPr>
        <w:spacing w:after="0" w:line="29" w:lineRule="exact"/>
        <w:rPr>
          <w:rFonts w:ascii="Arial" w:cs="Arial" w:eastAsia="Arial" w:hAnsi="Arial"/>
          <w:sz w:val="16"/>
          <w:szCs w:val="16"/>
          <w:color w:val="auto"/>
        </w:rPr>
      </w:pPr>
    </w:p>
    <w:p>
      <w:pPr>
        <w:ind w:left="1240" w:right="26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flexible execution capabilities to structure customized and complex transactions that maximize shareholder value, mitigate risk and allocate resources efficiently for attractive returns;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sponsor with extensive capital raising experience and relationships with institutional capital providers.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Initial Business Combination</w:t>
      </w:r>
    </w:p>
    <w:p>
      <w:pPr>
        <w:spacing w:after="0" w:line="121" w:lineRule="exact"/>
        <w:rPr>
          <w:sz w:val="20"/>
          <w:szCs w:val="20"/>
          <w:color w:val="auto"/>
        </w:rPr>
      </w:pPr>
    </w:p>
    <w:p>
      <w:pPr>
        <w:ind w:left="300" w:firstLine="426"/>
        <w:spacing w:after="0" w:line="286" w:lineRule="auto"/>
        <w:rPr>
          <w:sz w:val="20"/>
          <w:szCs w:val="20"/>
          <w:color w:val="auto"/>
        </w:rPr>
      </w:pPr>
      <w:r>
        <w:rPr>
          <w:rFonts w:ascii="Arial" w:cs="Arial" w:eastAsia="Arial" w:hAnsi="Arial"/>
          <w:sz w:val="16"/>
          <w:szCs w:val="16"/>
          <w:color w:val="auto"/>
        </w:rPr>
        <w:t>So long as our securities are then listed on NASDAQ, our initial business combination must occur with one or more target businesses that together have an aggregate fair market value of at least 80% of the net assets held in the trust account (excluding the deferred underwriting commissions and taxes payable on the interest earned on the trust account) at the time of signing a definitive agreement in connection with our initial business combination. If our board of directors is not able to independently determine the fair market value of the target business or businesses, we will obtain an opinion from an independent investment banking firm or an independent valuation or appraisal firm with respect to the satisfaction of such criteria.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 would be distributed to our shareholders. However, if required under applicable law, any proxy statement that we deliver to shareholders and file with the SEC in connection with a proposed transaction will include such opinion.</w:t>
      </w:r>
    </w:p>
    <w:p>
      <w:pPr>
        <w:spacing w:after="0" w:line="171" w:lineRule="exact"/>
        <w:rPr>
          <w:sz w:val="20"/>
          <w:szCs w:val="20"/>
          <w:color w:val="auto"/>
        </w:rPr>
      </w:pPr>
    </w:p>
    <w:p>
      <w:pPr>
        <w:ind w:left="300" w:right="60" w:firstLine="426"/>
        <w:spacing w:after="0" w:line="287" w:lineRule="auto"/>
        <w:rPr>
          <w:sz w:val="20"/>
          <w:szCs w:val="20"/>
          <w:color w:val="auto"/>
        </w:rPr>
      </w:pPr>
      <w:r>
        <w:rPr>
          <w:rFonts w:ascii="Arial" w:cs="Arial" w:eastAsia="Arial" w:hAnsi="Arial"/>
          <w:sz w:val="16"/>
          <w:szCs w:val="16"/>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in order to meet certain objectives of the target management team or shareholders or for other reasons, but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shares, capital stock or other equity interests of a target. In this case, we would acquire a 100% controlling interest in the target. However, as a result of the issuance of a substantial number of new shares, our shareholders immediately prior to our initial business</w:t>
      </w:r>
    </w:p>
    <w:p>
      <w:pPr>
        <w:spacing w:after="0" w:line="200" w:lineRule="exact"/>
        <w:rPr>
          <w:sz w:val="20"/>
          <w:szCs w:val="20"/>
          <w:color w:val="auto"/>
        </w:rPr>
      </w:pP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combination could own less than a majority of our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In addition, we have agreed not to enter into a definitive agreement regarding an initial business combination without the prior consent of our sponsor. If our securities are not then listed on NASDAQ for whatever reason, we would no longer be required to meet the foregoing 80% of net asset test. However, we intend to satisfy the 80% requirement even if our securities are not listed on NASDAQ at the time of our initial business combination.</w:t>
      </w:r>
    </w:p>
    <w:p>
      <w:pPr>
        <w:spacing w:after="0" w:line="166" w:lineRule="exact"/>
        <w:rPr>
          <w:sz w:val="20"/>
          <w:szCs w:val="20"/>
          <w:color w:val="auto"/>
        </w:rPr>
      </w:pPr>
    </w:p>
    <w:p>
      <w:pPr>
        <w:jc w:val="both"/>
        <w:ind w:left="300" w:right="120" w:firstLine="426"/>
        <w:spacing w:after="0" w:line="311" w:lineRule="auto"/>
        <w:rPr>
          <w:sz w:val="20"/>
          <w:szCs w:val="20"/>
          <w:color w:val="auto"/>
        </w:rPr>
      </w:pPr>
      <w:r>
        <w:rPr>
          <w:rFonts w:ascii="Arial" w:cs="Arial" w:eastAsia="Arial" w:hAnsi="Arial"/>
          <w:sz w:val="16"/>
          <w:szCs w:val="16"/>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49" w:lineRule="exact"/>
        <w:rPr>
          <w:sz w:val="20"/>
          <w:szCs w:val="20"/>
          <w:color w:val="auto"/>
        </w:rPr>
      </w:pPr>
    </w:p>
    <w:p>
      <w:pPr>
        <w:ind w:left="300" w:right="200" w:firstLine="426"/>
        <w:spacing w:after="0" w:line="279"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Considerations</w:t>
      </w:r>
    </w:p>
    <w:p>
      <w:pPr>
        <w:spacing w:after="0" w:line="121"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 See “Risk Factors — 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77"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We currently do not have any specific business combination under consideration. Our officers and directors have neither individually selected nor considered a target business, nor have they had any substantive discussions regarding possible target businesses among themselves or with our underwriters or other advisors. Our management team is regularly made aware of potential business opportunities, one or more of which we may desire to pursue for a business combination, but we have not (nor has anyone on our behalf) contacted any prospective target business or had any substantive discussions, formal or otherwise, with respect to a business combination transaction with our company. Additionally, we have not, nor has anyone on our behalf, taken any substantive measure, directly or indirectly, to identify or locate any suitable acquisition candidate for us, nor have we engaged or retained any agent or other representative to identify or locate any such acquisition candidate.</w:t>
      </w:r>
    </w:p>
    <w:p>
      <w:pPr>
        <w:spacing w:after="0" w:line="166" w:lineRule="exact"/>
        <w:rPr>
          <w:sz w:val="20"/>
          <w:szCs w:val="20"/>
          <w:color w:val="auto"/>
        </w:rPr>
      </w:pPr>
    </w:p>
    <w:p>
      <w:pPr>
        <w:ind w:left="300" w:right="20" w:firstLine="426"/>
        <w:spacing w:after="0" w:line="275" w:lineRule="auto"/>
        <w:rPr>
          <w:sz w:val="20"/>
          <w:szCs w:val="20"/>
          <w:color w:val="auto"/>
        </w:rPr>
      </w:pPr>
      <w:r>
        <w:rPr>
          <w:rFonts w:ascii="Arial" w:cs="Arial" w:eastAsia="Arial" w:hAnsi="Arial"/>
          <w:sz w:val="17"/>
          <w:szCs w:val="17"/>
          <w:color w:val="auto"/>
        </w:rPr>
        <w:t>In addition, certain of our officers and directors presently have, and any of them in the future are expected to have, additional, fiduciary and contractual duties to other entities, including ACTC I. As a result, if any of our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5" w:lineRule="auto"/>
        <w:rPr>
          <w:sz w:val="20"/>
          <w:szCs w:val="20"/>
          <w:color w:val="auto"/>
        </w:rPr>
      </w:pPr>
      <w:r>
        <w:rPr>
          <w:rFonts w:ascii="Arial" w:cs="Arial" w:eastAsia="Arial" w:hAnsi="Arial"/>
          <w:sz w:val="17"/>
          <w:szCs w:val="17"/>
          <w:color w:val="auto"/>
        </w:rPr>
        <w:t>entities decide to pursue any such opportunity, we may be precluded from pursuing the same. However, we do not expect these duties to materially affect our ability to complete our initial business combination because we do not currently anticipate any meaningful overlap of investment objectives.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76" w:lineRule="exact"/>
        <w:rPr>
          <w:sz w:val="20"/>
          <w:szCs w:val="20"/>
          <w:color w:val="auto"/>
        </w:rPr>
      </w:pPr>
    </w:p>
    <w:p>
      <w:pPr>
        <w:ind w:left="300" w:right="140" w:firstLine="426"/>
        <w:spacing w:after="0" w:line="275" w:lineRule="auto"/>
        <w:rPr>
          <w:sz w:val="20"/>
          <w:szCs w:val="20"/>
          <w:color w:val="auto"/>
        </w:rPr>
      </w:pPr>
      <w:r>
        <w:rPr>
          <w:rFonts w:ascii="Arial" w:cs="Arial" w:eastAsia="Arial" w:hAnsi="Arial"/>
          <w:sz w:val="17"/>
          <w:szCs w:val="17"/>
          <w:color w:val="auto"/>
        </w:rPr>
        <w:t>Our sponsor, officers and directors may sponsor, form or participate in other blank check companies similar to ours during the period in which we are seeking an initial business combination. Any such companies may present additional conflicts of interest in pursuing an acquisition target, particularly in the event there is overlap among investment mandates. In addition, our sponsor,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right="260" w:firstLine="426"/>
        <w:spacing w:after="0" w:line="311" w:lineRule="auto"/>
        <w:rPr>
          <w:sz w:val="20"/>
          <w:szCs w:val="20"/>
          <w:color w:val="auto"/>
        </w:rPr>
      </w:pPr>
      <w:r>
        <w:rPr>
          <w:rFonts w:ascii="Arial" w:cs="Arial" w:eastAsia="Arial" w:hAnsi="Arial"/>
          <w:sz w:val="16"/>
          <w:szCs w:val="16"/>
          <w:color w:val="auto"/>
        </w:rPr>
        <w:t>Our executive offices are located at 200 Clarendon Street, 55th Floor, Boston, MA 02116, and our telephone number is 617-531-6300. We maintain a corporate website at www.arclightclean.com. The information contained on or accessible through our corporate website or any other website that we may maintain is not part of this prospectus or the registration statement of which this prospectus is a part.</w:t>
      </w:r>
    </w:p>
    <w:p>
      <w:pPr>
        <w:spacing w:after="0" w:line="149" w:lineRule="exact"/>
        <w:rPr>
          <w:sz w:val="20"/>
          <w:szCs w:val="20"/>
          <w:color w:val="auto"/>
        </w:rPr>
      </w:pPr>
    </w:p>
    <w:p>
      <w:pPr>
        <w:ind w:left="300" w:right="100" w:firstLine="426"/>
        <w:spacing w:after="0" w:line="253" w:lineRule="auto"/>
        <w:rPr>
          <w:sz w:val="20"/>
          <w:szCs w:val="20"/>
          <w:color w:val="auto"/>
        </w:rPr>
      </w:pPr>
      <w:r>
        <w:rPr>
          <w:rFonts w:ascii="Arial" w:cs="Arial" w:eastAsia="Arial" w:hAnsi="Arial"/>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96" w:lineRule="exact"/>
        <w:rPr>
          <w:sz w:val="20"/>
          <w:szCs w:val="20"/>
          <w:color w:val="auto"/>
        </w:rPr>
      </w:pPr>
    </w:p>
    <w:p>
      <w:pPr>
        <w:ind w:left="300" w:right="220" w:firstLine="426"/>
        <w:spacing w:after="0" w:line="271"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78" w:lineRule="exact"/>
        <w:rPr>
          <w:sz w:val="20"/>
          <w:szCs w:val="20"/>
          <w:color w:val="auto"/>
        </w:rPr>
      </w:pPr>
    </w:p>
    <w:p>
      <w:pPr>
        <w:ind w:left="300" w:right="120" w:firstLine="426"/>
        <w:spacing w:after="0" w:line="279"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795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17957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during the prior three-year period. References herein to “emerging growth company” have the meaning associated with it in the JOBS Act.</w:t>
      </w:r>
    </w:p>
    <w:p>
      <w:pPr>
        <w:spacing w:after="0" w:line="176"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53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ectPr>
          <w:pgSz w:w="11900" w:h="16838" w:orient="portrait"/>
          <w:cols w:equalWidth="0" w:num="1">
            <w:col w:w="10940"/>
          </w:cols>
          <w:pgMar w:left="320" w:top="459" w:right="639" w:bottom="1440" w:gutter="0" w:footer="0" w:header="0"/>
        </w:sectPr>
      </w:pP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0" w:right="120" w:hanging="78"/>
        <w:spacing w:after="0" w:line="277" w:lineRule="auto"/>
        <w:rPr>
          <w:sz w:val="20"/>
          <w:szCs w:val="20"/>
          <w:color w:val="auto"/>
        </w:rPr>
      </w:pPr>
      <w:r>
        <w:rPr>
          <w:rFonts w:ascii="Arial" w:cs="Arial" w:eastAsia="Arial" w:hAnsi="Arial"/>
          <w:sz w:val="18"/>
          <w:szCs w:val="18"/>
          <w:color w:val="auto"/>
        </w:rPr>
        <w:t>Trading commencement and separation of 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380" w:hanging="78"/>
        <w:spacing w:after="0" w:line="263" w:lineRule="auto"/>
        <w:rPr>
          <w:sz w:val="20"/>
          <w:szCs w:val="20"/>
          <w:color w:val="auto"/>
        </w:rPr>
      </w:pPr>
      <w:r>
        <w:rPr>
          <w:rFonts w:ascii="Arial" w:cs="Arial" w:eastAsia="Arial" w:hAnsi="Arial"/>
          <w:sz w:val="18"/>
          <w:szCs w:val="18"/>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25,000,000 units (or 28,750,000 units if the underwriters’ over-allotment option is exercised in full), at $10.00 per unit, each unit consisting of:</w:t>
      </w:r>
    </w:p>
    <w:p>
      <w:pPr>
        <w:spacing w:after="0" w:line="76" w:lineRule="exact"/>
        <w:rPr>
          <w:sz w:val="20"/>
          <w:szCs w:val="20"/>
          <w:color w:val="auto"/>
        </w:rPr>
      </w:pPr>
    </w:p>
    <w:p>
      <w:pPr>
        <w:ind w:left="180" w:hanging="153"/>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 Class A ordinary share; and</w:t>
      </w:r>
    </w:p>
    <w:p>
      <w:pPr>
        <w:spacing w:after="0" w:line="130" w:lineRule="exact"/>
        <w:rPr>
          <w:rFonts w:ascii="Arial" w:cs="Arial" w:eastAsia="Arial" w:hAnsi="Arial"/>
          <w:sz w:val="18"/>
          <w:szCs w:val="18"/>
          <w:color w:val="auto"/>
        </w:rPr>
      </w:pPr>
    </w:p>
    <w:p>
      <w:pPr>
        <w:ind w:left="180" w:hanging="153"/>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one-fifth of one redeemable warrant.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Units: “ACTDU”</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Class A ordinary shares: “ACTD”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Warrants: “ACTDW”</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units are expected to begin trading on or promptly after the date of this prospectus. The Class A ordinary shares and warrants comprising the units will begin separate trading on the 52nd day following the date of this prospectus unless Citigroup Global Markets Inc.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five units, you will not be able to receive or trade a whole warrant.</w:t>
      </w:r>
    </w:p>
    <w:p>
      <w:pPr>
        <w:spacing w:after="0" w:line="20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no event will the Class A ordinary shares and warrants be traded separately until we have filed with the SEC a Current Report on</w:t>
      </w:r>
    </w:p>
    <w:p>
      <w:pPr>
        <w:spacing w:after="0" w:line="402" w:lineRule="exact"/>
        <w:rPr>
          <w:sz w:val="20"/>
          <w:szCs w:val="20"/>
          <w:color w:val="auto"/>
        </w:rPr>
      </w:pPr>
    </w:p>
    <w:p>
      <w:pPr>
        <w:sectPr>
          <w:pgSz w:w="11900" w:h="16838" w:orient="portrait"/>
          <w:cols w:equalWidth="0" w:num="2">
            <w:col w:w="4060" w:space="280"/>
            <w:col w:w="6600"/>
          </w:cols>
          <w:pgMar w:left="320" w:top="459" w:right="6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40"/>
          </w:cols>
          <w:pgMar w:left="320" w:top="459" w:right="6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35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w w:val="92"/>
              </w:rPr>
              <w:t>Form 8-K which includes an audited balance sheet reflecting our receipt of the gross</w:t>
            </w:r>
          </w:p>
        </w:tc>
      </w:tr>
      <w:tr>
        <w:trPr>
          <w:trHeight w:val="216"/>
        </w:trPr>
        <w:tc>
          <w:tcPr>
            <w:tcW w:w="394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w w:val="94"/>
              </w:rPr>
              <w:t>proceeds at the closing of this offering. We will file the Current Report on Form 8-K</w:t>
            </w:r>
          </w:p>
        </w:tc>
      </w:tr>
      <w:tr>
        <w:trPr>
          <w:trHeight w:val="216"/>
        </w:trPr>
        <w:tc>
          <w:tcPr>
            <w:tcW w:w="394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w w:val="93"/>
              </w:rPr>
              <w:t>promptly after the closing of this offering. If the underwriters’ over-allotment option is</w:t>
            </w:r>
          </w:p>
        </w:tc>
      </w:tr>
      <w:tr>
        <w:trPr>
          <w:trHeight w:val="216"/>
        </w:trPr>
        <w:tc>
          <w:tcPr>
            <w:tcW w:w="394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w w:val="93"/>
              </w:rPr>
              <w:t>exercised following the initial filing of such Current Report on Form 8-K, a second or</w:t>
            </w:r>
          </w:p>
        </w:tc>
      </w:tr>
      <w:tr>
        <w:trPr>
          <w:trHeight w:val="216"/>
        </w:trPr>
        <w:tc>
          <w:tcPr>
            <w:tcW w:w="394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w w:val="99"/>
              </w:rPr>
              <w:t>amended Current Report on Form 8-K will be filed to provide updated financial</w:t>
            </w:r>
          </w:p>
        </w:tc>
      </w:tr>
      <w:tr>
        <w:trPr>
          <w:trHeight w:val="230"/>
        </w:trPr>
        <w:tc>
          <w:tcPr>
            <w:tcW w:w="3940" w:type="dxa"/>
            <w:vAlign w:val="bottom"/>
          </w:tcPr>
          <w:p>
            <w:pPr>
              <w:spacing w:after="0"/>
              <w:rPr>
                <w:sz w:val="20"/>
                <w:szCs w:val="20"/>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rPr>
              <w:t>information to reflect the exercise of the underwriters’ over-allotment option.</w:t>
            </w:r>
          </w:p>
        </w:tc>
      </w:tr>
      <w:tr>
        <w:trPr>
          <w:trHeight w:val="446"/>
        </w:trPr>
        <w:tc>
          <w:tcPr>
            <w:tcW w:w="3940" w:type="dxa"/>
            <w:vAlign w:val="bottom"/>
          </w:tcPr>
          <w:p>
            <w:pPr>
              <w:spacing w:after="0"/>
              <w:rPr>
                <w:sz w:val="20"/>
                <w:szCs w:val="20"/>
                <w:color w:val="auto"/>
              </w:rPr>
            </w:pPr>
            <w:r>
              <w:rPr>
                <w:rFonts w:ascii="Arial" w:cs="Arial" w:eastAsia="Arial" w:hAnsi="Arial"/>
                <w:sz w:val="18"/>
                <w:szCs w:val="18"/>
                <w:b w:val="1"/>
                <w:bCs w:val="1"/>
                <w:color w:val="auto"/>
              </w:rPr>
              <w:t>Units:</w:t>
            </w:r>
          </w:p>
        </w:tc>
        <w:tc>
          <w:tcPr>
            <w:tcW w:w="6340" w:type="dxa"/>
            <w:vAlign w:val="bottom"/>
          </w:tcPr>
          <w:p>
            <w:pPr>
              <w:spacing w:after="0"/>
              <w:rPr>
                <w:sz w:val="24"/>
                <w:szCs w:val="24"/>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18"/>
                <w:szCs w:val="18"/>
                <w:color w:val="auto"/>
              </w:rPr>
              <w:t>Number outstanding before this offering</w:t>
            </w:r>
          </w:p>
        </w:tc>
        <w:tc>
          <w:tcPr>
            <w:tcW w:w="6340" w:type="dxa"/>
            <w:vAlign w:val="bottom"/>
          </w:tcPr>
          <w:p>
            <w:pPr>
              <w:ind w:left="100"/>
              <w:spacing w:after="0"/>
              <w:rPr>
                <w:sz w:val="20"/>
                <w:szCs w:val="20"/>
                <w:color w:val="auto"/>
              </w:rPr>
            </w:pPr>
            <w:r>
              <w:rPr>
                <w:rFonts w:ascii="Arial" w:cs="Arial" w:eastAsia="Arial" w:hAnsi="Arial"/>
                <w:sz w:val="18"/>
                <w:szCs w:val="18"/>
                <w:color w:val="auto"/>
              </w:rPr>
              <w:t>0</w:t>
            </w:r>
          </w:p>
        </w:tc>
      </w:tr>
      <w:tr>
        <w:trPr>
          <w:trHeight w:val="473"/>
        </w:trPr>
        <w:tc>
          <w:tcPr>
            <w:tcW w:w="394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6340" w:type="dxa"/>
            <w:vAlign w:val="bottom"/>
          </w:tcPr>
          <w:p>
            <w:pPr>
              <w:ind w:left="100"/>
              <w:spacing w:after="0"/>
              <w:rPr>
                <w:sz w:val="20"/>
                <w:szCs w:val="20"/>
                <w:color w:val="auto"/>
              </w:rPr>
            </w:pPr>
            <w:r>
              <w:rPr>
                <w:rFonts w:ascii="Arial" w:cs="Arial" w:eastAsia="Arial" w:hAnsi="Arial"/>
                <w:sz w:val="18"/>
                <w:szCs w:val="18"/>
                <w:color w:val="auto"/>
              </w:rPr>
              <w:t>25,000,000</w:t>
            </w:r>
            <w:r>
              <w:rPr>
                <w:rFonts w:ascii="Arial" w:cs="Arial" w:eastAsia="Arial" w:hAnsi="Arial"/>
                <w:sz w:val="15"/>
                <w:szCs w:val="15"/>
                <w:color w:val="auto"/>
              </w:rPr>
              <w:t>(1)</w:t>
            </w:r>
          </w:p>
        </w:tc>
      </w:tr>
      <w:tr>
        <w:trPr>
          <w:trHeight w:val="445"/>
        </w:trPr>
        <w:tc>
          <w:tcPr>
            <w:tcW w:w="3940" w:type="dxa"/>
            <w:vAlign w:val="bottom"/>
          </w:tcPr>
          <w:p>
            <w:pPr>
              <w:spacing w:after="0"/>
              <w:rPr>
                <w:sz w:val="20"/>
                <w:szCs w:val="20"/>
                <w:color w:val="auto"/>
              </w:rPr>
            </w:pPr>
            <w:r>
              <w:rPr>
                <w:rFonts w:ascii="Arial" w:cs="Arial" w:eastAsia="Arial" w:hAnsi="Arial"/>
                <w:sz w:val="18"/>
                <w:szCs w:val="18"/>
                <w:b w:val="1"/>
                <w:bCs w:val="1"/>
                <w:color w:val="auto"/>
              </w:rPr>
              <w:t>Ordinary shares:</w:t>
            </w:r>
          </w:p>
        </w:tc>
        <w:tc>
          <w:tcPr>
            <w:tcW w:w="6340" w:type="dxa"/>
            <w:vAlign w:val="bottom"/>
          </w:tcPr>
          <w:p>
            <w:pPr>
              <w:spacing w:after="0"/>
              <w:rPr>
                <w:sz w:val="24"/>
                <w:szCs w:val="24"/>
                <w:color w:val="auto"/>
              </w:rPr>
            </w:pP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Number outstanding before this offering</w:t>
            </w:r>
          </w:p>
        </w:tc>
        <w:tc>
          <w:tcPr>
            <w:tcW w:w="6340" w:type="dxa"/>
            <w:vAlign w:val="bottom"/>
          </w:tcPr>
          <w:p>
            <w:pPr>
              <w:ind w:left="100"/>
              <w:spacing w:after="0"/>
              <w:rPr>
                <w:sz w:val="20"/>
                <w:szCs w:val="20"/>
                <w:color w:val="auto"/>
              </w:rPr>
            </w:pPr>
            <w:r>
              <w:rPr>
                <w:rFonts w:ascii="Arial" w:cs="Arial" w:eastAsia="Arial" w:hAnsi="Arial"/>
                <w:sz w:val="18"/>
                <w:szCs w:val="18"/>
                <w:color w:val="auto"/>
              </w:rPr>
              <w:t>7,187,500</w:t>
            </w:r>
            <w:r>
              <w:rPr>
                <w:rFonts w:ascii="Arial" w:cs="Arial" w:eastAsia="Arial" w:hAnsi="Arial"/>
                <w:sz w:val="15"/>
                <w:szCs w:val="15"/>
                <w:color w:val="auto"/>
              </w:rPr>
              <w:t>(2)(3)</w:t>
            </w:r>
          </w:p>
        </w:tc>
      </w:tr>
      <w:tr>
        <w:trPr>
          <w:trHeight w:val="473"/>
        </w:trPr>
        <w:tc>
          <w:tcPr>
            <w:tcW w:w="394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6340" w:type="dxa"/>
            <w:vAlign w:val="bottom"/>
          </w:tcPr>
          <w:p>
            <w:pPr>
              <w:ind w:left="100"/>
              <w:spacing w:after="0"/>
              <w:rPr>
                <w:sz w:val="20"/>
                <w:szCs w:val="20"/>
                <w:color w:val="auto"/>
              </w:rPr>
            </w:pPr>
            <w:r>
              <w:rPr>
                <w:rFonts w:ascii="Arial" w:cs="Arial" w:eastAsia="Arial" w:hAnsi="Arial"/>
                <w:sz w:val="18"/>
                <w:szCs w:val="18"/>
                <w:color w:val="auto"/>
              </w:rPr>
              <w:t>31,250,000</w:t>
            </w:r>
            <w:r>
              <w:rPr>
                <w:rFonts w:ascii="Arial" w:cs="Arial" w:eastAsia="Arial" w:hAnsi="Arial"/>
                <w:sz w:val="15"/>
                <w:szCs w:val="15"/>
                <w:color w:val="auto"/>
              </w:rPr>
              <w:t>(1)(2)(4)</w:t>
            </w:r>
          </w:p>
        </w:tc>
      </w:tr>
      <w:tr>
        <w:trPr>
          <w:trHeight w:val="445"/>
        </w:trPr>
        <w:tc>
          <w:tcPr>
            <w:tcW w:w="3940" w:type="dxa"/>
            <w:vAlign w:val="bottom"/>
          </w:tcPr>
          <w:p>
            <w:pPr>
              <w:spacing w:after="0"/>
              <w:rPr>
                <w:sz w:val="20"/>
                <w:szCs w:val="20"/>
                <w:color w:val="auto"/>
              </w:rPr>
            </w:pPr>
            <w:r>
              <w:rPr>
                <w:rFonts w:ascii="Arial" w:cs="Arial" w:eastAsia="Arial" w:hAnsi="Arial"/>
                <w:sz w:val="18"/>
                <w:szCs w:val="18"/>
                <w:b w:val="1"/>
                <w:bCs w:val="1"/>
                <w:color w:val="auto"/>
              </w:rPr>
              <w:t>Warrants:</w:t>
            </w:r>
          </w:p>
        </w:tc>
        <w:tc>
          <w:tcPr>
            <w:tcW w:w="6340" w:type="dxa"/>
            <w:vAlign w:val="bottom"/>
          </w:tcPr>
          <w:p>
            <w:pPr>
              <w:spacing w:after="0"/>
              <w:rPr>
                <w:sz w:val="24"/>
                <w:szCs w:val="24"/>
                <w:color w:val="auto"/>
              </w:rPr>
            </w:pPr>
          </w:p>
        </w:tc>
      </w:tr>
      <w:tr>
        <w:trPr>
          <w:trHeight w:val="323"/>
        </w:trPr>
        <w:tc>
          <w:tcPr>
            <w:tcW w:w="3940" w:type="dxa"/>
            <w:vAlign w:val="bottom"/>
          </w:tcPr>
          <w:p>
            <w:pPr>
              <w:spacing w:after="0"/>
              <w:rPr>
                <w:sz w:val="20"/>
                <w:szCs w:val="20"/>
                <w:color w:val="auto"/>
              </w:rPr>
            </w:pPr>
            <w:r>
              <w:rPr>
                <w:rFonts w:ascii="Arial" w:cs="Arial" w:eastAsia="Arial" w:hAnsi="Arial"/>
                <w:sz w:val="18"/>
                <w:szCs w:val="18"/>
                <w:color w:val="auto"/>
                <w:w w:val="92"/>
              </w:rPr>
              <w:t>Number of private placement warrants to be sold in a</w:t>
            </w:r>
          </w:p>
        </w:tc>
        <w:tc>
          <w:tcPr>
            <w:tcW w:w="6340" w:type="dxa"/>
            <w:vAlign w:val="bottom"/>
          </w:tcPr>
          <w:p>
            <w:pPr>
              <w:ind w:left="100"/>
              <w:spacing w:after="0"/>
              <w:rPr>
                <w:sz w:val="20"/>
                <w:szCs w:val="20"/>
                <w:color w:val="auto"/>
              </w:rPr>
            </w:pPr>
            <w:r>
              <w:rPr>
                <w:rFonts w:ascii="Arial" w:cs="Arial" w:eastAsia="Arial" w:hAnsi="Arial"/>
                <w:sz w:val="18"/>
                <w:szCs w:val="18"/>
                <w:color w:val="auto"/>
              </w:rPr>
              <w:t>8,000,000</w:t>
            </w:r>
            <w:r>
              <w:rPr>
                <w:rFonts w:ascii="Arial" w:cs="Arial" w:eastAsia="Arial" w:hAnsi="Arial"/>
                <w:sz w:val="15"/>
                <w:szCs w:val="15"/>
                <w:color w:val="auto"/>
              </w:rPr>
              <w:t>(1)</w:t>
            </w:r>
          </w:p>
        </w:tc>
      </w:tr>
      <w:tr>
        <w:trPr>
          <w:trHeight w:val="230"/>
        </w:trPr>
        <w:tc>
          <w:tcPr>
            <w:tcW w:w="3940" w:type="dxa"/>
            <w:vAlign w:val="bottom"/>
          </w:tcPr>
          <w:p>
            <w:pPr>
              <w:ind w:left="80"/>
              <w:spacing w:after="0"/>
              <w:rPr>
                <w:sz w:val="20"/>
                <w:szCs w:val="20"/>
                <w:color w:val="auto"/>
              </w:rPr>
            </w:pPr>
            <w:r>
              <w:rPr>
                <w:rFonts w:ascii="Arial" w:cs="Arial" w:eastAsia="Arial" w:hAnsi="Arial"/>
                <w:sz w:val="18"/>
                <w:szCs w:val="18"/>
                <w:color w:val="auto"/>
                <w:w w:val="95"/>
              </w:rPr>
              <w:t>private placement simultaneously with this offering</w:t>
            </w:r>
          </w:p>
        </w:tc>
        <w:tc>
          <w:tcPr>
            <w:tcW w:w="6340" w:type="dxa"/>
            <w:vAlign w:val="bottom"/>
          </w:tcPr>
          <w:p>
            <w:pPr>
              <w:spacing w:after="0"/>
              <w:rPr>
                <w:sz w:val="20"/>
                <w:szCs w:val="20"/>
                <w:color w:val="auto"/>
              </w:rPr>
            </w:pPr>
          </w:p>
        </w:tc>
      </w:tr>
      <w:tr>
        <w:trPr>
          <w:trHeight w:val="458"/>
        </w:trPr>
        <w:tc>
          <w:tcPr>
            <w:tcW w:w="10280" w:type="dxa"/>
            <w:vAlign w:val="bottom"/>
            <w:gridSpan w:val="2"/>
          </w:tcPr>
          <w:p>
            <w:pPr>
              <w:spacing w:after="0"/>
              <w:rPr>
                <w:sz w:val="20"/>
                <w:szCs w:val="20"/>
                <w:color w:val="auto"/>
              </w:rPr>
            </w:pPr>
            <w:r>
              <w:rPr>
                <w:rFonts w:ascii="Arial" w:cs="Arial" w:eastAsia="Arial" w:hAnsi="Arial"/>
                <w:sz w:val="18"/>
                <w:szCs w:val="18"/>
                <w:color w:val="auto"/>
              </w:rPr>
              <w:t>Number of warrants to be outstanding after this offering13,000,000</w:t>
            </w:r>
            <w:r>
              <w:rPr>
                <w:rFonts w:ascii="Arial" w:cs="Arial" w:eastAsia="Arial" w:hAnsi="Arial"/>
                <w:sz w:val="15"/>
                <w:szCs w:val="15"/>
                <w:color w:val="auto"/>
              </w:rPr>
              <w:t>(1)</w:t>
            </w:r>
          </w:p>
        </w:tc>
      </w:tr>
      <w:tr>
        <w:trPr>
          <w:trHeight w:val="230"/>
        </w:trPr>
        <w:tc>
          <w:tcPr>
            <w:tcW w:w="3940" w:type="dxa"/>
            <w:vAlign w:val="bottom"/>
          </w:tcPr>
          <w:p>
            <w:pPr>
              <w:ind w:left="80"/>
              <w:spacing w:after="0"/>
              <w:rPr>
                <w:sz w:val="20"/>
                <w:szCs w:val="20"/>
                <w:color w:val="auto"/>
              </w:rPr>
            </w:pPr>
            <w:r>
              <w:rPr>
                <w:rFonts w:ascii="Arial" w:cs="Arial" w:eastAsia="Arial" w:hAnsi="Arial"/>
                <w:sz w:val="18"/>
                <w:szCs w:val="18"/>
                <w:color w:val="auto"/>
              </w:rPr>
              <w:t>and the sale of private placement warrants</w:t>
            </w:r>
          </w:p>
        </w:tc>
        <w:tc>
          <w:tcPr>
            <w:tcW w:w="6340" w:type="dxa"/>
            <w:vAlign w:val="bottom"/>
          </w:tcPr>
          <w:p>
            <w:pPr>
              <w:spacing w:after="0"/>
              <w:rPr>
                <w:sz w:val="20"/>
                <w:szCs w:val="20"/>
                <w:color w:val="auto"/>
              </w:rPr>
            </w:pPr>
          </w:p>
        </w:tc>
      </w:tr>
      <w:tr>
        <w:trPr>
          <w:trHeight w:val="458"/>
        </w:trPr>
        <w:tc>
          <w:tcPr>
            <w:tcW w:w="3940" w:type="dxa"/>
            <w:vAlign w:val="bottom"/>
          </w:tcPr>
          <w:p>
            <w:pPr>
              <w:spacing w:after="0"/>
              <w:rPr>
                <w:sz w:val="20"/>
                <w:szCs w:val="20"/>
                <w:color w:val="auto"/>
              </w:rPr>
            </w:pPr>
            <w:r>
              <w:rPr>
                <w:rFonts w:ascii="Arial" w:cs="Arial" w:eastAsia="Arial" w:hAnsi="Arial"/>
                <w:sz w:val="18"/>
                <w:szCs w:val="18"/>
                <w:color w:val="auto"/>
              </w:rPr>
              <w:t>Exercisability</w:t>
            </w:r>
          </w:p>
        </w:tc>
        <w:tc>
          <w:tcPr>
            <w:tcW w:w="6340" w:type="dxa"/>
            <w:vAlign w:val="bottom"/>
          </w:tcPr>
          <w:p>
            <w:pPr>
              <w:ind w:left="100"/>
              <w:spacing w:after="0"/>
              <w:rPr>
                <w:sz w:val="20"/>
                <w:szCs w:val="20"/>
                <w:color w:val="auto"/>
              </w:rPr>
            </w:pPr>
            <w:r>
              <w:rPr>
                <w:rFonts w:ascii="Arial" w:cs="Arial" w:eastAsia="Arial" w:hAnsi="Arial"/>
                <w:sz w:val="18"/>
                <w:szCs w:val="18"/>
                <w:color w:val="auto"/>
                <w:w w:val="91"/>
              </w:rPr>
              <w:t>Each whole warrant is exercisable to purchase one Class A ordinary share, subject to</w:t>
            </w:r>
          </w:p>
        </w:tc>
      </w:tr>
      <w:tr>
        <w:trPr>
          <w:trHeight w:val="230"/>
        </w:trPr>
        <w:tc>
          <w:tcPr>
            <w:tcW w:w="3940" w:type="dxa"/>
            <w:vAlign w:val="bottom"/>
          </w:tcPr>
          <w:p>
            <w:pPr>
              <w:spacing w:after="0"/>
              <w:rPr>
                <w:sz w:val="20"/>
                <w:szCs w:val="20"/>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rPr>
              <w:t>adjustment as described herein. Only whole warrants are exercisable.</w:t>
            </w:r>
          </w:p>
        </w:tc>
      </w:tr>
    </w:tbl>
    <w:p>
      <w:pPr>
        <w:spacing w:after="0" w:line="229" w:lineRule="exact"/>
        <w:rPr>
          <w:sz w:val="20"/>
          <w:szCs w:val="20"/>
          <w:color w:val="auto"/>
        </w:rPr>
      </w:pPr>
    </w:p>
    <w:p>
      <w:pPr>
        <w:ind w:left="4340" w:right="220"/>
        <w:spacing w:after="0" w:line="277" w:lineRule="auto"/>
        <w:rPr>
          <w:sz w:val="20"/>
          <w:szCs w:val="20"/>
          <w:color w:val="auto"/>
        </w:rPr>
      </w:pPr>
      <w:r>
        <w:rPr>
          <w:rFonts w:ascii="Arial" w:cs="Arial" w:eastAsia="Arial" w:hAnsi="Arial"/>
          <w:sz w:val="18"/>
          <w:szCs w:val="18"/>
          <w:color w:val="auto"/>
        </w:rPr>
        <w:t>We structured each unit to contain one-fifth of one redeemable warrant, with each whole warrant exercisable for one Class A</w:t>
      </w:r>
    </w:p>
    <w:p>
      <w:pPr>
        <w:spacing w:after="0" w:line="143" w:lineRule="exact"/>
        <w:rPr>
          <w:sz w:val="20"/>
          <w:szCs w:val="20"/>
          <w:color w:val="auto"/>
        </w:rPr>
      </w:pPr>
    </w:p>
    <w:p>
      <w:pPr>
        <w:ind w:left="520" w:hanging="222"/>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Assumes no exercise of the underwriters’ over-allotment option.</w:t>
      </w:r>
    </w:p>
    <w:p>
      <w:pPr>
        <w:spacing w:after="0" w:line="23" w:lineRule="exact"/>
        <w:rPr>
          <w:rFonts w:ascii="Arial" w:cs="Arial" w:eastAsia="Arial" w:hAnsi="Arial"/>
          <w:sz w:val="15"/>
          <w:szCs w:val="15"/>
          <w:color w:val="auto"/>
        </w:rPr>
      </w:pPr>
    </w:p>
    <w:p>
      <w:pPr>
        <w:ind w:left="520" w:hanging="222"/>
        <w:spacing w:after="0" w:line="250" w:lineRule="auto"/>
        <w:tabs>
          <w:tab w:leader="none" w:pos="5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Founder shares are currently classified as Class B ordinary shares, which shares will automatically convert into Class A ordinary shares at the time of our initial business combination or earlier at the option of the holders thereof as described below adjacent to the caption “Founder shares conversion and anti-dilution rights” and in our amended and restated memorandum and articles of association. Such Class A ordinary shares delivered upon conversion will not have any redemption rights or be entitled to liquidating distributions from the trust account if we do not consummate an initial business combination.</w:t>
      </w:r>
    </w:p>
    <w:p>
      <w:pPr>
        <w:spacing w:after="0" w:line="1" w:lineRule="exact"/>
        <w:rPr>
          <w:rFonts w:ascii="Arial" w:cs="Arial" w:eastAsia="Arial" w:hAnsi="Arial"/>
          <w:sz w:val="15"/>
          <w:szCs w:val="15"/>
          <w:color w:val="auto"/>
        </w:rPr>
      </w:pPr>
    </w:p>
    <w:p>
      <w:pPr>
        <w:ind w:left="520" w:hanging="222"/>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937,500 founder shares that are subject to forfeiture.</w:t>
      </w:r>
    </w:p>
    <w:p>
      <w:pPr>
        <w:spacing w:after="0" w:line="9" w:lineRule="exact"/>
        <w:rPr>
          <w:rFonts w:ascii="Arial" w:cs="Arial" w:eastAsia="Arial" w:hAnsi="Arial"/>
          <w:sz w:val="15"/>
          <w:szCs w:val="15"/>
          <w:color w:val="auto"/>
        </w:rPr>
      </w:pPr>
    </w:p>
    <w:p>
      <w:pPr>
        <w:ind w:left="520" w:hanging="222"/>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25,000,000 public shares and 6,250,000 founder shares, assuming 937,500 founder shares have been forfeited.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760" w:type="dxa"/>
            <w:vAlign w:val="bottom"/>
            <w:tcBorders>
              <w:top w:val="single" w:sz="8" w:color="auto"/>
              <w:left w:val="single" w:sz="8" w:color="auto"/>
            </w:tcBorders>
          </w:tcPr>
          <w:p>
            <w:pPr>
              <w:spacing w:after="0"/>
              <w:rPr>
                <w:sz w:val="24"/>
                <w:szCs w:val="24"/>
                <w:color w:val="auto"/>
              </w:rPr>
            </w:pPr>
          </w:p>
        </w:tc>
        <w:tc>
          <w:tcPr>
            <w:tcW w:w="8260" w:type="dxa"/>
            <w:vAlign w:val="bottom"/>
            <w:tcBorders>
              <w:top w:val="single" w:sz="8" w:color="auto"/>
              <w:right w:val="single" w:sz="8" w:color="auto"/>
            </w:tcBorders>
          </w:tcPr>
          <w:p>
            <w:pPr>
              <w:ind w:left="1460"/>
              <w:spacing w:after="0"/>
              <w:rPr>
                <w:sz w:val="20"/>
                <w:szCs w:val="20"/>
                <w:color w:val="auto"/>
              </w:rPr>
            </w:pPr>
            <w:r>
              <w:rPr>
                <w:rFonts w:ascii="Arial" w:cs="Arial" w:eastAsia="Arial" w:hAnsi="Arial"/>
                <w:sz w:val="18"/>
                <w:szCs w:val="18"/>
                <w:color w:val="auto"/>
                <w:w w:val="94"/>
              </w:rPr>
              <w:t>ordinary share, as compared to units issued by some other similar blank check companies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which contain whole warrants exercisable for one whole share, in order to reduce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dilutive effect of the warrants upon completion of our initial business combination as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compared to units that each contain a whole warrant to purchase one whole share, thus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making us, we believe, a more attractive business combination partner for target</w:t>
            </w:r>
          </w:p>
        </w:tc>
      </w:tr>
      <w:tr>
        <w:trPr>
          <w:trHeight w:val="230"/>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businesses.</w:t>
            </w:r>
          </w:p>
        </w:tc>
      </w:tr>
      <w:tr>
        <w:trPr>
          <w:trHeight w:val="458"/>
        </w:trPr>
        <w:tc>
          <w:tcPr>
            <w:tcW w:w="2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Exercise price</w:t>
            </w: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$11.50 per whole share, subject to adjustments as described herein. In addition, if (x) we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issue additional Class A ordinary shares or equity-linked securities for capital raising</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3"/>
              </w:rPr>
              <w:t>purposes in connection with the closing of our initial business combination at an issue price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or effective issue price of less than $9.20 per ordinary share (with such issue price or</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effective issue price to be determined in good faith by our board of directors and, in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case of any such issuance to our sponsor or its affiliates, without taking into account any</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3"/>
              </w:rPr>
              <w:t>founder shares held by our sponsor or such affiliates, as applicable, prior to such issuance)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2"/>
              </w:rPr>
              <w:t>(the “Newly Issued Price”), (y) the aggregate gross proceeds from such issuances represent</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more than 60% of the total equity proceeds, and interest thereon, available for the funding</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of our initial business combination on the date of the consummation of our initial business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combination (net of redemptions), and (z) the volume weighted average trading price of</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our Class A ordinary shares during the 20 trading day period starting on the trading day</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prior to the day on which we consummate our initial business combination (such price,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“Market Value”) is below $9.20 per share, the exercise price of the warrants will be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2"/>
              </w:rPr>
              <w:t>adjusted (to the nearest cent) to be equal to 115% of the higher of the Market Value and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Newly Issued Price, and the $18.00 per share redemption trigger price described adjacent</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to “Redemption of warrants when the price per Class A ordinary share equals or exceeds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$18.00” will be adjusted (to the nearest cent) to be equal to 180% of the higher of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Market Value and the Newly Issued Price, and the $10.00 per share redemption trigger</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price described adjacent to the caption “Redemption of warrants when the price per</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Class A ordinary share equals or exceeds $10.00” will be adjusted (to the nearest cent) to</w:t>
            </w:r>
          </w:p>
        </w:tc>
      </w:tr>
      <w:tr>
        <w:trPr>
          <w:trHeight w:val="230"/>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be equal to the higher of the Market Value and the Newly Issued Price.</w:t>
            </w:r>
          </w:p>
        </w:tc>
      </w:tr>
      <w:tr>
        <w:trPr>
          <w:trHeight w:val="445"/>
        </w:trPr>
        <w:tc>
          <w:tcPr>
            <w:tcW w:w="2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Exercise period</w:t>
            </w: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The warrants will become exercisable 30 days after the completion of our initial business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combination provided that we have an effective registration statement under the Securities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8"/>
              </w:rPr>
              <w:t>Act covering the issuance of the Class A ordinary shares issuable upon exercise of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warrants and a current prospectus relating to them is available and such shares are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registered, qualified or exempt from registration under the securities, or blue sky, laws of</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the state of residence of the holder (or we permit holders to exercise their warrants on a</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3"/>
              </w:rPr>
              <w:t>cashless basis under the circumstances specified in the warrant agreement, including as a</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result of a notice of redemption described below under “Redemption of warrants when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8"/>
              </w:rPr>
              <w:t>price per Class A ordinary share equals or exceeds $10.00”). If and when the warrants</w:t>
            </w:r>
          </w:p>
        </w:tc>
      </w:tr>
      <w:tr>
        <w:trPr>
          <w:trHeight w:val="230"/>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become redeemable by</w:t>
            </w:r>
          </w:p>
        </w:tc>
      </w:tr>
      <w:tr>
        <w:trPr>
          <w:trHeight w:val="240"/>
        </w:trPr>
        <w:tc>
          <w:tcPr>
            <w:tcW w:w="2760" w:type="dxa"/>
            <w:vAlign w:val="bottom"/>
            <w:tcBorders>
              <w:left w:val="single" w:sz="8" w:color="auto"/>
              <w:bottom w:val="single" w:sz="8" w:color="auto"/>
            </w:tcBorders>
          </w:tcPr>
          <w:p>
            <w:pPr>
              <w:spacing w:after="0"/>
              <w:rPr>
                <w:sz w:val="20"/>
                <w:szCs w:val="20"/>
                <w:color w:val="auto"/>
              </w:rPr>
            </w:pPr>
          </w:p>
        </w:tc>
        <w:tc>
          <w:tcPr>
            <w:tcW w:w="8260" w:type="dxa"/>
            <w:vAlign w:val="bottom"/>
            <w:tcBorders>
              <w:bottom w:val="single" w:sz="8" w:color="auto"/>
              <w:right w:val="single" w:sz="8" w:color="auto"/>
            </w:tcBorders>
          </w:tcPr>
          <w:p>
            <w:pPr>
              <w:spacing w:after="0"/>
              <w:rPr>
                <w:sz w:val="20"/>
                <w:szCs w:val="20"/>
                <w:color w:val="auto"/>
              </w:rPr>
            </w:pPr>
          </w:p>
        </w:tc>
      </w:tr>
      <w:tr>
        <w:trPr>
          <w:trHeight w:val="604"/>
        </w:trPr>
        <w:tc>
          <w:tcPr>
            <w:tcW w:w="2760" w:type="dxa"/>
            <w:vAlign w:val="bottom"/>
          </w:tcPr>
          <w:p>
            <w:pPr>
              <w:spacing w:after="0"/>
              <w:rPr>
                <w:sz w:val="24"/>
                <w:szCs w:val="24"/>
                <w:color w:val="auto"/>
              </w:rPr>
            </w:pPr>
          </w:p>
        </w:tc>
        <w:tc>
          <w:tcPr>
            <w:tcW w:w="8260" w:type="dxa"/>
            <w:vAlign w:val="bottom"/>
          </w:tcPr>
          <w:p>
            <w:pPr>
              <w:ind w:left="266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40"/>
        <w:spacing w:after="0" w:line="308" w:lineRule="auto"/>
        <w:rPr>
          <w:sz w:val="20"/>
          <w:szCs w:val="20"/>
          <w:color w:val="auto"/>
        </w:rPr>
      </w:pPr>
      <w:r>
        <w:rPr>
          <w:rFonts w:ascii="Arial" w:cs="Arial" w:eastAsia="Arial" w:hAnsi="Arial"/>
          <w:sz w:val="17"/>
          <w:szCs w:val="17"/>
          <w:color w:val="auto"/>
        </w:rPr>
        <w:t>us, we may exercise our redemption right even if we are unable to register or qualify the underlying securities for sale under all applicable state securities laws.</w:t>
      </w:r>
    </w:p>
    <w:p>
      <w:pPr>
        <w:spacing w:after="0" w:line="362" w:lineRule="exact"/>
        <w:rPr>
          <w:sz w:val="20"/>
          <w:szCs w:val="20"/>
          <w:color w:val="auto"/>
        </w:rPr>
      </w:pPr>
    </w:p>
    <w:p>
      <w:pPr>
        <w:ind w:left="300" w:right="100"/>
        <w:spacing w:after="0" w:line="342" w:lineRule="auto"/>
        <w:rPr>
          <w:sz w:val="20"/>
          <w:szCs w:val="20"/>
          <w:color w:val="auto"/>
        </w:rPr>
      </w:pPr>
      <w:r>
        <w:rPr>
          <w:rFonts w:ascii="Arial" w:cs="Arial" w:eastAsia="Arial" w:hAnsi="Arial"/>
          <w:sz w:val="16"/>
          <w:szCs w:val="16"/>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ectPr>
          <w:pgSz w:w="11900" w:h="16838" w:orient="portrait"/>
          <w:cols w:equalWidth="0" w:num="1">
            <w:col w:w="10920"/>
          </w:cols>
          <w:pgMar w:left="320" w:top="459" w:right="659" w:bottom="1440" w:gutter="0" w:footer="0" w:header="0"/>
        </w:sectPr>
      </w:pPr>
    </w:p>
    <w:p>
      <w:pPr>
        <w:spacing w:after="0" w:line="340" w:lineRule="exact"/>
        <w:rPr>
          <w:sz w:val="20"/>
          <w:szCs w:val="20"/>
          <w:color w:val="auto"/>
        </w:rPr>
      </w:pPr>
    </w:p>
    <w:p>
      <w:pPr>
        <w:ind w:left="380" w:hanging="78"/>
        <w:spacing w:after="0" w:line="342" w:lineRule="auto"/>
        <w:rPr>
          <w:sz w:val="20"/>
          <w:szCs w:val="20"/>
          <w:color w:val="auto"/>
        </w:rPr>
      </w:pPr>
      <w:r>
        <w:rPr>
          <w:rFonts w:ascii="Arial" w:cs="Arial" w:eastAsia="Arial" w:hAnsi="Arial"/>
          <w:sz w:val="16"/>
          <w:szCs w:val="16"/>
          <w:color w:val="auto"/>
        </w:rPr>
        <w:t>Redemption of warrants when the price per Class A ordinary share equals or exceeds $18.00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0" w:hanging="78"/>
        <w:spacing w:after="0" w:line="342" w:lineRule="auto"/>
        <w:rPr>
          <w:sz w:val="20"/>
          <w:szCs w:val="20"/>
          <w:color w:val="auto"/>
        </w:rPr>
      </w:pPr>
      <w:r>
        <w:rPr>
          <w:rFonts w:ascii="Arial" w:cs="Arial" w:eastAsia="Arial" w:hAnsi="Arial"/>
          <w:sz w:val="16"/>
          <w:szCs w:val="16"/>
          <w:color w:val="auto"/>
        </w:rPr>
        <w:t>Redemption of warrants when the price per Class A ordinary share equals or exceeds $10.00</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89" w:lineRule="exact"/>
        <w:rPr>
          <w:sz w:val="20"/>
          <w:szCs w:val="20"/>
          <w:color w:val="auto"/>
        </w:rPr>
      </w:pPr>
    </w:p>
    <w:p>
      <w:pPr>
        <w:ind w:left="180" w:hanging="153"/>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80" w:hanging="153"/>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80" w:hanging="153"/>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which we refer to as the “30-day redemption period”; and</w:t>
      </w:r>
    </w:p>
    <w:p>
      <w:pPr>
        <w:spacing w:after="0" w:line="75" w:lineRule="exact"/>
        <w:rPr>
          <w:rFonts w:ascii="Arial" w:cs="Arial" w:eastAsia="Arial" w:hAnsi="Arial"/>
          <w:sz w:val="18"/>
          <w:szCs w:val="18"/>
          <w:color w:val="auto"/>
        </w:rPr>
      </w:pPr>
    </w:p>
    <w:p>
      <w:pPr>
        <w:ind w:left="180" w:right="100" w:hanging="153"/>
        <w:spacing w:after="0" w:line="272"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and only if, the last reported sale price (the “closing price”) of our Class A ordinary shares equals or exceeds $18.00 per share (as adjusted for adjustments to the number of shares issuable upon exercise or the exercise price of a warrant as described under the heading “Description of Securities — Warrants — Public Shareholders’ Warrants — Anti-Dilution Adjustments”) for any 20 trading days within a 30-trading day period ending on the third trading day prior to the date on which we send the notice of redemption to the warrant holders.</w:t>
      </w:r>
    </w:p>
    <w:p>
      <w:pPr>
        <w:spacing w:after="0" w:line="20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22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Except as set forth below, none of the private placement warrants will be redeemable by us so long as they are held by our sponsor or its permitted transferees.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whole and not in part;</w:t>
      </w:r>
    </w:p>
    <w:p>
      <w:pPr>
        <w:spacing w:after="0" w:line="200" w:lineRule="exact"/>
        <w:rPr>
          <w:sz w:val="20"/>
          <w:szCs w:val="20"/>
          <w:color w:val="auto"/>
        </w:rPr>
      </w:pPr>
    </w:p>
    <w:p>
      <w:pPr>
        <w:sectPr>
          <w:pgSz w:w="11900" w:h="16838" w:orient="portrait"/>
          <w:cols w:equalWidth="0" w:num="2">
            <w:col w:w="4020" w:space="320"/>
            <w:col w:w="6580"/>
          </w:cols>
          <w:pgMar w:left="320" w:top="459" w:right="65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920"/>
          </w:cols>
          <w:pgMar w:left="320" w:top="459" w:right="6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20" w:right="280" w:hanging="159"/>
        <w:spacing w:after="0" w:line="272" w:lineRule="auto"/>
        <w:tabs>
          <w:tab w:leader="none" w:pos="4500" w:val="left"/>
        </w:tabs>
        <w:rPr>
          <w:sz w:val="20"/>
          <w:szCs w:val="20"/>
          <w:color w:val="auto"/>
        </w:rPr>
      </w:pPr>
      <w:r>
        <w:rPr>
          <w:rFonts w:ascii="Arial" w:cs="Arial" w:eastAsia="Arial" w:hAnsi="Arial"/>
          <w:sz w:val="17"/>
          <w:szCs w:val="17"/>
          <w:color w:val="auto"/>
        </w:rPr>
        <w:t>•</w:t>
        <w:tab/>
        <w:t xml:space="preserve">at $0.10 per warrant upon a minimum of 30 days’ prior written notice of redemption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holders will be able to exercise their warrants on a cashless basis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and receive that number of shares determined by reference to the table set forth under “Description of Securities — Warrants — Public Shareholders’ Warrants” based on the redemption date and the “fair market value” of our Class A ordinary shares (as defined below) except as otherwise described in “Description of Securities — Warrants — Public Shareholders’ Warrants”;</w:t>
      </w:r>
    </w:p>
    <w:p>
      <w:pPr>
        <w:spacing w:after="0" w:line="83" w:lineRule="exact"/>
        <w:rPr>
          <w:sz w:val="20"/>
          <w:szCs w:val="20"/>
          <w:color w:val="auto"/>
        </w:rPr>
      </w:pPr>
    </w:p>
    <w:p>
      <w:pPr>
        <w:ind w:left="4520" w:right="220" w:hanging="159"/>
        <w:spacing w:after="0" w:line="293" w:lineRule="auto"/>
        <w:tabs>
          <w:tab w:leader="none" w:pos="4500" w:val="left"/>
        </w:tabs>
        <w:rPr>
          <w:sz w:val="20"/>
          <w:szCs w:val="20"/>
          <w:color w:val="auto"/>
        </w:rPr>
      </w:pPr>
      <w:r>
        <w:rPr>
          <w:rFonts w:ascii="Arial" w:cs="Arial" w:eastAsia="Arial" w:hAnsi="Arial"/>
          <w:sz w:val="16"/>
          <w:szCs w:val="16"/>
          <w:color w:val="auto"/>
        </w:rPr>
        <w:t>•</w:t>
        <w:tab/>
        <w:t>if, and only if, the closing price of our Class A ordinary shares equals or exceeds $10.00 per share (as adjusted for adjustments to the number of shares issuable upon exercise or the exercise price of a warrant as described under the heading “Description of Securities — Warrants — Public Shareholders’ Warrants — Anti-dilution Adjustments”) for any 20 trading days within the 30-trading day period ending three trading days before we send the notice of redemption to the warrant holders; and</w:t>
      </w:r>
    </w:p>
    <w:p>
      <w:pPr>
        <w:spacing w:after="0" w:line="70" w:lineRule="exact"/>
        <w:rPr>
          <w:sz w:val="20"/>
          <w:szCs w:val="20"/>
          <w:color w:val="auto"/>
        </w:rPr>
      </w:pPr>
    </w:p>
    <w:p>
      <w:pPr>
        <w:ind w:left="4520" w:right="240" w:hanging="159"/>
        <w:spacing w:after="0" w:line="271" w:lineRule="auto"/>
        <w:tabs>
          <w:tab w:leader="none" w:pos="4500" w:val="left"/>
        </w:tabs>
        <w:rPr>
          <w:sz w:val="20"/>
          <w:szCs w:val="20"/>
          <w:color w:val="auto"/>
        </w:rPr>
      </w:pPr>
      <w:r>
        <w:rPr>
          <w:rFonts w:ascii="Arial" w:cs="Arial" w:eastAsia="Arial" w:hAnsi="Arial"/>
          <w:sz w:val="17"/>
          <w:szCs w:val="17"/>
          <w:color w:val="auto"/>
        </w:rPr>
        <w:t>•</w:t>
        <w:tab/>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 — Warrants — Public Shareholders’ Warrants — Anti-dilution Adjustments”), the private placement warrants must also be concurrently called for redemption on the same terms as the outstanding public warrants, as described above.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6"/>
              </w:rPr>
              <w:t>The “fair market value” of our Class A ordinary shares for the above purpose shall mean</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7"/>
              </w:rPr>
              <w:t>the volume weighted average price of our Class A ordinary shares during the 10 trading</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days immediately following the date on which the notice of redemption is sent to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5"/>
              </w:rPr>
              <w:t>holders of warrants. We will provide our warrant holders with the final fair market value no</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7"/>
              </w:rPr>
              <w:t>later than one business day after the 10 trading day period described above ends. In no</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5"/>
              </w:rPr>
              <w:t>event will the warrants be exercisable in connection with this redemption feature for more</w:t>
            </w:r>
          </w:p>
        </w:tc>
      </w:tr>
      <w:tr>
        <w:trPr>
          <w:trHeight w:val="230"/>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than 0.361 Class A ordinary shares per warrant (subject to adjustment).</w:t>
            </w:r>
          </w:p>
        </w:tc>
      </w:tr>
      <w:tr>
        <w:trPr>
          <w:trHeight w:val="445"/>
        </w:trPr>
        <w:tc>
          <w:tcPr>
            <w:tcW w:w="2740" w:type="dxa"/>
            <w:vAlign w:val="bottom"/>
          </w:tcPr>
          <w:p>
            <w:pPr>
              <w:spacing w:after="0"/>
              <w:rPr>
                <w:sz w:val="24"/>
                <w:szCs w:val="24"/>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4"/>
              </w:rPr>
              <w:t>No fractional Class A ordinary shares will be issued upon redemption. If, upon redemption,</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5"/>
              </w:rPr>
              <w:t>a holder would be entitled to receive a fractional interest in a share, we will round down to</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7"/>
              </w:rPr>
              <w:t>the nearest whole number of the number of Class A ordinary shares to be issued to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8"/>
              </w:rPr>
              <w:t>holder. Please see the section entitled “Description of Securities — Warrants — Public</w:t>
            </w:r>
          </w:p>
        </w:tc>
      </w:tr>
      <w:tr>
        <w:trPr>
          <w:trHeight w:val="230"/>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Shareholders’ Warrants” for additional information.</w:t>
            </w:r>
          </w:p>
        </w:tc>
      </w:tr>
      <w:tr>
        <w:trPr>
          <w:trHeight w:val="445"/>
        </w:trPr>
        <w:tc>
          <w:tcPr>
            <w:tcW w:w="2740" w:type="dxa"/>
            <w:vAlign w:val="bottom"/>
          </w:tcPr>
          <w:p>
            <w:pPr>
              <w:ind w:left="180"/>
              <w:spacing w:after="0"/>
              <w:rPr>
                <w:sz w:val="20"/>
                <w:szCs w:val="20"/>
                <w:color w:val="auto"/>
              </w:rPr>
            </w:pPr>
            <w:r>
              <w:rPr>
                <w:rFonts w:ascii="Arial" w:cs="Arial" w:eastAsia="Arial" w:hAnsi="Arial"/>
                <w:sz w:val="18"/>
                <w:szCs w:val="18"/>
                <w:color w:val="auto"/>
              </w:rPr>
              <w:t>Founder shares</w:t>
            </w:r>
          </w:p>
        </w:tc>
        <w:tc>
          <w:tcPr>
            <w:tcW w:w="8280" w:type="dxa"/>
            <w:vAlign w:val="bottom"/>
          </w:tcPr>
          <w:p>
            <w:pPr>
              <w:ind w:left="1480"/>
              <w:spacing w:after="0"/>
              <w:rPr>
                <w:sz w:val="20"/>
                <w:szCs w:val="20"/>
                <w:color w:val="auto"/>
              </w:rPr>
            </w:pPr>
            <w:r>
              <w:rPr>
                <w:rFonts w:ascii="Arial" w:cs="Arial" w:eastAsia="Arial" w:hAnsi="Arial"/>
                <w:sz w:val="18"/>
                <w:szCs w:val="18"/>
                <w:color w:val="auto"/>
                <w:w w:val="98"/>
              </w:rPr>
              <w:t>On January 20, 2021, our sponsor paid $25,000, or approximately $0.003 per share, to</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2"/>
              </w:rPr>
              <w:t>cover certain expenses on our behalf in consideration of 7,187,500 Class B ordinary shares,</w:t>
            </w:r>
          </w:p>
        </w:tc>
      </w:tr>
      <w:tr>
        <w:trPr>
          <w:trHeight w:val="230"/>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5"/>
              </w:rPr>
              <w:t>par value $0.0001. The per share price of the founder shares was determined by dividing</w:t>
            </w:r>
          </w:p>
        </w:tc>
      </w:tr>
      <w:tr>
        <w:trPr>
          <w:trHeight w:val="240"/>
        </w:trPr>
        <w:tc>
          <w:tcPr>
            <w:tcW w:w="2740" w:type="dxa"/>
            <w:vAlign w:val="bottom"/>
            <w:tcBorders>
              <w:bottom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r>
      <w:tr>
        <w:trPr>
          <w:trHeight w:val="604"/>
        </w:trPr>
        <w:tc>
          <w:tcPr>
            <w:tcW w:w="2740" w:type="dxa"/>
            <w:vAlign w:val="bottom"/>
          </w:tcPr>
          <w:p>
            <w:pPr>
              <w:spacing w:after="0"/>
              <w:rPr>
                <w:sz w:val="24"/>
                <w:szCs w:val="24"/>
                <w:color w:val="auto"/>
              </w:rPr>
            </w:pPr>
          </w:p>
        </w:tc>
        <w:tc>
          <w:tcPr>
            <w:tcW w:w="8280" w:type="dxa"/>
            <w:vAlign w:val="bottom"/>
          </w:tcPr>
          <w:p>
            <w:pPr>
              <w:ind w:left="268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0"/>
        <w:spacing w:after="0" w:line="253" w:lineRule="auto"/>
        <w:rPr>
          <w:sz w:val="20"/>
          <w:szCs w:val="20"/>
          <w:color w:val="auto"/>
        </w:rPr>
      </w:pPr>
      <w:r>
        <w:rPr>
          <w:rFonts w:ascii="Arial" w:cs="Arial" w:eastAsia="Arial" w:hAnsi="Arial"/>
          <w:sz w:val="18"/>
          <w:szCs w:val="18"/>
          <w:color w:val="auto"/>
        </w:rPr>
        <w:t>the amount contributed to the company by the number of founder shares issued. On February 2, 2021, our sponsor transferred 35,000 founder shares to each of Arno Harris, Ja-Chin Audrey Lee, Brian Goncher and Steven Berkenfeld, our independent director nominees. If we increase or decrease the size of this offering, we will effect a share capitalization or a share surrender or redemption or other appropriate mechanism, as applicable, with respect to our Class B ordinary shares immediately prior to the consummation of this offering in such amount as to maintain the number of founder shares, on an as-converted basis, at 20% of our issued and outstanding ordinary shares upon the consummation of this offering. Up to 937,500 founder shares are subject to forfeiture by the sponsor, depending on the extent to which the underwriters’ over-allotment option is exercised.</w:t>
      </w:r>
    </w:p>
    <w:p>
      <w:pPr>
        <w:spacing w:after="0" w:line="232" w:lineRule="exact"/>
        <w:rPr>
          <w:sz w:val="20"/>
          <w:szCs w:val="20"/>
          <w:color w:val="auto"/>
        </w:rPr>
      </w:pPr>
    </w:p>
    <w:p>
      <w:pPr>
        <w:ind w:left="4340" w:right="140"/>
        <w:spacing w:after="0" w:line="277" w:lineRule="auto"/>
        <w:rPr>
          <w:sz w:val="20"/>
          <w:szCs w:val="20"/>
          <w:color w:val="auto"/>
        </w:rPr>
      </w:pPr>
      <w:r>
        <w:rPr>
          <w:rFonts w:ascii="Arial" w:cs="Arial" w:eastAsia="Arial" w:hAnsi="Arial"/>
          <w:sz w:val="18"/>
          <w:szCs w:val="18"/>
          <w:color w:val="auto"/>
        </w:rPr>
        <w:t>The founder shares are identical to the Class A ordinary shares included in the units being sold in this offering, except that:</w:t>
      </w:r>
    </w:p>
    <w:p>
      <w:pPr>
        <w:spacing w:after="0" w:line="76" w:lineRule="exact"/>
        <w:rPr>
          <w:sz w:val="20"/>
          <w:szCs w:val="20"/>
          <w:color w:val="auto"/>
        </w:rPr>
      </w:pPr>
    </w:p>
    <w:p>
      <w:pPr>
        <w:jc w:val="both"/>
        <w:ind w:left="4520" w:right="300" w:hanging="153"/>
        <w:spacing w:after="0" w:line="286" w:lineRule="auto"/>
        <w:tabs>
          <w:tab w:leader="none" w:pos="4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prior to our initial business combination, only holders of the founder shares have the right to vote on the appointment of directors and holders of a majority of our founder shares may remove a member of the board of directors for any reason;</w:t>
      </w:r>
    </w:p>
    <w:p>
      <w:pPr>
        <w:spacing w:after="0" w:line="70" w:lineRule="exact"/>
        <w:rPr>
          <w:rFonts w:ascii="Arial" w:cs="Arial" w:eastAsia="Arial" w:hAnsi="Arial"/>
          <w:sz w:val="17"/>
          <w:szCs w:val="17"/>
          <w:color w:val="auto"/>
        </w:rPr>
      </w:pPr>
    </w:p>
    <w:p>
      <w:pPr>
        <w:ind w:left="4520" w:right="100" w:hanging="153"/>
        <w:spacing w:after="0" w:line="277" w:lineRule="auto"/>
        <w:tabs>
          <w:tab w:leader="none" w:pos="4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w:t>
      </w:r>
    </w:p>
    <w:p>
      <w:pPr>
        <w:spacing w:after="0" w:line="75" w:lineRule="exact"/>
        <w:rPr>
          <w:rFonts w:ascii="Arial" w:cs="Arial" w:eastAsia="Arial" w:hAnsi="Arial"/>
          <w:sz w:val="18"/>
          <w:szCs w:val="18"/>
          <w:color w:val="auto"/>
        </w:rPr>
      </w:pPr>
    </w:p>
    <w:p>
      <w:pPr>
        <w:ind w:left="4520" w:right="100" w:hanging="153"/>
        <w:spacing w:after="0" w:line="304" w:lineRule="auto"/>
        <w:tabs>
          <w:tab w:leader="none" w:pos="4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sponsor and each member of our management team have entered into an agreement with us, pursuant to which they have agreed to (i) waive their redemption rights with respect to their founder shares, (ii) to waive their redemption rights with respect to their founder shares and public shares in connection with a shareholder vote to approve an amendment to our amended and restated memorandum and articles of association</w:t>
      </w:r>
    </w:p>
    <w:p>
      <w:pPr>
        <w:spacing w:after="0" w:line="1" w:lineRule="exact"/>
        <w:rPr>
          <w:rFonts w:ascii="Arial" w:cs="Arial" w:eastAsia="Arial" w:hAnsi="Arial"/>
          <w:sz w:val="15"/>
          <w:szCs w:val="15"/>
          <w:color w:val="auto"/>
        </w:rPr>
      </w:pPr>
    </w:p>
    <w:p>
      <w:pPr>
        <w:ind w:left="4520"/>
        <w:spacing w:after="0" w:line="267" w:lineRule="auto"/>
        <w:rPr>
          <w:rFonts w:ascii="Arial" w:cs="Arial" w:eastAsia="Arial" w:hAnsi="Arial"/>
          <w:sz w:val="15"/>
          <w:szCs w:val="15"/>
          <w:color w:val="auto"/>
        </w:rPr>
      </w:pPr>
      <w:r>
        <w:rPr>
          <w:rFonts w:ascii="Arial" w:cs="Arial" w:eastAsia="Arial" w:hAnsi="Arial"/>
          <w:sz w:val="17"/>
          <w:szCs w:val="17"/>
          <w:color w:val="auto"/>
        </w:rPr>
        <w:t>(A)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and (iii) waive their rights to liquidating distributions from the trust account with respect to any founder shares they hold if we fail to consummate an initial business combination within 24 months (or 30 months, as applicable) from the closing of this offering (although they will be entitled to liquidating distributions from the trust account with respect to any public shares they hold if we fail to complete our initial business combination within the prescribed time frame). If we seek shareholder approval, we will complete our initial business combination only if we receive the approval of an ordinary resolution under Cayman Islands law being the affirmative vote of a majority of the ordinary shares, represented in person or by proxy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305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4305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60" w:right="260"/>
        <w:spacing w:after="0" w:line="269" w:lineRule="auto"/>
        <w:rPr>
          <w:sz w:val="20"/>
          <w:szCs w:val="20"/>
          <w:color w:val="auto"/>
        </w:rPr>
      </w:pPr>
      <w:r>
        <w:rPr>
          <w:rFonts w:ascii="Arial" w:cs="Arial" w:eastAsia="Arial" w:hAnsi="Arial"/>
          <w:sz w:val="17"/>
          <w:szCs w:val="17"/>
          <w:color w:val="auto"/>
        </w:rPr>
        <w:t>and entitled to vote thereon, voting in favor of a business combination at a general meeting. In such case, our sponsor and each member of our management team have agreed to vote their founder shares and public shares in favor of our initial business combination. As a result, in addition to our initial shareholders’ founder shares, we would need 9,375,001, or 37.5% (assuming all issued and outstanding shares are voted and the over-allotment option is not exercised), or 1,562,501 or 6.25% (assuming only the minimum number of shares representing a quorum are voted and the over-allotment option is not exercised), of the 25,000,000 public shares sold in this offering to be voted in favor of an initial business combination in order to have our initial business combination approved;</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w w:val="99"/>
              </w:rPr>
              <w:t>• the founder shares will automatically convert into our Class A ordinary shares at the</w:t>
            </w:r>
          </w:p>
        </w:tc>
      </w:tr>
      <w:tr>
        <w:trPr>
          <w:trHeight w:val="216"/>
        </w:trPr>
        <w:tc>
          <w:tcPr>
            <w:tcW w:w="400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w w:val="95"/>
              </w:rPr>
              <w:t>time of our initial business combination or earlier at the option of the holders thereof as</w:t>
            </w:r>
          </w:p>
        </w:tc>
      </w:tr>
      <w:tr>
        <w:trPr>
          <w:trHeight w:val="216"/>
        </w:trPr>
        <w:tc>
          <w:tcPr>
            <w:tcW w:w="400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w w:val="97"/>
              </w:rPr>
              <w:t>described below adjacent to the caption “Founder shares conversion and anti-dilution</w:t>
            </w:r>
          </w:p>
        </w:tc>
      </w:tr>
      <w:tr>
        <w:trPr>
          <w:trHeight w:val="230"/>
        </w:trPr>
        <w:tc>
          <w:tcPr>
            <w:tcW w:w="4000" w:type="dxa"/>
            <w:vAlign w:val="bottom"/>
          </w:tcPr>
          <w:p>
            <w:pPr>
              <w:spacing w:after="0"/>
              <w:rPr>
                <w:sz w:val="20"/>
                <w:szCs w:val="20"/>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w w:val="95"/>
              </w:rPr>
              <w:t>rights” and in our amended and restated memorandum and articles of association; and</w:t>
            </w:r>
          </w:p>
        </w:tc>
      </w:tr>
      <w:tr>
        <w:trPr>
          <w:trHeight w:val="338"/>
        </w:trPr>
        <w:tc>
          <w:tcPr>
            <w:tcW w:w="4000" w:type="dxa"/>
            <w:vAlign w:val="bottom"/>
          </w:tcPr>
          <w:p>
            <w:pPr>
              <w:spacing w:after="0"/>
              <w:rPr>
                <w:sz w:val="24"/>
                <w:szCs w:val="24"/>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 the founder shares are entitled to registration rights.</w:t>
            </w:r>
          </w:p>
        </w:tc>
      </w:tr>
      <w:tr>
        <w:trPr>
          <w:trHeight w:val="445"/>
        </w:trPr>
        <w:tc>
          <w:tcPr>
            <w:tcW w:w="4000" w:type="dxa"/>
            <w:vAlign w:val="bottom"/>
          </w:tcPr>
          <w:p>
            <w:pPr>
              <w:ind w:left="180"/>
              <w:spacing w:after="0"/>
              <w:rPr>
                <w:sz w:val="20"/>
                <w:szCs w:val="20"/>
                <w:color w:val="auto"/>
              </w:rPr>
            </w:pPr>
            <w:r>
              <w:rPr>
                <w:rFonts w:ascii="Arial" w:cs="Arial" w:eastAsia="Arial" w:hAnsi="Arial"/>
                <w:sz w:val="18"/>
                <w:szCs w:val="18"/>
                <w:color w:val="auto"/>
              </w:rPr>
              <w:t>Transfer restrictions on founder shares</w:t>
            </w:r>
          </w:p>
        </w:tc>
        <w:tc>
          <w:tcPr>
            <w:tcW w:w="7020" w:type="dxa"/>
            <w:vAlign w:val="bottom"/>
          </w:tcPr>
          <w:p>
            <w:pPr>
              <w:ind w:left="220"/>
              <w:spacing w:after="0"/>
              <w:rPr>
                <w:sz w:val="20"/>
                <w:szCs w:val="20"/>
                <w:color w:val="auto"/>
              </w:rPr>
            </w:pPr>
            <w:r>
              <w:rPr>
                <w:rFonts w:ascii="Arial" w:cs="Arial" w:eastAsia="Arial" w:hAnsi="Arial"/>
                <w:sz w:val="18"/>
                <w:szCs w:val="18"/>
                <w:color w:val="auto"/>
                <w:w w:val="98"/>
              </w:rPr>
              <w:t>Except as described herein, our sponsor and our directors and executive officers have</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3"/>
              </w:rPr>
              <w:t>agreed not to transfer, assign or sell any of their founder shares until the earliest of (A) one</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8"/>
              </w:rPr>
              <w:t>year after the completion of our initial business combination and (B) subsequent to our</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6"/>
              </w:rPr>
              <w:t>initial business combination, (x) if the closing price of our Class A ordinary shares equals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8"/>
              </w:rPr>
              <w:t>or exceeds $12.00 per share (as adjusted for share subdivisions, share capitalizations,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reorganizations, recapitalizations and the like) for any 20 trading days within any</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4"/>
              </w:rPr>
              <w:t>30-trading day period commencing at least 150 days after our initial business combination,</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3"/>
              </w:rPr>
              <w:t>or (y) the date on which we complete a liquidation, merger, share exchange or other similar</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5"/>
              </w:rPr>
              <w:t>transaction that results in all of our public shareholders having the right to exchange their</w:t>
            </w:r>
          </w:p>
        </w:tc>
      </w:tr>
      <w:tr>
        <w:trPr>
          <w:trHeight w:val="230"/>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ordinary shares for cash, securities or other property.</w:t>
            </w:r>
          </w:p>
        </w:tc>
      </w:tr>
      <w:tr>
        <w:trPr>
          <w:trHeight w:val="445"/>
        </w:trPr>
        <w:tc>
          <w:tcPr>
            <w:tcW w:w="4000" w:type="dxa"/>
            <w:vAlign w:val="bottom"/>
          </w:tcPr>
          <w:p>
            <w:pPr>
              <w:spacing w:after="0"/>
              <w:rPr>
                <w:sz w:val="24"/>
                <w:szCs w:val="24"/>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4"/>
              </w:rPr>
              <w:t>Any permitted transferees would be subject to the same restrictions and other agreements</w:t>
            </w:r>
          </w:p>
        </w:tc>
      </w:tr>
      <w:tr>
        <w:trPr>
          <w:trHeight w:val="230"/>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4"/>
              </w:rPr>
              <w:t>of our sponsor and our directors and executive officers with respect to any founder shares.</w:t>
            </w:r>
          </w:p>
        </w:tc>
      </w:tr>
      <w:tr>
        <w:trPr>
          <w:trHeight w:val="445"/>
        </w:trPr>
        <w:tc>
          <w:tcPr>
            <w:tcW w:w="4000" w:type="dxa"/>
            <w:vAlign w:val="bottom"/>
          </w:tcPr>
          <w:p>
            <w:pPr>
              <w:ind w:left="180"/>
              <w:spacing w:after="0"/>
              <w:rPr>
                <w:sz w:val="20"/>
                <w:szCs w:val="20"/>
                <w:color w:val="auto"/>
              </w:rPr>
            </w:pPr>
            <w:r>
              <w:rPr>
                <w:rFonts w:ascii="Arial" w:cs="Arial" w:eastAsia="Arial" w:hAnsi="Arial"/>
                <w:sz w:val="18"/>
                <w:szCs w:val="18"/>
                <w:color w:val="auto"/>
                <w:w w:val="95"/>
              </w:rPr>
              <w:t>Founder shares conversion and anti-dilution rights</w:t>
            </w:r>
          </w:p>
        </w:tc>
        <w:tc>
          <w:tcPr>
            <w:tcW w:w="7020" w:type="dxa"/>
            <w:vAlign w:val="bottom"/>
          </w:tcPr>
          <w:p>
            <w:pPr>
              <w:ind w:left="220"/>
              <w:spacing w:after="0"/>
              <w:rPr>
                <w:sz w:val="20"/>
                <w:szCs w:val="20"/>
                <w:color w:val="auto"/>
              </w:rPr>
            </w:pPr>
            <w:r>
              <w:rPr>
                <w:rFonts w:ascii="Arial" w:cs="Arial" w:eastAsia="Arial" w:hAnsi="Arial"/>
                <w:sz w:val="18"/>
                <w:szCs w:val="18"/>
                <w:color w:val="auto"/>
              </w:rPr>
              <w:t>The founder shares are designated as Class B ordinary shares and will automatically</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5"/>
              </w:rPr>
              <w:t>convert into Class A ordinary shares, which such Class A ordinary shares delivered upon</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6"/>
              </w:rPr>
              <w:t>conversion will not have any redemption rights or be entitled to liquidating distributions if</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6"/>
              </w:rPr>
              <w:t>we do not consummate an initial business combination, at the time of our initial business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3"/>
              </w:rPr>
              <w:t>combination or earlier at the option of the holders thereof at a ratio such that the number of</w:t>
            </w:r>
          </w:p>
        </w:tc>
      </w:tr>
      <w:tr>
        <w:trPr>
          <w:trHeight w:val="230"/>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6"/>
              </w:rPr>
              <w:t>Class A ordinary shares issuable upon conversion of all founder shares will equal, in the</w:t>
            </w:r>
          </w:p>
        </w:tc>
      </w:tr>
      <w:tr>
        <w:trPr>
          <w:trHeight w:val="240"/>
        </w:trPr>
        <w:tc>
          <w:tcPr>
            <w:tcW w:w="400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tcPr>
          <w:p>
            <w:pPr>
              <w:spacing w:after="0"/>
              <w:rPr>
                <w:sz w:val="20"/>
                <w:szCs w:val="20"/>
                <w:color w:val="auto"/>
              </w:rPr>
            </w:pPr>
          </w:p>
        </w:tc>
      </w:tr>
      <w:tr>
        <w:trPr>
          <w:trHeight w:val="604"/>
        </w:trPr>
        <w:tc>
          <w:tcPr>
            <w:tcW w:w="4000" w:type="dxa"/>
            <w:vAlign w:val="bottom"/>
          </w:tcPr>
          <w:p>
            <w:pPr>
              <w:spacing w:after="0"/>
              <w:rPr>
                <w:sz w:val="24"/>
                <w:szCs w:val="24"/>
                <w:color w:val="auto"/>
              </w:rPr>
            </w:pPr>
          </w:p>
        </w:tc>
        <w:tc>
          <w:tcPr>
            <w:tcW w:w="7020" w:type="dxa"/>
            <w:vAlign w:val="bottom"/>
          </w:tcPr>
          <w:p>
            <w:pPr>
              <w:ind w:left="142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620" w:type="dxa"/>
            <w:vAlign w:val="bottom"/>
            <w:tcBorders>
              <w:top w:val="single" w:sz="8" w:color="auto"/>
              <w:left w:val="single" w:sz="8" w:color="auto"/>
            </w:tcBorders>
          </w:tcPr>
          <w:p>
            <w:pPr>
              <w:spacing w:after="0"/>
              <w:rPr>
                <w:sz w:val="24"/>
                <w:szCs w:val="24"/>
                <w:color w:val="auto"/>
              </w:rPr>
            </w:pPr>
          </w:p>
        </w:tc>
        <w:tc>
          <w:tcPr>
            <w:tcW w:w="740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8"/>
                <w:szCs w:val="18"/>
                <w:color w:val="auto"/>
                <w:w w:val="97"/>
              </w:rPr>
              <w:t>aggregate, on an as-converted basis, 20% of the sum of (i) the total number of ordinary</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3"/>
              </w:rPr>
              <w:t>shares issued and outstanding upon completion of this offering, plus (ii) the total number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1"/>
              </w:rPr>
              <w:t>Class A ordinary shares issued or deemed issued or issuable upon conversion or exercise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any equity-linked securities (as defined herein) or rights issued or deemed issued, by the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Company in connection with or in relation to the consummation of the initial business</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4"/>
              </w:rPr>
              <w:t>combination, excluding any Class A ordinary shares or equity-linked securities exercisable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for or convertible into Class A ordinary shares issued, deemed issued, or to be issued, to</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4"/>
              </w:rPr>
              <w:t>any seller in the initial business combination and any private placement warrants issued to</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our sponsor, its affiliates or any member of our management team upon conversion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working capital loans. Any conversion of Class B ordinary shares described herein will</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take effect as a compulsory redemption of Class B ordinary shares and an issuance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6"/>
              </w:rPr>
              <w:t>Class A ordinary shares as a matter of Cayman Islands law. In no event will the Class B</w:t>
            </w:r>
          </w:p>
        </w:tc>
      </w:tr>
      <w:tr>
        <w:trPr>
          <w:trHeight w:val="230"/>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ordinary shares convert into Class A ordinary shares at a rate of less than one-to-one.</w:t>
            </w:r>
          </w:p>
        </w:tc>
      </w:tr>
      <w:tr>
        <w:trPr>
          <w:trHeight w:val="445"/>
        </w:trPr>
        <w:tc>
          <w:tcPr>
            <w:tcW w:w="3620" w:type="dxa"/>
            <w:vAlign w:val="bottom"/>
            <w:tcBorders>
              <w:left w:val="single" w:sz="8" w:color="auto"/>
            </w:tcBorders>
          </w:tcPr>
          <w:p>
            <w:pPr>
              <w:spacing w:after="0"/>
              <w:rPr>
                <w:sz w:val="24"/>
                <w:szCs w:val="24"/>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The term “equity-linked securities” refers to any debt or equity securities that are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convertible, exercisable or exchangeable for our Class A ordinary shares issued in a</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financing transaction in connection with our initial business combination, including but not</w:t>
            </w:r>
          </w:p>
        </w:tc>
      </w:tr>
      <w:tr>
        <w:trPr>
          <w:trHeight w:val="230"/>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limited to a private placement of equity or debt.</w:t>
            </w:r>
          </w:p>
        </w:tc>
      </w:tr>
      <w:tr>
        <w:trPr>
          <w:trHeight w:val="445"/>
        </w:trPr>
        <w:tc>
          <w:tcPr>
            <w:tcW w:w="36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Appointment of directors; Voting rights</w:t>
            </w: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Prior to our initial business combination, holders of our founder shares are the only</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shareholders of the company which will have the right to vote on the appointment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directors. Holders of our public shares will not be entitled to vote on the appointment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directors during such time. In addition, prior to the completion of an initial business</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combination, holders of a majority of our founder shares may remove a member of the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board of directors for any reason. These provisions of our amended and restated</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memorandum and articles of association may only be amended by a special resolution</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passed by holders representing at least two-thirds of our ordinary shares who attend and</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vote at our general meeting which shall include the affirmative vote of a simple majority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7"/>
              </w:rPr>
              <w:t>our Class B ordinary shares. With respect to any other matter submitted to a vote of our</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shareholders, including any vote in connection with our initial business combination,</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except as required by law, holders of our founder shares and holders of our public shares</w:t>
            </w:r>
          </w:p>
        </w:tc>
      </w:tr>
      <w:tr>
        <w:trPr>
          <w:trHeight w:val="230"/>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will vote together as a single class, with each share entitling the holder to one vote.</w:t>
            </w:r>
          </w:p>
        </w:tc>
      </w:tr>
      <w:tr>
        <w:trPr>
          <w:trHeight w:val="445"/>
        </w:trPr>
        <w:tc>
          <w:tcPr>
            <w:tcW w:w="36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Private placement warrants</w:t>
            </w: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3"/>
              </w:rPr>
              <w:t>Our sponsor has committed, pursuant to a written agreement, to purchase an aggregate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9"/>
              </w:rPr>
              <w:t>8,000,000 private placement warrants (or 8,750,000 private placement warrants if the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underwriters’ over-allotment option is exercised in full), each exercisable to purchase one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Class A ordinary share at $11.50 per share, subject to adjustment, at a price of $1.00 per</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warrant ($8,000,000 in the aggregate or $8,750,000 if the underwriters’ over-allotment</w:t>
            </w:r>
          </w:p>
        </w:tc>
      </w:tr>
      <w:tr>
        <w:trPr>
          <w:trHeight w:val="230"/>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option is exercised in full), in a</w:t>
            </w:r>
          </w:p>
        </w:tc>
      </w:tr>
      <w:tr>
        <w:trPr>
          <w:trHeight w:val="240"/>
        </w:trPr>
        <w:tc>
          <w:tcPr>
            <w:tcW w:w="3620" w:type="dxa"/>
            <w:vAlign w:val="bottom"/>
            <w:tcBorders>
              <w:left w:val="single" w:sz="8" w:color="auto"/>
              <w:bottom w:val="single" w:sz="8" w:color="auto"/>
            </w:tcBorders>
          </w:tcPr>
          <w:p>
            <w:pPr>
              <w:spacing w:after="0"/>
              <w:rPr>
                <w:sz w:val="20"/>
                <w:szCs w:val="20"/>
                <w:color w:val="auto"/>
              </w:rPr>
            </w:pPr>
          </w:p>
        </w:tc>
        <w:tc>
          <w:tcPr>
            <w:tcW w:w="7400" w:type="dxa"/>
            <w:vAlign w:val="bottom"/>
            <w:tcBorders>
              <w:bottom w:val="single" w:sz="8" w:color="auto"/>
              <w:right w:val="single" w:sz="8" w:color="auto"/>
            </w:tcBorders>
          </w:tcPr>
          <w:p>
            <w:pPr>
              <w:spacing w:after="0"/>
              <w:rPr>
                <w:sz w:val="20"/>
                <w:szCs w:val="20"/>
                <w:color w:val="auto"/>
              </w:rPr>
            </w:pPr>
          </w:p>
        </w:tc>
      </w:tr>
      <w:tr>
        <w:trPr>
          <w:trHeight w:val="604"/>
        </w:trPr>
        <w:tc>
          <w:tcPr>
            <w:tcW w:w="3620" w:type="dxa"/>
            <w:vAlign w:val="bottom"/>
          </w:tcPr>
          <w:p>
            <w:pPr>
              <w:spacing w:after="0"/>
              <w:rPr>
                <w:sz w:val="24"/>
                <w:szCs w:val="24"/>
                <w:color w:val="auto"/>
              </w:rPr>
            </w:pPr>
          </w:p>
        </w:tc>
        <w:tc>
          <w:tcPr>
            <w:tcW w:w="7400" w:type="dxa"/>
            <w:vAlign w:val="bottom"/>
          </w:tcPr>
          <w:p>
            <w:pPr>
              <w:ind w:left="180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404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6"/>
              </w:rPr>
              <w:t>private placement that will close simultaneously with the closing of this offering. If we do</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not complete our initial business combination within 24 months (or 30 months, as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applicable) from the closing of this offering, the private placement warrants will expire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worthless. The private placement warrants will be non-redeemable by us (except as set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forth under “Description of Securities — Warrants — Public Shareholders’ Warrants —</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Redemption of warrants when the price per Class A ordinary share equals or exceeds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$10.00”) and exercisable on a cashless basis so long as they are held by our sponsor or its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permitted transferees (see “Description of Securities — Warrants — Private Placement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Warrants”). If the private placement warrants are held by holders other than our sponsor or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its permitted transferees, the private placement warrants will be redeemable by us in all</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redemption scenarios and exercisable by the holders on the same basis as the warrants</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included in the units being sold in this offering.</w:t>
            </w:r>
          </w:p>
        </w:tc>
      </w:tr>
      <w:tr>
        <w:trPr>
          <w:trHeight w:val="4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4"/>
              </w:rPr>
              <w:t>Transfer restrictions on private placement warrants</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The private placement warrants (including the Class A ordinary shares issuable upon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exercise of the private placement warrants) will not be transferable, assignable or salable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until 30 days after the completion of our initial business combination, except as described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herein under “Principal Shareholders — Transfers of Founder Shares and Private</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Placement Warrants.”</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9"/>
              </w:rPr>
              <w:t>Cashless exercise of private placement warrants</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If holders of private placement warrants elect to exercise them on a cashless basis, except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as described under “Redemption of warrants when the price per Class A ordinary share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equals or exceeds $10.00,” they would pay the exercise price by surrendering their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warrants for that number of Class A ordinary shares equal to the quotient obtained by</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dividing (x) the product of the number of Class A ordinary shares underlying the warrants,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multiplied by the excess of the “Sponsor fair market value” (defined below) over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exercise price of the warrants by (y) the Sponsor fair market value. The “Sponsor fair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market value” shall mean the average reported closing price of the Class A ordinary shares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for the 10 trading days ending on the third trading day prior to the date on which the notice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of warrant exercise is sent to the warrant agent. The reason that we have agreed that these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warrants will be exercisable on a cashless basis so long as they are held by the sponsor or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its permitted transferees is because it is not known at this time whether they will be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affiliated with us following a business combination. If they remain affiliated with us, their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ability to sell our securities in the open market will be significantly limited. We expect to</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have policies in place that restrict insiders from selling our securities except during specific</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periods.</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Proceeds to be held in trust account</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Of the proceeds we will receive from this offering and the sale of the private placement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warrants described in this prospectus, $250,000,000, or $287,500,000 if the underwriters’</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over-allotment</w:t>
            </w:r>
          </w:p>
        </w:tc>
      </w:tr>
      <w:tr>
        <w:trPr>
          <w:trHeight w:val="240"/>
        </w:trPr>
        <w:tc>
          <w:tcPr>
            <w:tcW w:w="4040" w:type="dxa"/>
            <w:vAlign w:val="bottom"/>
            <w:tcBorders>
              <w:left w:val="single" w:sz="8" w:color="auto"/>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r>
      <w:tr>
        <w:trPr>
          <w:trHeight w:val="604"/>
        </w:trPr>
        <w:tc>
          <w:tcPr>
            <w:tcW w:w="4040" w:type="dxa"/>
            <w:vAlign w:val="bottom"/>
          </w:tcPr>
          <w:p>
            <w:pPr>
              <w:spacing w:after="0"/>
              <w:rPr>
                <w:sz w:val="24"/>
                <w:szCs w:val="24"/>
                <w:color w:val="auto"/>
              </w:rPr>
            </w:pPr>
          </w:p>
        </w:tc>
        <w:tc>
          <w:tcPr>
            <w:tcW w:w="6980" w:type="dxa"/>
            <w:vAlign w:val="bottom"/>
          </w:tcPr>
          <w:p>
            <w:pPr>
              <w:ind w:left="138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72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option is exercised in full ($10.00 per unit in either case), will be deposited into a</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segregated trust account located in the United States at Citibank, N.A., with Continental</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5"/>
              </w:rPr>
              <w:t>Stock Transfer &amp; Trust Company acting as trustee. The proceeds to be placed in the trust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account include $8,750,000 (or $10,062,500 if the underwriters’ over-allotment option is</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exercised in full) in deferred underwriting commissions.</w:t>
            </w:r>
          </w:p>
        </w:tc>
      </w:tr>
      <w:tr>
        <w:trPr>
          <w:trHeight w:val="458"/>
        </w:trPr>
        <w:tc>
          <w:tcPr>
            <w:tcW w:w="372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Except with respect to interest earned on the funds held in the trust account that may be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2"/>
              </w:rPr>
              <w:t>released to us to pay our income taxes, if any, our amended and restated memorandum and</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9"/>
              </w:rPr>
              <w:t>articles of association, as discussed below and subject to the requirements of law and</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regulation, will provide that the proceeds from this offering and the sale of the private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placement warrants held in the trust account will not be released from the trust account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(1) to us, until the completion of our initial business combination, or (2) to our public</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8"/>
              </w:rPr>
              <w:t>shareholders, until the earliest of (a) the completion of our initial business combination,</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8"/>
              </w:rPr>
              <w:t>and then only in connection with those Class A ordinary shares that such shareholders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5"/>
              </w:rPr>
              <w:t>properly elected to redeem, subject to the limitations described herein, (b) the redemption</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3"/>
              </w:rPr>
              <w:t>of any public shares properly tendered in connection with a shareholder vote to amend our</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2"/>
              </w:rPr>
              <w:t>amended and restated memorandum and articles of association (A) to modify the substance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8"/>
              </w:rPr>
              <w:t>or timing of our obligation to provide holders of our Class A ordinary shares the right to</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have their shares redeemed in connection with our initial business combination or to</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5"/>
              </w:rPr>
              <w:t>redeem 100% of our public shares if we do not complete our initial business combination</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5"/>
              </w:rPr>
              <w:t>within 24 months (or 30 months, as applicable) from the closing of this offering or (B) with</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respect to any other provision relating to the rights of holders of our Class A ordinary</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shares, and (c) the redemption of our public shares if we have not consummated our</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business combination within 24 months (or 30 months, as applicable) from the closing of</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9"/>
              </w:rPr>
              <w:t>this offering, subject to applicable law. Public shareholders who redeem their Class A</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ordinary shares in connection with a shareholder vote described in clause (b) in the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preceding sentence shall not be entitled to funds from the trust account upon the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9"/>
              </w:rPr>
              <w:t>subsequent completion of an initial business combination or liquidation if we have not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consummated an initial business combination within 24 months (or 30 months, as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applicable) from the closing of this offering, with respect to such Class A ordinary shares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so redeemed. The proceeds deposited in the trust account could become subject to the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claims of our creditors, if any, which could have priority over the claims of our public</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shareholders.</w:t>
            </w:r>
          </w:p>
        </w:tc>
      </w:tr>
      <w:tr>
        <w:trPr>
          <w:trHeight w:val="445"/>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Anticipated expenses and funding sources</w:t>
            </w: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Except as described above with respect to the payment of taxes, unless and until we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8"/>
              </w:rPr>
              <w:t>complete our initial business combination, no proceeds held in the trust account will be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available for our use. The proceeds held in the trust account will be invested only in U.S.</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government treasury obligations with a maturity of 185 days or less or</w:t>
            </w:r>
          </w:p>
        </w:tc>
      </w:tr>
      <w:tr>
        <w:trPr>
          <w:trHeight w:val="240"/>
        </w:trPr>
        <w:tc>
          <w:tcPr>
            <w:tcW w:w="3720" w:type="dxa"/>
            <w:vAlign w:val="bottom"/>
            <w:tcBorders>
              <w:left w:val="single" w:sz="8" w:color="auto"/>
              <w:bottom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spacing w:after="0"/>
              <w:rPr>
                <w:sz w:val="20"/>
                <w:szCs w:val="20"/>
                <w:color w:val="auto"/>
              </w:rPr>
            </w:pPr>
          </w:p>
        </w:tc>
      </w:tr>
      <w:tr>
        <w:trPr>
          <w:trHeight w:val="604"/>
        </w:trPr>
        <w:tc>
          <w:tcPr>
            <w:tcW w:w="3720" w:type="dxa"/>
            <w:vAlign w:val="bottom"/>
          </w:tcPr>
          <w:p>
            <w:pPr>
              <w:spacing w:after="0"/>
              <w:rPr>
                <w:sz w:val="24"/>
                <w:szCs w:val="24"/>
                <w:color w:val="auto"/>
              </w:rPr>
            </w:pPr>
          </w:p>
        </w:tc>
        <w:tc>
          <w:tcPr>
            <w:tcW w:w="7300" w:type="dxa"/>
            <w:vAlign w:val="bottom"/>
          </w:tcPr>
          <w:p>
            <w:pPr>
              <w:ind w:left="170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8331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0" w:right="80" w:hanging="78"/>
        <w:spacing w:after="0" w:line="277" w:lineRule="auto"/>
        <w:rPr>
          <w:sz w:val="20"/>
          <w:szCs w:val="20"/>
          <w:color w:val="auto"/>
        </w:rPr>
      </w:pPr>
      <w:r>
        <w:rPr>
          <w:rFonts w:ascii="Arial" w:cs="Arial" w:eastAsia="Arial" w:hAnsi="Arial"/>
          <w:sz w:val="18"/>
          <w:szCs w:val="18"/>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money market funds meeting certain conditions under Rule 2a-7 under the Investment Company Act which invest only in direct U.S. government treasury obligations. Assuming an interest rate of 0.2% per year, we estimate the interest earned on the trust account will be approximately $500,000 per year; however, we can provide no assurances regarding this amount. Unless and until we complete our initial business combination, we may pay our expenses only from:</w:t>
      </w:r>
    </w:p>
    <w:p>
      <w:pPr>
        <w:spacing w:after="0" w:line="111" w:lineRule="exact"/>
        <w:rPr>
          <w:sz w:val="20"/>
          <w:szCs w:val="20"/>
          <w:color w:val="auto"/>
        </w:rPr>
      </w:pPr>
    </w:p>
    <w:p>
      <w:pPr>
        <w:ind w:left="180" w:right="20" w:hanging="153"/>
        <w:spacing w:after="0" w:line="259"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private placement warrants not held in the trust account, which will be approximately $1,550,000 in working capital after the payment of approximately $1,450,000 in non-reimbursed expenses relating to this offering; and</w:t>
      </w:r>
    </w:p>
    <w:p>
      <w:pPr>
        <w:spacing w:after="0" w:line="92" w:lineRule="exact"/>
        <w:rPr>
          <w:rFonts w:ascii="Arial" w:cs="Arial" w:eastAsia="Arial" w:hAnsi="Arial"/>
          <w:sz w:val="18"/>
          <w:szCs w:val="18"/>
          <w:color w:val="auto"/>
        </w:rPr>
      </w:pPr>
    </w:p>
    <w:p>
      <w:pPr>
        <w:ind w:left="180" w:right="100" w:hanging="153"/>
        <w:spacing w:after="0" w:line="275"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loans or additional investments from our sponsor or an affiliate of our sponsor or certain of our officers and directors, although they are under no obligation to advance funds to us in such circumstances, and provided any such loans will not have any claim on the proceeds held in the trust account unless such proceeds are released to us upon completion of our initial business combination.</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So long as our securities are then listed on NASDAQ, our initial business combination must occur with one or more target businesses that together have an aggregate fair market value of at least 80% of the net assets held in the trust account (excluding the deferred underwriting commissions and taxes payable on the interest earned on the trust account) at the time of signing a definitive agreement in connection with our initial business combination. If our board of directors is not able to independently determine the fair market value of the target business or businesses, we will obtain an opinion from an independent investment banking firm or another independent entity that commonly renders valuation opinions with respect to the satisfaction of such criteria. Our shareholders may not be provided with a copy of such opinion nor will they be able to rely on such opinion. If our securities are not then listed on NASDAQ for whatever reason, we would no longer be required to meet the foregoing 80% of net asset test. However, we intend to satisfy the 80% requirement even if our securities are not listed on NASDAQ at the time of our initial business combination.</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will complete our initial business combination only if the post-business combination company in which our public shareholders own shares will own or acquire 50% or more of the outstanding voting securities of the target or is otherwise not required to register as an investment company under the Investment Company Act. Even if the post-business combination company owns or acquires 50% or more of the voting securities of the target, our shareholders prior to our initial business combination may collectively own a minority interest in the post-business combination company, depending on valuations ascribed to the target and us in the business combination transaction.</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920"/>
          </w:cols>
          <w:pgMar w:left="320" w:top="459" w:right="6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4" w:lineRule="auto"/>
        <w:rPr>
          <w:sz w:val="20"/>
          <w:szCs w:val="20"/>
          <w:color w:val="auto"/>
        </w:rPr>
      </w:pPr>
      <w:r>
        <w:rPr>
          <w:rFonts w:ascii="Arial" w:cs="Arial" w:eastAsia="Arial" w:hAnsi="Arial"/>
          <w:sz w:val="18"/>
          <w:szCs w:val="18"/>
          <w:color w:val="auto"/>
        </w:rPr>
        <w:t xml:space="preserve">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Permitted purchases and other transactions with respect If we seek shareholder approval of our initial business combination and we do not conduct</w:t>
      </w:r>
    </w:p>
    <w:p>
      <w:pPr>
        <w:spacing w:after="0" w:line="46" w:lineRule="exact"/>
        <w:rPr>
          <w:sz w:val="20"/>
          <w:szCs w:val="20"/>
          <w:color w:val="auto"/>
        </w:rPr>
      </w:pPr>
    </w:p>
    <w:p>
      <w:pPr>
        <w:ind w:left="4340" w:hanging="3955"/>
        <w:spacing w:after="0" w:line="283" w:lineRule="auto"/>
        <w:tabs>
          <w:tab w:leader="none" w:pos="4320" w:val="left"/>
        </w:tabs>
        <w:rPr>
          <w:sz w:val="20"/>
          <w:szCs w:val="20"/>
          <w:color w:val="auto"/>
        </w:rPr>
      </w:pPr>
      <w:r>
        <w:rPr>
          <w:rFonts w:ascii="Arial" w:cs="Arial" w:eastAsia="Arial" w:hAnsi="Arial"/>
          <w:sz w:val="18"/>
          <w:szCs w:val="18"/>
          <w:color w:val="auto"/>
        </w:rPr>
        <w:t>to our securities</w:t>
      </w:r>
      <w:r>
        <w:rPr>
          <w:sz w:val="20"/>
          <w:szCs w:val="20"/>
          <w:color w:val="auto"/>
        </w:rPr>
        <w:tab/>
      </w:r>
      <w:r>
        <w:rPr>
          <w:rFonts w:ascii="Arial" w:cs="Arial" w:eastAsia="Arial" w:hAnsi="Arial"/>
          <w:sz w:val="16"/>
          <w:szCs w:val="16"/>
          <w:color w:val="auto"/>
        </w:rPr>
        <w:t>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Additionally, at any time at or prior to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held in the trust account will be used to purchase public shares or warrants in such transactions. If they engage in such transactions, they will be restricted from making any such purchases when they are in possession of any material nonpublic information not disclosed to the seller or if such purchases are prohibited by Regulation M under the Securities Exchange Act of 1934, as amended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See “Proposed Business — Permitted Purchases and Other Transactions with Respect to Our Securities” for a description of how our sponsor, directors, executive officers, advisors or their affiliates will select which shareholders to purchase securities from in any private transaction.</w:t>
      </w:r>
    </w:p>
    <w:p>
      <w:pPr>
        <w:spacing w:after="0" w:line="200" w:lineRule="exact"/>
        <w:rPr>
          <w:sz w:val="20"/>
          <w:szCs w:val="20"/>
          <w:color w:val="auto"/>
        </w:rPr>
      </w:pPr>
    </w:p>
    <w:p>
      <w:pPr>
        <w:spacing w:after="0" w:line="221" w:lineRule="exact"/>
        <w:rPr>
          <w:sz w:val="20"/>
          <w:szCs w:val="20"/>
          <w:color w:val="auto"/>
        </w:rPr>
      </w:pPr>
    </w:p>
    <w:p>
      <w:pPr>
        <w:ind w:left="4340" w:right="800"/>
        <w:spacing w:after="0" w:line="277" w:lineRule="auto"/>
        <w:rPr>
          <w:sz w:val="20"/>
          <w:szCs w:val="20"/>
          <w:color w:val="auto"/>
        </w:rPr>
      </w:pPr>
      <w:r>
        <w:rPr>
          <w:rFonts w:ascii="Arial" w:cs="Arial" w:eastAsia="Arial" w:hAnsi="Arial"/>
          <w:sz w:val="18"/>
          <w:szCs w:val="18"/>
          <w:color w:val="auto"/>
        </w:rPr>
        <w:t>The purpose of any such transaction could be to (1) vote in favor of the business combination and thereby increase the likelihood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320" w:top="459" w:right="65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387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38734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left="300"/>
        <w:spacing w:after="0" w:line="342" w:lineRule="auto"/>
        <w:rPr>
          <w:sz w:val="20"/>
          <w:szCs w:val="20"/>
          <w:color w:val="auto"/>
        </w:rPr>
      </w:pPr>
      <w:r>
        <w:rPr>
          <w:rFonts w:ascii="Arial" w:cs="Arial" w:eastAsia="Arial" w:hAnsi="Arial"/>
          <w:sz w:val="16"/>
          <w:szCs w:val="16"/>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obtaining shareholder approval of the business combination, (2) reduce the number of public warrants outstanding or vote such warrants on any matters submitted to the warrant holders for approval in connection with our initial business combination or (3)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will include the requirement that a beneficial holder must identify itself in order to validly redeem its shares. There will be no redemption rights upon the completion of our initial business combination with respect to our warrants. Further, we will not proceed with redeeming our public shares, even if a public shareholder has properly elected to redeem its shares, if a business combination does not close. Our sponsor and each member of our management team have entered into an agreement with us, pursuant to which they have agreed to waive their redemption rights with respect to any founder shares and public shares held by them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w:t>
      </w:r>
    </w:p>
    <w:p>
      <w:pPr>
        <w:spacing w:after="0" w:line="200" w:lineRule="exact"/>
        <w:rPr>
          <w:sz w:val="20"/>
          <w:szCs w:val="20"/>
          <w:color w:val="auto"/>
        </w:rPr>
      </w:pPr>
    </w:p>
    <w:p>
      <w:pPr>
        <w:sectPr>
          <w:pgSz w:w="11900" w:h="16838" w:orient="portrait"/>
          <w:cols w:equalWidth="0" w:num="2">
            <w:col w:w="3740" w:space="600"/>
            <w:col w:w="6600"/>
          </w:cols>
          <w:pgMar w:left="320" w:top="459"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940"/>
          </w:cols>
          <w:pgMar w:left="320" w:top="459" w:right="6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460" w:type="dxa"/>
            <w:vAlign w:val="bottom"/>
            <w:tcBorders>
              <w:top w:val="single" w:sz="8" w:color="auto"/>
              <w:left w:val="single" w:sz="8" w:color="auto"/>
            </w:tcBorders>
          </w:tcPr>
          <w:p>
            <w:pPr>
              <w:spacing w:after="0"/>
              <w:rPr>
                <w:sz w:val="24"/>
                <w:szCs w:val="24"/>
                <w:color w:val="auto"/>
              </w:rPr>
            </w:pPr>
          </w:p>
        </w:tc>
        <w:tc>
          <w:tcPr>
            <w:tcW w:w="756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8"/>
                <w:szCs w:val="18"/>
                <w:color w:val="auto"/>
                <w:w w:val="98"/>
              </w:rPr>
              <w:t>closing of this offering or (B) with respect to any other provision relating to the rights of</w:t>
            </w:r>
          </w:p>
        </w:tc>
      </w:tr>
      <w:tr>
        <w:trPr>
          <w:trHeight w:val="230"/>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holders of our Class A ordinary shares.</w:t>
            </w:r>
          </w:p>
        </w:tc>
      </w:tr>
      <w:tr>
        <w:trPr>
          <w:trHeight w:val="458"/>
        </w:trPr>
        <w:tc>
          <w:tcPr>
            <w:tcW w:w="34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Limitations on redemptions</w:t>
            </w: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4"/>
              </w:rPr>
              <w:t>Our amended and restated memorandum and articles of association will provide that in no</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8"/>
              </w:rPr>
              <w:t>event will we redeem our public shares in an amount that would cause our net tangible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7"/>
              </w:rPr>
              <w:t>assets to be less than $5,000,001 (so that we do not then become subject to the SEC’s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7"/>
              </w:rPr>
              <w:t>“penny stock” rules). However, a greater net tangible asset or cash requirement may be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6"/>
              </w:rPr>
              <w:t>contained in the agreement relating to our initial business combination. For example,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3"/>
              </w:rPr>
              <w:t>proposed business combination may require: (i) cash consideration to be paid to the target</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7"/>
              </w:rPr>
              <w:t>or its owners, (ii) cash to be transferred to the target for working capital or other general</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6"/>
              </w:rPr>
              <w:t>corporate purposes or (iii) the retention of cash to satisfy other conditions in accordance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7"/>
              </w:rPr>
              <w:t>with the terms of the proposed business combination. Furthermore, although we will not</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redeem shares in an amount that would cause our net tangible assets to fall below</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4"/>
              </w:rPr>
              <w:t>$5,000,001, we do not have a maximum redemption threshold based on the percentage of</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3"/>
              </w:rPr>
              <w:t>shares sold in this offering, as many blank check companies do. In the event the aggregate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7"/>
              </w:rPr>
              <w:t>cash consideration we would be required to pay for all Class A ordinary shares that are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validly submitted for redemption plus any amount required to satisfy cash conditions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3"/>
              </w:rPr>
              <w:t>pursuant to the terms of the proposed business combination exceed the aggregate amount</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9"/>
              </w:rPr>
              <w:t>of cash available to us, we will not complete the business combination or redeem any</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7"/>
              </w:rPr>
              <w:t>shares, and all Class A ordinary shares submitted for redemption will be returned to the</w:t>
            </w:r>
          </w:p>
        </w:tc>
      </w:tr>
      <w:tr>
        <w:trPr>
          <w:trHeight w:val="230"/>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holders thereof, and we instead may search for an alternate business combination.</w:t>
            </w:r>
          </w:p>
        </w:tc>
      </w:tr>
      <w:tr>
        <w:trPr>
          <w:trHeight w:val="445"/>
        </w:trPr>
        <w:tc>
          <w:tcPr>
            <w:tcW w:w="34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Manner of conducting redemptions</w:t>
            </w: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6"/>
              </w:rPr>
              <w:t>We will provide our public shareholders with the opportunity to redeem all or a portion of</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9"/>
              </w:rPr>
              <w:t>their public shares upon the completion of our initial business combination either (i) in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7"/>
              </w:rPr>
              <w:t>connection with a general meeting called to approve the business combination or (ii) by</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3"/>
              </w:rPr>
              <w:t>means of a tender offer. The decision as to whether we will seek shareholder approval of a</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4"/>
              </w:rPr>
              <w:t>proposed business combination or conduct a tender offer will be made by us, solely in our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7"/>
              </w:rPr>
              <w:t>discretion, and will be based on a variety of factors such as the timing of the transaction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7"/>
              </w:rPr>
              <w:t>and whether the terms of the transaction would require us to seek shareholder approval</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5"/>
              </w:rPr>
              <w:t>under applicable law or stock exchange listing requirement. Asset acquisitions and share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5"/>
              </w:rPr>
              <w:t>purchases would not typically require shareholder approval, while direct mergers with our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3"/>
              </w:rPr>
              <w:t>company and any transactions where we issue more than 20% of our outstanding ordinary</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1"/>
              </w:rPr>
              <w:t>shares or seek to amend our amended and restated memorandum and articles of association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5"/>
              </w:rPr>
              <w:t>would typically require shareholder approval. We currently intend to conduct redemptions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in connection with a shareholder vote unless shareholder approval is not required by</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3"/>
              </w:rPr>
              <w:t>applicable law or stock exchange listing requirement or we choose to conduct redemptions</w:t>
            </w:r>
          </w:p>
        </w:tc>
      </w:tr>
      <w:tr>
        <w:trPr>
          <w:trHeight w:val="230"/>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pursuant to the tender offer rules of the SEC for business or other reasons.</w:t>
            </w:r>
          </w:p>
        </w:tc>
      </w:tr>
      <w:tr>
        <w:trPr>
          <w:trHeight w:val="240"/>
        </w:trPr>
        <w:tc>
          <w:tcPr>
            <w:tcW w:w="3460" w:type="dxa"/>
            <w:vAlign w:val="bottom"/>
            <w:tcBorders>
              <w:left w:val="single" w:sz="8" w:color="auto"/>
              <w:bottom w:val="single" w:sz="8" w:color="auto"/>
            </w:tcBorders>
          </w:tcPr>
          <w:p>
            <w:pPr>
              <w:spacing w:after="0"/>
              <w:rPr>
                <w:sz w:val="20"/>
                <w:szCs w:val="20"/>
                <w:color w:val="auto"/>
              </w:rPr>
            </w:pPr>
          </w:p>
        </w:tc>
        <w:tc>
          <w:tcPr>
            <w:tcW w:w="7560" w:type="dxa"/>
            <w:vAlign w:val="bottom"/>
            <w:tcBorders>
              <w:bottom w:val="single" w:sz="8" w:color="auto"/>
              <w:right w:val="single" w:sz="8" w:color="auto"/>
            </w:tcBorders>
          </w:tcPr>
          <w:p>
            <w:pPr>
              <w:spacing w:after="0"/>
              <w:rPr>
                <w:sz w:val="20"/>
                <w:szCs w:val="20"/>
                <w:color w:val="auto"/>
              </w:rPr>
            </w:pPr>
          </w:p>
        </w:tc>
      </w:tr>
      <w:tr>
        <w:trPr>
          <w:trHeight w:val="604"/>
        </w:trPr>
        <w:tc>
          <w:tcPr>
            <w:tcW w:w="3460" w:type="dxa"/>
            <w:vAlign w:val="bottom"/>
          </w:tcPr>
          <w:p>
            <w:pPr>
              <w:spacing w:after="0"/>
              <w:rPr>
                <w:sz w:val="24"/>
                <w:szCs w:val="24"/>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If we hold a shareholder vote to approve our initial business combination, we will:</w:t>
      </w:r>
    </w:p>
    <w:p>
      <w:pPr>
        <w:spacing w:after="0" w:line="131" w:lineRule="exact"/>
        <w:rPr>
          <w:sz w:val="20"/>
          <w:szCs w:val="20"/>
          <w:color w:val="auto"/>
        </w:rPr>
      </w:pPr>
    </w:p>
    <w:p>
      <w:pPr>
        <w:ind w:left="4520" w:hanging="153"/>
        <w:spacing w:after="0" w:line="263" w:lineRule="auto"/>
        <w:tabs>
          <w:tab w:leader="none" w:pos="4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89" w:lineRule="exact"/>
        <w:rPr>
          <w:rFonts w:ascii="Arial" w:cs="Arial" w:eastAsia="Arial" w:hAnsi="Arial"/>
          <w:sz w:val="18"/>
          <w:szCs w:val="18"/>
          <w:color w:val="auto"/>
        </w:rPr>
      </w:pPr>
    </w:p>
    <w:p>
      <w:pPr>
        <w:ind w:left="4520" w:hanging="153"/>
        <w:spacing w:after="0"/>
        <w:tabs>
          <w:tab w:leader="none" w:pos="4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52" w:lineRule="exact"/>
        <w:rPr>
          <w:sz w:val="20"/>
          <w:szCs w:val="20"/>
          <w:color w:val="auto"/>
        </w:rPr>
      </w:pPr>
    </w:p>
    <w:p>
      <w:pPr>
        <w:ind w:left="4340"/>
        <w:spacing w:after="0" w:line="285" w:lineRule="auto"/>
        <w:rPr>
          <w:sz w:val="20"/>
          <w:szCs w:val="20"/>
          <w:color w:val="auto"/>
        </w:rPr>
      </w:pPr>
      <w:r>
        <w:rPr>
          <w:rFonts w:ascii="Arial" w:cs="Arial" w:eastAsia="Arial" w:hAnsi="Arial"/>
          <w:sz w:val="16"/>
          <w:szCs w:val="16"/>
          <w:color w:val="auto"/>
        </w:rPr>
        <w:t>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 As a result, in addition to our initial shareholders’ founder shares, we would need 9,375,001, or 37.5% (assuming all issued and outstanding shares are voted and the over-allotment option is not exercised), or 1,562,501, or 6.25% (assuming only the minimum number of shares representing a quorum are voted and the over-allotment option is not exercised), of the 25,000,000 public shares sold in this offering to be voted in favor of an initial business combination in order to have our initial business combination approved. Each public shareholder may elect to redeem their public shares irrespective of whether they vote for or against the proposed transaction or vote at all. Our amended and restated memorandum and articles of association will require that at least five days’ notice will be given of any such general meeting.</w:t>
      </w:r>
    </w:p>
    <w:p>
      <w:pPr>
        <w:spacing w:after="0" w:line="203" w:lineRule="exact"/>
        <w:rPr>
          <w:sz w:val="20"/>
          <w:szCs w:val="20"/>
          <w:color w:val="auto"/>
        </w:rPr>
      </w:pPr>
    </w:p>
    <w:p>
      <w:pPr>
        <w:ind w:left="4340" w:right="100"/>
        <w:spacing w:after="0" w:line="277"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76" w:lineRule="exact"/>
        <w:rPr>
          <w:sz w:val="20"/>
          <w:szCs w:val="20"/>
          <w:color w:val="auto"/>
        </w:rPr>
      </w:pPr>
    </w:p>
    <w:p>
      <w:pPr>
        <w:ind w:left="4520" w:right="260" w:hanging="153"/>
        <w:spacing w:after="0" w:line="277" w:lineRule="auto"/>
        <w:tabs>
          <w:tab w:leader="none" w:pos="4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75" w:lineRule="exact"/>
        <w:rPr>
          <w:rFonts w:ascii="Arial" w:cs="Arial" w:eastAsia="Arial" w:hAnsi="Arial"/>
          <w:sz w:val="18"/>
          <w:szCs w:val="18"/>
          <w:color w:val="auto"/>
        </w:rPr>
      </w:pPr>
    </w:p>
    <w:p>
      <w:pPr>
        <w:ind w:left="4520" w:right="80" w:hanging="153"/>
        <w:spacing w:after="0" w:line="301" w:lineRule="auto"/>
        <w:tabs>
          <w:tab w:leader="none" w:pos="4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jc w:val="both"/>
        <w:ind w:left="4340" w:right="80"/>
        <w:spacing w:after="0" w:line="301" w:lineRule="auto"/>
        <w:rPr>
          <w:sz w:val="20"/>
          <w:szCs w:val="20"/>
          <w:color w:val="auto"/>
        </w:rPr>
      </w:pPr>
      <w:r>
        <w:rPr>
          <w:rFonts w:ascii="Arial" w:cs="Arial" w:eastAsia="Arial" w:hAnsi="Arial"/>
          <w:sz w:val="16"/>
          <w:szCs w:val="16"/>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184" w:lineRule="exact"/>
        <w:rPr>
          <w:sz w:val="20"/>
          <w:szCs w:val="20"/>
          <w:color w:val="auto"/>
        </w:rPr>
      </w:pPr>
    </w:p>
    <w:p>
      <w:pPr>
        <w:ind w:left="4340" w:right="60"/>
        <w:spacing w:after="0" w:line="277"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320" w:top="459" w:right="65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1301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right="60" w:hanging="78"/>
        <w:spacing w:after="0" w:line="286" w:lineRule="auto"/>
        <w:rPr>
          <w:sz w:val="20"/>
          <w:szCs w:val="20"/>
          <w:color w:val="auto"/>
        </w:rPr>
      </w:pPr>
      <w:r>
        <w:rPr>
          <w:rFonts w:ascii="Arial" w:cs="Arial" w:eastAsia="Arial" w:hAnsi="Arial"/>
          <w:sz w:val="17"/>
          <w:szCs w:val="17"/>
          <w:color w:val="auto"/>
        </w:rPr>
        <w:t>Limitation on redemption rights of shareholders holding more than 15% of the shares sold in this offering if we hold shareholder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hanging="78"/>
        <w:spacing w:after="0" w:line="277" w:lineRule="auto"/>
        <w:rPr>
          <w:sz w:val="20"/>
          <w:szCs w:val="20"/>
          <w:color w:val="auto"/>
        </w:rPr>
      </w:pPr>
      <w:r>
        <w:rPr>
          <w:rFonts w:ascii="Arial" w:cs="Arial" w:eastAsia="Arial" w:hAnsi="Arial"/>
          <w:sz w:val="18"/>
          <w:szCs w:val="18"/>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2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200" w:lineRule="exact"/>
        <w:rPr>
          <w:sz w:val="20"/>
          <w:szCs w:val="20"/>
          <w:color w:val="auto"/>
        </w:rPr>
      </w:pPr>
    </w:p>
    <w:p>
      <w:pPr>
        <w:spacing w:after="0" w:line="22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the completion of our initial business combination, the funds held in the trust account will be disbursed directly by the trustee to pay amounts due to any public shareholders who properly exercise their redemption rights as described above adjacent to the caption</w:t>
      </w:r>
    </w:p>
    <w:p>
      <w:pPr>
        <w:spacing w:after="0" w:line="200" w:lineRule="exact"/>
        <w:rPr>
          <w:sz w:val="20"/>
          <w:szCs w:val="20"/>
          <w:color w:val="auto"/>
        </w:rPr>
      </w:pPr>
    </w:p>
    <w:p>
      <w:pPr>
        <w:sectPr>
          <w:pgSz w:w="11900" w:h="16838" w:orient="portrait"/>
          <w:cols w:equalWidth="0" w:num="2">
            <w:col w:w="3920" w:space="420"/>
            <w:col w:w="6580"/>
          </w:cols>
          <w:pgMar w:left="320" w:top="459" w:right="659" w:bottom="1440" w:gutter="0" w:footer="0" w:header="0"/>
          <w:type w:val="continuous"/>
        </w:sectPr>
      </w:pP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920"/>
          </w:cols>
          <w:pgMar w:left="320" w:top="459" w:right="659" w:bottom="1440" w:gutter="0" w:footer="0" w:header="0"/>
          <w:type w:val="continuous"/>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6788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0" w:hanging="78"/>
        <w:spacing w:after="0" w:line="342" w:lineRule="auto"/>
        <w:rPr>
          <w:sz w:val="20"/>
          <w:szCs w:val="20"/>
          <w:color w:val="auto"/>
        </w:rPr>
      </w:pPr>
      <w:r>
        <w:rPr>
          <w:rFonts w:ascii="Arial" w:cs="Arial" w:eastAsia="Arial" w:hAnsi="Arial"/>
          <w:sz w:val="16"/>
          <w:szCs w:val="16"/>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1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Our amended and restated memorandum and articles of association will provide that we will have only 24 months from the closing of this offering to consummate our initial business combination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 If we have not consummated an initial business combination within 24 months (or 30 months, as applicable)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There will be no redemption rights or liquidating distributions with respect to our warrants, which will expire worthless if we fail to consummate an initial business combination within 24 months (or 30 months, as applicable) from the closing of this offering.</w:t>
      </w:r>
    </w:p>
    <w:p>
      <w:pPr>
        <w:spacing w:after="0" w:line="2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sponsor and each member of our management team have entered into an agreement with us, pursuant to which they have agreed to</w:t>
      </w:r>
    </w:p>
    <w:p>
      <w:pPr>
        <w:spacing w:after="0" w:line="200" w:lineRule="exact"/>
        <w:rPr>
          <w:sz w:val="20"/>
          <w:szCs w:val="20"/>
          <w:color w:val="auto"/>
        </w:rPr>
      </w:pPr>
    </w:p>
    <w:p>
      <w:pPr>
        <w:sectPr>
          <w:pgSz w:w="11900" w:h="16838" w:orient="portrait"/>
          <w:cols w:equalWidth="0" w:num="2">
            <w:col w:w="3840" w:space="500"/>
            <w:col w:w="6600"/>
          </w:cols>
          <w:pgMar w:left="320" w:top="459" w:right="6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940"/>
          </w:cols>
          <w:pgMar w:left="320" w:top="459" w:right="6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416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80"/>
        <w:spacing w:after="0" w:line="270" w:lineRule="auto"/>
        <w:rPr>
          <w:sz w:val="20"/>
          <w:szCs w:val="20"/>
          <w:color w:val="auto"/>
        </w:rPr>
      </w:pPr>
      <w:r>
        <w:rPr>
          <w:rFonts w:ascii="Arial" w:cs="Arial" w:eastAsia="Arial" w:hAnsi="Arial"/>
          <w:sz w:val="17"/>
          <w:szCs w:val="17"/>
          <w:color w:val="auto"/>
        </w:rPr>
        <w:t>waive their rights to liquidating distributions from the trust account with respect to any founder shares they hold if we fail to consummate an initial business combination within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 (although they will be entitled to liquidating distributions from the trust account with respect to any public shares they hold if we fail to complete our initial business combination within the prescribed time frame).</w:t>
      </w:r>
    </w:p>
    <w:p>
      <w:pPr>
        <w:spacing w:after="0" w:line="221" w:lineRule="exact"/>
        <w:rPr>
          <w:sz w:val="20"/>
          <w:szCs w:val="20"/>
          <w:color w:val="auto"/>
        </w:rPr>
      </w:pPr>
    </w:p>
    <w:p>
      <w:pPr>
        <w:ind w:left="4340" w:right="40"/>
        <w:spacing w:after="0" w:line="275" w:lineRule="auto"/>
        <w:rPr>
          <w:sz w:val="20"/>
          <w:szCs w:val="20"/>
          <w:color w:val="auto"/>
        </w:rPr>
      </w:pPr>
      <w:r>
        <w:rPr>
          <w:rFonts w:ascii="Arial" w:cs="Arial" w:eastAsia="Arial" w:hAnsi="Arial"/>
          <w:sz w:val="17"/>
          <w:szCs w:val="17"/>
          <w:color w:val="auto"/>
        </w:rPr>
        <w:t>The underwriters have agreed to waive their rights to their deferred underwriting commission held in the trust account in the event we do not consummate an initial business combination within 24 months (or 30 months, as applicable) from the closing of this offering and, in such event, such amounts will be included with the funds held in the trust account that will be available to fund the redemption of our public shares.</w:t>
      </w:r>
    </w:p>
    <w:p>
      <w:pPr>
        <w:spacing w:after="0" w:line="203" w:lineRule="exact"/>
        <w:rPr>
          <w:sz w:val="20"/>
          <w:szCs w:val="20"/>
          <w:color w:val="auto"/>
        </w:rPr>
      </w:pPr>
    </w:p>
    <w:p>
      <w:pPr>
        <w:ind w:left="4340"/>
        <w:spacing w:after="0" w:line="284" w:lineRule="auto"/>
        <w:rPr>
          <w:sz w:val="20"/>
          <w:szCs w:val="20"/>
          <w:color w:val="auto"/>
        </w:rPr>
      </w:pPr>
      <w:r>
        <w:rPr>
          <w:rFonts w:ascii="Arial" w:cs="Arial" w:eastAsia="Arial" w:hAnsi="Arial"/>
          <w:sz w:val="16"/>
          <w:szCs w:val="16"/>
          <w:color w:val="auto"/>
        </w:rPr>
        <w:t>Our sponsor, executive officers, directors and director nominees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above adjacent to the caption “Limitations on redemptions.” For example, our board of directors may propose such an amendment if it determines that additional time is necessary to complete our initial business combination. In such event, we will conduct a proxy solicitation and distribute proxy materials pursuant to Regulation 14A of the Exchange Act seeking shareholder approval of such proposal and, in connection therewith, provide our public shareholders with the redemption rights described above upon shareholder approval of such amendment. This redemption right shall apply in the event of the approval of any such amendment, whether proposed by our sponsor, any executive officer, director or director nominee, or any other person.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32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1"/>
              </w:rPr>
              <w:t>Our amended and restated memorandum and articles of association will provide that, if we</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rPr>
              <w:t>wind up for any other reason prior to the consummation of our initial business</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3"/>
              </w:rPr>
              <w:t>combination, we will follow the foregoing procedures with respect to the liquidation of the</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5"/>
              </w:rPr>
              <w:t>trust account as promptly as reasonably possible but not more than ten business days</w:t>
            </w:r>
          </w:p>
        </w:tc>
      </w:tr>
      <w:tr>
        <w:trPr>
          <w:trHeight w:val="230"/>
        </w:trPr>
        <w:tc>
          <w:tcPr>
            <w:tcW w:w="3060" w:type="dxa"/>
            <w:vAlign w:val="bottom"/>
          </w:tcPr>
          <w:p>
            <w:pPr>
              <w:spacing w:after="0"/>
              <w:rPr>
                <w:sz w:val="20"/>
                <w:szCs w:val="20"/>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rPr>
              <w:t>thereafter, subject to applicable Cayman Islands law.</w:t>
            </w:r>
          </w:p>
        </w:tc>
      </w:tr>
      <w:tr>
        <w:trPr>
          <w:trHeight w:val="445"/>
        </w:trPr>
        <w:tc>
          <w:tcPr>
            <w:tcW w:w="3060" w:type="dxa"/>
            <w:vAlign w:val="bottom"/>
          </w:tcPr>
          <w:p>
            <w:pPr>
              <w:spacing w:after="0"/>
              <w:rPr>
                <w:sz w:val="20"/>
                <w:szCs w:val="20"/>
                <w:color w:val="auto"/>
              </w:rPr>
            </w:pPr>
            <w:r>
              <w:rPr>
                <w:rFonts w:ascii="Arial" w:cs="Arial" w:eastAsia="Arial" w:hAnsi="Arial"/>
                <w:sz w:val="18"/>
                <w:szCs w:val="18"/>
                <w:color w:val="auto"/>
              </w:rPr>
              <w:t>Limited payments to insiders</w:t>
            </w: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1"/>
              </w:rPr>
              <w:t>There will be no finder’s fees, reimbursements or cash payments made by the company to</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1"/>
              </w:rPr>
              <w:t>our sponsor, officers or directors, or their affiliates, for services rendered to us prior to or in</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rPr>
              <w:t>connection with the completion of our initial business combination, other than the</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2"/>
              </w:rPr>
              <w:t>following payments, none of which will be made from the proceeds of this offering and the</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3"/>
              </w:rPr>
              <w:t>sale of the private placement warrants held in the trust account prior to the completion of</w:t>
            </w:r>
          </w:p>
        </w:tc>
      </w:tr>
      <w:tr>
        <w:trPr>
          <w:trHeight w:val="230"/>
        </w:trPr>
        <w:tc>
          <w:tcPr>
            <w:tcW w:w="3060" w:type="dxa"/>
            <w:vAlign w:val="bottom"/>
          </w:tcPr>
          <w:p>
            <w:pPr>
              <w:spacing w:after="0"/>
              <w:rPr>
                <w:sz w:val="20"/>
                <w:szCs w:val="20"/>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rPr>
              <w:t>our initial business combination:</w:t>
            </w:r>
          </w:p>
        </w:tc>
      </w:tr>
      <w:tr>
        <w:trPr>
          <w:trHeight w:val="323"/>
        </w:trPr>
        <w:tc>
          <w:tcPr>
            <w:tcW w:w="3060" w:type="dxa"/>
            <w:vAlign w:val="bottom"/>
          </w:tcPr>
          <w:p>
            <w:pPr>
              <w:spacing w:after="0"/>
              <w:rPr>
                <w:sz w:val="24"/>
                <w:szCs w:val="24"/>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6440" w:type="dxa"/>
            <w:vAlign w:val="bottom"/>
          </w:tcPr>
          <w:p>
            <w:pPr>
              <w:ind w:left="40"/>
              <w:spacing w:after="0"/>
              <w:rPr>
                <w:sz w:val="20"/>
                <w:szCs w:val="20"/>
                <w:color w:val="auto"/>
              </w:rPr>
            </w:pPr>
            <w:r>
              <w:rPr>
                <w:rFonts w:ascii="Arial" w:cs="Arial" w:eastAsia="Arial" w:hAnsi="Arial"/>
                <w:sz w:val="18"/>
                <w:szCs w:val="18"/>
                <w:color w:val="auto"/>
                <w:w w:val="94"/>
              </w:rPr>
              <w:t>Repayment of up to an aggregate of $300,000 in loans made to us by our sponsor to</w:t>
            </w:r>
          </w:p>
        </w:tc>
      </w:tr>
      <w:tr>
        <w:trPr>
          <w:trHeight w:val="230"/>
        </w:trPr>
        <w:tc>
          <w:tcPr>
            <w:tcW w:w="3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rPr>
              <w:t>cover offering-related and organizational expenses;</w:t>
            </w:r>
          </w:p>
        </w:tc>
      </w:tr>
      <w:tr>
        <w:trPr>
          <w:trHeight w:val="323"/>
        </w:trPr>
        <w:tc>
          <w:tcPr>
            <w:tcW w:w="3060" w:type="dxa"/>
            <w:vAlign w:val="bottom"/>
          </w:tcPr>
          <w:p>
            <w:pPr>
              <w:spacing w:after="0"/>
              <w:rPr>
                <w:sz w:val="24"/>
                <w:szCs w:val="24"/>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6440" w:type="dxa"/>
            <w:vAlign w:val="bottom"/>
          </w:tcPr>
          <w:p>
            <w:pPr>
              <w:ind w:left="40"/>
              <w:spacing w:after="0"/>
              <w:rPr>
                <w:sz w:val="20"/>
                <w:szCs w:val="20"/>
                <w:color w:val="auto"/>
              </w:rPr>
            </w:pPr>
            <w:r>
              <w:rPr>
                <w:rFonts w:ascii="Arial" w:cs="Arial" w:eastAsia="Arial" w:hAnsi="Arial"/>
                <w:sz w:val="18"/>
                <w:szCs w:val="18"/>
                <w:color w:val="auto"/>
                <w:w w:val="92"/>
              </w:rPr>
              <w:t>Reimbursement for office space, secretarial and administrative services provided to us</w:t>
            </w:r>
          </w:p>
        </w:tc>
      </w:tr>
      <w:tr>
        <w:trPr>
          <w:trHeight w:val="230"/>
        </w:trPr>
        <w:tc>
          <w:tcPr>
            <w:tcW w:w="3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rPr>
              <w:t>by an affiliate of our sponsor, in the amount of $10,000 per month;</w:t>
            </w:r>
          </w:p>
        </w:tc>
      </w:tr>
      <w:tr>
        <w:trPr>
          <w:trHeight w:val="323"/>
        </w:trPr>
        <w:tc>
          <w:tcPr>
            <w:tcW w:w="3060" w:type="dxa"/>
            <w:vAlign w:val="bottom"/>
          </w:tcPr>
          <w:p>
            <w:pPr>
              <w:spacing w:after="0"/>
              <w:rPr>
                <w:sz w:val="24"/>
                <w:szCs w:val="24"/>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6440" w:type="dxa"/>
            <w:vAlign w:val="bottom"/>
          </w:tcPr>
          <w:p>
            <w:pPr>
              <w:ind w:left="40"/>
              <w:spacing w:after="0"/>
              <w:rPr>
                <w:sz w:val="20"/>
                <w:szCs w:val="20"/>
                <w:color w:val="auto"/>
              </w:rPr>
            </w:pPr>
            <w:r>
              <w:rPr>
                <w:rFonts w:ascii="Arial" w:cs="Arial" w:eastAsia="Arial" w:hAnsi="Arial"/>
                <w:sz w:val="18"/>
                <w:szCs w:val="18"/>
                <w:color w:val="auto"/>
                <w:w w:val="96"/>
              </w:rPr>
              <w:t>Reimbursement for any out-of-pocket expenses related to identifying, investigating,</w:t>
            </w:r>
          </w:p>
        </w:tc>
      </w:tr>
      <w:tr>
        <w:trPr>
          <w:trHeight w:val="230"/>
        </w:trPr>
        <w:tc>
          <w:tcPr>
            <w:tcW w:w="3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rPr>
              <w:t>negotiating and completing an initial business combination; and</w:t>
            </w:r>
          </w:p>
        </w:tc>
      </w:tr>
      <w:tr>
        <w:trPr>
          <w:trHeight w:val="323"/>
        </w:trPr>
        <w:tc>
          <w:tcPr>
            <w:tcW w:w="3060" w:type="dxa"/>
            <w:vAlign w:val="bottom"/>
          </w:tcPr>
          <w:p>
            <w:pPr>
              <w:spacing w:after="0"/>
              <w:rPr>
                <w:sz w:val="24"/>
                <w:szCs w:val="24"/>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6440" w:type="dxa"/>
            <w:vAlign w:val="bottom"/>
          </w:tcPr>
          <w:p>
            <w:pPr>
              <w:ind w:left="40"/>
              <w:spacing w:after="0"/>
              <w:rPr>
                <w:sz w:val="20"/>
                <w:szCs w:val="20"/>
                <w:color w:val="auto"/>
              </w:rPr>
            </w:pPr>
            <w:r>
              <w:rPr>
                <w:rFonts w:ascii="Arial" w:cs="Arial" w:eastAsia="Arial" w:hAnsi="Arial"/>
                <w:sz w:val="18"/>
                <w:szCs w:val="18"/>
                <w:color w:val="auto"/>
                <w:w w:val="91"/>
              </w:rPr>
              <w:t>Repayment of loans which may be made by our sponsor or an affiliate of our sponsor or</w:t>
            </w:r>
          </w:p>
        </w:tc>
      </w:tr>
      <w:tr>
        <w:trPr>
          <w:trHeight w:val="216"/>
        </w:trPr>
        <w:tc>
          <w:tcPr>
            <w:tcW w:w="3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w w:val="94"/>
              </w:rPr>
              <w:t>certain of our officers and directors to finance transaction costs in connection with an</w:t>
            </w:r>
          </w:p>
        </w:tc>
      </w:tr>
      <w:tr>
        <w:trPr>
          <w:trHeight w:val="216"/>
        </w:trPr>
        <w:tc>
          <w:tcPr>
            <w:tcW w:w="3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rPr>
              <w:t>intended initial business combination. Up to $1,500,000 of such loans may be</w:t>
            </w:r>
          </w:p>
        </w:tc>
      </w:tr>
      <w:tr>
        <w:trPr>
          <w:trHeight w:val="216"/>
        </w:trPr>
        <w:tc>
          <w:tcPr>
            <w:tcW w:w="3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w w:val="92"/>
              </w:rPr>
              <w:t>convertible into warrants of the post-business combination entity at a price of $1.00 per</w:t>
            </w:r>
          </w:p>
        </w:tc>
      </w:tr>
      <w:tr>
        <w:trPr>
          <w:trHeight w:val="216"/>
        </w:trPr>
        <w:tc>
          <w:tcPr>
            <w:tcW w:w="3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w w:val="99"/>
              </w:rPr>
              <w:t>warrant at the option of the lender. The warrants would be identical to the private</w:t>
            </w:r>
          </w:p>
        </w:tc>
      </w:tr>
      <w:tr>
        <w:trPr>
          <w:trHeight w:val="216"/>
        </w:trPr>
        <w:tc>
          <w:tcPr>
            <w:tcW w:w="3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w w:val="92"/>
              </w:rPr>
              <w:t>placement warrants. Except for the foregoing, the terms of such loans, if any, have not</w:t>
            </w:r>
          </w:p>
        </w:tc>
      </w:tr>
      <w:tr>
        <w:trPr>
          <w:trHeight w:val="230"/>
        </w:trPr>
        <w:tc>
          <w:tcPr>
            <w:tcW w:w="3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rPr>
              <w:t>been determined and no written agreements exist with respect to such loans.</w:t>
            </w:r>
          </w:p>
        </w:tc>
      </w:tr>
      <w:tr>
        <w:trPr>
          <w:trHeight w:val="445"/>
        </w:trPr>
        <w:tc>
          <w:tcPr>
            <w:tcW w:w="3060" w:type="dxa"/>
            <w:vAlign w:val="bottom"/>
          </w:tcPr>
          <w:p>
            <w:pPr>
              <w:spacing w:after="0"/>
              <w:rPr>
                <w:sz w:val="24"/>
                <w:szCs w:val="24"/>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4"/>
              </w:rPr>
              <w:t>Any such payments will be made either (i) prior to our initial business combination using</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3"/>
              </w:rPr>
              <w:t>proceeds of this offering and the sale of the private placement warrants held outside the</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6"/>
              </w:rPr>
              <w:t>trust account or from loans made to us by our sponsor or an affiliate of our sponsor or</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3"/>
              </w:rPr>
              <w:t>certain of our officers and directors or (ii) in connection with or after the consummation of</w:t>
            </w:r>
          </w:p>
        </w:tc>
      </w:tr>
      <w:tr>
        <w:trPr>
          <w:trHeight w:val="230"/>
        </w:trPr>
        <w:tc>
          <w:tcPr>
            <w:tcW w:w="3060" w:type="dxa"/>
            <w:vAlign w:val="bottom"/>
          </w:tcPr>
          <w:p>
            <w:pPr>
              <w:spacing w:after="0"/>
              <w:rPr>
                <w:sz w:val="20"/>
                <w:szCs w:val="20"/>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rPr>
              <w:t>our initial business combination.</w:t>
            </w:r>
          </w:p>
        </w:tc>
      </w:tr>
      <w:tr>
        <w:trPr>
          <w:trHeight w:val="445"/>
        </w:trPr>
        <w:tc>
          <w:tcPr>
            <w:tcW w:w="3060" w:type="dxa"/>
            <w:vAlign w:val="bottom"/>
          </w:tcPr>
          <w:p>
            <w:pPr>
              <w:spacing w:after="0"/>
              <w:rPr>
                <w:sz w:val="20"/>
                <w:szCs w:val="20"/>
                <w:color w:val="auto"/>
              </w:rPr>
            </w:pPr>
            <w:r>
              <w:rPr>
                <w:rFonts w:ascii="Arial" w:cs="Arial" w:eastAsia="Arial" w:hAnsi="Arial"/>
                <w:sz w:val="18"/>
                <w:szCs w:val="18"/>
                <w:color w:val="auto"/>
              </w:rPr>
              <w:t>Audit Committee</w:t>
            </w: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6"/>
              </w:rPr>
              <w:t>We will establish and maintain an audit committee, which will be composed entirely of</w:t>
            </w:r>
          </w:p>
        </w:tc>
      </w:tr>
      <w:tr>
        <w:trPr>
          <w:trHeight w:val="230"/>
        </w:trPr>
        <w:tc>
          <w:tcPr>
            <w:tcW w:w="3060" w:type="dxa"/>
            <w:vAlign w:val="bottom"/>
          </w:tcPr>
          <w:p>
            <w:pPr>
              <w:spacing w:after="0"/>
              <w:rPr>
                <w:sz w:val="20"/>
                <w:szCs w:val="20"/>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6"/>
              </w:rPr>
              <w:t>independent directors. Among its responsibilities, the audit committee will review on a</w:t>
            </w:r>
          </w:p>
        </w:tc>
      </w:tr>
    </w:tbl>
    <w:p>
      <w:pPr>
        <w:ind w:left="4340" w:right="80"/>
        <w:spacing w:after="0" w:line="255" w:lineRule="auto"/>
        <w:rPr>
          <w:sz w:val="20"/>
          <w:szCs w:val="20"/>
          <w:color w:val="auto"/>
        </w:rPr>
      </w:pPr>
      <w:r>
        <w:rPr>
          <w:rFonts w:ascii="Arial" w:cs="Arial" w:eastAsia="Arial" w:hAnsi="Arial"/>
          <w:sz w:val="18"/>
          <w:szCs w:val="18"/>
          <w:color w:val="auto"/>
        </w:rPr>
        <w:t>quarterly basis all payments that were made by us to our sponsor, officers or directors, or their affiliates and monitor compliance with the other terms relating to this offering. If any noncompliance is identified,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320" w:top="459" w:right="6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0"/>
        <w:spacing w:after="0" w:line="279" w:lineRule="auto"/>
        <w:rPr>
          <w:sz w:val="20"/>
          <w:szCs w:val="20"/>
          <w:color w:val="auto"/>
        </w:rPr>
      </w:pPr>
      <w:r>
        <w:rPr>
          <w:rFonts w:ascii="Arial" w:cs="Arial" w:eastAsia="Arial" w:hAnsi="Arial"/>
          <w:sz w:val="17"/>
          <w:szCs w:val="17"/>
          <w:color w:val="auto"/>
        </w:rPr>
        <w:t>then the audit committee will be charged with the responsibility to promptly take all action necessary to rectify such noncompliance or otherwise to cause compliance with the terms of this offering. For more information, see the section entitled “Management — Committees of the Board of Directors — Audit Committee.”</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spacing w:after="0" w:line="92" w:lineRule="exact"/>
        <w:rPr>
          <w:sz w:val="20"/>
          <w:szCs w:val="20"/>
          <w:color w:val="auto"/>
        </w:rPr>
      </w:pPr>
    </w:p>
    <w:p>
      <w:pPr>
        <w:ind w:left="1240" w:right="36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a recently incorporated exempted company with no operating history and no revenues, and you have no basis on which to evaluate our ability to achieve our business objective.</w:t>
      </w:r>
    </w:p>
    <w:p>
      <w:pPr>
        <w:spacing w:after="0" w:line="75"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Past performance by our management team (including with respect to ACTC I) or their respective affiliates may not be indicative of future performance of an investment in us.</w:t>
      </w:r>
    </w:p>
    <w:p>
      <w:pPr>
        <w:spacing w:after="0" w:line="75" w:lineRule="exact"/>
        <w:rPr>
          <w:rFonts w:ascii="Arial" w:cs="Arial" w:eastAsia="Arial" w:hAnsi="Arial"/>
          <w:sz w:val="18"/>
          <w:szCs w:val="18"/>
          <w:color w:val="auto"/>
        </w:rPr>
      </w:pPr>
    </w:p>
    <w:p>
      <w:pPr>
        <w:ind w:left="1240" w:right="360" w:hanging="415"/>
        <w:spacing w:after="0" w:line="342"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29" w:lineRule="exact"/>
        <w:rPr>
          <w:rFonts w:ascii="Arial" w:cs="Arial" w:eastAsia="Arial" w:hAnsi="Arial"/>
          <w:sz w:val="16"/>
          <w:szCs w:val="16"/>
          <w:color w:val="auto"/>
        </w:rPr>
      </w:pPr>
    </w:p>
    <w:p>
      <w:pPr>
        <w:ind w:left="1240" w:right="14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Your only opportunity to affect the investment decision regarding a potential business combination may be limited to the exercise of your right to redeem your shares from us for cash.</w:t>
      </w:r>
    </w:p>
    <w:p>
      <w:pPr>
        <w:spacing w:after="0" w:line="75" w:lineRule="exact"/>
        <w:rPr>
          <w:rFonts w:ascii="Arial" w:cs="Arial" w:eastAsia="Arial" w:hAnsi="Arial"/>
          <w:sz w:val="18"/>
          <w:szCs w:val="18"/>
          <w:color w:val="auto"/>
        </w:rPr>
      </w:pPr>
    </w:p>
    <w:p>
      <w:pPr>
        <w:jc w:val="both"/>
        <w:ind w:left="1240" w:right="60" w:hanging="415"/>
        <w:spacing w:after="0" w:line="263"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89" w:lineRule="exact"/>
        <w:rPr>
          <w:rFonts w:ascii="Arial" w:cs="Arial" w:eastAsia="Arial" w:hAnsi="Arial"/>
          <w:sz w:val="18"/>
          <w:szCs w:val="18"/>
          <w:color w:val="auto"/>
        </w:rPr>
      </w:pPr>
    </w:p>
    <w:p>
      <w:pPr>
        <w:ind w:left="1240" w:right="220" w:hanging="415"/>
        <w:spacing w:after="0" w:line="342"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we seek shareholder approval of our initial business combination, our initial shareholders and members of our management team have agreed to vote in favor of such initial business combination, regardless of how our public shareholders vote.</w:t>
      </w:r>
    </w:p>
    <w:p>
      <w:pPr>
        <w:spacing w:after="0" w:line="29" w:lineRule="exact"/>
        <w:rPr>
          <w:rFonts w:ascii="Arial" w:cs="Arial" w:eastAsia="Arial" w:hAnsi="Arial"/>
          <w:sz w:val="16"/>
          <w:szCs w:val="16"/>
          <w:color w:val="auto"/>
        </w:rPr>
      </w:pPr>
    </w:p>
    <w:p>
      <w:pPr>
        <w:ind w:left="1240" w:right="300" w:hanging="415"/>
        <w:spacing w:after="0" w:line="263"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89" w:lineRule="exact"/>
        <w:rPr>
          <w:rFonts w:ascii="Arial" w:cs="Arial" w:eastAsia="Arial" w:hAnsi="Arial"/>
          <w:sz w:val="18"/>
          <w:szCs w:val="18"/>
          <w:color w:val="auto"/>
        </w:rPr>
      </w:pPr>
    </w:p>
    <w:p>
      <w:pPr>
        <w:ind w:left="1240" w:right="460" w:hanging="415"/>
        <w:spacing w:after="0" w:line="342"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29" w:lineRule="exact"/>
        <w:rPr>
          <w:rFonts w:ascii="Arial" w:cs="Arial" w:eastAsia="Arial" w:hAnsi="Arial"/>
          <w:sz w:val="16"/>
          <w:szCs w:val="16"/>
          <w:color w:val="auto"/>
        </w:rPr>
      </w:pPr>
    </w:p>
    <w:p>
      <w:pPr>
        <w:ind w:left="1240" w:right="14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public shareholders to exercise redemption rights with respect to a large number of our shares may not allow us to complete the most desirable business combination or optimize our capital structure.</w:t>
      </w:r>
    </w:p>
    <w:p>
      <w:pPr>
        <w:spacing w:after="0" w:line="75" w:lineRule="exact"/>
        <w:rPr>
          <w:rFonts w:ascii="Arial" w:cs="Arial" w:eastAsia="Arial" w:hAnsi="Arial"/>
          <w:sz w:val="18"/>
          <w:szCs w:val="18"/>
          <w:color w:val="auto"/>
        </w:rPr>
      </w:pPr>
    </w:p>
    <w:p>
      <w:pPr>
        <w:ind w:left="1240" w:right="120" w:hanging="415"/>
        <w:spacing w:after="0" w:line="275" w:lineRule="auto"/>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requirement that we consummate an initial business combination within 24 months (or 30 months, as applicable) (or such later date as approved by our shareholders)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80"/>
          </w:cols>
          <w:pgMar w:left="320" w:top="459" w:right="6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415"/>
        <w:spacing w:after="0" w:line="308" w:lineRule="auto"/>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51" w:lineRule="exact"/>
        <w:rPr>
          <w:rFonts w:ascii="Arial" w:cs="Arial" w:eastAsia="Arial" w:hAnsi="Arial"/>
          <w:sz w:val="17"/>
          <w:szCs w:val="17"/>
          <w:color w:val="auto"/>
        </w:rPr>
      </w:pPr>
    </w:p>
    <w:p>
      <w:pPr>
        <w:ind w:left="1240" w:right="40" w:hanging="415"/>
        <w:spacing w:after="0" w:line="263"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our initial shareholders, directors, executive officers, advisors and their affiliates may elect to purchase public shares or warrants, which may influence a vote on a proposed business combination and reduce the public “float” of our Class A ordinary shares or public warrants.</w:t>
      </w:r>
    </w:p>
    <w:p>
      <w:pPr>
        <w:spacing w:after="0" w:line="89"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75"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75" w:lineRule="exact"/>
        <w:rPr>
          <w:rFonts w:ascii="Arial" w:cs="Arial" w:eastAsia="Arial" w:hAnsi="Arial"/>
          <w:sz w:val="18"/>
          <w:szCs w:val="18"/>
          <w:color w:val="auto"/>
        </w:rPr>
      </w:pPr>
    </w:p>
    <w:p>
      <w:pPr>
        <w:ind w:left="1240" w:right="440" w:hanging="415"/>
        <w:spacing w:after="0" w:line="277"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NASDAQ may delist our securities from trading on its exchange, which could limit investors’ ability to make transactions in our securities and subject us to additional trading restrictions.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will not be entitled to protections normally afforded to investors of many other blank check companies.</w:t>
      </w:r>
    </w:p>
    <w:p>
      <w:pPr>
        <w:spacing w:after="0" w:line="130" w:lineRule="exact"/>
        <w:rPr>
          <w:rFonts w:ascii="Arial" w:cs="Arial" w:eastAsia="Arial" w:hAnsi="Arial"/>
          <w:sz w:val="18"/>
          <w:szCs w:val="18"/>
          <w:color w:val="auto"/>
        </w:rPr>
      </w:pPr>
    </w:p>
    <w:p>
      <w:pPr>
        <w:ind w:left="1240" w:right="20" w:hanging="415"/>
        <w:spacing w:after="0" w:line="259"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Because of our limited resources and the significant competition for business combination opportunities, it may be more difficult for us to complete our initial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92" w:lineRule="exact"/>
        <w:rPr>
          <w:rFonts w:ascii="Arial" w:cs="Arial" w:eastAsia="Arial" w:hAnsi="Arial"/>
          <w:sz w:val="18"/>
          <w:szCs w:val="18"/>
          <w:color w:val="auto"/>
        </w:rPr>
      </w:pPr>
    </w:p>
    <w:p>
      <w:pPr>
        <w:ind w:left="1240" w:right="100" w:hanging="415"/>
        <w:spacing w:after="0" w:line="257"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net proceeds of this offering and the sale of the private placement warrants not being held in the trust account are insufficient to allow us to operate for the 24 months (or 30 months, as applicable) following the closing of this offering, it could limit the amount available to fund our search for a target business or businesses and our ability to complete our initial business combination, and we will depend on loans from our sponsor, its affiliates or members of our management team to fund our search and to complete our initial business combination.</w:t>
      </w: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right="460" w:firstLine="426"/>
        <w:spacing w:after="0" w:line="308" w:lineRule="auto"/>
        <w:rPr>
          <w:sz w:val="20"/>
          <w:szCs w:val="20"/>
          <w:color w:val="auto"/>
        </w:rPr>
      </w:pPr>
      <w:r>
        <w:rPr>
          <w:rFonts w:ascii="Arial" w:cs="Arial" w:eastAsia="Arial" w:hAnsi="Arial"/>
          <w:sz w:val="17"/>
          <w:szCs w:val="17"/>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January 20, 2021</w:t>
            </w:r>
          </w:p>
        </w:tc>
      </w:tr>
      <w:tr>
        <w:trPr>
          <w:trHeight w:val="142"/>
        </w:trPr>
        <w:tc>
          <w:tcPr>
            <w:tcW w:w="65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8"/>
              </w:rPr>
              <w:t>Actual</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5"/>
              </w:rPr>
              <w:t>As Adjusted</w:t>
            </w:r>
          </w:p>
        </w:tc>
        <w:tc>
          <w:tcPr>
            <w:tcW w:w="60" w:type="dxa"/>
            <w:vAlign w:val="bottom"/>
          </w:tcPr>
          <w:p>
            <w:pPr>
              <w:spacing w:after="0"/>
              <w:rPr>
                <w:sz w:val="12"/>
                <w:szCs w:val="12"/>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Working capital (deficiency)</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(26,153)</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242,815,847</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57,847</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251,565,847</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Total liabilities</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42,000</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Value of Class A ordinary shares subject to possible redemption</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237,815,840</w:t>
            </w:r>
          </w:p>
        </w:tc>
        <w:tc>
          <w:tcPr>
            <w:tcW w:w="60" w:type="dxa"/>
            <w:vAlign w:val="bottom"/>
            <w:shd w:val="clear" w:color="auto" w:fill="CCEEFF"/>
          </w:tcPr>
          <w:p>
            <w:pPr>
              <w:spacing w:after="0"/>
              <w:rPr>
                <w:sz w:val="18"/>
                <w:szCs w:val="18"/>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Shareholders’ equity</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15,847</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5,000,007</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ind w:left="300" w:right="60" w:firstLine="426"/>
        <w:spacing w:after="0" w:line="342" w:lineRule="auto"/>
        <w:rPr>
          <w:sz w:val="20"/>
          <w:szCs w:val="20"/>
          <w:color w:val="auto"/>
        </w:rPr>
      </w:pPr>
      <w:r>
        <w:rPr>
          <w:rFonts w:ascii="Arial" w:cs="Arial" w:eastAsia="Arial" w:hAnsi="Arial"/>
          <w:sz w:val="16"/>
          <w:szCs w:val="16"/>
          <w:color w:val="auto"/>
        </w:rPr>
        <w:t>We will consummate our initial business combination only if we have net tangible assets of at least $5,000,001 upon such consummation and a majority of the outstanding ordinary shares of voted are voted in favor of the business combination (if a vote is required or being obtained).</w:t>
      </w: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320" w:top="459" w:right="6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Search for, and Consummation of or Inability to Consummate, a Business Combination</w:t>
      </w:r>
    </w:p>
    <w:p>
      <w:pPr>
        <w:spacing w:after="0" w:line="121"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3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may choose not to hold a shareholder vote before we complete our initial business combination if the business combination would not require shareholder approval under applicable law or stock exchange listing requirement. For instance, if we were seeking to acquire a target business where the consideration we were paying in the transaction was all cash, we would typically not be required to seek shareholder approval to complete such a transaction. Except for as required by applicable law or stock exchange listing requirement,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complete our initial business combination even if holders of a majority of our issued and outstanding ordinary shares do not approve of the business combination we complete.</w:t>
      </w:r>
    </w:p>
    <w:p>
      <w:pPr>
        <w:spacing w:after="0" w:line="17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Please see the section entitled “Proposed Business — Shareholders May Not Have the Ability to Approve Our Initial Business Combination” for additional information.</w:t>
      </w:r>
    </w:p>
    <w:p>
      <w:pPr>
        <w:spacing w:after="0" w:line="27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may be limited to the exercise of your right to redeem your shares from us for cash.</w:t>
      </w:r>
    </w:p>
    <w:p>
      <w:pPr>
        <w:spacing w:after="0" w:line="6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At the time of your investment in us, you will not be provided with an opportunity to evaluate the specific merits or risks of any target businesses. Since our board of directors may complete a business combination without seeking shareholder approval, public shareholders may not have the right or opportunity to vote on the business combination, unless we seek such shareholder approval.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26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Recently,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preparing for an initial public offering, as well as many such companies currently in registration. As a result, at times, fewer attractive targets may be available to consummate an initial business combination.</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 addition, because there are more special purpose acquisition companies seeking to enter into an initial business combination with available targets, the competition for available targets with attractive fundamentals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29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6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Our initial shareholders will own, on an as-converted basis, 20% of our outstanding ordinary shares immediately following the completion of this offering. Our sponsor and members of our management team also may from time to time purchase Class A ordinary shares prior to our initial business combination. Our amended and restated memorandum and articles of association will provide that, 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As a result, in addition to our initial shareholders’ founder shares, we would need 9,375,001, or 37.5% (assuming all issued and outstanding shares are voted and the over-allotment option is not exercised), or 1,562,501, or 6.25% (assuming only the minimum number of shares representing a quorum are voted and the over-allotment option is not exercised), of the 25,000,000 public shares sold in this offering to be voted in favor of an initial business combination in order to have our initial business combination approved. Accordingly, if we seek shareholder approval of our initial business combination, the agreement by our sponsor and each member of our management team to vote in favor of our initial business combination will increase the likelihood that we will receive the requisite shareholder approval for such initial business combination.</w:t>
      </w:r>
    </w:p>
    <w:p>
      <w:pPr>
        <w:spacing w:after="0" w:line="28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(i) our completion of an initial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and (iii) the redemption of our public shares if we have not consummated an initial business within 24 months (or 30 months, as applicable) from the closing of this offering, subject to applicable law and as further described herein.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(or 30 months, as applicable) from the closing of this offering, with respect to such Class A ordinary shares so redeemed.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spacing w:after="0" w:line="308" w:lineRule="auto"/>
        <w:rPr>
          <w:sz w:val="20"/>
          <w:szCs w:val="20"/>
          <w:color w:val="auto"/>
        </w:rPr>
      </w:pPr>
      <w:r>
        <w:rPr>
          <w:rFonts w:ascii="Arial" w:cs="Arial" w:eastAsia="Arial" w:hAnsi="Arial"/>
          <w:sz w:val="17"/>
          <w:szCs w:val="17"/>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3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(so that we do not then become subject to the SEC’s “penny stock” rules).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28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a large number of shares are submitted for redemption, we may need to restructure the transaction to reserve a greater portion of the cash in the trust account or arrange for additional third-party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underwriters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spacing w:after="0" w:line="28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funds in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27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The requirement that we consummate an initial business combination within the prescribed time frame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7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consummate an initial business combination within 24 months from the closing of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 frame described above. In addition, we may have limited time to conduct due diligence and may enter into our initial business combination on terms that we would have rejected upon a more comprehensive investigation.</w:t>
      </w:r>
    </w:p>
    <w:p>
      <w:pPr>
        <w:spacing w:after="0" w:line="272"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3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7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 The outbreak of COVID-19 may also have the effect of heightening many of the other risks described in this “Risk Factors” section, such as those related to the market for our securities and cross-border transactions.</w:t>
      </w:r>
    </w:p>
    <w:p>
      <w:pPr>
        <w:spacing w:after="0" w:line="27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may not be able to consummate an initial business combination within the prescribed time frame, in which case we would cease all operations except for the purpose of winding up and we would redeem our public shares and liquidate.</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may not be able to find a suitable target business and consummate an initial business combination within 24 months after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 Our ability to complete our initial business combination may be negatively impacted by general market conditions, volatility in the debt and equity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party financing being unavailable on terms acceptable to us or at all. Additionally, the outbreak of COVID-19 may negatively impact businesses we may seek to acquire. If we have not consummated an initial business combination within such applicable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$10.00 per public share, or less than $10.00 per public share, on the redemption of their shares, and our warrants will expire worthless. See “— If third parties bring claims against us, the proceeds held in the trust account could be reduced and the per-share redemption amount received by shareholders may be less than $10.00 per public share” and other risk factors herein.</w:t>
      </w:r>
    </w:p>
    <w:p>
      <w:pPr>
        <w:spacing w:after="0" w:line="29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sponsor, directors, executive officers, advisors and their affiliates may elect to purchase public shares or warrants, which may influence a vote on a proposed business combination and reduce the public “float” of our Class A ordinary shares or public warrants.</w:t>
      </w:r>
    </w:p>
    <w:p>
      <w:pPr>
        <w:spacing w:after="0" w:line="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public shares or warrants in such transactions.</w:t>
      </w:r>
    </w:p>
    <w:p>
      <w:pPr>
        <w:spacing w:after="0" w:line="19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transaction could be to (1) vote in favor of the business combination and thereby increase the likelihood of obtaining shareholder approval of the business combination, (2) reduce the number of public warrants outstanding or vote such warrants on any matters submitted to the warrant holders for approval in connection with our initial business combination or (3)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 Any such purchases will be reported pursuant to Section 13 and Section 16 of the Exchange Act to the extent such purchasers are subject to such reporting requirements. See “Proposed Business — Permitted Purchases and Other Transactions with Respect to Our Securities” for a description of how our sponsor,</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directors, executive officers, advisors or their affiliates will select which shareholders to purchase securities from in any private transaction.</w:t>
      </w:r>
    </w:p>
    <w:p>
      <w:pPr>
        <w:spacing w:after="0" w:line="34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redeem its shares. In addition, the proxy solicitation or tender offer materials, as applicable, that we will furnish to holders of our public shares in connection with our initial business combination will describe the various procedures that must be complied with in order to validly redeem or tender public shares. In the event that a shareholder fails to comply with these procedures, its shares may not be redeemed. See “Proposed Business — Business Strategy — Effecting Our Initial Business Combination — Tendering Share Certificates in Connection with a Tender Offer or Redemption Rights.”</w:t>
      </w:r>
    </w:p>
    <w:p>
      <w:pPr>
        <w:spacing w:after="0" w:line="28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Because of our limited resources and the significant competition for business combination opportunities, it may be more difficult for us to complete our initial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7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 See “— If third parties bring claims against us, the proceeds held in the trust account could be reduced and the per-share redemption amount received by shareholders may be less than $10.00 per public share” and other risk factors herein.</w:t>
      </w:r>
    </w:p>
    <w:p>
      <w:pPr>
        <w:spacing w:after="0" w:line="275"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b w:val="1"/>
          <w:bCs w:val="1"/>
          <w:i w:val="1"/>
          <w:iCs w:val="1"/>
          <w:color w:val="auto"/>
        </w:rPr>
        <w:t>If the net proceeds of this offering and the sale of the private placement warrants not being held in the trust account are insufficient to allow us to operate for the prescribed time frame, it could limit the amount available to fund our search for a target business or businesses and our ability to complete our initial business combination, and we will depend on loans from our sponsor, its affiliates or members of our management team to fund our search and to complete our initial business combination.</w:t>
      </w:r>
    </w:p>
    <w:p>
      <w:pPr>
        <w:spacing w:after="0" w:line="63"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Of the net proceeds of this offering and the sale of the private placement warrants, only approximately $1,550,000 will be available to us initially outside the trust account to fund our working capital requirements.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believe that, upon the closing of this offering, the funds available to us outside of the trust account, together with funds available from loans from our sponsor, its affiliates or members of our management team will be sufficient to allow us to operate for at least the 24 months (or 30 months, as applicable) following the closing of this offering; however, we cannot assure you that our estimate is accurate, and our sponsor, its affiliates or members of our management team are under no obligation to advance funds to us in such circumstances. Of the funds available to us, we expect to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8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In the event that our offering expenses exceed our estimate of $1,450,000, we may fund such excess with funds not to be held in the trust account. In such case, unless funded by the proceeds of loans available from our sponsor, its affiliates or members of our management team the amount of funds we intend to be held outside the trust account would decrease by a corresponding amount. Conversely, in the event that the offering expenses are less than our estimate of $1,450,000,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its affiliates, members of our management team or other third parties to operate or may be forced to liquidate. Neither our sponsor, members of our management team nor their affiliates is under any obligation to us in such circumstances. Any such advances may be repaid only from funds held outside the trust account or from funds released to us upon completion of our initial business combination. Up to $1,500,000 of such loans may be convertible into warrants of the post-business combination entity at a price of $1.00 per warrant at the option of the lender. The warrants would be identical to the private placement warrants. Prior to the completion of our initial business combination, we do not expect to seek loans from parties other than our sponsor, its affiliates or members of our management team as we do not believe third parties will be willing to loan such funds and provide a waiver against any and all rights to seek access to funds in our trust account. If we have not consummated our initial business combination within the required time period because we do not have sufficient funds available to us, we will be forced to cease operations and liquidate the trust account. Consequently, our public shareholders may only receive an estimated $10.00 per public share, or possibly less, on our redemption of our public shares, and our warrants will expire worthless. See “— If third parties bring claims against us, the proceeds held in the trust account could be reduced and the per-share redemption amount received by shareholders may be less than $10.00 per public share” and other risk factors herein.</w:t>
      </w:r>
    </w:p>
    <w:p>
      <w:pPr>
        <w:spacing w:after="0" w:line="29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may seek business combination opportunities with a high degree of complexity that require significant operational improvements, which could delay or prevent us from achieving our desired results.</w:t>
      </w:r>
    </w:p>
    <w:p>
      <w:pPr>
        <w:spacing w:after="0" w:line="62"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59"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23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shareholders may be held liable for claims by third parties against us to the extent of distributions received by them upon redemption of their shares.</w:t>
      </w:r>
    </w:p>
    <w:p>
      <w:pPr>
        <w:spacing w:after="0" w:line="6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$18,292.68 and imprisonment for five years in the Cayman Islands.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hold an annual general meeting until after the consummation of our initial business combination.</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There is no requirement under the Companies Act for us to hold annual or extraordinary general meetings to appoint directors. Until we hold an annual general meeting, public shareholders may not be afforded the opportunity to appoint directors and to discuss company affairs with management. Our board of directors is divided into three classes with only one class of directors being appointed in each year and each class (except for those directors appointed prior to our first annual general meeting) serving a three-year term.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hold an annual general meeting until after the consummation of our initial business combination.</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There is no requirement under the Companies Act for us to hold annual or extraordinary general meetings to appoint directors. Until we hold an annual general meeting, public shareholders may not be afforded the opportunity to appoint directors and to discuss company affairs with management. Our board of directors is divided into three classes with only one class of directors being appointed in each year and each class (except for those directors appointed prior to our first annual general meeting) serving a three-year term.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seek acquisition opportunities in industries or sectors which may or may not be outside of our management’s area of expertise.</w:t>
      </w:r>
    </w:p>
    <w:p>
      <w:pPr>
        <w:spacing w:after="0" w:line="1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will consider a business combination outside of our management’s area of expertise if a business combination target is presented to us and we determine that such candidate offers an attractive acquisition opportunity for our company. Although our management will endeavor to evaluate the risks inherent in any particular business combination target,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able to adequately ascertain or assess all of the significant risk factors. Accordingly, any holders who choose to retain their securities following the business combination could suffer a reduction in the value of their securities. Such holders are unlikely to have a remedy for such reduction in value.</w:t>
      </w:r>
    </w:p>
    <w:p>
      <w:pPr>
        <w:spacing w:after="0" w:line="23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Unlike some other similarly structured blank check companies, our sponsor will receive additional Class A ordinary shares if we issue shares to consummate an initial business combination.</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(which such Class A ordinary shares delivered upon conversion will not have any redemption rights or be entitled to liquidating distributions from the trust account if we fail to consummate an initial business combination) at the time of our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our sponsor, any of its affiliates or any members of our management team upon conversion of working capital loans. In no event will the Class B ordinary shares convert into Class A ordinary shares at a rate of less than one-to-one. This is different than some other similarly structured blank check companies in which the initial shareholders will only be issued an aggregate of 20% of the total number of shares to be outstanding prior to the initial business combination.</w:t>
      </w:r>
    </w:p>
    <w:p>
      <w:pPr>
        <w:spacing w:after="0" w:line="2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amended and restated memorandum and articles of association will not provide a specified maximum redemption threshold, except that in no event will we redeem our public shares in an amount that would cause our net tangible assets to be less than $5,000,001 (so that we do not then become subject to the SEC’s “penny stock” rules).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18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our shareholders may not support.</w:t>
      </w:r>
    </w:p>
    <w:p>
      <w:pPr>
        <w:spacing w:after="0" w:line="79"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order to effectuate a business combination, blank check companies have, in the recent past, amended various provisions of their charters and governing instruments, including their warrant agreements. For example, blank check companies have amended the definition of business combination, increased redemption thresholds, extended the time to consummate an initial business combination and, with respect to their warrants, amended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4" w:lineRule="auto"/>
        <w:rPr>
          <w:sz w:val="20"/>
          <w:szCs w:val="20"/>
          <w:color w:val="auto"/>
        </w:rPr>
      </w:pPr>
      <w:r>
        <w:rPr>
          <w:rFonts w:ascii="Arial" w:cs="Arial" w:eastAsia="Arial" w:hAnsi="Arial"/>
          <w:sz w:val="16"/>
          <w:szCs w:val="16"/>
          <w:color w:val="auto"/>
        </w:rPr>
        <w:t>their warrant agreements to require the warrants to be exchanged for cash and/or other securities. Amending our amended and restated memorandum and articles of association will require a special resolution of our shareholders as a matter of Cayman Islands law, meaning the approval of holders of at least two-thirds of our ordinary shares who attend and vote at a general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 outstanding private placement warrants. In addition, our amended and restated memorandum and articles of association will require us to provide our public shareholders with the opportunity to redeem their public shares for cash if we propose an amendment to our amended and restated memorandum and articles of association</w:t>
      </w:r>
    </w:p>
    <w:p>
      <w:pPr>
        <w:spacing w:after="0" w:line="2" w:lineRule="exact"/>
        <w:rPr>
          <w:sz w:val="20"/>
          <w:szCs w:val="20"/>
          <w:color w:val="auto"/>
        </w:rPr>
      </w:pPr>
    </w:p>
    <w:p>
      <w:pPr>
        <w:ind w:left="120" w:hanging="4"/>
        <w:spacing w:after="0" w:line="292" w:lineRule="auto"/>
        <w:tabs>
          <w:tab w:leader="none" w:pos="4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To the extent any of such amendments would be deemed to fundamentally change the nature of any of the securities offered through this registration statement, we would register, or seek an exemption from registration for, the affected securities.</w:t>
      </w:r>
    </w:p>
    <w:p>
      <w:pPr>
        <w:spacing w:after="0" w:line="2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sponsor controls a substantial interest in us and thus may exert a substantial influence on actions requiring a shareholder vote, potentially in a manner that you do not support.</w:t>
      </w:r>
    </w:p>
    <w:p>
      <w:pPr>
        <w:spacing w:after="0" w:line="6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Upon closing of this offering, our initial shareholders will own, on an as-converted basis, 20% of our issued and outstanding ordinary shares (assuming it does not purchase any units in this offering). Accordingly, it may exert a substantial influence on actions requiring a shareholder vote, potentially in a manner that you do not support, including amendments to our amended and restated memorandum and articles of association. If our sponsor purchases any units in this offering or if our sponsor purchases any additional Class A ordinary shares in the aftermarket or in privately negotiated transactions, this would increase its control. Neither our sponsor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appointed by our sponsor, is and will be divided into three classes, each of which will generally serve for a term of three years with only one class of directors being appointed in each year. We may not hold an annual general meeting to appoint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appointment and our sponsor, because of its ownership position, will control the outcome, as only holders of our Class B ordinary shares will have the right to vote on the appointment of directors and to remove directors prior to our initial business combination. Accordingly, our sponsor will continue to exert control at least until the completion of our initial business combination. In addition, we have agreed not to enter into a definitive agreement regarding an initial business combination without the prior consent of our sponsor.</w:t>
      </w:r>
    </w:p>
    <w:p>
      <w:pPr>
        <w:spacing w:after="0" w:line="275" w:lineRule="exact"/>
        <w:rPr>
          <w:sz w:val="20"/>
          <w:szCs w:val="20"/>
          <w:color w:val="auto"/>
        </w:rPr>
      </w:pPr>
    </w:p>
    <w:p>
      <w:pPr>
        <w:ind w:left="120" w:right="20"/>
        <w:spacing w:after="0" w:line="340" w:lineRule="auto"/>
        <w:rPr>
          <w:sz w:val="20"/>
          <w:szCs w:val="20"/>
          <w:color w:val="auto"/>
        </w:rPr>
      </w:pPr>
      <w:r>
        <w:rPr>
          <w:rFonts w:ascii="Arial" w:cs="Arial" w:eastAsia="Arial" w:hAnsi="Arial"/>
          <w:sz w:val="15"/>
          <w:szCs w:val="15"/>
          <w:b w:val="1"/>
          <w:bCs w:val="1"/>
          <w:i w:val="1"/>
          <w:iCs w:val="1"/>
          <w:color w:val="auto"/>
        </w:rPr>
        <w:t>After our initial business combination, substantially all of our assets may be located in a foreign country and substantially all of our revenue may be derived from our operations in any such country. Accordingly, our results of operations and prospects will be subject, to a significant extent, to the economic, political and social conditions and government policies, developments and conditions in the country in which we operate.</w:t>
      </w:r>
    </w:p>
    <w:p>
      <w:pPr>
        <w:spacing w:after="0" w:line="23"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combination and if we effect our initial business combination, the ability of that target business to become profitable.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$5,000,001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276"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identify all material issues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holders who choose to retain their securities following the business combination could suffer a reduction in the value of their securities. Such holders are unlikely to have a remedy for such reduction in value.</w:t>
      </w:r>
    </w:p>
    <w:p>
      <w:pPr>
        <w:spacing w:after="0" w:line="27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shareholders may be less than $10.00 per public share.</w:t>
      </w:r>
    </w:p>
    <w:p>
      <w:pPr>
        <w:spacing w:after="0" w:line="6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Furthermore, requiring targets to execute a trust waiver may be a deterrent. If any third-party refuses to execute an agreement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waiving such claims to the monies held in the trust account, our management will perform an analysis of the alternatives available to it and will only enter into an agreement with a third-party that has not executed a waiver if management believes that such third-party’s engagement would be significantly more beneficial to us than any alternative.</w:t>
      </w:r>
    </w:p>
    <w:p>
      <w:pPr>
        <w:spacing w:after="0" w:line="18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Examples of possible instances where we may engage a third-party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24 months (or 30 months, as applicable) from the closing of this offering,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third-party (other than our independent auditors) for services rendered or products sold to us,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provided that such liability will not apply to any claims by a third-party or prospective target business that executed a waiver of any and all rights to seek access to the trust account nor will it apply to any claims under our indemnity of the underwriters of this offering against certain liabilities, including liabilities under the Securities Act. Moreover, in the event that an executed waiver is deemed to be unenforceable against a third-party, our sponsor will not be responsible to the extent of any liability for such third-party claims.</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30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6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independent directors choose not to enforce these indemnification obligations, the amount of funds in the trust account available for distribution to our public shareholders may be reduced below $10.00 per public share.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shareholders, we file a bankruptcy or insolvency or an involuntary bankruptcy or insolvency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after we distribute the proceeds in the trust account to our public shareholders, we file a bankruptcy or insolvency or an involuntary bankruptcy or insolvency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300" w:lineRule="exact"/>
        <w:rPr>
          <w:sz w:val="20"/>
          <w:szCs w:val="20"/>
          <w:color w:val="auto"/>
        </w:rPr>
      </w:pPr>
    </w:p>
    <w:p>
      <w:pPr>
        <w:ind w:left="120" w:right="80"/>
        <w:spacing w:after="0" w:line="340"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shareholders, we file a bankruptcy or insolvency or an involuntary bankruptcy or insolvency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2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before distributing the proceeds in the trust account to our public shareholders, we file a bankruptcy or insolvency or an involuntary bankruptcy or insolvency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296"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may pursue business combination opportunities in any sector, except that we will not, under our amended and restated memorandum and articles of association, be permitted to effectuate our initial business combination solely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holders who choose to retain their securities following the business combination could suffer a reduction in the value of their securities. Such holders are unlikely to have a remedy for such reduction in value.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4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listing requirements, or we decide to obtain shareholder approval for business or other reasons, it may be more difficult for us to attain shareholder approval of our initial business combination if the target business does not meet our general criteria and guidelines.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290" w:lineRule="exact"/>
        <w:rPr>
          <w:sz w:val="20"/>
          <w:szCs w:val="20"/>
          <w:color w:val="auto"/>
        </w:rPr>
      </w:pPr>
    </w:p>
    <w:p>
      <w:pPr>
        <w:ind w:left="120" w:right="540"/>
        <w:spacing w:after="0" w:line="375" w:lineRule="auto"/>
        <w:rPr>
          <w:sz w:val="20"/>
          <w:szCs w:val="20"/>
          <w:color w:val="auto"/>
        </w:rPr>
      </w:pPr>
      <w:r>
        <w:rPr>
          <w:rFonts w:ascii="Arial" w:cs="Arial" w:eastAsia="Arial" w:hAnsi="Arial"/>
          <w:sz w:val="15"/>
          <w:szCs w:val="15"/>
          <w:b w:val="1"/>
          <w:bCs w:val="1"/>
          <w:i w:val="1"/>
          <w:iCs w:val="1"/>
          <w:color w:val="auto"/>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spacing w:after="0" w:line="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Unless we complete our initial business combination with an affiliated entity, we are not required to obtain an opinion from an independent investment banking firm or another independent entity that commonly renders valuation opinions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2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acquisitions that are not completed, which could materially adversely affect subsequent attempts to locate and acquire or merge with another business.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7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3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28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b w:val="1"/>
          <w:bCs w:val="1"/>
          <w:i w:val="1"/>
          <w:iCs w:val="1"/>
          <w:color w:val="auto"/>
        </w:rPr>
        <w:t>The provisions of our amended and restated memorandum and articles of association that relate to the rights of holders of our Class A ordinary shares (and corresponding provisions of the agreement governing the release of funds from our trust account) may be amended with the approval of a special resolution which requires the approval of the holders of at least two-thirds of our ordinary shares who attend and vote at a general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spacing w:after="0" w:line="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Some other blank check companies have a provision in their charter which prohibits the amendment of certain of its provisions, including those which relate to the rights of a company’s shareholders, without approval by a certain percentage of the company’s shareholders. In those companies, amendment of these provisions typically requires approval by between 90% and 100% of the company’s shareholders. Our amended and restated memorandum and articles of association will provide that any of its provisions related to the rights of holders of our Class A ordinary shares (including the requirement to deposit proceeds of this offering and the placement of warrants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general meeting of the company, and corresponding provisions of the trust agreement governing the release of funds from our trust account may be amended if approved by holders of at least 65% of our ordinary shares; provided that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general meeting which shall include the affirmative vote of a simple majority of our Class B ordinary shares. Our initial shareholders and their permitted transferees, if any, who will collectively beneficially own, on an as-converted basis, 20% of our Class A ordinary shares upon the closing of this offering (assuming they do not purchase any units in this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pacing w:after="0" w:line="17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Our sponsor, executive officers, directors and director nominees have agreed, pursuant to agreements with us, that they will not propose any amendment to our amended and restated memorandum and articles of association (A) that would modify the substance or timing of our obligation to provide holders of our Class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shareholders would need to pursue a shareholder derivative action, subject to applicable law.</w:t>
      </w:r>
    </w:p>
    <w:p>
      <w:pPr>
        <w:spacing w:after="0" w:line="273" w:lineRule="exact"/>
        <w:rPr>
          <w:sz w:val="20"/>
          <w:szCs w:val="20"/>
          <w:color w:val="auto"/>
        </w:rPr>
      </w:pPr>
    </w:p>
    <w:p>
      <w:pPr>
        <w:ind w:left="120" w:right="360"/>
        <w:spacing w:after="0" w:line="301" w:lineRule="auto"/>
        <w:rPr>
          <w:sz w:val="20"/>
          <w:szCs w:val="20"/>
          <w:color w:val="auto"/>
        </w:rPr>
      </w:pPr>
      <w:r>
        <w:rPr>
          <w:rFonts w:ascii="Arial" w:cs="Arial" w:eastAsia="Arial" w:hAnsi="Arial"/>
          <w:sz w:val="16"/>
          <w:szCs w:val="16"/>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4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Although we believe that the net proceeds of this offering and the sale of the private placement warrants will be sufficient to allow us to complete our initial business combination, because we have not yet selected any prospective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The current economic environment may make it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275"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16"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holders who choose to retain their securities following the business combination could suffer a reduction in the value of their securities. Such holders are unlikely to have a remedy for such reduction in value.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3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93" w:lineRule="exact"/>
        <w:rPr>
          <w:sz w:val="20"/>
          <w:szCs w:val="20"/>
          <w:color w:val="auto"/>
        </w:rPr>
      </w:pPr>
    </w:p>
    <w:p>
      <w:pPr>
        <w:ind w:left="1080" w:right="5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1080" w:right="66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32"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net proceeds from this offering and the sale of the private placement warrants will provide us with up to $242,800,000 (or $278,987,500 if the underwriters’ over-allotment option is exercised in full) that we may use to complete our initial business combination (after taking into account the $8,750,000, or $10,062,500 if the overallotment option is exercised in full, of deferred underwriting commissions being held in the trust account and the estimated non-reimbursed expenses of this offering).</w:t>
      </w:r>
    </w:p>
    <w:p>
      <w:pPr>
        <w:spacing w:after="0" w:line="18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may effectuate our initial business combination with a single-target business or multiple-target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7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278"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7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29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6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If we have not consummated an initial business combination within 24 months (or 30 months, as applicable) from the closing of this offering, our public shareholders may be forced to wait beyond such 24 months (or 30 months, as applicable) before redemption from our trust account.</w:t>
      </w:r>
    </w:p>
    <w:p>
      <w:pPr>
        <w:spacing w:after="0" w:line="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we have not consummated an initial business combination within 24 months (or 30 months, as applicable) from the closing of this offering, the proceeds then on deposit in the trust account, including interest earned on 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 up, liquidate the trust account and distribute such amount therein, pro rata, to our public shareholders, as part of any liquidation process, such winding up, liquidation and distribution must comply with the applicable provisions of the Companies Act. In that case, investors may be forced to wait beyond 24 months (or 30 months, as applicable) from the closing of this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only then in cases where investors have sought to redeem their Class A ordinary shares. Only upon our redemption or any liquidation will public shareholders be entitled to distributions if we do not complete our initial business combination and do not amend certain provisions of our amended and restated memorandum and articles of association.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288" w:lineRule="exact"/>
        <w:rPr>
          <w:sz w:val="20"/>
          <w:szCs w:val="20"/>
          <w:color w:val="auto"/>
        </w:rPr>
      </w:pPr>
    </w:p>
    <w:p>
      <w:pPr>
        <w:ind w:left="120" w:right="620"/>
        <w:spacing w:after="0" w:line="375" w:lineRule="auto"/>
        <w:rPr>
          <w:sz w:val="20"/>
          <w:szCs w:val="20"/>
          <w:color w:val="auto"/>
        </w:rPr>
      </w:pPr>
      <w:r>
        <w:rPr>
          <w:rFonts w:ascii="Arial" w:cs="Arial" w:eastAsia="Arial" w:hAnsi="Arial"/>
          <w:sz w:val="15"/>
          <w:szCs w:val="15"/>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restrictions on the issuance of securities, each of which may make it difficult for us to complete our initial business combination.</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reporting, record keeping, voting, proxy and disclosure requirements and other rules and regulations that we are currently not subject to.</w:t>
      </w:r>
    </w:p>
    <w:p>
      <w:pPr>
        <w:spacing w:after="0" w:line="14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or (iii) absent our completing an initial business combination within 24 months (or 30 months, as applicable) from the closing of this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Securities</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shareholders are entitled to receive their prorate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shareholders may be less than $10.00 per share.</w:t>
      </w:r>
    </w:p>
    <w:p>
      <w:pPr>
        <w:spacing w:after="0" w:line="274"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76"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amended and restated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28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6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intend to apply to have our units listed on NASDAQ on the date of this prospectus and our Class A ordinary shares and warrants on or promptly after their date of separation. Although after giving effect to this offering we expect to meet, on a pro forma basis, the minimum initial listing standards set forth in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market capitalization (generally $50,000,000) and a minimum number of holders of our securities (generally 300 public holders).</w:t>
      </w:r>
    </w:p>
    <w:p>
      <w:pPr>
        <w:spacing w:after="0" w:line="178"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Additionally, our units will not be traded after completion of our initial business combination and, in connection with our initial business combination, we will be required to demonstrate compliance with NASDAQ initial listing requirements, which are more rigorous than NASDAQ continued listing requirements, in order to continue to maintain the listing of our securities on NASDAQ.</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instance, in order for our shares to be listed upon the consummation of our business combination, at such time our share price would generally be required to be at least $4.00 per share, our total market capitalization would be required to be at least $200.0 million, the aggregate market value of publicly held shares would be required to be at least $100.0 million and we would be required to have at least 400 round lot shareholders. We cannot assure you that we will be able to meet those listing requirements at that time.</w:t>
      </w:r>
    </w:p>
    <w:p>
      <w:pPr>
        <w:spacing w:after="0" w:line="18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If NASDAQ delists any of our securities from trading on its exchange and we are not able to list our securities on another national securities exchange, we expect such securities could be quoted on an over-the-counter market. If this were to occur, we could face significant material adverse consequences, including:</w:t>
      </w:r>
    </w:p>
    <w:p>
      <w:pPr>
        <w:spacing w:after="0" w:line="8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jc w:val="both"/>
        <w:ind w:left="1080" w:right="18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NASDAQ, our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units, Class A ordinary shares and warrants will qualify as covered securities under the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28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Our sponsor contributed $25,000, or approximately $0.003 per founder share, and, accordingly, you will experience immediate and substantial dilution from the purchase of our Class A ordinary shares.</w:t>
      </w:r>
    </w:p>
    <w:p>
      <w:pPr>
        <w:spacing w:after="0" w:line="62" w:lineRule="exact"/>
        <w:rPr>
          <w:sz w:val="20"/>
          <w:szCs w:val="20"/>
          <w:color w:val="auto"/>
        </w:rPr>
      </w:pPr>
    </w:p>
    <w:p>
      <w:pPr>
        <w:ind w:left="120" w:right="160" w:firstLine="440"/>
        <w:spacing w:after="0" w:line="288" w:lineRule="auto"/>
        <w:rPr>
          <w:sz w:val="20"/>
          <w:szCs w:val="20"/>
          <w:color w:val="auto"/>
        </w:rPr>
      </w:pPr>
      <w:r>
        <w:rPr>
          <w:rFonts w:ascii="Arial" w:cs="Arial" w:eastAsia="Arial" w:hAnsi="Arial"/>
          <w:sz w:val="16"/>
          <w:szCs w:val="16"/>
          <w:color w:val="auto"/>
        </w:rPr>
        <w:t>The difference between the public offering price per share (allocating all of the unit purchase price to the Class A ordinary share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Upon closing of this offering, and assuming no value is ascribed to the warrants included in the units, you and the other public shareholders will incur an immediate and substantial dilution of approximately 93.3% (or $9.33 per share, assuming no exercise of the underwriters’ over-allotment option), the difference between the pro forma net tangible book value per share of $0.67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w:t>
      </w:r>
    </w:p>
    <w:p>
      <w:pPr>
        <w:spacing w:after="0" w:line="276" w:lineRule="exact"/>
        <w:rPr>
          <w:sz w:val="20"/>
          <w:szCs w:val="20"/>
          <w:color w:val="auto"/>
        </w:rPr>
      </w:pPr>
    </w:p>
    <w:p>
      <w:pPr>
        <w:ind w:left="120" w:right="20"/>
        <w:spacing w:after="0" w:line="327" w:lineRule="auto"/>
        <w:rPr>
          <w:sz w:val="20"/>
          <w:szCs w:val="20"/>
          <w:color w:val="auto"/>
        </w:rPr>
      </w:pPr>
      <w:r>
        <w:rPr>
          <w:rFonts w:ascii="Arial" w:cs="Arial" w:eastAsia="Arial" w:hAnsi="Arial"/>
          <w:sz w:val="15"/>
          <w:szCs w:val="15"/>
          <w:b w:val="1"/>
          <w:bCs w:val="1"/>
          <w:i w:val="1"/>
          <w:iCs w:val="1"/>
          <w:color w:val="auto"/>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dilute the interest of our shareholders and likely present other risks.</w:t>
      </w:r>
    </w:p>
    <w:p>
      <w:pPr>
        <w:spacing w:after="0" w:line="3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amended and restated memorandum and articles of association will authorize the issuance of up to 500,000,000 Class A ordinary shares, par value $0.0001 per share, 50,000,000 Class B ordinary shares, par value $0.0001 per share, and 5,000,000 preference shares, par value $0.0001 per share. Immediately after this offering, there will be 475,000,000 and 43,750,000 (assuming in each case that the underwriters have not exercised their over-allotment option)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if any. The Class B ordinary shares will automatically convert into Class A ordinary shares (which such Class A ordinary shares delivered upon conversion will not have any redemption rights or be entitled to liquidating distributions from the trust account if we fail to consummate an initial business combination) at the time of our initial business combination or earlier at the option of the holders thereof as described herein and in our amended and restated memorandum and articles of association. Immediately after this offering, there will be no preference shares issued and outstanding.</w:t>
      </w:r>
    </w:p>
    <w:p>
      <w:pPr>
        <w:spacing w:after="0" w:line="18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may issue a substantial number of additional Class A ordinary shares or preference shares to complete our initial business combination or under an employee incentive plan after completion of our initial business combination. We may also issue Class A ordinary shares in connection with our redeeming the warrants as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described in “Description of Securities — Warrants — Public Shareholders’ Warrants” or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or in connection with our initial business combination, we may not issue additional shares that would entitle the holders thereof 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72" w:lineRule="exact"/>
        <w:rPr>
          <w:sz w:val="20"/>
          <w:szCs w:val="20"/>
          <w:color w:val="auto"/>
        </w:rPr>
      </w:pPr>
    </w:p>
    <w:p>
      <w:pPr>
        <w:ind w:left="1080" w:right="12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Holders of Class A ordinary shares will not be entitled to vote on any appointment of directors we hold prior to our initial business combination.</w:t>
      </w:r>
    </w:p>
    <w:p>
      <w:pPr>
        <w:spacing w:after="0" w:line="14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Prior to our initial business combination, holders of our founder shares are the only shareholders of the company which will have the right to vote on the appointment of directors. Holders of our public shares will not be entitled to vote on the appointment of directors during such time. In addition, prior to our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spacing w:after="0" w:line="265" w:lineRule="exact"/>
        <w:rPr>
          <w:sz w:val="20"/>
          <w:szCs w:val="20"/>
          <w:color w:val="auto"/>
        </w:rPr>
      </w:pPr>
    </w:p>
    <w:p>
      <w:pPr>
        <w:ind w:left="120" w:right="140"/>
        <w:spacing w:after="0" w:line="340" w:lineRule="auto"/>
        <w:rPr>
          <w:sz w:val="20"/>
          <w:szCs w:val="20"/>
          <w:color w:val="auto"/>
        </w:rPr>
      </w:pPr>
      <w:r>
        <w:rPr>
          <w:rFonts w:ascii="Arial" w:cs="Arial" w:eastAsia="Arial" w:hAnsi="Arial"/>
          <w:sz w:val="15"/>
          <w:szCs w:val="15"/>
          <w:b w:val="1"/>
          <w:bCs w:val="1"/>
          <w:i w:val="1"/>
          <w:iCs w:val="1"/>
          <w:color w:val="auto"/>
        </w:rPr>
        <w:t>We may amend the terms of the warrants in a manner that may be adverse to holders of public warrants with the approval by the holders of at least 50% of the then-outstanding public warrants. As a result, the exercise price of your warrants could be increased, the exercise period could be shortened and the number of our Class A ordinary shares purchasable upon exercise of a warrant could be decreased, all without your approval.</w:t>
      </w:r>
    </w:p>
    <w:p>
      <w:pPr>
        <w:spacing w:after="0" w:line="23"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holders of at least 50% of the then-outstanding public warrants is required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warrant agreement with respect to the private placement warrants, 50% of the number of the then outstanding private placement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Class A ordinary shares purchasable upon exercise of a warrant.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15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We have the ability to redeem the outstanding public warrants at any time after they become exercisable and prior to their expiration, at a price of $0.01 per warrant,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closing price of our Class A ordinary shares equals or exceeds $18.00 per share (as adjusted for adjustments to the number of shares issuable upon exercise or the exercise price of a warrant as described under the heading “Description of Securities — Warrants — Public Shareholders’ Warrants — Anti-Dilution Adjustments”) for any 20 trading days within a 30 trading-day period ending on the third trading day prior to proper notice of such redemption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certain other conditions are met.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we expect would be substantially less than the market value of your warrants.</w:t>
      </w:r>
    </w:p>
    <w:p>
      <w:pPr>
        <w:spacing w:after="0" w:line="18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closing price of our Class A ordinary shares equals or exceeds $10.00 per share (as adjusted for adjustments to the number of shares issuable upon exercise or the exercise price of a warrant as described under the heading “Description of Securities — Warrants — Public Shareholders’ Warrants — Anti-Dilution Adjustments”) for any 20 trading days within a 30 trading-day period ending on the third trading day prior to proper notice of such redemption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certain other conditions are met, including that holders will be able to exercise their warrants prior to redemption for a number of Class A ordinary shares determined based on the redemption date and the fair market value of our Class A ordinary shares. Please see “Description of Securities — Warrants — Public Shareholders’ Warrants — Redemption of warrants when the price per Class A ordinary share equals or exceeds $10.00.”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ordinary shares received is capped at 0.361 Class A ordinary shares per warrant (subject to adjustment) irrespective of the remaining life of the warrants.</w:t>
      </w:r>
    </w:p>
    <w:p>
      <w:pPr>
        <w:spacing w:after="0" w:line="17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None of the private placement warrants will be redeemable by us as (except as set forth under “Description of Securities — Warrants — Public Shareholders’ Warrants — Redemption of warrants when the price per Class A ordinary share equals or exceeds $10.00”) so long as they are held by our sponsor or its permitted transferees.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Our warrants may have an adverse effect on the market price of our Class A ordinary shares and make it more difficult to effectuate our initial business combination.</w:t>
      </w:r>
    </w:p>
    <w:p>
      <w:pPr>
        <w:spacing w:after="0" w:line="62" w:lineRule="exact"/>
        <w:rPr>
          <w:sz w:val="20"/>
          <w:szCs w:val="20"/>
          <w:color w:val="auto"/>
        </w:rPr>
      </w:pPr>
    </w:p>
    <w:p>
      <w:pPr>
        <w:jc w:val="both"/>
        <w:ind w:left="120" w:right="80" w:firstLine="440"/>
        <w:spacing w:after="0" w:line="273" w:lineRule="auto"/>
        <w:rPr>
          <w:sz w:val="20"/>
          <w:szCs w:val="20"/>
          <w:color w:val="auto"/>
        </w:rPr>
      </w:pPr>
      <w:r>
        <w:rPr>
          <w:rFonts w:ascii="Arial" w:cs="Arial" w:eastAsia="Arial" w:hAnsi="Arial"/>
          <w:sz w:val="17"/>
          <w:szCs w:val="17"/>
          <w:color w:val="auto"/>
        </w:rPr>
        <w:t>We will be issuing warrants to purchase 5,000,000 of our Class A ordinary shares (or up to 5,750,000 Class A ordinary shares if the underwriters’ over-allotment option is exercised in full) as part of the units offered by this prospectus and, simultaneously with the closing of this offering, we will be issuing in a private placement an aggregate of 8,000,000 private placement warrants (or 8,750,000 private placement warrants if the underwriters’ over-allotment option is exercised in full), each exercisable to purchase one Class A ordinary share at $11.50 per share, subject to adjustment. In addition, if the sponsor, its affiliates or a member of our management team makes any working capital loans, it may convert up to $1,500,000 of such loans into up to an additional 1,500,000 private placement warrants, at the price of $1.00 per warrant.</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 the extent we issue ordinary shares for any reason, including to effectuate a business combination,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29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Because each unit contains one-fifth of one redeemable warrant and only a whole warrant may be exercised, the units may be worth less than units of other blank check companies.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Each unit contains one-fifth of one redeemable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whole warrant to purchase one whole share. We have established the components of the units in this way in order to reduce the dilutive effect of the warrants upon completion of a business combination since the warrants will be exercisable in the aggregate for one-fifth of the number of shares compared to units that each contain a whole warrant to purchase one whole share, thus making us, we believe, a more attractive merger partner for target businesses. Nevertheless, this unit structure may cause our units to be worth less than if a unit included a warrant to purchase one whole share.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Unlike some blank check companies, if (i) we issue additional Class A ordinary shares or equity-linked securities for capital raising purposes in connection with the closing of our initial business combination at a Newly Issued Price of less than $9.20 per ordinary share, (ii) the aggregate gross proceeds from such issuances represent more than 60% of the total equity proceeds, and interest thereon, available for the funding of our initial business combination on the date of the consummation of our initial business combination (net of redemptions), and (iii) the Market Value is below $9.20 per share, then the exercise price of the warrants will be adjusted to be equal to 115% of the higher of the Market Value and the Newly Issued Price, and the $18.00 per share redemption trigger prices described below under “Description of Securities — Warrants — Public Shareholders’ Warrants — Redemption of warrants when the price per Class A ordinary share equals or exceeds $18.00” will be adjusted (to the nearest cent) to be equal to 180% of the higher of the Market Value and the Newly Issued Price, and the $10.00 per share redemption trigger price described below under “Description of Securities — Warrants — Public Shareholders’ Warrants — Redemption of warrants when the price per Class A ordinary share equals or exceeds $10.00” will be adjusted (to the nearest cent) to be equal to the higher of the Market Value and the Newly Issued Price. This may make it more difficult for us to consummate an initial business combination with a target business.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he warrants may become exercisable and redeemable for a security other than the Class A ordinary shares, and you will not have any information regarding such other security at this time.</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certain situations, including if we are not the surviving entity in our initial business combination, the warrants may become exercisable for a security other than the Class A ordinary shares. As a result, if the surviving company redeems your warrants for securities pursuant to the warrant agreement, you may receive a security in a company of which you do not have information at this time. Pursuant to the warrant agreement, the surviving company will be required to use commercially reasonable efforts to register the issuance of the security underlying the warrants within twenty business days of the closing of an initial business combination.</w:t>
      </w:r>
    </w:p>
    <w:p>
      <w:pPr>
        <w:spacing w:after="0" w:line="296" w:lineRule="exact"/>
        <w:rPr>
          <w:sz w:val="20"/>
          <w:szCs w:val="20"/>
          <w:color w:val="auto"/>
        </w:rPr>
      </w:pPr>
    </w:p>
    <w:p>
      <w:pPr>
        <w:ind w:left="120" w:right="460"/>
        <w:spacing w:after="0" w:line="286"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ordinary shares and warrants underlying the units, include:</w:t>
      </w:r>
    </w:p>
    <w:p>
      <w:pPr>
        <w:spacing w:after="0" w:line="93"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review of debt-to-equity ratios in leveraged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2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62"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26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amended and restated memorandum and articles of association will contain provisions that may discourage unsolicited takeover proposals that shareholders may consider to be in their best interests. These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provisions will include a staggered board of directors, the ability of the board of directors to designate the terms of and issue new series of preference shares, and the fact that prior to the completion of our initial business combination holders of our Class B ordinary shares, which have been issued to our sponsor, are the only shareholders of the company which will be entitled to vote on the appointment of directors, which may make more difficult the removal of management and may discourage transactions that otherwise could involve payment of a premium over prevailing market prices for our securities.</w:t>
      </w:r>
    </w:p>
    <w:p>
      <w:pPr>
        <w:spacing w:after="0" w:line="29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The grant of registration rights to our sponsor may make it more difficult to complete our initial business combination, and the future exercise of such rights may adversely affect the market price of our Class A ordinary shares.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Pursuant to an agreement to be entered into on or prior to the closing of this offering, our sponsor and its permitted transferees can demand that we register the resale of the Class A ordinary shares into which founder shares are convertible, the private placement warrants and the Class A ordinary shares issuable upon exercise of the private placement warrants, and warrants that may be issued upon conversion of working capital loans and the Class A ordinary shares issuable upon conversion of such warrants.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securities that is expected when the securities owned by our sponsor or its permitted transferees are registered for resale.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Sponsor and Management Team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dependent upon our executive officers and directors and their loss could adversely affect our ability to operate.</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unexpected loss of the services of one or more of our directors or executive officers could have a detrimental effect on us.</w:t>
      </w:r>
    </w:p>
    <w:p>
      <w:pPr>
        <w:spacing w:after="0" w:line="33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director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63"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In addition, pursuant to an agreement to be entered into on or prior to the closing of this offering, our sponsor, upon and following consummation of an initial business combination, will be entitled to nominate three individuals for appointment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274"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b w:val="1"/>
          <w:bCs w:val="1"/>
          <w:i w:val="1"/>
          <w:i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6"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257" w:lineRule="exact"/>
        <w:rPr>
          <w:sz w:val="20"/>
          <w:szCs w:val="20"/>
          <w:color w:val="auto"/>
        </w:rPr>
      </w:pPr>
    </w:p>
    <w:p>
      <w:pPr>
        <w:jc w:val="both"/>
        <w:ind w:left="120" w:right="80"/>
        <w:spacing w:after="0" w:line="375" w:lineRule="auto"/>
        <w:rPr>
          <w:sz w:val="20"/>
          <w:szCs w:val="20"/>
          <w:color w:val="auto"/>
        </w:rPr>
      </w:pPr>
      <w:r>
        <w:rPr>
          <w:rFonts w:ascii="Arial" w:cs="Arial" w:eastAsia="Arial" w:hAnsi="Arial"/>
          <w:sz w:val="15"/>
          <w:szCs w:val="15"/>
          <w:b w:val="1"/>
          <w:bCs w:val="1"/>
          <w:i w:val="1"/>
          <w:i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Directors and Director Nominees.”</w:t>
      </w:r>
    </w:p>
    <w:p>
      <w:pPr>
        <w:spacing w:after="0" w:line="304"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b w:val="1"/>
          <w:bCs w:val="1"/>
          <w:i w:val="1"/>
          <w:iCs w:val="1"/>
          <w:color w:val="auto"/>
        </w:rPr>
        <w:t>Our officers and directors presently have, and many of them in the future are expected to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76"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or entities. Each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our officers and directors presently has, and many of them in the future are expected to have, additional fiduciary or contractual obligations to other entities pursuant to which such officer or director is or will be required to present a business combination opportunity to such entity, subject to his or her fiduciary duties under Cayman Islands law. Accordingly, they may have conflicts of interest in determining to which entity a particular business opportunity should be presented. Our directors and officers affiliated with ArcLight may in particular have conflicts with funds affiliated with ArcLight, including ArcLight’s most recent flagship fund, ArcLight Energy Partners Fund VII, L.P., which closed in January 2020 with approximately $3.4 billion of commitments, and/or other funds or investment vehicles formed by ArcLight in the future. While these other funds and investment vehicles are not expected to pursue investment objectives identical to ours, in certain circumstances investment objectives may overlap and these conflicts may not be resolved in our favor; a potential target business may be presented to another entity prior to its presentation to us, subject to their fiduciary duties under Cayman Islands law.</w:t>
      </w:r>
    </w:p>
    <w:p>
      <w:pPr>
        <w:spacing w:after="0" w:line="196"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In addition, our sponsor, officers and directors may in the future become affiliated with other blank check companies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such other blank check companies prior to its presentation to us, subject to our officers’ and directors’ fiduciary duties under Cayman Islands law. Our amended and restated memorandum and articles of association will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7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29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security holders and their respective affiliates may have competitive pecuniary interests that conflict with our interests.</w:t>
      </w:r>
    </w:p>
    <w:p>
      <w:pPr>
        <w:spacing w:after="0" w:line="6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6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“Description of Securities — Certain Differences in Corporate Law — Shareholders’ Suits” for further information on the ability to bring such claims. However, we might not ultimately be successful in any claim we may make against them for such reason.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b w:val="1"/>
          <w:bCs w:val="1"/>
          <w:i w:val="1"/>
          <w:iCs w:val="1"/>
          <w:color w:val="auto"/>
        </w:rPr>
        <w:t>We may engage in a business combination with one or more target businesses that have relationships with entities that may be affiliated with our sponsor, executive officers, directors or initial shareholders which may raise potential conflicts of interest.</w:t>
      </w:r>
    </w:p>
    <w:p>
      <w:pPr>
        <w:spacing w:after="0" w:line="3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light of the involvement of our sponsor, executive officers and directors with other entities, we may decide to acquire one or more businesses affiliated with our sponsor, executive officers, directors or initial shareholders. Our directors also serve as officers and board members for other entities, including, without limitation, those described under “Management — Conflicts of Interest.” Our sponsor, officers and directors may sponsor, form or participate in other blank check companies similar to ours during the period in which we are seeking an initial business combination. Such entities may compete with us for business combination opportunities. In particular, affiliates of our sponsor currently sponsor another blank check company, ACTC I, and Mr. Erhard is the President and Chief Executive Officer of ACTC I and a director on ACTC I’s board of directors, Mr. Gatti is the Chief Financial Officer of ACTC I, Mr. Revers is the Chairman of the board of directors of ACTC I, Mr. Knauth serves as Chief Operating Officer of ACTC I and</w:t>
      </w:r>
    </w:p>
    <w:p>
      <w:pPr>
        <w:spacing w:after="0" w:line="2"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Ms. Miller serves as General Counsel of ACTC I, Mr. Harris, Dr. Lee, Mr. Berkenfeld and Mr. Goncher all serve on ACTC I’s board of directors, and each owes fiduciary duties under Cayman Islands law to ACTC I. On January 12, 2021, ACTC I announced that it had entered into a definitive agreement with Proterra Inc, a leading innovator in commercial vehicle electrification technology, to combine. The transaction is expected to close in the first half of 2021, subject to the satisfaction of customary closing conditions, including the approval of the shareholders of ACTC I. Upon the closing of the transaction, it is expected that Proterra Inc will trade under the ticker symbol PTRA on NASDAQ. Should the transaction with Proterra Inc not close, ACTC I would likely compete with us for future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and guidelines for a business combination as set forth in “Proposed Business — Effecting Our Initial Business Combination — Evaluation of a Target Business and Structuring of Our Initial Business Combination” and such transaction was approved by a majority of our independent and disinterested directors. Despite our agreement to obtain an opinion from an independent investment banking firm or another independent entity that commonly renders valuation opinions regarding the fairness to our company from a financial point of view of a business combination with one or more domestic or international businesses affiliated with our sponsor, executive officers, directors or initial shareholders, potential conflicts of interest still may exist and, as a result, the terms of the business combination may not be as advantageous to our public shareholders as they would be absent any conflicts of interest.</w:t>
      </w:r>
    </w:p>
    <w:p>
      <w:pPr>
        <w:spacing w:after="0" w:line="29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Our management may not be able to maintain control of a target business after our initial business combination. Upon the loss of control of a target business, new management may not possess the skills, qualifications or abilities necessary to profitably operate such business.</w:t>
      </w:r>
    </w:p>
    <w:p>
      <w:pPr>
        <w:spacing w:after="0" w:line="16"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We may structure our initial business combination so that the post-business combination company in which our public shareholders own shares will own less than 100% of the equity interests or assets of a target business, but we will only complete such business combination if the post-business combination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post-business combination company owns 50% or more of the voting securities of the target, our shareholders prior to our initial business combination may collectively own a minority interest in the post-business combination company, depending on valuations ascribed to the target and us in the business combination. For example, we could pursue a transaction in which we issue a substantial number of new Class A ordinary shares in exchange for all of the outstanding shares, capital stock or other equity interests of a target. In this case, we would acquire a 100% interest in the target. However, as a result of the issuance of a substantial number of new Class A ordinary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29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76"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7"/>
          <w:szCs w:val="17"/>
          <w:color w:val="auto"/>
        </w:rPr>
        <w:t>On January 20, 2021, our sponsor paid $25,000, or approximately $0.003 per share, to cover certain expenses on our behalf in consideration of 7,187,500 Class B ordinary shares, par value $0.0001. Prior to the initial investment in the company of $25,000 by the sponsor, the company had no assets, tangible or intangible. The per share price of the founder shares was determined by dividing the amount contributed to the company by the number of founder shares issued. If we increase or decrease the size of this offering, we will effect a share capitalization or a share surrender or redemption or other appropriate mechanism, as applicable, with respect to our Class B ordinary shares immediately prior to the consummation of this offering in such amount as to maintain the number of founder shares, on an as-converted basis, at 20% of our issued and outstanding ordinary shares upon the consummation of this offering. The founder shares will be worthless if we do not complete an initial business combination. In addition, our sponsor has committed, pursuant to a written agreement, to purchase an aggregate of 8,000,000 private placement warrants (or 8,750,000 private placement warrants if the underwriters’ overallotment option is exercised in full), each exercisable to purchase one Class A ordinary share at $11.50 per share, subject to adjustment, at a price of $1.00 per warrant ($8,000,000 in the aggregate or $8,750,000 if the underwriters’ over-allotment option is exercised in full), in a private placement that will close simultaneously with the closing of this offering. If we do not consummate an initial business within 24 months (or 30 months, as applicable) from the closing of this offering, the private placement warrants will expire worthless.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(or 30 months, as applicable) anniversary of the closing of this offering nears, which is the deadline for our consummation of an initial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executive officers.</w:t>
      </w:r>
    </w:p>
    <w:p>
      <w:pPr>
        <w:spacing w:after="0" w:line="117"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(except to the extent they are entitled to funds from the trust account due to their ownership of public shares).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We are a recently incorporated company with no operating history and no revenues, and you have no basis on which to evaluate our ability to achieve our business objective.</w:t>
      </w:r>
    </w:p>
    <w:p>
      <w:pPr>
        <w:spacing w:after="0" w:line="6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a recently incorporated company, incorporated under the laws of the Cayman Islands with no operating results, and we will not commence operations until obtaining funding through this offering. Because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29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Past performance by our management team (including with respect to ACTC I), ArcLight and CAMS or their respective affiliates may not be indicative of future performance of an investment in us.</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Information regarding performance is presented for informational purposes only. Any past experience or performance of our management team (including with respect to ACTC I), ArcLight, CAMS or their respective affiliates is not a guarantee of either (i) our ability to successfully identify and execute a transaction or (ii) success with respect to any business combination that we may consummate. You should not rely on the historical record of our management team, ArcLight, CAMS or their respective affiliates as indicative of the future performance of an investment in us or the returns we will, or are likely to, generate going forward. Our management, ArcLight and CAMS have no experience in operating special purpose acquisition companies.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12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30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30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4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9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286"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3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5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w:t>
      </w:r>
    </w:p>
    <w:p>
      <w:pPr>
        <w:spacing w:after="0" w:line="2" w:lineRule="exact"/>
        <w:rPr>
          <w:sz w:val="20"/>
          <w:szCs w:val="20"/>
          <w:color w:val="auto"/>
        </w:rPr>
      </w:pPr>
    </w:p>
    <w:p>
      <w:pPr>
        <w:ind w:left="120" w:right="480" w:hanging="4"/>
        <w:spacing w:after="0" w:line="260" w:lineRule="auto"/>
        <w:tabs>
          <w:tab w:leader="none" w:pos="3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having service of process made upon such warrant holder in any such enforcement action by service upon such warrant holder’s counsel in the foreign action as agent for such warrant holder.</w:t>
      </w:r>
    </w:p>
    <w:p>
      <w:pPr>
        <w:spacing w:after="0" w:line="18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96"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6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84"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Our corporate affairs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Cayman Islands companies may not have standing to initiate a shareholders derivative action in a Federal court of the United States.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9"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investment in this offering may result in uncertain or adverse U.S. federal income tax consequences.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Class A ordinary shares and the one-fifth of a warrant to purchase one Class A ordinary share included in each unit could be challenged by the IRS or courts. Furthermore, the U.S. federal income tax consequences of a cashless exercise of warrants included in the units we are issuing in this offering is unclear under current law. Finally, it is unclear whether the redemption rights with respect to our ordinary shares suspend the running of a U.S. Holder’s (as defined below in “Taxation — United States Federal Income Tax Considerations — General”) holding period for purposes of determining whether any gain or loss realized by such holder on the sale or exchange of Class A ordinary shares is long-term capital gain or loss and for determining whether any dividend we pay would be considered “qualified dividends” for U.S. federal income tax purposes. See the section titled “Taxation — United States Federal Income Tax Considerations” for a summary of the U.S. federal income tax considerations of an investment in our securities. Prospective investors are urged to consult their tax advisors with respect to these and other tax consequences when purchasing, holding or disposing of our securities.</w:t>
      </w:r>
    </w:p>
    <w:p>
      <w:pPr>
        <w:spacing w:after="0" w:line="290" w:lineRule="exact"/>
        <w:rPr>
          <w:sz w:val="20"/>
          <w:szCs w:val="20"/>
          <w:color w:val="auto"/>
        </w:rPr>
      </w:pPr>
    </w:p>
    <w:p>
      <w:pPr>
        <w:jc w:val="both"/>
        <w:ind w:left="120" w:right="400"/>
        <w:spacing w:after="0" w:line="340" w:lineRule="auto"/>
        <w:rPr>
          <w:sz w:val="20"/>
          <w:szCs w:val="20"/>
          <w:color w:val="auto"/>
        </w:rPr>
      </w:pPr>
      <w:r>
        <w:rPr>
          <w:rFonts w:ascii="Arial" w:cs="Arial" w:eastAsia="Arial" w:hAnsi="Arial"/>
          <w:sz w:val="15"/>
          <w:szCs w:val="15"/>
          <w:b w:val="1"/>
          <w:bCs w:val="1"/>
          <w:i w:val="1"/>
          <w:iCs w:val="1"/>
          <w:color w:val="auto"/>
        </w:rPr>
        <w:t>Since holders of our founder shares are the only shareholders of the company which will have the right to vote on the appointment of directors, prior to our initial business combination, upon the listing of our shares on NASDAQ, NASDAQ may consider us to be a “controlled company” within the meaning of NASDAQ rules and, as a result, we may qualify for exemptions from certain corporate governance requirements.</w:t>
      </w:r>
    </w:p>
    <w:p>
      <w:pPr>
        <w:spacing w:after="0" w:line="23"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After completion of this offering, holders of our founder shares are the only shareholders of the company which will have the right to vote on the appointment of directors prior to our initial business combination. As a result, NASDAQ may consider us to be a “controlled company” within the meaning of NASDAQ corporate governance standards. Under NASDAQ corporate governance standards, a company of which more than 50%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voting power is held by an individual, group or another company is a “controlled company” and may elect not to comply with certain corporate governance requirements, including the requirements that:</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a board that includes a majority of “independent directors,” as defined under the rules of NASDAQ;</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a compensation committee of our board that is comprised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of our board that is comprised entirely of independent directors with a written charter addressing the committee’s purpose and responsibilities.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 corporate governance requirements.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be a passive foreign investment company, or “PFIC,” which could result in adverse U.S. federal income tax consequences to U.S. investors.</w:t>
      </w:r>
    </w:p>
    <w:p>
      <w:pPr>
        <w:spacing w:after="0" w:line="15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we are a PFIC for any taxable year (or portion thereof) that is included in the holding period of a U.S. Holder (as defined in the section of this prospectus captioned “Taxation — United States Federal Income Tax Considerations — 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“Taxation — United States Federal Income Tax Considerations — U.S. Holders — 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tax advisors regarding the possible application of the PFIC rules. For a more detailed discussion of the tax consequences of PFIC classification to U.S. Holders, see the section of this prospectus captioned “Taxation — United States Federal Income Tax Considerations — U.S. Holders — Passive Foreign Investment Company Rules.”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121" w:lineRule="exact"/>
        <w:rPr>
          <w:sz w:val="20"/>
          <w:szCs w:val="20"/>
          <w:color w:val="auto"/>
        </w:rPr>
      </w:pPr>
    </w:p>
    <w:p>
      <w:pPr>
        <w:ind w:left="120" w:right="440"/>
        <w:spacing w:after="0" w:line="311" w:lineRule="auto"/>
        <w:rPr>
          <w:sz w:val="20"/>
          <w:szCs w:val="20"/>
          <w:color w:val="auto"/>
        </w:rPr>
      </w:pPr>
      <w:r>
        <w:rPr>
          <w:rFonts w:ascii="Arial" w:cs="Arial" w:eastAsia="Arial" w:hAnsi="Arial"/>
          <w:sz w:val="16"/>
          <w:szCs w:val="16"/>
          <w:b w:val="1"/>
          <w:bCs w:val="1"/>
          <w:i w:val="1"/>
          <w:i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4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7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corruption;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terrorist attacks, natural disasters and wars;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combination, our operations might suffer, either of which may adversely impact our business, financial condition and results of operations.</w:t>
      </w:r>
    </w:p>
    <w:p>
      <w:pPr>
        <w:spacing w:after="0" w:line="2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40"/>
          </w:cols>
          <w:pgMar w:left="320" w:top="459" w:right="5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b w:val="1"/>
          <w:bCs w:val="1"/>
          <w:i w:val="1"/>
          <w:iCs w:val="1"/>
          <w:color w:val="auto"/>
        </w:rPr>
        <w:t>After our initial business combination, substantially all of our assets may be located in a foreign country and substantially all of our revenue may be derived from our operations in any such country. Accordingly, our results of operations and prospects will be subject, to a significant extent, to the economic, political and social conditions and government policies, developments and conditions in the country in which we operate.</w:t>
      </w:r>
    </w:p>
    <w:p>
      <w:pPr>
        <w:spacing w:after="0" w:line="23"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Exchange rate fluctuations and currency policies may cause a target business’ ability to succeed in the international markets to be diminished.</w:t>
      </w:r>
    </w:p>
    <w:p>
      <w:pPr>
        <w:spacing w:after="0" w:line="140"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30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62"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26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62"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“anticipate,”“believe,”“continue,”“could,”“estimate,”“expect,”“intends,”“may,”“might,”“plan,”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consummate an initial business combination due to the uncertainty resulting from the recent COVID-19 pandemic;</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offering 25,000,000 units at an offering price of $10.00 per unit. We estimate that the net proceeds of this offering, together with the funds we will receive from the sale of the private placement warrants, will be used as set forth in the following table: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Without</w:t>
            </w:r>
          </w:p>
        </w:tc>
        <w:tc>
          <w:tcPr>
            <w:tcW w:w="26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Over-allotment</w:t>
            </w:r>
          </w:p>
        </w:tc>
        <w:tc>
          <w:tcPr>
            <w:tcW w:w="0" w:type="dxa"/>
            <w:vAlign w:val="bottom"/>
          </w:tcPr>
          <w:p>
            <w:pPr>
              <w:spacing w:after="0"/>
              <w:rPr>
                <w:sz w:val="1"/>
                <w:szCs w:val="1"/>
                <w:color w:val="auto"/>
              </w:rPr>
            </w:pPr>
          </w:p>
        </w:tc>
      </w:tr>
      <w:tr>
        <w:trPr>
          <w:trHeight w:val="148"/>
        </w:trPr>
        <w:tc>
          <w:tcPr>
            <w:tcW w:w="6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proceeds</w:t>
            </w:r>
          </w:p>
        </w:tc>
        <w:tc>
          <w:tcPr>
            <w:tcW w:w="300" w:type="dxa"/>
            <w:vAlign w:val="bottom"/>
          </w:tcPr>
          <w:p>
            <w:pPr>
              <w:spacing w:after="0"/>
              <w:rPr>
                <w:sz w:val="12"/>
                <w:szCs w:val="12"/>
                <w:color w:val="auto"/>
              </w:rPr>
            </w:pPr>
          </w:p>
        </w:tc>
        <w:tc>
          <w:tcPr>
            <w:tcW w:w="14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Over-allotment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58"/>
        </w:trPr>
        <w:tc>
          <w:tcPr>
            <w:tcW w:w="61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7"/>
              </w:rPr>
              <w:t>Option</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15"/>
                <w:szCs w:val="15"/>
                <w:color w:val="auto"/>
              </w:rPr>
              <w:t>(1)</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250,000,000</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287,500,000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w w:val="93"/>
              </w:rPr>
              <w:t>Gross proceeds from private placement warrants offered in the private placement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8,000,000</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8,750,000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proceeds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258,000,000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296,250,000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Estimated offering expenses</w:t>
            </w:r>
            <w:r>
              <w:rPr>
                <w:rFonts w:ascii="Arial" w:cs="Arial" w:eastAsia="Arial" w:hAnsi="Arial"/>
                <w:sz w:val="15"/>
                <w:szCs w:val="15"/>
                <w:b w:val="1"/>
                <w:bCs w:val="1"/>
                <w:color w:val="auto"/>
              </w:rPr>
              <w:t>(2)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Underwriting commissions (2.0% of gross proceeds from units offered to public,</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excluding deferred portion)</w:t>
            </w:r>
            <w:r>
              <w:rPr>
                <w:rFonts w:ascii="Arial" w:cs="Arial" w:eastAsia="Arial" w:hAnsi="Arial"/>
                <w:sz w:val="15"/>
                <w:szCs w:val="15"/>
                <w:color w:val="auto"/>
              </w:rPr>
              <w:t>(3)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4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NASDAQ listing and filing fees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85,000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&amp; Officer liability insurance premiums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129,268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estimated offering expenses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3"/>
          </w:tcPr>
          <w:p>
            <w:pPr>
              <w:spacing w:after="0"/>
              <w:rPr>
                <w:sz w:val="20"/>
                <w:szCs w:val="20"/>
                <w:color w:val="auto"/>
              </w:rPr>
            </w:pPr>
            <w:r>
              <w:rPr>
                <w:rFonts w:ascii="Arial" w:cs="Arial" w:eastAsia="Arial" w:hAnsi="Arial"/>
                <w:sz w:val="18"/>
                <w:szCs w:val="18"/>
                <w:color w:val="auto"/>
              </w:rPr>
              <w:t>Proceeds after estimated reimbursed offering expenses</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251,550,000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289,050,000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15"/>
                <w:szCs w:val="15"/>
                <w:color w:val="auto"/>
              </w:rPr>
              <w:t>(3)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250,000,000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287,500,000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 of public offering size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held in trust account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use of the estimated $1,550,000 of net proceeds not held in the trust account.(4)(5)</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6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Legal, accounting, due diligence, travel, and other expenses in connection with any</w:t>
            </w:r>
          </w:p>
        </w:tc>
        <w:tc>
          <w:tcPr>
            <w:tcW w:w="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combination</w:t>
            </w:r>
            <w:r>
              <w:rPr>
                <w:rFonts w:ascii="Arial" w:cs="Arial" w:eastAsia="Arial" w:hAnsi="Arial"/>
                <w:sz w:val="15"/>
                <w:szCs w:val="15"/>
                <w:color w:val="auto"/>
              </w:rPr>
              <w:t>(6)</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395,000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100,000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Payment for office space, administrative and support services</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240,000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NASDAQ continued listing fees</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165,000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to cover miscellaneous expenses and reserves</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650,000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642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1,550,000</w:t>
            </w:r>
          </w:p>
        </w:tc>
        <w:tc>
          <w:tcPr>
            <w:tcW w:w="20" w:type="dxa"/>
            <w:vAlign w:val="bottom"/>
            <w:tcBorders>
              <w:bottom w:val="single" w:sz="8" w:color="auto"/>
            </w:tcBorders>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300" w:hanging="424"/>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amounts payable to public shareholders who properly redeem their shares in connection with our successful completion of our initial business combination.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59" w:right="5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hanging="424"/>
        <w:spacing w:after="0" w:line="253"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portion of the offering expenses will be paid from the proceeds of loans from our sponsor of up to $300,000 as described in this prospectus. To date, we have not borrowed any amount under the promissory note with our sponsor. These amounts will be repaid upon completion of this offering out of the offering proceeds that has been allocated for the payment of offering expenses (other than underwriting commissions) and not to be held in the trust account.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underwriters have agreed to defer underwriting commissions of 3.5% of the gross proceeds of this offering. Upon and concurrently with the completion of our initial business combination, $8,750,000, which constitutes the underwriters’ deferred commissions (or $10,062,500 if the underwriters’ overallotment option is exercised in full) will be paid to the underwriters from the funds held in the trust account. See “Underwriting.” The remaining funds,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3"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0.2% per year, we estimate the interest earned on the trust account will be approximately $500,000 per year; however, we can provide no assurances regarding this amount.</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w:t>
      </w:r>
    </w:p>
    <w:p>
      <w:pPr>
        <w:spacing w:after="0" w:line="9" w:lineRule="exact"/>
        <w:rPr>
          <w:rFonts w:ascii="Arial" w:cs="Arial" w:eastAsia="Arial" w:hAnsi="Arial"/>
          <w:sz w:val="18"/>
          <w:szCs w:val="18"/>
          <w:color w:val="auto"/>
        </w:rPr>
      </w:pPr>
    </w:p>
    <w:p>
      <w:pPr>
        <w:ind w:left="540" w:right="760" w:hanging="424"/>
        <w:spacing w:after="0" w:line="26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estimated amounts that may also be used in connection with our initial business combination to fund a “no shop” provision and commitment fees for financing.</w:t>
      </w:r>
    </w:p>
    <w:p>
      <w:pPr>
        <w:spacing w:after="0" w:line="18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Of the $258,000,000 in proceeds we receive from this offering and the sale of the private placement warrants described in this prospectus, or $296,250,000 if the underwriters’ over-allotment option is exercised in full, $242,800,000 ($10.00 per unit), or $278,987,500 if the underwriters’ over-allotment option is exercised in full ($10.00 per unit), will be deposited into a trust account with Continental Stock Transfer &amp; Trust Company acting as trustee, including $8,750,000, or up to $10,062,500 if the underwriters’ over-allotment option is exercised in full, in deferred underwriting compensation. We will not be permitted to withdraw any of the principal or interest held in the trust account, except with respect to interest earned on the funds held in the trust account that may be released to us to pay our income taxes, if any, until the earliest of (i) the completion of our initial business combination, (ii) the redemption of our public shares if we have not consummated an initial business combination within 24 months (or 30 months, as applicable) from the closing of this offering, subject to applicable law, or (iii) the redemption of our public shares properly submitted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public shares if we do not complete our initial business combination within 24 months (or 30 months, as applicable) from the closing of this offering or</w:t>
      </w:r>
    </w:p>
    <w:p>
      <w:pPr>
        <w:spacing w:after="0" w:line="46" w:lineRule="exact"/>
        <w:rPr>
          <w:sz w:val="20"/>
          <w:szCs w:val="20"/>
          <w:color w:val="auto"/>
        </w:rPr>
      </w:pPr>
    </w:p>
    <w:p>
      <w:pPr>
        <w:ind w:left="120" w:right="320" w:hanging="4"/>
        <w:spacing w:after="0" w:line="260" w:lineRule="auto"/>
        <w:tabs>
          <w:tab w:leader="none" w:pos="4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any other provision relating to the rights of holders of our Class A ordinary shares. Based on current interest rates, we expect that interest income earned on the trust account (if any) will be sufficient to pay our income taxes.</w:t>
      </w:r>
    </w:p>
    <w:p>
      <w:pPr>
        <w:spacing w:after="0" w:line="18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that amounts not held in trust, together with funds available to us from loans from our sponsor, its affiliates or members of our management team will be sufficient to pay the costs and expenses to which such proceeds are allocated.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or an affiliate of our sponsor or certain of our officers and directors although they are under no obligation to advance funds to us in such circumstances.</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will reimburse an affiliate of our sponsor for office space, secretarial and administrative services provided to members of our management team, in the amount of $10,000 per month. Upon completion of our initial business combination or our liquidation, we will cease paying these monthly fees.</w:t>
      </w:r>
    </w:p>
    <w:p>
      <w:pPr>
        <w:spacing w:after="0" w:line="184"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Prior to the closing of this offering, our sponsor has agreed to loan us up to $300,000 to be used for a portion of the expenses of this offering. To date, we have not borrowed any amount under the promissory note with our sponsor. These loans are non-interest bearing, unsecured and are due at the earlier of June 30, 2021 and the closing of this offering. The loan will be repaid upon the closing of this offering out of the offering proceeds not held in the trust account.</w:t>
      </w:r>
    </w:p>
    <w:p>
      <w:pPr>
        <w:spacing w:after="0" w:line="18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may repay such loaned amounts out of the proceeds of the trust account released to us. Otherwise, such loans may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of the post-business combination entity at a price of $1.00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its affiliates or any members of our management team as we do not believe third parties will be willing to loan such funds and provide a waiver against any and all rights to seek access to funds in our trust account.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upon the consummation of this offering. Further, if we incur any indebtedness in connection with a business combination, our ability to declare dividends may be limited by restrictive covenants we may agree to in connection therewith.</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9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At January 20, 2021, our net tangible book deficit was $(26,153), or approximately $(0.00) per ordinary share. After giving effect to the sale of 25,000,000 Class A ordinary shares included in the units we are offering by this prospectus (or 28,750,000 Class A ordinary shares if the underwriters’ over-allotment option is exercised in full), the sale of the private placement warrants and the deduction of underwriting commissions and estimated expenses of this offering, our pro forma net tangible book value at January 20, 2021 would have been $5,000,007 or $0.67 per share (or $5,000,007 or $0.59 per share if the underwriters’ over-allotment option is exercised in full), representing an immediate increase in net tangible book value (as decreased by the value of 23,781,584 Class A ordinary shares that may be redeemed for cash, or 27,400,334 Class A ordinary shares if the underwriters’ overallotment option is exercised in full) of $0.67 per share (or $0.59 per share if the underwriters’ over-allotment option is exercised in full) to our sponsor as of the date of this prospectus. Total dilution to public shareholders from this offering will be $9.33 per share (or $9.41 per share if the underwriters’ over-allotment option is exercised in full).</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illustrates the dilution to the public shareholders on a per-share basis, assuming no value is attributed to the warrants included in the units or the private placement warrants: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Without</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With</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9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Over-allotment</w:t>
            </w:r>
          </w:p>
        </w:tc>
        <w:tc>
          <w:tcPr>
            <w:tcW w:w="16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4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920" w:type="dxa"/>
            <w:vAlign w:val="bottom"/>
            <w:gridSpan w:val="2"/>
          </w:tcPr>
          <w:p>
            <w:pPr>
              <w:jc w:val="right"/>
              <w:ind w:right="348"/>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Increase attributable to public shareholders</w:t>
            </w:r>
          </w:p>
        </w:tc>
        <w:tc>
          <w:tcPr>
            <w:tcW w:w="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gridSpan w:val="2"/>
          </w:tcPr>
          <w:p>
            <w:pPr>
              <w:spacing w:after="0"/>
              <w:rPr>
                <w:sz w:val="20"/>
                <w:szCs w:val="20"/>
                <w:color w:val="auto"/>
              </w:rPr>
            </w:pPr>
            <w:r>
              <w:rPr>
                <w:rFonts w:ascii="Arial" w:cs="Arial" w:eastAsia="Arial" w:hAnsi="Arial"/>
                <w:sz w:val="18"/>
                <w:szCs w:val="18"/>
                <w:color w:val="auto"/>
              </w:rPr>
              <w:t>Pro forma net tangible book value after this offering and the sale of the private</w:t>
            </w:r>
          </w:p>
        </w:tc>
        <w:tc>
          <w:tcPr>
            <w:tcW w:w="4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placement warrants</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0.67</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Dilution to public shareholders</w:t>
            </w:r>
          </w:p>
        </w:tc>
        <w:tc>
          <w:tcPr>
            <w:tcW w:w="9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Percentage of dilution to public shareholders</w:t>
            </w: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93.3%</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over-allotment option) by $237,815,840 because holders of up to approximately 95.1%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shareholders meeting, including interest earned on the funds held in the trust account (which interest shall be net of taxes payable)), divided by the number of Class A ordinary shares sold in this offering.</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with respect to our initial shareholders and the public shareholders:</w:t>
      </w:r>
    </w:p>
    <w:p>
      <w:pPr>
        <w:spacing w:after="0" w:line="200" w:lineRule="exact"/>
        <w:rPr>
          <w:sz w:val="20"/>
          <w:szCs w:val="20"/>
          <w:color w:val="auto"/>
        </w:rPr>
      </w:pPr>
    </w:p>
    <w:p>
      <w:pPr>
        <w:spacing w:after="0" w:line="3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180" w:type="dxa"/>
            <w:vAlign w:val="bottom"/>
            <w:gridSpan w:val="2"/>
            <w:vMerge w:val="restart"/>
          </w:tcPr>
          <w:p>
            <w:pPr>
              <w:jc w:val="center"/>
              <w:ind w:left="417"/>
              <w:spacing w:after="0"/>
              <w:rPr>
                <w:sz w:val="20"/>
                <w:szCs w:val="20"/>
                <w:color w:val="auto"/>
              </w:rPr>
            </w:pPr>
            <w:r>
              <w:rPr>
                <w:rFonts w:ascii="Arial" w:cs="Arial" w:eastAsia="Arial" w:hAnsi="Arial"/>
                <w:sz w:val="14"/>
                <w:szCs w:val="14"/>
                <w:b w:val="1"/>
                <w:bCs w:val="1"/>
                <w:color w:val="auto"/>
                <w:w w:val="89"/>
              </w:rPr>
              <w:t>Purchased</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60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Number Percentage</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Amount Percentage</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Initial Shareholders</w:t>
            </w:r>
            <w:r>
              <w:rPr>
                <w:rFonts w:ascii="Arial" w:cs="Arial" w:eastAsia="Arial" w:hAnsi="Arial"/>
                <w:sz w:val="15"/>
                <w:szCs w:val="15"/>
                <w:color w:val="auto"/>
              </w:rPr>
              <w:t>(1)</w:t>
            </w:r>
          </w:p>
        </w:tc>
        <w:tc>
          <w:tcPr>
            <w:tcW w:w="11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6,250,000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Public Shareholders</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25,000,000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80.00%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250,000,000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99.99%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31,250,000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250,025,000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200" w:hanging="424"/>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Assumes that 937,500 founder shares are surrendered to us for no consideration after the closing of this offering in the event the underwriters do not exercise their over-allotment option.</w:t>
      </w:r>
    </w:p>
    <w:p>
      <w:pPr>
        <w:spacing w:after="0" w:line="170"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pro forma net tangible book value per share after the offering (assuming that the underwriters do not exercise their over-allotment option) is calculated as follows: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Without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9"/>
              </w:rPr>
              <w:t>Over-allotment</w:t>
            </w:r>
          </w:p>
        </w:tc>
        <w:tc>
          <w:tcPr>
            <w:tcW w:w="34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Over-allotment</w:t>
            </w: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(26,153)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(26,153)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6"/>
              </w:rPr>
              <w:t>Net proceeds from this offering and sale of the private placement warrants</w:t>
            </w:r>
            <w:r>
              <w:rPr>
                <w:rFonts w:ascii="Arial" w:cs="Arial" w:eastAsia="Arial" w:hAnsi="Arial"/>
                <w:sz w:val="15"/>
                <w:szCs w:val="15"/>
                <w:color w:val="auto"/>
                <w:w w:val="96"/>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251,550,000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289,050,000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00" w:type="dxa"/>
            <w:vAlign w:val="bottom"/>
          </w:tcPr>
          <w:p>
            <w:pPr>
              <w:spacing w:after="0" w:line="201" w:lineRule="exact"/>
              <w:rPr>
                <w:sz w:val="20"/>
                <w:szCs w:val="20"/>
                <w:color w:val="auto"/>
              </w:rPr>
            </w:pPr>
            <w:r>
              <w:rPr>
                <w:rFonts w:ascii="Arial" w:cs="Arial" w:eastAsia="Arial" w:hAnsi="Arial"/>
                <w:sz w:val="18"/>
                <w:szCs w:val="18"/>
                <w:color w:val="auto"/>
              </w:rPr>
              <w:t>Plus: Offering costs paid in advance, excluded from tangible book value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before this offering</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42,000</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(8,750,000)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(10,062,500)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15"/>
                <w:szCs w:val="15"/>
                <w:color w:val="auto"/>
              </w:rPr>
              <w:t>(2)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(237,815,840)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(274,003,340)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5,000,007</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outstanding prior to this offering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7,187,500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Ordinary shares forfeited if over-allotment is not exercised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(937,500)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included in the units offered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Less: Ordinary shares subject to redemption</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(23,781,584)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(27,400,334)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7,468,416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40" w:hanging="424"/>
        <w:spacing w:after="0" w:line="291"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Expenses applied against gross proceeds include non-reimbursed offering expenses of $1,450,000 and underwriting commissions of $5,000,000 or $5,750,000 if the underwriters exercise their over-allotment option (excluding deferred underwriting fees). See “Use of Proceeds.”</w:t>
      </w:r>
    </w:p>
    <w:p>
      <w:pPr>
        <w:ind w:left="540" w:right="40" w:hanging="424"/>
        <w:spacing w:after="0" w:line="269"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“Proposed Business Effecting Our Initial Business Combination — Effecting Our Initial Business Combination — Permitted Purchases and Other Transactions with Respect to Our Securities.”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our capitalization at January 20, 2021, and as adjusted to give effect to the filing of our amended and restated memorandum and articles of association, the sale of our units in this offering and the private placement warrants and the application of the estimated net proceeds derived from the sale of such securities: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January 20, 2021</w:t>
            </w:r>
          </w:p>
        </w:tc>
      </w:tr>
      <w:tr>
        <w:trPr>
          <w:trHeight w:val="142"/>
        </w:trPr>
        <w:tc>
          <w:tcPr>
            <w:tcW w:w="6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 (1)</w:t>
            </w:r>
          </w:p>
        </w:tc>
        <w:tc>
          <w:tcPr>
            <w:tcW w:w="120" w:type="dxa"/>
            <w:vAlign w:val="bottom"/>
          </w:tcPr>
          <w:p>
            <w:pPr>
              <w:spacing w:after="0"/>
              <w:rPr>
                <w:sz w:val="12"/>
                <w:szCs w:val="12"/>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15"/>
                <w:szCs w:val="15"/>
                <w:color w:val="auto"/>
              </w:rPr>
              <w:t>(2)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Pr>
          <w:p>
            <w:pPr>
              <w:spacing w:after="0"/>
              <w:rPr>
                <w:sz w:val="19"/>
                <w:szCs w:val="19"/>
                <w:color w:val="auto"/>
              </w:rPr>
            </w:pPr>
          </w:p>
        </w:tc>
        <w:tc>
          <w:tcPr>
            <w:tcW w:w="7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8,750,000</w:t>
            </w:r>
          </w:p>
        </w:tc>
      </w:tr>
      <w:tr>
        <w:trPr>
          <w:trHeight w:val="202"/>
        </w:trPr>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Class A ordinary shares, $0.0001 par value, 500,000,000 shares authorized; -0-</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23,781,584 shares are subject to possible redemption, actual and as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respectively</w:t>
            </w:r>
            <w:r>
              <w:rPr>
                <w:rFonts w:ascii="Arial" w:cs="Arial" w:eastAsia="Arial" w:hAnsi="Arial"/>
                <w:sz w:val="15"/>
                <w:szCs w:val="15"/>
                <w:color w:val="auto"/>
              </w:rPr>
              <w:t>(3)</w:t>
            </w: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237,815,840</w:t>
            </w:r>
          </w:p>
        </w:tc>
      </w:tr>
      <w:tr>
        <w:trPr>
          <w:trHeight w:val="202"/>
        </w:trPr>
        <w:tc>
          <w:tcPr>
            <w:tcW w:w="6100" w:type="dxa"/>
            <w:vAlign w:val="bottom"/>
          </w:tcPr>
          <w:p>
            <w:pPr>
              <w:spacing w:after="0" w:line="201" w:lineRule="exact"/>
              <w:rPr>
                <w:sz w:val="20"/>
                <w:szCs w:val="20"/>
                <w:color w:val="auto"/>
              </w:rPr>
            </w:pPr>
            <w:r>
              <w:rPr>
                <w:rFonts w:ascii="Arial" w:cs="Arial" w:eastAsia="Arial" w:hAnsi="Arial"/>
                <w:sz w:val="18"/>
                <w:szCs w:val="18"/>
                <w:color w:val="auto"/>
              </w:rPr>
              <w:t>Preference shares, $0.0001 par value; 5,000,000 shares authorized; none</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issued and outstanding, actual and as adjusted</w:t>
            </w:r>
          </w:p>
        </w:tc>
        <w:tc>
          <w:tcPr>
            <w:tcW w:w="100" w:type="dxa"/>
            <w:vAlign w:val="bottom"/>
          </w:tcPr>
          <w:p>
            <w:pPr>
              <w:spacing w:after="0"/>
              <w:rPr>
                <w:sz w:val="20"/>
                <w:szCs w:val="20"/>
                <w:color w:val="auto"/>
              </w:rPr>
            </w:pPr>
          </w:p>
        </w:tc>
        <w:tc>
          <w:tcPr>
            <w:tcW w:w="7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02"/>
        </w:trPr>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Class A ordinary shares, $0.0001 par value, 500,000,000 shares authorized; -0-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and 1,218,416 shares issued and outstanding (excluding -0- and 23,781,584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shares subject to possible redemption), actual and as adjusted, respectively</w:t>
            </w: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r>
      <w:tr>
        <w:trPr>
          <w:trHeight w:val="202"/>
        </w:trPr>
        <w:tc>
          <w:tcPr>
            <w:tcW w:w="6100" w:type="dxa"/>
            <w:vAlign w:val="bottom"/>
          </w:tcPr>
          <w:p>
            <w:pPr>
              <w:spacing w:after="0" w:line="201" w:lineRule="exact"/>
              <w:rPr>
                <w:sz w:val="20"/>
                <w:szCs w:val="20"/>
                <w:color w:val="auto"/>
              </w:rPr>
            </w:pPr>
            <w:r>
              <w:rPr>
                <w:rFonts w:ascii="Arial" w:cs="Arial" w:eastAsia="Arial" w:hAnsi="Arial"/>
                <w:sz w:val="18"/>
                <w:szCs w:val="18"/>
                <w:color w:val="auto"/>
              </w:rPr>
              <w:t>Class B ordinary shares, $0.0001 par value, 50,000,000 shares authorized,</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7,187,500 and 6,250,000 shares issued and outstanding, actual and as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adjusted, respectively</w:t>
            </w:r>
          </w:p>
        </w:tc>
        <w:tc>
          <w:tcPr>
            <w:tcW w:w="100" w:type="dxa"/>
            <w:vAlign w:val="bottom"/>
          </w:tcPr>
          <w:p>
            <w:pPr>
              <w:spacing w:after="0"/>
              <w:rPr>
                <w:sz w:val="20"/>
                <w:szCs w:val="20"/>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w w:val="93"/>
              </w:rPr>
              <w:t>719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24,281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5,008,413</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(9,153)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(9,153)</w:t>
            </w:r>
          </w:p>
        </w:tc>
      </w:tr>
      <w:tr>
        <w:trPr>
          <w:trHeight w:val="27"/>
        </w:trPr>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15,847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5,000,007</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15,847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251,565,847</w:t>
            </w:r>
          </w:p>
        </w:tc>
        <w:tc>
          <w:tcPr>
            <w:tcW w:w="12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140" w:hanging="424"/>
        <w:spacing w:after="0" w:line="258"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 and the corresponding forfeiture of 937,500 Class B ordinary shares held by our sponsor.</w:t>
      </w:r>
    </w:p>
    <w:p>
      <w:pPr>
        <w:spacing w:after="0" w:line="1" w:lineRule="exact"/>
        <w:rPr>
          <w:rFonts w:ascii="Arial" w:cs="Arial" w:eastAsia="Arial" w:hAnsi="Arial"/>
          <w:sz w:val="18"/>
          <w:szCs w:val="18"/>
          <w:color w:val="auto"/>
        </w:rPr>
      </w:pPr>
    </w:p>
    <w:p>
      <w:pPr>
        <w:ind w:left="540" w:right="340" w:hanging="424"/>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sponsor has agreed to loan us up to $300,000 to be used for a portion of the expenses of this offering. To date, we have not borrowed any amount under the promissory note with our sponsor.</w:t>
      </w:r>
    </w:p>
    <w:p>
      <w:pPr>
        <w:ind w:left="540" w:right="80" w:hanging="424"/>
        <w:spacing w:after="0" w:line="270"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Upon the completion of our initial business combination, we will provide our public shareholders with the opportunity to redeem their public shares for cash at a per share price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whereby redemptions cannot cause our net tangible assets to be less than $5,000,001 and any limitations (including, but not limited to, cash requirements) created by the terms of the proposed business combination.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a blank check company incorporated on January 13, 2021 as a Cayman Islands exempted company for the purpose of effecting a merger, share exchange, asset acquisition, share purchase, reorganization or similar business combination with one or more businesses or entities.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 or other sources.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issuance of additional shares in a business combination:</w:t>
      </w:r>
    </w:p>
    <w:p>
      <w:pPr>
        <w:spacing w:after="0" w:line="131" w:lineRule="exact"/>
        <w:rPr>
          <w:sz w:val="20"/>
          <w:szCs w:val="20"/>
          <w:color w:val="auto"/>
        </w:rPr>
      </w:pPr>
    </w:p>
    <w:p>
      <w:pPr>
        <w:ind w:left="1080" w:right="12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Similarly, if we issue debt or otherwise incur significant debt, it could result in:</w:t>
      </w:r>
    </w:p>
    <w:p>
      <w:pPr>
        <w:spacing w:after="0" w:line="131" w:lineRule="exact"/>
        <w:rPr>
          <w:sz w:val="20"/>
          <w:szCs w:val="20"/>
          <w:color w:val="auto"/>
        </w:rPr>
      </w:pPr>
    </w:p>
    <w:p>
      <w:pPr>
        <w:ind w:left="1080" w:right="50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1080" w:right="660" w:hanging="424"/>
        <w:spacing w:after="0" w:line="34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24"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As indicated in the accompanying financial statements, as of January 20, 2021, we had no cash, a prepaid expense of approximately $16,000, and deferred offering costs of $42,000. Further, we expect to incur significant costs in the pursuit of our initial business combination. We cannot assure you that our plans to raise capital or to complete our initial business combination will be successful.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As indicated in the accompanying financial statements, as of January 20, 2021, we had a working capital deficiency of approximately $26,000. Further, we have incurred and expect to continue to incur significant costs in pursuit of our financing and acquisition plans. Management’s plans to address this uncertainty through this offering are discussed below. We cannot assure you that our plans to raise capital or to consummate an initial business combination will be successful. These factors, among others, raise substantial doubt about our ability to continue as a going concern.</w:t>
      </w:r>
    </w:p>
    <w:p>
      <w:pPr>
        <w:spacing w:after="0" w:line="157" w:lineRule="exact"/>
        <w:rPr>
          <w:sz w:val="20"/>
          <w:szCs w:val="20"/>
          <w:color w:val="auto"/>
        </w:rPr>
      </w:pPr>
    </w:p>
    <w:p>
      <w:pPr>
        <w:ind w:left="120" w:right="160" w:firstLine="440"/>
        <w:spacing w:after="0" w:line="287" w:lineRule="auto"/>
        <w:rPr>
          <w:sz w:val="20"/>
          <w:szCs w:val="20"/>
          <w:color w:val="auto"/>
        </w:rPr>
      </w:pPr>
      <w:r>
        <w:rPr>
          <w:rFonts w:ascii="Arial" w:cs="Arial" w:eastAsia="Arial" w:hAnsi="Arial"/>
          <w:sz w:val="16"/>
          <w:szCs w:val="16"/>
          <w:color w:val="auto"/>
        </w:rPr>
        <w:t>Our liquidity needs have been satisfied prior to the completion of this offering through (i) $25,000 paid by our sponsor to cover certain of our expenses in exchange for the issuance of the founder shares to our sponsor and (ii) the receipt of loans to us of up to $300,000 by our sponsor under an unsecured promissory note. To date, we have not borrowed any amount under the unsecured promissory note. We estimate that the net proceeds from</w:t>
      </w:r>
    </w:p>
    <w:p>
      <w:pPr>
        <w:spacing w:after="0" w:line="2"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(i) the sale of the units in this offering, after deducting estimated non-reimbursed offering expenses of $1,450,000, underwriting commissions of $5,000,000, or $5,750,000 if the underwriters’ overallotment option is exercised in full (excluding deferred underwriting commissions of $8,750,000, or $10,062,500 if the underwriters’ overallotment option is exercised in full), and (ii) the sale of the private placement warrants for a purchase price of $8,000,000 (or $8,750,000 if the underwriters’ over-allotment option is exercised in full) will be $242,800,000 (or $278,987,500 if the underwriters’ over-allotment option is exercised in full). Of this amount, $241,250,000 (or $277,437,500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$1,550,000 will not be held in the trust account. In the event that our offering expenses exceed our estimate of $1,450,000, we may fund such excess with funds not to be held in the trust account. In such case, the amount of funds we intend to be held outside the trust account would decrease by a corresponding amount. Conversely, in the event that the offering expenses are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less than our estimate of $1,450,000, the amount of funds we intend to be held outside the trust account would increase by a corresponding amount.</w:t>
      </w:r>
    </w:p>
    <w:p>
      <w:pPr>
        <w:spacing w:after="0" w:line="24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(less taxes payable and deferred underwriting commissions), to complete our initial business combination. We may withdraw interest income (if any) to pay income taxes, if any. Our annual income tax obligations will depend on the amount of interest and other income earned on the amounts held in the trust account. We expect the interest income earned on the amount in the trust account (if any)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9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Prior to the completion of our initial business combination, we will have available to us the $1,550,000 of proceeds held outside the trust account, as well as certain funds from loans from our sponsor, its affiliates or members of our management team.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prior to our initial business combination, other than funds available from loans from our sponsor, its affiliates or members of our management team.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may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of the post-business combination entity at a price of $1.00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its affiliates or our management team as we do not believe third parties will be willing to loan such funds and provide a waiver against any and all rights to seek access to funds in our trust account.</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expect our primary liquidity requirements during that period to include approximately $395,000 for legal, accounting, due diligence, travel and other expenses associated with structuring, negotiating and documenting successful business combinations; $100,000 for legal and accounting fees related to regulatory reporting obligations; $240,000 for office space, administrative and support services; $165,000 for NASDAQ continued listing fees; and $100,000 for general working capital that will be used for miscellaneous expenses and reserves.</w:t>
      </w:r>
    </w:p>
    <w:p>
      <w:pPr>
        <w:spacing w:after="0" w:line="17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5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have not consummated our initial business combination within the required time period because we do not have sufficient funds available to us, we will be forced to cease operations and liquidate the trust account.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Controls and Procedures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Prior to the closing of this offering, we have not completed an assessment, nor have our auditors tested our systems, of our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67"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25"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5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of the Sarbanes-Oxley Act.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independent auditors may identify additional issues concerning a target business’s internal controls while performing their audit of internal control over financial reporting.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of January 20, 2021,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92"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principal executive officer’s compensation to median employee compensation. These exemptions will apply for a period of five years following the completion of our initial public offering or until we are no longer an “emerging growth company,” whichever is earlier.</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60"/>
          </w:cols>
          <w:pgMar w:left="320" w:top="459"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PROPOSED BUSINESS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ArcLight Clean Transition Corp. II is a blank check company newly incorporated as a Cayman Islands exempted entity for the purpose of effecting a merger, share exchange, asset acquisition, share purchase, reorganization or similar business combination with one or more businesses or entities, which we refer to throughout this prospectus as our initial business combination. We have not selected any business combination targets and we have not, nor has anyone on our behalf, initiated any substantive discussions, directly or indirectly, with any business combination targets.</w:t>
      </w:r>
    </w:p>
    <w:p>
      <w:pPr>
        <w:spacing w:after="0" w:line="15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intend to pursue opportunities created by the accelerating transition toward sustainable use of energy and natural resources. The renewable energy sector has emerged from a niche source of electricity to be the key driver of growth in the industry, with an estimated $1.5 trillion invested globally between 2015 through 2019 according to IEA. Our sponsor has been a leader in identifying this trend and making investments in the renewable energy sector. Our primary areas of focus include products, equipment, services and technologies enabling the continued decarbonization of the economy. We plan to target companies that serve rapidly growing segments in the clean energy ecosystem, including renewable power generation, energy storage, the distributed electrical grid, zero-emission transportation, renewable fuels, carbon capture, utilization and storage, zero/low-carbon industrial applications and sustainable manufacturing. We believe that market leaders within these high-impact segments can deliver superior long-term returns to equity investors.</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sponsor is an affiliate of ArcLight Capital Partners, LLC (“ArcLight”), one of the leading firms focused on energy infrastructure investments in North America. Since inception, ArcLight has been at the forefront of the energy transition, investing $23 billion in 111 platform investments across the energy infrastructure landscape, including approximately 5 gigawatts of renewable generation as well as critical assets within the U.S. electric grid. ArcLight has also extensive exposure to the transportation sector through its investments in multiple fuel supply and logistics companies. ArcLight’s joint venture and transaction counterparties range from some of the largest global corporations to privately-held, entrepreneur-led businesses. We expect that ArcLight’s long-standing operational partner, Consolidated Asset Management Services, LLC (“CAMS”), which is minority-owned by an affiliate of ArcLight and which has a 12 year working relationship with ArcLight, will bring to bear its experience in providing information technology, environmental health and safety, engineering, due diligence and general operating services to the renewable energy sector, as well as its relationships with an extensive network of equipment, services and software providers.</w:t>
      </w:r>
    </w:p>
    <w:p>
      <w:pPr>
        <w:spacing w:after="0" w:line="18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are confident that our sponsor’s extensive track record, established investment team, broad industry relationships and deal-making capabilities give us a distinct advantage to capitalize on the long-term opportunities created by the ongoing transition toward a clean energy economy.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believe that the inexorable global economic transition toward the sustainable use of energy and natural resources presents significant, attractive investment opportunities within existing and emerging industries. Between 2009 and 2019, global non-hydro renewables generation capacity grew by over 1,000 GW, increasing its share of power generation from approximately 3% to approximately 10% according to BP. We believe that over the coming decades the pace and scope of investments will continue to increase exponentially, as the urgency of decarbonizing the economy grows and the number of sectors ripe for transitioning to a sustainable model proliferates. Additionally, the regulatory frameworks incentivizing the adoption of sustainable practices and technologies, such as the European Union’s Action Plan on Financing Sustainable Growth and related Taxonomy Regulation, are expected to become increasingly favorable to the sectors that we are targeting over time. These trends provide long-term tailwinds for companies that develop assets and provide equipment, software and services enabling an integrated approach to the continued decarbonization of the economy.</w:t>
      </w:r>
    </w:p>
    <w:p>
      <w:pPr>
        <w:spacing w:after="0" w:line="16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As part of this transition, we expect rapidly growing penetration of intermittent renewable resources, distributed generation and storage, and power-intensive distributed applications such as charging stations, which</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9"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will in turn require an increase in grid assets and technologies, both at the utility scale and at the edge of the network. These changes are poised to create opportunities for the providers of equipment, services and software that facilitate the efficient and customer-focused deployment and management of an evolving and growing electrical infrastructure network and the integration with legacy utility operations. Similarly, we anticipate large, sustained opportunities to deploy energy efficiency solutions as part of the upgrading of the building sector in the residential, commercial, industrial and public-sector end markets. We believe that similar opportunities will develop in the water, chemicals, industrial, construction and manufacturing sectors, all of which will require investment and expertise to develop tailored solutions.</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also believe that the migration of the transportation sector toward zero-emission vehicles will spur investments in electric charging, hydrogen refueling and renewable-fuel production networks. Furthermore, the ongoing re-thinking of transportation across public, private and shared mobility solutions, combined with the advent of autonomous driving technologies will create a paradigm shift on the technology and infrastructure required to support the circulation of passenger and commercial vehicles.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summary, we believe that innovative, well-managed, market leaders within these high-impact sectors can capitalize on rapid market adoption of technologies capable of enhancing operating efficiencies, performance and convenience to asset owners and end users, delivering superior long-term returns to equity investors.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Sponsor</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ArcLight is one of the leading firms focused on energy infrastructure investments in North America. Established in 2001 and based in Boston, Massachusetts, ArcLight has invested $23 billion in 111 platform investments across the energy infrastructure landscape since inception. ArcLight’s investors include many of the largest pension funds, sovereign wealth funds, and endowments in the world. ArcLight has a highly experienced investment team complemented by a broad range of in-house specialists and external advisers. We expect that ArcLight’s full suite of resources will be made available to assist us in executing our initial business combination.</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Having recognized the value of sound stewardship and control, ArcLight’s environmental, social and governance (“ESG”) policies and programs have been evolving since the formal adoption of its ESG Investment Guidelines in 2011. For example, in 2015, ArcLight developed its formal ESG program and since that time has formed an ESG team that includes, from time to time, members of our investment, compliance, risk management, and investor relations teams. The ESG team works with ArcLight’s broader team and investments to build ESG awareness and capacity, to gather and report on certain ESG data, and, in a manner consistent with its fiduciary duties to its investors, to identify opportunities to build ESG considerations into ArcLight’s investment and management decisions.</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ArcLight Clean Transition Corp., an affiliate of our sponsor launched with a similar mission to our Company, announced a business combination with Proterra Inc. on January 12, 2021. Proterra Inc. is a leader in the design and manufacture of zero-emission electric transit vehicles and EV technology solutions for commercial applications. This acquisition, expected to close in the first half of 2021, highlights our sponsor’s connectivity and knowledge in the electric mobility space.</w:t>
      </w:r>
    </w:p>
    <w:p>
      <w:pPr>
        <w:spacing w:after="0" w:line="18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ArcLight has owned interests in approximately 5 gigawatts of renewable energy infrastructure, including, at the time of construction, the largest wind project ever developed in the U.S. ArcLight recognized the importance of the clean energy transition early and deployed capital to support this core belief through multiple investments in renewables generation, electric grids, automotive refueling infrastructure and logistics. ArcLight began investing in renewable energy in 2001 and has since invested $4 billion in 16 platforms representing 88 individual renewable projects, including:</w:t>
      </w:r>
    </w:p>
    <w:p>
      <w:pPr>
        <w:spacing w:after="0" w:line="63" w:lineRule="exact"/>
        <w:rPr>
          <w:sz w:val="20"/>
          <w:szCs w:val="20"/>
          <w:color w:val="auto"/>
        </w:rPr>
      </w:pPr>
    </w:p>
    <w:p>
      <w:pPr>
        <w:ind w:left="5540" w:right="3000" w:hanging="4884"/>
        <w:spacing w:after="0" w:line="449" w:lineRule="auto"/>
        <w:tabs>
          <w:tab w:leader="none" w:pos="10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Alta Wind: 1,550-megawatt wind development, the largest in the U.S. at the time of construction; 86</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Terra-Gen: Developer, owner and operator of a 653-megawatt portfolio of utility-scale clean energy assets at the time of exit;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Great River Hydro: 584-megawatt hydroelectric power platform, the largest in New England.</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ArcLight also has differentiated insights into the electrical grid and the grid’s ongoing evolution to support the increased penetration of renewables and grid-edge applications. ArcLight has invested in multiple grid assets, including:</w:t>
      </w:r>
    </w:p>
    <w:p>
      <w:pPr>
        <w:spacing w:after="0" w:line="76"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Path 15: 1,500-megawatt line upgrade that debottlenecked a critical Southern-to-Northern California power interconnect;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Neptune Regional Transmission System: 660-megawatt undersea and underground direct current line that provides more than 20 percent of Long Island’s typical electricity demand</w:t>
      </w:r>
    </w:p>
    <w:p>
      <w:pPr>
        <w:spacing w:after="0" w:line="17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Furthermore, ArcLight’s extensive experience in the fuel supply and logistics space provide us with unique and real-time insights into critical factors impacting the successful rollout of biofuels and EV charging infrastructure, including automotive consumer behavior, real estate development and convenience offerings. Representative investments include:</w:t>
      </w:r>
    </w:p>
    <w:p>
      <w:pPr>
        <w:spacing w:after="0" w:line="89"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Thorntons, the owner and operator of more than 200 convenience stores and travel centers;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Gulf, one of the largest branded sales platforms in the automotive industry</w:t>
      </w:r>
    </w:p>
    <w:p>
      <w:pPr>
        <w:spacing w:after="0" w:line="225"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As a result of its long-dated presence in the clean energy transition space, ArcLight has developed deep relationships with companies, executives and intermediaries that we believe will provide us with an advantage in accessing business combination opportunities in the space.</w:t>
      </w:r>
    </w:p>
    <w:p>
      <w:pPr>
        <w:spacing w:after="0" w:line="14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currently have a formal arrangement in place with CAMS, ArcLight’s operational partner, whereby CAMS would make available to us a team of individuals highly experienced across the various sectors in which we expect to complete our initial business combination. Formed in 2007, CAMS has more than ~1,500 employees providing operational and asset management services to the renewable and conventional energy sectors, including information technology, environmental health and safety, asset integrity, engineering and due diligence services. CAMS has been involved in over 100 projects, including 19 wind facilities and 23 solar facilities totaling over 3.4 gigawatts. CAMS is also an industry leader in the decommissioning of legacy fossil generation facilities and the repurposing and repowering of sites for solar and battery storage installation. Through its day-to-day activities, CAMS has developed strong commercial and strategic relationships with most large equipment, services and software providers within the renewable segment, giving it a unique perspective on market-leading companies in the industry.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company is supported by a full management team with decades of experience completing transactions and managing several billion dollars of equity capital in the renewable energy, power and energy infrastructure sectors. Our management team will be supported by ArcLight and CAMS. Our operations will also be overseen by an experienced board of directors.</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Daniel R. Revers serves as our Chairman. Mr. Revers is the founder of ArcLight and has 30 years of energy finance and private equity experience. Mr. Revers is responsible for overall investment, asset management, strategic planning, and operations of ArcLight and its funds. Mr. Revers has also been serving as Chairman of the board of directors of ACTC I (Nasdaq: ACTC) since September 2020. Mr. Revers was previously a director at American Midstream Partners, L.P. and JP Energy Partners, L.P. Prior to forming ArcLight in 2001, Mr. Revers was a Managing Director in the Corporate Finance Group at John Hancock Financial Services, a private insurance and financial services firm, where he was responsible for the origination, execution, and management of a $6 billion portfolio consisting of debt, equity, and mezzanine investments in the energy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industry. Prior to joining John Hancock in 1995, Mr. Revers held various financial positions at Wheelabrator Technologies, where he specialized in the development, acquisition, and financing of domestic and international power and energy projects. Mr. Revers earned a Bachelor of Arts in Economics from Lafayette College and a Master of Business Administration from the Amos Tuck School of Business Administration at Dartmouth College.</w:t>
      </w:r>
    </w:p>
    <w:p>
      <w:pPr>
        <w:spacing w:after="0" w:line="14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Jake F. Erhard serves as our President, Chief Executive Officer and Director. Mr. Erhard is also a Partner and Head of ESG at ArcLight, where he has worked in various leadership positions since September 2001. Mr. Erhard has 20 years of energy finance and private equity experience. Mr. Erhard has also been serving as President, Chief Executive Officer and a Director of ACTC I (Nasdaq: ACTC) since September 2020 and will join the board of directors of Proterra upon the closing of the business combination between Proterra and ACTC I. Mr. Erhard was previously a director at American Midstream Partners, L.P., Buckeye Partners, LP, and JP Energy Partners, L.P. Prior to joining ArcLight, Mr. Erhard was an Analyst at the investment banking firm Schroder Wertheim, where he focused on mergers and acquisitions. Mr. Erhard earned a Bachelor of Arts in Economics from Princeton University and a Juris Doctor from Harvard Law School.</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Marco F. Gatti serves as our Chief Financial Officer. Mr. Gatti joined ArcLight in 2018 and has 11 years of energy and private equity experience. Mr. Gatti has also been serving as Chief Financial Officer of ACTC I (Nasdaq: ACTC) since September 2020. Prior to joining ArcLight,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19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Kerrick S. Knauth (“Rick S. Knauth”) serves as our Chief Operating Office. Mr. Knauth joined CAMS in 2013 and has 25 years of energy project development and asset management experience. Mr. Knauth has also been serving as Chief Operating Officer of ACTC I (Nasdaq: ACTC) since September 2020. Prior to CAMS, Mr. Knauth was a Director at Vestas, a Danish wind turbine manufacturer, where he held both contract negotiation and asset management roles. Mr. Knauth has a bachelor’s degree in engineering from Tulane University and an MA in Economics and International Relations from the Johns Hopkins School of Advanced International Studies, with a concentration in energy and the environment.</w:t>
      </w:r>
    </w:p>
    <w:p>
      <w:pPr>
        <w:spacing w:after="0" w:line="176"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Christine M. Miller serves as our General Counsel. Ms. Miller joined ArcLight in 2004 and has 23 years of legal experience in the areas of investment transactions and fund operations, with 21 years specific to energy finance and private equity. Ms. Miller has also been serving as General Counsel of ACTC I (Nasdaq: ACTC) since September 2020. Prior to joining ArcLight, she was Counsel in John Hancock’s Investment Law Division, where she represented investment managers and advised institutional investors in purchasing private debt and equity securities. Ms. Miller earned a Bachelor of Arts in Political Science from the University of Massachusetts at Amherst and a Juris Doctor from Boston University School of Law.</w:t>
      </w:r>
    </w:p>
    <w:p>
      <w:pPr>
        <w:spacing w:after="0" w:line="16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Arno Harris has agreed to serve on our board of directors. Mr. Harris has spent the last 25 years starting and growing successful businesses in high technology, clean energy and electric mobility. Mr. Harris has also been serving on the board of directors of ACTC I (Nasdaq: ACTC). He now advises startups and growth companies, helping them to raise capital and achieve scale. In addition to his advisory work, Mr. Harris serves as an independent director for Pacific Gas &amp; Electric Company (NYSE:PCG), California’s largest investor-owned utility, and Azure Power Global Limited (NYSE:AZRE), India’s leading solar developer with almost 2GW of operating assets and over 5GW in development. Between 2006 and 2015,</w:t>
      </w:r>
    </w:p>
    <w:p>
      <w:pPr>
        <w:spacing w:after="0" w:line="2"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Mr. Harris was the founder, CEO and chair of Recurrent Energy, one of North America’s largest solar project developers. Prior to Recurrent Energy, Mr. Harris was the founder and CEO of Prevalent Power, one of California’s fastest growing commercial solar project developers. Mr. Harris earned a Bachelor of Arts from the University of California Berkeley.</w:t>
      </w:r>
    </w:p>
    <w:p>
      <w:pPr>
        <w:spacing w:after="0" w:line="19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Dr. Ja-Chin Audrey Lee has agreed to serve on our board of directors. Dr. Lee has 15 years of experience in clean energy. Dr. Lee has also been serving on the board of directors of ACTC I (Nasdaq: ACTC). Previously,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Dr. Lee served as Vice President of Energy Services at Sunrun Inc (NASDAQ: RUN) from 2017 to 2020. Prior to Sunrun, she served as Vice President of Analytics and Design at Advanced Microgrid Solutions from 2014 to 2017. Before her role at Advanced Microgrid Solutions, Dr. Lee was appointed by the Governor as Advisor to the President of the California Public Utilities Commission from 2011 to 2014, where she led the approval of first-in-the-nation rules on customer energy data. Dr. Lee serves on the board of Gridworks, a non-profit that convenes, educates and empowers stakeholders to decarbonize electricity grids. She also serves on the board of Pinnacle Engines, commercializing advanced engines for reduced petroleum usage and greenhouse gas emissions. Dr. Lee also serves on the board of Redaptive, an Efficiency-as-a-Service tool for commercial and industrial customers. She volunteered as Co-Chair and Co-Founder of Clean Energy for Biden. Dr. Lee earned her Ph.D. and M.S. in Electrical Engineering from Princeton University and her B.S. in Applied Physics from the California Institute of Technology.</w:t>
      </w:r>
    </w:p>
    <w:p>
      <w:pPr>
        <w:spacing w:after="0" w:line="17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Brian Goncher has agreed to serve on our board of directors. Mr. Goncher is Strategy Advisor to Powerhouse and active member of Clean Energy for Biden with more than 42 years of experience in finance, management and consulting. Mr. Goncher has also been serving on the board of directors of ACTC I (Nasdaq: ACTC). Mr. Goncher was a Managing Director at Deloitte until 2019, where he created and led their Energy Tech Practice. Before Deloitte, Mr. Goncher was a venture capitalist at Frontier Ventures between 1997 and 2000, and Crystal Ventures between 2000 and 2003 where he invested in technology companies. In addition, between 1990 and 1996, Mr. Goncher created and led the Emerging Company Services Group at Coopers &amp; Lybrand (now part of PwC). He provided financial and strategic consulting services to tech startups. Earlier in his career, Mr. Goncher was the founder/CFO of several technology-enabled startups and a Corporate Banking Officer at Bank of America. Mr. Goncher earned a BS in Economics and MBA in Finance from the University of Chicago.</w:t>
      </w:r>
    </w:p>
    <w:p>
      <w:pPr>
        <w:spacing w:after="0" w:line="17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Steven Berkenfeld has agreed to serve on our board of directors. After 33 years, Mr. Berkenfeld retired from a career in investment banking in 2019 to focus entirely on impact and sustainability. Steven is founder and principal of Ecotopia Consulting LLC. and is primarily engaged in advising earlier stage, mission driven companies. Mr. Berkenfeld has also been serving on the board of directors of ACTC I (Nasdaq: ACTC). Previously he was a Managing Director in Investment Banking at Barclays where he served as senior sponsor of the Environmental and Social Impact Banking Initiative and was co head of the firm’s Cleantech Initiative. Before joining Barclays in 2008, Steven spent over 21 years at Lehman Brothers in numerous roles including Chief Investment Officer of the firm’s Private Equity Division. Steven is former chair of the board of the Sierra Club Foundation, and is a sponsor of several projects, and board member of several other organizations, focused on social impact and sustainability. He holds a J.D. from Columbia Law School and a Bachelor’s Degree from Cornell University.</w:t>
      </w:r>
    </w:p>
    <w:p>
      <w:pPr>
        <w:spacing w:after="0" w:line="17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July 2020, an affiliate of our Sponsor formed ACTC I, a blank check company formed for substantially similar purposes as our company. ACTC I completed its initial public offering in September 2020, in which it sold a total of 27,750,000 units, each consisting of one Class A ordinary share of ACTC I and one-half of one redeemable warrant to purchase one Class A ordinary share of ACTC I, for an offering price of $10.00 per unit, generating aggregate proceeds of $277.5 million. Mr. Erhard is the President and Chief Executive Officer of ACTC I and a director on ACTC I’s board of directors, Mr. Gatti is the Chief Financial Officer of ACTC I, Mr. Revers is the Chairman of the board of directors of ACTC I, Mr. Knauth serves as Chief Operating Officer of ACTC I and Ms. Miller serves as General Counsel of ACTC I, Mr. Harris, Dr. Lee, Mr. Berkenfeld and Mr. Goncher all serve on ACTC I’s board of directors, and each owes fiduciary duties under Cayman Islands law to ACTC I. On January 12, 2021, ACTC I announced that it had entered into a definitive agreement with Proterra Inc, a leading innovator in commercial vehicle electrification technology, to combine. The transaction is expected to close in the first half of 2021, subject to the satisfaction of customary closing conditions, including the approval of the shareholders of ACTC I. Upon the closing of the transaction, it is expected that Proterra Inc will trade under the ticker symbol PTRA on NASDAQ.</w:t>
      </w:r>
    </w:p>
    <w:p>
      <w:pPr>
        <w:spacing w:after="0" w:line="16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With respect to the above, past performance of our management team (including with respect to ACTC I), ArcLight and CAMS is not a guarantee of either (i) success with respect to any business combination that may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consummated, (ii) the ability to successfully identify and execute a transaction or (iii) the success of any business ultimately identified or acquired. You should not rely on the historical record of management, ArcLight, CAMS or their respective affiliates as indicative of future performance. Past performance by our management team (including with respect to ACTC I), ArcLight and CAMS, including investments and transactions in which they have participated and businesses with which they have been associated, may not be indicative of future performance of an investment in us, and we may be unable to provide positive returns to shareholders. See “Risk Factors — Past performance by our management team (including with respect to ACTC I), ArcLight and CAMS or their respective affiliates may not be indicative of future performance of an investment in us.” References to total amounts invested in across the energy infrastructure landscape and amounts invested in renewable energy infrastructure refer to the gross capital invested in such portfolio investments without reduction for any “recycled” distributions from such portfolio investments (e.g. sales or recapitalization proceeds from portfolio investments that have been distributed to the applicable fund by a portfolio company within approximately one year of the date of the investment). All capacity ratings presented herein are nominal ratings, which may differ from nameplate and/or seasonal ratings. Nominal ratings are the most typical representation of capacity and differ from nameplate and/or seasonal ratings, which are calculated based on defined conditions that vary (e.g. temperature and other inputs). For a list of our executive officers and entities for which a conflict of interest may or does exist between such officers and the company, please refer to “Management — Conflicts of Interest.”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business strategy (“Business Strategy”) is to identify and complete an initial business combination that creates substantial long-term value for our shareholders. We will seek targets that we believe are market leaders in facilitating the transition of the energy industry toward decarbonization and sustainability and are positioned to generate long-term value and growing cash flows. We believe ArcLight’s network of proprietary transaction sources and relationships, combined with its investment team’s deep experience in the renewable energy industry, will allow us to effectively and efficiently identify and evaluate potential opportunities for our initial business combination. In addition to ArcLight’s network and expertise, we plan to leverage CAMS’ footprint and relationships with service providers, clients and counterparties, to extend our access to opportunities. We will seek to:</w:t>
      </w:r>
    </w:p>
    <w:p>
      <w:pPr>
        <w:spacing w:after="0" w:line="70"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capitalize on the wide opportunity set of companies driving the transition toward decarbonization and sustainability;</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leverage our management team and sponsor’s wealth of knowledge of the renewable energy and transportation industry to identify promising subsectors and market-leading companies within them;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leverage the transactional experience of our management team and sponsor to effectuate a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utilize CAMS’ network and team of experts to identify and diligence targets, and potentially transform companies;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support and prepare potential targets to succeed as public companies and take advantage of unique opportunities offered by the public markets;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support the combination target or targets at the board level, providing guidance on organic and accretive value creation opportunities to capitalize on the opportunities offered by the energy transition.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 Criteria</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Consistent with our Business Strategy, we have established the following general criteria and guidelines to evaluate prospective target businesses. We will use these criteria and guidelines in evaluating acquisition opportunities, but we may decide to enter into our initial business combination with a target business that does not meet all of these criteria and guidelines and may consider criteria and guidelines not set forth below. We intend to acquire a business or an entity that we believe:</w:t>
      </w:r>
    </w:p>
    <w:p>
      <w:pPr>
        <w:spacing w:after="0" w:line="92" w:lineRule="exact"/>
        <w:rPr>
          <w:sz w:val="20"/>
          <w:szCs w:val="20"/>
          <w:color w:val="auto"/>
        </w:rPr>
      </w:pPr>
    </w:p>
    <w:p>
      <w:pPr>
        <w:ind w:left="10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exhibits, or has the potential to develop, fundamentally sound financial performance, with visibility into revenue and cash flow growth and relatively predictable future financial performance;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an active market participant in the global development of the clean energy industry, continued decarbonization of the industrial, government and consumer spaces, and/or broader transition toward a sustainable economic model;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targets large addressable markets with long-term tailwinds and low risk of obsolescence;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has a defensible market position with differentiated product offerings, technology, assets, distribution channels, supply chain capabilities or other sustainable competitive advantages;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can serve as a platform for both organic and acquisitive growth;</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led by an experienced management team with a proven track record and complementary capabilities, or is open to enhancing the existing management team’s strengths with additional talent through our network; and</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embraces the potential to utilize our industry experience, as well as our operating, strategic, financing and M&amp;A capabilities to maximize the value to shareholders.</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and our sponsor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tender offer documents or proxy solicitation materials that we would file with the SEC.</w:t>
      </w:r>
    </w:p>
    <w:p>
      <w:pPr>
        <w:spacing w:after="0" w:line="192"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In evaluating prospective business combinations, we expect to conduct a thorough due diligence review process. This due diligence review process will be specific to the target business, but will include, among other things and to the extent relevant to the specific opportunity, a review of historical and projected financial and operating data, meetings with management and their financial sponsors, on-site inspection of assets, discussions with customers, legal and environmental reviews and other reviews as we deem appropriate. We will also utilize our management team’s expertise and ArcLight’s relationships and transaction execution abilities, as well as CAMS’ operational know-how to evaluate operating and financial projections, and to determine the appropriate return expectations given the risk profile of the target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believe the sourcing, valuation, diligence and execution capabilities of our management team, and the broader teams at ArcLight and CAMS will provide us with a significant pipeline of opportunities from which to evaluate and select a target for an initial business combination that will benefit from our extensive experience. Our competitive strengths include the following:</w:t>
      </w:r>
    </w:p>
    <w:p>
      <w:pPr>
        <w:spacing w:after="0" w:line="89" w:lineRule="exact"/>
        <w:rPr>
          <w:sz w:val="20"/>
          <w:szCs w:val="20"/>
          <w:color w:val="auto"/>
        </w:rPr>
      </w:pPr>
    </w:p>
    <w:p>
      <w:pPr>
        <w:ind w:left="1080" w:right="50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management team and sponsor with a long track record of attaining opportunities through propriety transaction sources and a wide network of relationships;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management team and sponsor with industry-leading experience in sectors focused on decarbonization;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sponsor with an experienced and large investment team that will assist in all aspects of transaction execution;</w:t>
      </w:r>
    </w:p>
    <w:p>
      <w:pPr>
        <w:spacing w:after="0" w:line="130"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partnership with CAMS, which will provide extensive operational capabilities, market insights, and relationships built through extensive activities surrounding commercial and operational management of investments, acquisitions and divestitures;</w:t>
      </w:r>
    </w:p>
    <w:p>
      <w:pPr>
        <w:spacing w:after="0" w:line="51" w:lineRule="exact"/>
        <w:rPr>
          <w:rFonts w:ascii="Arial" w:cs="Arial" w:eastAsia="Arial" w:hAnsi="Arial"/>
          <w:sz w:val="17"/>
          <w:szCs w:val="17"/>
          <w:color w:val="auto"/>
        </w:rPr>
      </w:pPr>
    </w:p>
    <w:p>
      <w:pPr>
        <w:ind w:left="1080" w:right="58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flexible execution capabilities to structure customized and complex transactions that maximize shareholder value, mitigate risk and allocate resources efficiently for attractive returns;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sponsor with extensive capital raising experience and relationship with institutional capital providers.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Business Combination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So long as our securities are then listed on NASDAQ, our initial business combination must occur with one or more target businesses that together have an aggregate fair market value of at least 80% of the net assets held in the trust account (excluding the deferred underwriting commissions and taxes payable on the interest earned on the trust account) at the time of signing a definitive agreement in connection with our initial business combination. If our board of directors is not able to independently determine the fair market value of the target business or businesses, we will obtain an opinion from an independent investment banking firm or an independent valuation or appraisal firm with respect to the satisfaction of such criteria.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 would be distributed to our shareholders. However, if required under applicable law, any proxy statement that we deliver to shareholders and file with the SEC in connection with a proposed transaction will include such opinion.</w:t>
      </w:r>
    </w:p>
    <w:p>
      <w:pPr>
        <w:spacing w:after="0" w:line="174"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in order to meet certain objectives of the target management team or shareholders or for other reasons, but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shares, capital stock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If our securities are not then listed on NASDAQ for whatever reason, we would no longer be required to meet the foregoing 80% of net asset test. However, we intend to satisfy the 80% requirement even if our securities are not listed on NASDAQ at the time of our initial business combination. In addition, we have agreed not to enter into a definitive agreement regarding an initial business combination without the prior consent of our sponsor. If our securities are not then listed on NASDAQ for whatever reason, we would no longer be required to meet the foregoing 80% of net asset test.</w:t>
      </w:r>
    </w:p>
    <w:p>
      <w:pPr>
        <w:spacing w:after="0" w:line="187" w:lineRule="exact"/>
        <w:rPr>
          <w:sz w:val="20"/>
          <w:szCs w:val="20"/>
          <w:color w:val="auto"/>
        </w:rPr>
      </w:pPr>
    </w:p>
    <w:p>
      <w:pPr>
        <w:jc w:val="both"/>
        <w:ind w:left="120" w:right="480" w:firstLine="440"/>
        <w:spacing w:after="0" w:line="311" w:lineRule="auto"/>
        <w:rPr>
          <w:sz w:val="20"/>
          <w:szCs w:val="20"/>
          <w:color w:val="auto"/>
        </w:rPr>
      </w:pPr>
      <w:r>
        <w:rPr>
          <w:rFonts w:ascii="Arial" w:cs="Arial" w:eastAsia="Arial" w:hAnsi="Arial"/>
          <w:sz w:val="16"/>
          <w:szCs w:val="16"/>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Considerations</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 See “Risk Factors — 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9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currently do not have any specific business combination under consideration. Our officers and directors have neither individually selected nor considered a target business nor have they had any substantive discussions regarding possible target businesses among themselves or with our underwriters or other advisors. Our management team is regularly made aware of potential business opportunities, one or more of which we may desire to pursue for a business combination, but we have not (nor has anyone on our behalf) contacted any prospective target business or had any substantive discussions, formal or otherwise, with respect to a business combination transaction with our company. Additionally, we have not, nor has anyone on our behalf, taken any substantive measure, directly or indirectly, to identify or locate any suitable acquisition candidate for us, nor have we engaged or retained any agent or other representative to identify or locate any such acquisition candidate.</w:t>
      </w:r>
    </w:p>
    <w:p>
      <w:pPr>
        <w:spacing w:after="0" w:line="166"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In addition, certain of our officers and directors presently have, and any of them in the future are expected to have additional, fiduciary and contractual duties to other entities. As a result, if any of our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because we do not currently anticipate any meaningful overlap of investment objectives.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6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sponsor, officers and directors may sponsor, form or participate in other blank check companies similar to ours during the period in which we are seeking an initial business combination. Any such companies may present additional conflicts of interest in pursuing an acquisition target, particularly in the event there is overlap among investment mandates. In addition, our sponsor,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Status as a Public Company</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believe our structure will make us an attractive business combination partner to target businesses. As an existing public company, we offer a target business an alternative to the traditional initial public offering through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 merger or other business combination with us. In a business combination transaction with us, the owners of the target business may, for example, exchange their shares or stock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that may not be present to the same extent in connection with a business combination with us.</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shareholder approval of any proposed initial business combination, negatively.</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30th, and (2) the date on which we have issued more than $1.0 billion in non-convertible debt during the prior three-year period.</w:t>
      </w:r>
    </w:p>
    <w:p>
      <w:pPr>
        <w:spacing w:after="0" w:line="17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$100 million during such completed fiscal year and the market value of our ordinary shares held by non-affiliates did not exceed $700 million as of the prior June 30.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Position</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With funds available for a business combination initially in the amount of $242,800,000, after payment of the estimated non-reimbursed expenses of this offering and $8,750,000 of deferred underwriting fees (or $278,987,500 after payment of the estimated expenses of this offering and $10,062,500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 or other sources.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w:t>
      </w:r>
    </w:p>
    <w:p>
      <w:pPr>
        <w:spacing w:after="0" w:line="18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have not selected any business combination target and we have not, nor has anyone on our behalf, initiated any substantive discussions with any business combination target. Additionally, we have not engaged or retained any agent or other representative to identify or locate any suitable acquisition candidate, to conduct any research or take any measures, directly or indirectly, to locate or contact a target business, other than our officers and directors.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78"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combination. There are no prohibitions on our ability to issue securities or incur debt in connection with our initial business combination. Other than the potential availability of the backstop arrangement with our sponsor, we are not currently a party to any arrangement or understanding with any third party with respect to raising any additional funds through the sale of securities, the incurrence of debt or otherwise.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market participants, private equity groups, investment banking firms, consultants, accounting firms and large business enterprises. Target businesses may be brought to our attention by such unaffiliated sources as a result of being solicited by us through calls or mailings. These sources may also introduce us to target businesses in which they think we may be interested on an unsolicited basis, since some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at the time of the closing of a transaction. In no event, however, will our sponsor or any of our existing officers or directors, or their respective affiliates be paid by us any finder’s fee, consulting fee or other compensation prior to, or for any services they render in order to effectuate, the completion of our initial business combination (regardless of the type of transaction that it is). We have agreed to pay an affiliate of our sponsor a total of $10,000 per month for office space, secretarial and administrative support and to reimburse our sponsor for any out-of-pocket expenses related to identifying, investigating and completing an initial business combination. Some of our officers and directors may enter into employment or consulting agreements with the post-business combination company following our initial business combination. The presence or absence of any such fees or arrangements will not be used as a criterion in our selection process of an acquisition candidate.</w:t>
      </w:r>
    </w:p>
    <w:p>
      <w:pPr>
        <w:spacing w:after="0" w:line="18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w:t>
      </w:r>
    </w:p>
    <w:p>
      <w:pPr>
        <w:spacing w:after="0" w:line="18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Each of our officers and directors presently has, and any of them in the future are expected to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See “Management — Conflicts of Interest” and “Risk Factors — 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a Target Business and Structuring of Our Initial Business Combination</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In evaluating a prospective target business, we expect to conduct an extensive due diligence review which may encompass, as applicable and among other things, meetings with incumbent management and employees, document reviews, interviews of customers and suppliers, inspection of facilities and a review of financial and other information about the target and its industry. We will also utilize our management team’s operational and capital planning experience. If we determine to move forward with a particular target, we will proceed to structure and negotiate the terms of the business combination transaction.</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their respective affiliates, for services rendered to or in connection with our initial business combination. In addition, we have agreed not to enter into a definitive agreement regarding an initial business combination without the prior consent of our sponsor.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77" w:lineRule="exact"/>
        <w:rPr>
          <w:sz w:val="20"/>
          <w:szCs w:val="20"/>
          <w:color w:val="auto"/>
        </w:rPr>
      </w:pPr>
    </w:p>
    <w:p>
      <w:pPr>
        <w:ind w:left="1080" w:right="20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78"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managers, or that additional managers will have the requisite skills, knowledge or experience necessary to enhance the incumbent management.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May Not Have the Ability to Approve Our Initial Business Combination</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listing requirement, or we may decide to seek shareholder approval for business or other reasons.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NASDAQ’s listing rules, shareholder approval would typically be required for our initial business combination if, for example:</w:t>
      </w:r>
    </w:p>
    <w:p>
      <w:pPr>
        <w:spacing w:after="0" w:line="131" w:lineRule="exact"/>
        <w:rPr>
          <w:sz w:val="20"/>
          <w:szCs w:val="20"/>
          <w:color w:val="auto"/>
        </w:rPr>
      </w:pPr>
    </w:p>
    <w:p>
      <w:pPr>
        <w:ind w:left="1080" w:right="24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our ordinary shares then-outstanding (other than in a public offering);</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of our directors, officers or substantial security holder (as defined by NASDAQ rules) has a 5% or greater interest, directly or indirectly, in the target business or assets to be acquired or otherwise and the present or potential issuance of ordinary shares could result in an increase in issued and outstanding ordinary shares or voting power of 1% or more (or 5% or more if the related party involved is classified as such solely because such person is a substantial security holder); or</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225"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The decision as to whether we will seek shareholder approval of a proposed business combination in those instances in which shareholder approval is not required by law will be made by us, solely in our discretion, and will be based on business and reasons, which include a variety of factors, including, but not limited to:</w:t>
      </w:r>
    </w:p>
    <w:p>
      <w:pPr>
        <w:spacing w:after="0" w:line="89" w:lineRule="exact"/>
        <w:rPr>
          <w:sz w:val="20"/>
          <w:szCs w:val="20"/>
          <w:color w:val="auto"/>
        </w:rPr>
      </w:pPr>
    </w:p>
    <w:p>
      <w:pPr>
        <w:ind w:left="108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of the transaction, including in the event we determine shareholder approval would require additional time and there is either not enough time to seek shareholder approval or doing so would place the company at a disadvantage in the transaction or result in other additional burdens on the company;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expected cost of holding a shareholder vote;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risk that the shareholders would fail to approve the proposed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130" w:lineRule="exact"/>
        <w:rPr>
          <w:rFonts w:ascii="Arial" w:cs="Arial" w:eastAsia="Arial" w:hAnsi="Arial"/>
          <w:sz w:val="18"/>
          <w:szCs w:val="18"/>
          <w:color w:val="auto"/>
        </w:rPr>
      </w:pPr>
    </w:p>
    <w:p>
      <w:pPr>
        <w:ind w:left="1080" w:right="94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additional legal complexities of a proposed business combination that would be time-consuming and burdensome to present to shareholders.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Permitted Purchases and Other Transactions with Respect to Our Securities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Additionally, at any time at or prior to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In the event that our sponsor, directors, officers, advisors or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purpose of any such transaction could be to (i) vote in favor of the business combination and thereby increase the likelihood of obtaining shareholder approval of the business combination, (ii) reduce the number of public warrants outstanding or vote such warrants on any matters submitted to the warrant holders for approval in connection with our initial business combination or (iii)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Our sponsor, officers, directors and/or their affiliates anticipate that they may identify the shareholders with whom our sponsor, officers, directors or their affiliates may pursue privately negotiated transactions by either the shareholders contacting us directly or by our receipt of redemption requests submitted by shareholders (in the case of Class A ordinary shares) following our mailing of tender offer or proxy materials in connection with our initial business combination. To the extent that our sponsor, officers, directors, advisors or their affiliates enter into a private transaction, they would identify and contact only potential selling or redeeming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sponsor, executive officers, directors, advisors or their affiliates will select which shareholders to purchase shares from based on the negotiated price and number of shares and any other factors that they may deem relevant, and will be restricted from purchasing shares if such purchases do not comply with Regulation M under the Exchange Act and the other federal securities laws.</w:t>
      </w:r>
    </w:p>
    <w:p>
      <w:pPr>
        <w:spacing w:after="0" w:line="168" w:lineRule="exact"/>
        <w:rPr>
          <w:sz w:val="20"/>
          <w:szCs w:val="20"/>
          <w:color w:val="auto"/>
        </w:rPr>
      </w:pPr>
    </w:p>
    <w:p>
      <w:pPr>
        <w:ind w:left="120" w:right="660" w:firstLine="440"/>
        <w:spacing w:after="0" w:line="286" w:lineRule="auto"/>
        <w:rPr>
          <w:sz w:val="20"/>
          <w:szCs w:val="20"/>
          <w:color w:val="auto"/>
        </w:rPr>
      </w:pPr>
      <w:r>
        <w:rPr>
          <w:rFonts w:ascii="Arial" w:cs="Arial" w:eastAsia="Arial" w:hAnsi="Arial"/>
          <w:sz w:val="17"/>
          <w:szCs w:val="17"/>
          <w:color w:val="auto"/>
        </w:rPr>
        <w:t>Our sponsor, officers, directors and/or their affiliates will be restricted from making purchases of shares if the purchases would violate Section 9(a)(2) or Rule 10b-5 of the Exchange Act. We expect any such purchases would be reported by such person pursuant to Section 13 and Section 16 of the Exchange Act to the extent such purchasers are subject to such reporting requirements.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 for Public Shareholders upon Completion of Our Initial Business Combination</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$10.00 per public share. The per-share amount we will distribute to investors who properly redeem their shares will not be reduced by the deferred underwriting commissions we will pay to the underwriters. The redemption rights will include the requirement that a beneficial holder must identify itself in order to validly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redeem its shares. There will be no redemption rights upon the completion of our initial business combination with respect to our warrants. Further, we will not proceed with redeeming our public shares, even if a public shareholder has properly elected to redeem its shares, if a business combination does not close. Our sponsor and each member of our management team have entered into an agreement with us, pursuant to which they have agreed to waive their redemption rights with respect to any founder shares and public shares held by them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Redemptions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Our amended and restated memorandum and articles of association will provide that in no event will we redeem our public shares in an amount that would cause our net tangible assets to be less than $5,000,001 (so that we do not then become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117"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either (i) in connection with a general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and any transactions where we issue more than 20% of our issued and outstanding ordinary shares or seek to amend our amended and restated memorandum and articles of association would typically require shareholder approval. We currently intend to conduct redemptions in connection with a shareholder vote unless shareholder approval is not required by applicable law or stock exchange listing requirement or we choose to conduct redemptions pursuant to the tender offer rules of the SEC for business or other reasons. So long as we obtain and maintain a listing for our securities on NASDAQ, we will be required to comply with NASDAQ rules.</w:t>
      </w:r>
    </w:p>
    <w:p>
      <w:pPr>
        <w:spacing w:after="0" w:line="17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we held a shareholder vote to approve our initial business combination, we will, pursuant to our amended and restated memorandum and articles of association:</w:t>
      </w:r>
    </w:p>
    <w:p>
      <w:pPr>
        <w:spacing w:after="0" w:line="76" w:lineRule="exact"/>
        <w:rPr>
          <w:sz w:val="20"/>
          <w:szCs w:val="20"/>
          <w:color w:val="auto"/>
        </w:rPr>
      </w:pPr>
    </w:p>
    <w:p>
      <w:pPr>
        <w:ind w:left="1080" w:right="34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46"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 As a result, in addition to our initial purchaser’s founder shares, we would need 9,375,001, or 37.5% (assuming all issued and outstanding shares are voted and the over-allotment option is not exercised), or 1,562,501, or 6.25% (assuming only the minimum number of shares representing a quorum are voted and the over-allotment option is not exercised), of the 25,000,000 public shares sold in this offering to be voted in favor of an initial business combination in order to have our initial business combination approved. Each public shareholder may elect to redeem their public shares irrespective of whether they vote for or against the proposed transaction or vote at all. In addition, our sponsor and each member of our management team have entered into an agreement with us, pursuant to which they have agreed to waive their redemption rights with respect to any founder shares and public shares held by them in connection with (i) the completion of a business combination and (ii) a shareholder vote to approve an amendment to our amended and restated memorandum and articles of association</w:t>
      </w:r>
    </w:p>
    <w:p>
      <w:pPr>
        <w:spacing w:after="0" w:line="4" w:lineRule="exact"/>
        <w:rPr>
          <w:sz w:val="20"/>
          <w:szCs w:val="20"/>
          <w:color w:val="auto"/>
        </w:rPr>
      </w:pPr>
    </w:p>
    <w:p>
      <w:pPr>
        <w:ind w:left="120" w:hanging="4"/>
        <w:spacing w:after="0" w:line="253" w:lineRule="auto"/>
        <w:tabs>
          <w:tab w:leader="none" w:pos="4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w:t>
      </w:r>
    </w:p>
    <w:p>
      <w:pPr>
        <w:spacing w:after="0" w:line="193"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76"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142"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Class A ordinary shares in the open market, in order to comply with Rule 14e-5 under the Exchange Act.</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Shareholder Approval</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amended and restated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which we refer to as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at a premium to the then-current market price or on other undesirable terms. By limiting our shareholders’ ability to redeem no more than 15% of the shares sold in this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7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However, we would not be restricting our shareholders’ ability to vote all of their shares (including Excess Shares) for or against our initial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Tendering Share Certificates in Connection with a Tender Offer or Redemption Rights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 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will include the requirement that a beneficial holder must identify itself in order to validly redeem its shares. Accordingly, a public shareholder would have from the time we send out our tender offer materials until the close of the tender offer period, or up to two business days prior to the initially scheduled vote on the proposal to approve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6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88"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company for cancellation. As a result, the redemption rights, to which shareholders were aware they needed to commit before the general meeting, 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spacing w:after="0" w:line="18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6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Our amended and restated memorandum and articles of association will provide that we will have only 24 months (or 30 months, as applicable) from the closing of this offering to consummate an initial business combination. If we have not consummated an initial business combination within 24 months (or 30 months, as applicable)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There will be no redemption rights or liquidating distributions with respect to our warrants, which will expire worthless if we fail to consummate an initial business combination within 24 months (or 30 months, as applicable) from the closing of this offering.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7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Our sponsor and each member of our management team have entered into an agreement with us, pursuant to which they have agreed to waive their rights to liquidating distributions from the trust account with respect to any founder shares they hold if we fail to consummate an initial business combination within 24 months from the closing of this offering (or 30 months from the closing of this offering if we have executed a letter of intent, agreement in principle or definitive agreement for an initial business combination within 24 months from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closing of this offering but have not completed the initial business combination within such 24-month period) (although they will be entitled to liquidating distributions from the trust account with respect to any public shares they hold if we fail to complete our initial business combination within the prescribed time frame).</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sponsor, executive officers, directors and director nominees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do not then become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86"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$1,550,000 held outside the trust account plus up to $100,000 of funds from the trust account available to us to pay dissolution expenses, although we cannot assure you that there will be sufficient funds for such purpose.</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9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third-party refuses to execute an agreement waiving such claims to the monies held in the trust account, our management will perform an analysis of the alternatives available to it and will only enter into an agreement with a third-party that has not executed a waiver if management believes that such third-party’s engagement would be significantly more beneficial to us than any alternative. Examples of possible instances where we may engage a third-party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Citigroup Global Markets Inc. will not execute an agreement with us waiving such claims to the monies held in the trust account. In addition, there is no guarantee that such entities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 xml:space="preserve">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third-party for services rendered or products sold to us (other than our independent registered public accounting firm),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liability will not apply to any claims by a third-party or prospective target business that executed a waiver of any and all rights to seek access to the trust account nor will it apply to any claims under our indemnity of the underwriters of this offering against certain liabilities, including liabilities under the Securities Act. In the event that an executed waiver is deemed to be unenforceable against a third-party, our sponsor will not be responsible to the extent of any liability for such third-party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84"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amount of interest which may be withdrawn to pay our income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public share.</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$1,550,000 following this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 In the event that our offering expenses exceed our estimate of $1,450,000,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$1,450,000, the amount of funds we intend to be held outside the trust account would increase by a corresponding amount.</w:t>
      </w:r>
    </w:p>
    <w:p>
      <w:pPr>
        <w:spacing w:after="0" w:line="179"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If we file a bankruptcy or insolvency or an involuntary bankruptcy or insolvency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return $10.00 per public share to our public shareholders. Additionally, if we file a bankruptcy or insolvency or an involuntary bankruptcy or insolvency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6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public shareholders will be entitled to receive funds from the trust account only (i) in the event of the redemption of our public shares if we do not complete our initial business combination within 24 months (or 30 months, as applicable) from the closing of this offering, (ii)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or (iii) if they redeem their respective shares for cash upon the completion of the initial business combination.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(or 30 months, as applicable) from the closing of this offering, with respect to such Class A ordinary shares so redeemed.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271"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5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have not consummated an initial business combination within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w:t>
      </w:r>
    </w:p>
    <w:p>
      <w:pPr>
        <w:sectPr>
          <w:pgSz w:w="11900" w:h="16838" w:orient="portrait"/>
          <w:cols w:equalWidth="0" w:num="1">
            <w:col w:w="11120"/>
          </w:cols>
          <w:pgMar w:left="320" w:top="459" w:right="459" w:bottom="1440" w:gutter="0" w:footer="0" w:header="0"/>
        </w:sectPr>
      </w:pP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1"/>
              </w:rPr>
              <w:t>Redemptions in</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Connection with Our</w:t>
            </w:r>
          </w:p>
        </w:tc>
        <w:tc>
          <w:tcPr>
            <w:tcW w:w="0" w:type="dxa"/>
            <w:vAlign w:val="bottom"/>
          </w:tcPr>
          <w:p>
            <w:pPr>
              <w:spacing w:after="0"/>
              <w:rPr>
                <w:sz w:val="1"/>
                <w:szCs w:val="1"/>
                <w:color w:val="auto"/>
              </w:rPr>
            </w:pPr>
          </w:p>
        </w:tc>
      </w:tr>
      <w:tr>
        <w:trPr>
          <w:trHeight w:val="185"/>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Calculation of redemption price</w:t>
            </w: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Initial Business Combination</w:t>
            </w:r>
          </w:p>
        </w:tc>
        <w:tc>
          <w:tcPr>
            <w:tcW w:w="0" w:type="dxa"/>
            <w:vAlign w:val="bottom"/>
          </w:tcPr>
          <w:p>
            <w:pPr>
              <w:spacing w:after="0"/>
              <w:rPr>
                <w:sz w:val="1"/>
                <w:szCs w:val="1"/>
                <w:color w:val="auto"/>
              </w:rPr>
            </w:pPr>
          </w:p>
        </w:tc>
      </w:tr>
      <w:tr>
        <w:trPr>
          <w:trHeight w:val="195"/>
        </w:trPr>
        <w:tc>
          <w:tcPr>
            <w:tcW w:w="3280" w:type="dxa"/>
            <w:vAlign w:val="bottom"/>
            <w:vMerge w:val="continue"/>
          </w:tcPr>
          <w:p>
            <w:pPr>
              <w:spacing w:after="0"/>
              <w:rPr>
                <w:sz w:val="16"/>
                <w:szCs w:val="16"/>
                <w:color w:val="auto"/>
              </w:rPr>
            </w:pPr>
          </w:p>
        </w:tc>
        <w:tc>
          <w:tcPr>
            <w:tcW w:w="2540" w:type="dxa"/>
            <w:vAlign w:val="bottom"/>
          </w:tcPr>
          <w:p>
            <w:pPr>
              <w:ind w:left="20"/>
              <w:spacing w:after="0" w:line="195" w:lineRule="exact"/>
              <w:rPr>
                <w:sz w:val="20"/>
                <w:szCs w:val="20"/>
                <w:color w:val="auto"/>
              </w:rPr>
            </w:pPr>
            <w:r>
              <w:rPr>
                <w:rFonts w:ascii="Arial" w:cs="Arial" w:eastAsia="Arial" w:hAnsi="Arial"/>
                <w:sz w:val="18"/>
                <w:szCs w:val="18"/>
                <w:color w:val="auto"/>
              </w:rPr>
              <w:t>Redemptions at the time of our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6"/>
              </w:rPr>
              <w:t>initial business combination may</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0"/>
              </w:rPr>
              <w:t>be made pursuant to a tender offer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or in connection with a</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2"/>
              </w:rPr>
              <w:t>shareholder vote. The redemption</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2"/>
              </w:rPr>
              <w:t>price will be the same whether we</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conduct redemptions</w:t>
            </w:r>
          </w:p>
        </w:tc>
        <w:tc>
          <w:tcPr>
            <w:tcW w:w="0" w:type="dxa"/>
            <w:vAlign w:val="bottom"/>
          </w:tcPr>
          <w:p>
            <w:pPr>
              <w:spacing w:after="0"/>
              <w:rPr>
                <w:sz w:val="1"/>
                <w:szCs w:val="1"/>
                <w:color w:val="auto"/>
              </w:rPr>
            </w:pPr>
          </w:p>
        </w:tc>
      </w:tr>
      <w:tr>
        <w:trPr>
          <w:trHeight w:val="365"/>
        </w:trPr>
        <w:tc>
          <w:tcPr>
            <w:tcW w:w="3280" w:type="dxa"/>
            <w:vAlign w:val="bottom"/>
          </w:tcPr>
          <w:p>
            <w:pPr>
              <w:spacing w:after="0"/>
              <w:rPr>
                <w:sz w:val="24"/>
                <w:szCs w:val="24"/>
                <w:color w:val="auto"/>
              </w:rPr>
            </w:pPr>
          </w:p>
        </w:tc>
        <w:tc>
          <w:tcPr>
            <w:tcW w:w="2540" w:type="dxa"/>
            <w:vAlign w:val="bottom"/>
          </w:tcPr>
          <w:p>
            <w:pPr>
              <w:ind w:left="20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left="-39" w:right="480"/>
        <w:spacing w:after="0" w:line="258" w:lineRule="auto"/>
        <w:rPr>
          <w:sz w:val="20"/>
          <w:szCs w:val="20"/>
          <w:color w:val="auto"/>
        </w:rPr>
      </w:pPr>
      <w:r>
        <w:rPr>
          <w:rFonts w:ascii="Arial" w:cs="Arial" w:eastAsia="Arial" w:hAnsi="Arial"/>
          <w:sz w:val="13"/>
          <w:szCs w:val="13"/>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6027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91" w:lineRule="auto"/>
        <w:rPr>
          <w:sz w:val="20"/>
          <w:szCs w:val="20"/>
          <w:color w:val="auto"/>
        </w:rPr>
      </w:pPr>
      <w:r>
        <w:rPr>
          <w:rFonts w:ascii="Arial" w:cs="Arial" w:eastAsia="Arial" w:hAnsi="Arial"/>
          <w:sz w:val="16"/>
          <w:szCs w:val="16"/>
          <w:color w:val="auto"/>
        </w:rPr>
        <w:t>If we seek shareholder approval of our initial business combination, our sponsor, directors, officers, advisors or their affiliates may purchase shares in privately negotiated transactions or in the open market either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Redemptions if We</w:t>
      </w:r>
    </w:p>
    <w:p>
      <w:pPr>
        <w:ind w:left="560"/>
        <w:spacing w:after="0" w:line="226" w:lineRule="auto"/>
        <w:rPr>
          <w:sz w:val="20"/>
          <w:szCs w:val="20"/>
          <w:color w:val="auto"/>
        </w:rPr>
      </w:pPr>
      <w:r>
        <w:rPr>
          <w:rFonts w:ascii="Arial" w:cs="Arial" w:eastAsia="Arial" w:hAnsi="Arial"/>
          <w:sz w:val="14"/>
          <w:szCs w:val="14"/>
          <w:b w:val="1"/>
          <w:bCs w:val="1"/>
          <w:color w:val="auto"/>
        </w:rPr>
        <w:t>Fail to Complete an</w:t>
      </w:r>
    </w:p>
    <w:p>
      <w:pPr>
        <w:jc w:val="center"/>
        <w:ind w:right="-19"/>
        <w:spacing w:after="0"/>
        <w:rPr>
          <w:sz w:val="20"/>
          <w:szCs w:val="20"/>
          <w:color w:val="auto"/>
        </w:rPr>
      </w:pPr>
      <w:r>
        <w:rPr>
          <w:rFonts w:ascii="Arial" w:cs="Arial" w:eastAsia="Arial" w:hAnsi="Arial"/>
          <w:sz w:val="14"/>
          <w:szCs w:val="14"/>
          <w:b w:val="1"/>
          <w:bCs w:val="1"/>
          <w:color w:val="auto"/>
        </w:rPr>
        <w:t>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1465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91" w:lineRule="auto"/>
        <w:rPr>
          <w:sz w:val="20"/>
          <w:szCs w:val="20"/>
          <w:color w:val="auto"/>
        </w:rPr>
      </w:pPr>
      <w:r>
        <w:rPr>
          <w:rFonts w:ascii="Arial" w:cs="Arial" w:eastAsia="Arial" w:hAnsi="Arial"/>
          <w:sz w:val="16"/>
          <w:szCs w:val="16"/>
          <w:color w:val="auto"/>
        </w:rPr>
        <w:t>If we have not consummated an initial business combination within 24 months (or 30 months, as applicable) from the closing of this offering, we will redeem all public shares at a per-share price,</w:t>
      </w:r>
    </w:p>
    <w:p>
      <w:pPr>
        <w:sectPr>
          <w:pgSz w:w="11900" w:h="16838" w:orient="portrait"/>
          <w:cols w:equalWidth="0" w:num="3">
            <w:col w:w="5940" w:space="220"/>
            <w:col w:w="2480" w:space="180"/>
            <w:col w:w="2300"/>
          </w:cols>
          <w:pgMar w:left="320" w:top="459" w:right="45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pursuant to a tender offer or in</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connection with a shareholder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vote. In either case, our public</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shareholders may redeem their</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public shares for cash equal to the</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aggregate amount then on deposit</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in the trust account calculated as</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of two business days prior to the</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consummation of the initial</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business combination (which is</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initially anticipated to be $10.00</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per public share), including</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interest earned on the funds held</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in the trust account and not</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previously released to us to pay</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our income taxes, if any, divided</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by the number of the then-</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outstanding public shares, subject</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to the limitation that no</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redemptions will take place if all</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of the redemptions would cause</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our net tangible assets to be less</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than $5,000,001 and any</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limitations (including, but not</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limited, to cash requirements)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agreed to in connection with the</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negotiation of terms of a proposed</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business combination.</w:t>
      </w:r>
    </w:p>
    <w:p>
      <w:pPr>
        <w:spacing w:after="0" w:line="207" w:lineRule="exact"/>
        <w:rPr>
          <w:sz w:val="20"/>
          <w:szCs w:val="20"/>
          <w:color w:val="auto"/>
        </w:rPr>
      </w:pPr>
    </w:p>
    <w:p>
      <w:pPr>
        <w:ind w:left="120"/>
        <w:spacing w:after="0"/>
        <w:tabs>
          <w:tab w:leader="none" w:pos="3400" w:val="left"/>
        </w:tabs>
        <w:rPr>
          <w:sz w:val="20"/>
          <w:szCs w:val="20"/>
          <w:color w:val="auto"/>
        </w:rPr>
      </w:pPr>
      <w:r>
        <w:rPr>
          <w:rFonts w:ascii="Arial" w:cs="Arial" w:eastAsia="Arial" w:hAnsi="Arial"/>
          <w:sz w:val="18"/>
          <w:szCs w:val="18"/>
          <w:b w:val="1"/>
          <w:bCs w:val="1"/>
          <w:color w:val="auto"/>
        </w:rPr>
        <w:t>Impact to remaining shareholders</w:t>
      </w:r>
      <w:r>
        <w:rPr>
          <w:sz w:val="20"/>
          <w:szCs w:val="20"/>
          <w:color w:val="auto"/>
        </w:rPr>
        <w:tab/>
      </w:r>
      <w:r>
        <w:rPr>
          <w:rFonts w:ascii="Arial" w:cs="Arial" w:eastAsia="Arial" w:hAnsi="Arial"/>
          <w:sz w:val="16"/>
          <w:szCs w:val="16"/>
          <w:color w:val="auto"/>
        </w:rPr>
        <w:t>The redemptions in connection</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with our initial business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combination will reduce the book</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value per share for our remaining</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shareholders, who will bear the</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burden of the deferred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underwriting commissions and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taxes payable.</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prior to or following completion of our initial business combination. There is no limit to the prices that our sponsor, directors, officers, advisors or their affiliates may pay in these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payable in cash, equal to the aggregate amount, then on deposit in the trust account (which is initially anticipated to be $10.00 per public share), including interest earned on the funds held in the trust account and not previously released to us to pay our income taxes, if any (less up to $100,000 of interest to pay dissolution expenses) divided by the number of the then-outstanding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sponsor, who will be our only remaining shareholder after such redemptions.</w:t>
      </w:r>
    </w:p>
    <w:p>
      <w:pPr>
        <w:sectPr>
          <w:pgSz w:w="11900" w:h="16838" w:orient="portrait"/>
          <w:cols w:equalWidth="0" w:num="3">
            <w:col w:w="5880" w:space="280"/>
            <w:col w:w="2520" w:space="140"/>
            <w:col w:w="230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If the permitted purchases described above are made, there would be no impact to our remaining shareholders because the purchase price would not be paid by us. account (which is initially anticipated to be $10.00 per public share), including interest earned on the funds held in the trust account and not previously released to us to pay our income taxes, if any (less up to $100,000 of interest to pay dissolution expenses) divided by the number of the then-outstanding public shares.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redemption of our public shares if we fail to complete our initial business combination will reduce the book value per share for the shares held by our sponsor, who will be our only remaining shareholder after such redemptions.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compares the terms of this offering to the terms of an offering by a blank check company subject to the provisions of Rule</w:t>
      </w:r>
    </w:p>
    <w:p>
      <w:pPr>
        <w:spacing w:after="0" w:line="46" w:lineRule="exact"/>
        <w:rPr>
          <w:sz w:val="20"/>
          <w:szCs w:val="20"/>
          <w:color w:val="auto"/>
        </w:rPr>
      </w:pPr>
    </w:p>
    <w:p>
      <w:pPr>
        <w:ind w:left="120" w:right="40" w:hanging="4"/>
        <w:spacing w:after="0" w:line="255" w:lineRule="auto"/>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120"/>
          </w:cols>
          <w:pgMar w:left="320" w:top="459" w:right="459" w:bottom="1440" w:gutter="0" w:footer="0" w:header="0"/>
        </w:sect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 proceeds</w:t>
            </w:r>
          </w:p>
        </w:tc>
        <w:tc>
          <w:tcPr>
            <w:tcW w:w="98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195"/>
        </w:trPr>
        <w:tc>
          <w:tcPr>
            <w:tcW w:w="31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w w:val="90"/>
              </w:rPr>
              <w:t>$250,000,000 of the net proceeds of this offering</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94"/>
              </w:rPr>
              <w:t>and the sale of the private placement warrants</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94"/>
              </w:rPr>
              <w:t>will be deposited into a trust account located in</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rPr>
              <w:t>the United States with Continental Stock</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98"/>
              </w:rPr>
              <w:t>Transfer &amp; Trust Company acting as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$212,625,000 of the offering proceeds, would be required to be deposited into either an escrow account with an insured depositary institution or in a separate bank account established by a broker-dealer in which the broker- dealer acts as trustee for persons having the beneficial interests in the account.</w:t>
      </w:r>
    </w:p>
    <w:p>
      <w:pPr>
        <w:spacing w:after="0" w:line="165" w:lineRule="exact"/>
        <w:rPr>
          <w:sz w:val="20"/>
          <w:szCs w:val="20"/>
          <w:color w:val="auto"/>
        </w:rPr>
      </w:pPr>
    </w:p>
    <w:p>
      <w:pPr>
        <w:sectPr>
          <w:pgSz w:w="11900" w:h="16838" w:orient="portrait"/>
          <w:cols w:equalWidth="0" w:num="2">
            <w:col w:w="7720" w:space="220"/>
            <w:col w:w="3180"/>
          </w:cols>
          <w:pgMar w:left="320" w:top="459" w:right="459" w:bottom="1440" w:gutter="0" w:footer="0" w:header="0"/>
          <w:type w:val="continuous"/>
        </w:sect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Investment of net proceeds</w:t>
      </w:r>
      <w:r>
        <w:rPr>
          <w:sz w:val="20"/>
          <w:szCs w:val="20"/>
          <w:color w:val="auto"/>
        </w:rPr>
        <w:tab/>
      </w:r>
      <w:r>
        <w:rPr>
          <w:rFonts w:ascii="Arial" w:cs="Arial" w:eastAsia="Arial" w:hAnsi="Arial"/>
          <w:sz w:val="16"/>
          <w:szCs w:val="16"/>
          <w:color w:val="auto"/>
        </w:rPr>
        <w:t>$250,000,000 of the net proceeds of this offering</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and the sale of the private placement warrants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held in trust will be invested only in U.S.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government treasury obligations with a maturity</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of 185 days or less or in money market funds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meeting certain conditions under Rule 2a-7</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under the Investment Company Act which</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invest only in direct U.S. government treasury</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obligations.</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801" w:lineRule="exact"/>
        <w:rPr>
          <w:sz w:val="20"/>
          <w:szCs w:val="20"/>
          <w:color w:val="auto"/>
        </w:rPr>
      </w:pPr>
    </w:p>
    <w:p>
      <w:pPr>
        <w:sectPr>
          <w:pgSz w:w="11900" w:h="16838" w:orient="portrait"/>
          <w:cols w:equalWidth="0" w:num="2">
            <w:col w:w="7720" w:space="220"/>
            <w:col w:w="3180"/>
          </w:cols>
          <w:pgMar w:left="320" w:top="459" w:right="459" w:bottom="1440" w:gutter="0" w:footer="0" w:header="0"/>
          <w:type w:val="continuous"/>
        </w:sectPr>
      </w:pPr>
    </w:p>
    <w:p>
      <w:pPr>
        <w:spacing w:after="0" w:line="7"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Receipt of interest on escrowed funds</w:t>
      </w:r>
      <w:r>
        <w:rPr>
          <w:sz w:val="20"/>
          <w:szCs w:val="20"/>
          <w:color w:val="auto"/>
        </w:rPr>
        <w:tab/>
      </w:r>
      <w:r>
        <w:rPr>
          <w:rFonts w:ascii="Arial" w:cs="Arial" w:eastAsia="Arial" w:hAnsi="Arial"/>
          <w:sz w:val="16"/>
          <w:szCs w:val="16"/>
          <w:color w:val="auto"/>
        </w:rPr>
        <w:t>Interest income (if any) on proceeds from the</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trust account to be paid to shareholders is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reduced by (i) any income taxes paid or payable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and (ii) in the event of our liquidation for failure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to complete our initial business combination</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within the allotted time, up to $100,000 of net</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interest that may</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Arial" w:cs="Arial" w:eastAsia="Arial" w:hAnsi="Arial"/>
          <w:sz w:val="18"/>
          <w:szCs w:val="18"/>
          <w:color w:val="auto"/>
        </w:rPr>
        <w:t>Interest income on funds in escrow account would be held for the sole benefit of investors, unless and only after the funds held in escrow were released to us in connection with our completion of a business combination.</w:t>
      </w:r>
    </w:p>
    <w:p>
      <w:pPr>
        <w:sectPr>
          <w:pgSz w:w="11900" w:h="16838" w:orient="portrait"/>
          <w:cols w:equalWidth="0" w:num="2">
            <w:col w:w="7680" w:space="260"/>
            <w:col w:w="3180"/>
          </w:cols>
          <w:pgMar w:left="320" w:top="459" w:right="45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-984250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NASDAQ rules require that 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income earned on the trust account) at the time of signing the agreement to enter into the initial business combination. If our securities are not then listed on NASDAQ for whatever reason, we would no longer be required to meet the foregoing 80% of net asset test. However, we intend to satisfy the 80% requirement even if our securities are not listed on NASDAQ at the time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987" w:lineRule="exact"/>
        <w:rPr>
          <w:sz w:val="20"/>
          <w:szCs w:val="20"/>
          <w:color w:val="auto"/>
        </w:rPr>
      </w:pPr>
    </w:p>
    <w:p>
      <w:pPr>
        <w:sectPr>
          <w:pgSz w:w="11900" w:h="16838" w:orient="portrait"/>
          <w:cols w:equalWidth="0" w:num="3">
            <w:col w:w="3640" w:space="560"/>
            <w:col w:w="3520" w:space="220"/>
            <w:col w:w="3180"/>
          </w:cols>
          <w:pgMar w:left="320" w:top="459" w:right="459" w:bottom="1440" w:gutter="0" w:footer="0" w:header="0"/>
        </w:sectPr>
      </w:pPr>
    </w:p>
    <w:p>
      <w:pPr>
        <w:ind w:left="120"/>
        <w:spacing w:after="0"/>
        <w:rPr>
          <w:sz w:val="20"/>
          <w:szCs w:val="20"/>
          <w:color w:val="auto"/>
        </w:rPr>
      </w:pPr>
      <w:r>
        <w:rPr>
          <w:rFonts w:ascii="Arial" w:cs="Arial" w:eastAsia="Arial" w:hAnsi="Arial"/>
          <w:sz w:val="15"/>
          <w:szCs w:val="15"/>
          <w:b w:val="1"/>
          <w:bCs w:val="1"/>
          <w:color w:val="auto"/>
        </w:rPr>
        <w:t>Trading of securities issued</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The units are expected to begin trading on or promptly after the date of this prospectus. The Class A ordinary shares and warrants comprising the units will begin separate trading on the 52nd day following the date of this prospectus unless Citigroup Global Markets Inc.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If the over-allotment option is exercised following the initial filing of such Current Report on Form</w:t>
      </w:r>
    </w:p>
    <w:p>
      <w:pPr>
        <w:ind w:right="260"/>
        <w:spacing w:after="0" w:line="290" w:lineRule="auto"/>
        <w:rPr>
          <w:sz w:val="20"/>
          <w:szCs w:val="20"/>
          <w:color w:val="auto"/>
        </w:rPr>
      </w:pPr>
      <w:r>
        <w:rPr>
          <w:rFonts w:ascii="Arial" w:cs="Arial" w:eastAsia="Arial" w:hAnsi="Arial"/>
          <w:sz w:val="17"/>
          <w:szCs w:val="17"/>
          <w:color w:val="auto"/>
        </w:rPr>
        <w:t>8-K, a second or amended Current Report on Form 8-K will be filed to provide</w:t>
      </w:r>
    </w:p>
    <w:p>
      <w:pPr>
        <w:spacing w:after="0" w:line="9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No trading of the units or the underlying Class A ordinary shares and warrants would be permitted until the completion of a business combination. During this period, the securities would be held in the escrow or trust account.</w:t>
      </w:r>
    </w:p>
    <w:p>
      <w:pPr>
        <w:sectPr>
          <w:pgSz w:w="11900" w:h="16838" w:orient="portrait"/>
          <w:cols w:equalWidth="0" w:num="3">
            <w:col w:w="3480" w:space="720"/>
            <w:col w:w="3500" w:space="240"/>
            <w:col w:w="3180"/>
          </w:cols>
          <w:pgMar w:left="320" w:top="459" w:right="45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updated financial information to reflect the</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exercise of the over-allotment option.</w:t>
      </w:r>
    </w:p>
    <w:p>
      <w:pPr>
        <w:spacing w:after="0" w:line="23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units will automatically separate into their</w:t>
      </w:r>
    </w:p>
    <w:p>
      <w:pPr>
        <w:spacing w:after="0" w:line="4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component parts and will not be traded after</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completion of our initial business combination.</w:t>
      </w:r>
    </w:p>
    <w:p>
      <w:pPr>
        <w:spacing w:after="0" w:line="243"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Exercise of the warrants</w:t>
      </w:r>
      <w:r>
        <w:rPr>
          <w:sz w:val="20"/>
          <w:szCs w:val="20"/>
          <w:color w:val="auto"/>
        </w:rPr>
        <w:tab/>
      </w:r>
      <w:r>
        <w:rPr>
          <w:rFonts w:ascii="Arial" w:cs="Arial" w:eastAsia="Arial" w:hAnsi="Arial"/>
          <w:sz w:val="16"/>
          <w:szCs w:val="16"/>
          <w:color w:val="auto"/>
        </w:rPr>
        <w:t>The warrants cannot be exercised until 30 days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after the completion of our initial business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warrants could be exercised prior to the completion of a business combination, but securities received and cash paid in connection with the exercise would be deposited in the escrow or trust account.</w:t>
      </w:r>
    </w:p>
    <w:p>
      <w:pPr>
        <w:spacing w:after="0" w:line="172" w:lineRule="exact"/>
        <w:rPr>
          <w:sz w:val="20"/>
          <w:szCs w:val="20"/>
          <w:color w:val="auto"/>
        </w:rPr>
      </w:pPr>
    </w:p>
    <w:p>
      <w:pPr>
        <w:sectPr>
          <w:pgSz w:w="11900" w:h="16838" w:orient="portrait"/>
          <w:cols w:equalWidth="0" w:num="2">
            <w:col w:w="7600" w:space="340"/>
            <w:col w:w="3180"/>
          </w:cols>
          <w:pgMar w:left="320" w:top="459" w:right="459" w:bottom="1440" w:gutter="0" w:footer="0" w:header="0"/>
        </w:sect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 shareholders with the</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opportunity to redeem their public shares for</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cash at a per share price equal to the aggregate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amount then on deposit in the trust account</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calculated as of two business days prior to the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consummation of our initial business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combination, including interest earned on the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funds held in the trust account and not</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previously released to us to pay our income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taxes, if any, divided by the number of the then-</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outstanding public shares, upon the completion</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of our initial business combination, subject to</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limitations described herein. We may not be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required by applicable law or stock exchange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listing requirement to hold a shareholder vote. If</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we are not required by applicable law or stock</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exchange listing requirement and do not</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otherwise decide to hold a shareholder vote, we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will, pursuant to our amended and restated</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memorandum and articles of association,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conduct the redemptions pursuant to the tender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offer rules of the SEC and file tender offer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documents with the SEC which will contain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substantially the same financial</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7720" w:space="220"/>
            <w:col w:w="3180"/>
          </w:cols>
          <w:pgMar w:left="320" w:top="459" w:right="45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and other information about the initial business</w:t>
      </w:r>
    </w:p>
    <w:p>
      <w:pPr>
        <w:spacing w:after="0" w:line="4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combination and the redemption rights as is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required under the SEC’s proxy rules. If,</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however, we hold a shareholder vote, we will,</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like many blank check companies, offer to</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redeem shares in conjunction with a proxy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solicitation pursuant to the proxy rules and not</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pursuant to the tender offer rules. If we seek</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shareholder approval, we will complete our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initial business combination only if we receive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the approval of an ordinary resolution under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Cayman Islands law being the affirmative vote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of a majority of the ordinary shares, represented</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 person or by proxy and entitled to vote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thereon, voting in favor of a business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combination at a general meeting. Additionally,</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each public shareholder may elect to redeem</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their public shares irrespective of whether they</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vote for or against the proposed transaction or</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vote at all. Our amended and restated</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memorandum and articles of association will</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require that at least five days’ notice will be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given of any such general meeting.</w:t>
      </w:r>
    </w:p>
    <w:p>
      <w:pPr>
        <w:spacing w:after="0" w:line="207"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Business combination deadline</w:t>
      </w:r>
      <w:r>
        <w:rPr>
          <w:sz w:val="20"/>
          <w:szCs w:val="20"/>
          <w:color w:val="auto"/>
        </w:rPr>
        <w:tab/>
      </w:r>
      <w:r>
        <w:rPr>
          <w:rFonts w:ascii="Arial" w:cs="Arial" w:eastAsia="Arial" w:hAnsi="Arial"/>
          <w:sz w:val="16"/>
          <w:szCs w:val="16"/>
          <w:color w:val="auto"/>
        </w:rPr>
        <w:t>If we have not consummated an initial business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combination within 24 months (or 30 months, as</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applicable) from the closing of this offering, we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will (i) cease all operations except for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purpose of winding up; (ii) as promptly as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reasonably possible but not more than ten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business days thereafter, redeem 100% of the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public shares, at a per-share price, payable in</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cash, equal to the aggregate amount then on</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deposit in the trust account, including interest</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earned on the funds held in the trust account and</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 previously released to us to pay our income</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700" w:space="240"/>
            <w:col w:w="3140"/>
          </w:cols>
          <w:pgMar w:left="320" w:top="459"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taxes, if any (less up to $100,000 of interest to</w:t>
      </w:r>
    </w:p>
    <w:p>
      <w:pPr>
        <w:spacing w:after="0" w:line="3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pay dissolution expenses) divided by the number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of the then-outstanding public shares, which</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redemption will completely extinguish public</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shareholders’ rights as shareholders (including</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the right to receive further liquidation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distributions, if any); and (iii) as promptly as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reasonably possible following such redemption,</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subject to the approval of our remaining</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shareholders and our board of directors,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liquidate and dissolve, subject in the case of</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clauses (ii) and (iii) to our obligations under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Cayman Islands law to provide for claims of</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creditors and the requirements of other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applicable law.</w:t>
      </w:r>
    </w:p>
    <w:p>
      <w:pPr>
        <w:spacing w:after="0" w:line="207"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Release of funds</w:t>
      </w:r>
      <w:r>
        <w:rPr>
          <w:sz w:val="20"/>
          <w:szCs w:val="20"/>
          <w:color w:val="auto"/>
        </w:rPr>
        <w:tab/>
      </w:r>
      <w:r>
        <w:rPr>
          <w:rFonts w:ascii="Arial" w:cs="Arial" w:eastAsia="Arial" w:hAnsi="Arial"/>
          <w:sz w:val="16"/>
          <w:szCs w:val="16"/>
          <w:color w:val="auto"/>
        </w:rPr>
        <w:t>Except for the withdrawal of interest income (if</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any) to pay our income taxes, if any, none of the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funds held in trust will be released from the trust</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account until the earliest of:</w:t>
      </w:r>
    </w:p>
    <w:p>
      <w:pPr>
        <w:spacing w:after="0" w:line="319" w:lineRule="exact"/>
        <w:rPr>
          <w:sz w:val="20"/>
          <w:szCs w:val="20"/>
          <w:color w:val="auto"/>
        </w:rPr>
      </w:pPr>
    </w:p>
    <w:p>
      <w:pPr>
        <w:ind w:left="4200"/>
        <w:spacing w:after="0"/>
        <w:tabs>
          <w:tab w:leader="none" w:pos="45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the completion of our initial business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combination,</w:t>
      </w:r>
    </w:p>
    <w:p>
      <w:pPr>
        <w:spacing w:after="0" w:line="10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(ii)  the redemption of our public shares if we</w:t>
      </w:r>
    </w:p>
    <w:p>
      <w:pPr>
        <w:spacing w:after="0" w:line="3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have not consummated an initial business</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combination within 24 months (or 30</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months, as applicable) from the closing of</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this offering, subject to applicable law, and</w:t>
      </w:r>
    </w:p>
    <w:p>
      <w:pPr>
        <w:spacing w:after="0" w:line="12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(iii) the redemption of our public shares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properly submitted in connection with a</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shareholder vote to approve an amendment</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to our amended and restated memorandum</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and articles of association (A) that would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modify the substance or timing of our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obligation to provide holders of our Class A</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ordinary shares the</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ectPr>
          <w:pgSz w:w="11900" w:h="16838" w:orient="portrait"/>
          <w:cols w:equalWidth="0" w:num="2">
            <w:col w:w="7720" w:space="220"/>
            <w:col w:w="3100"/>
          </w:cols>
          <w:pgMar w:left="320" w:top="459" w:right="5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right to have their shares redeemed in</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connection with our initial business combination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or to redeem 100% of our public shares if we do</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not complete our initial business combination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within 24 months (or 30 months, as applicable)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from the closing of this offering or (B) with</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respect to any other provision relating to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rights of holders of our Class A ordinary shares.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currently maintain our executive offices at 200 Clarendon Street, 55th Floor, Boston, MA 02116. The cost for our use of this space is included in the $10,000 per month fee we will pay to an affiliate of our sponsor for office space, administrative and support services. We consider our current office space adequate for our current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currently have three executive officers. These individuals are not obligated to devote any specific number of hours to our matters but they intend to devote as much of their time as they deems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acquisition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acquisition candidates, we do not believe that this limitation will be material.</w:t>
      </w:r>
    </w:p>
    <w:p>
      <w:pPr>
        <w:spacing w:after="0" w:line="18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not be required to comply with the independent registered public accounting firm attestation requirement on our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6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2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30th, and (2) the date on which we have issued more than $1.0 billion in non-convertible debt during the prior three-year period.</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320" w:top="459" w:right="5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Officers, Directors and Director Nominees Our officers, directors and director nominees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60" w:type="dxa"/>
            <w:vAlign w:val="bottom"/>
          </w:tcPr>
          <w:p>
            <w:pPr>
              <w:spacing w:after="0"/>
              <w:rPr>
                <w:sz w:val="16"/>
                <w:szCs w:val="16"/>
                <w:color w:val="auto"/>
              </w:rPr>
            </w:pPr>
          </w:p>
        </w:tc>
        <w:tc>
          <w:tcPr>
            <w:tcW w:w="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6440" w:type="dxa"/>
            <w:vAlign w:val="bottom"/>
          </w:tcPr>
          <w:p>
            <w:pPr>
              <w:spacing w:after="0"/>
              <w:rPr>
                <w:sz w:val="16"/>
                <w:szCs w:val="16"/>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Daniel R. Revers</w:t>
            </w:r>
          </w:p>
        </w:tc>
        <w:tc>
          <w:tcPr>
            <w:tcW w:w="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58</w:t>
            </w:r>
          </w:p>
        </w:tc>
        <w:tc>
          <w:tcPr>
            <w:tcW w:w="120" w:type="dxa"/>
            <w:vAlign w:val="bottom"/>
            <w:tcBorders>
              <w:top w:val="single" w:sz="8" w:color="CCEEFF"/>
            </w:tcBorders>
            <w:shd w:val="clear" w:color="auto" w:fill="CCEEFF"/>
          </w:tcPr>
          <w:p>
            <w:pPr>
              <w:spacing w:after="0"/>
              <w:rPr>
                <w:sz w:val="17"/>
                <w:szCs w:val="17"/>
                <w:color w:val="auto"/>
              </w:rPr>
            </w:pPr>
          </w:p>
        </w:tc>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Chairman</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Jake F. Erhard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F. Gatti</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1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Rick S. Knauth</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Christine M. Miller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Counsel</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Arno Harris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Ja-Chin Audrey Lee</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Brian Goncher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Berkenfeld</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Nominee</w:t>
            </w:r>
          </w:p>
        </w:tc>
      </w:tr>
    </w:tbl>
    <w:p>
      <w:pPr>
        <w:spacing w:after="0" w:line="198"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color w:val="auto"/>
        </w:rPr>
        <w:t xml:space="preserve">Daniel R. Revers, 58, </w:t>
      </w:r>
      <w:r>
        <w:rPr>
          <w:rFonts w:ascii="Arial" w:cs="Arial" w:eastAsia="Arial" w:hAnsi="Arial"/>
          <w:sz w:val="16"/>
          <w:szCs w:val="16"/>
          <w:color w:val="auto"/>
        </w:rPr>
        <w:t>serves as our Chairman. Mr. Revers is the founder of ArcLight and has 30 years of energy finance and private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Mr. Revers is responsible for overall investment, asset management, strategic planning, and operations of ArcLight and its funds. Mr. Revers has also been serving as Chairman of the board of directors of ACTC I (Nasdaq: ACTC) since September 2020. Mr. Revers was previously a director at American Midstream Partners, L.P. and JP Energy Partners, L.P. Prior to forming ArcLight in 2001, Mr. Revers was a Managing Director in the Corporate Finance Group at John Hancock Financial Services, a private insurance and financial services firm, where he was responsible for the origination, execution, and management of a $6 billion portfolio consisting of debt, equity, and mezzanine investments in the energy industry. Prior to joining John Hancock in 1995, Mr. Revers held various financial positions at Wheelabrator Technologies, where he specialized in the development, acquisition, and financing of domestic and international power and energy projects. Mr. Revers earned a Bachelor of Arts in Economics from Lafayette College and a Master of Business Administration from the Amos Tuck School of Business Administration at Dartmouth College.</w:t>
      </w:r>
    </w:p>
    <w:p>
      <w:pPr>
        <w:spacing w:after="0" w:line="166"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b w:val="1"/>
          <w:bCs w:val="1"/>
          <w:color w:val="auto"/>
        </w:rPr>
        <w:t xml:space="preserve">Jake F. Erhard, 46, </w:t>
      </w:r>
      <w:r>
        <w:rPr>
          <w:rFonts w:ascii="Arial" w:cs="Arial" w:eastAsia="Arial" w:hAnsi="Arial"/>
          <w:sz w:val="17"/>
          <w:szCs w:val="17"/>
          <w:color w:val="auto"/>
        </w:rPr>
        <w:t>serves as our President, Chief Executive Officer and Director. Mr. Erhard is also a Partner and Head of ESG at ArcLight,</w:t>
      </w:r>
      <w:r>
        <w:rPr>
          <w:rFonts w:ascii="Arial" w:cs="Arial" w:eastAsia="Arial" w:hAnsi="Arial"/>
          <w:sz w:val="17"/>
          <w:szCs w:val="17"/>
          <w:b w:val="1"/>
          <w:bCs w:val="1"/>
          <w:color w:val="auto"/>
        </w:rPr>
        <w:t xml:space="preserve"> </w:t>
      </w:r>
      <w:r>
        <w:rPr>
          <w:rFonts w:ascii="Arial" w:cs="Arial" w:eastAsia="Arial" w:hAnsi="Arial"/>
          <w:sz w:val="17"/>
          <w:szCs w:val="17"/>
          <w:color w:val="auto"/>
        </w:rPr>
        <w:t>where he has worked in various leadership positions since September 2001. Mr. Erhard has 20 years of energy finance and private equity experience. Mr. Erhard has also been serving as President, Chief Executive Officer and a Director of ACTC I (Nasdaq: ACTC) since September 2020 and will join the board of directors of Proterra upon the closing of the business combination between Proterra and ACTC I. Mr. Erhard was previously a director at American Midstream Partners, L.P., Buckeye Partners, LP, and JP Energy Partners, L.P. Prior to joining ArcLight, Mr. Erhard was an Analyst at the investment banking firm Schroder Wertheim, where he focused on mergers and acquisitions. Mr. Erhard earned a Bachelor of Arts in Economics from Princeton University and a Juris Doctor from Harvard Law School.</w:t>
      </w:r>
    </w:p>
    <w:p>
      <w:pPr>
        <w:spacing w:after="0" w:line="17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b w:val="1"/>
          <w:bCs w:val="1"/>
          <w:color w:val="auto"/>
        </w:rPr>
        <w:t xml:space="preserve">Marco F. Gatti, 37, </w:t>
      </w:r>
      <w:r>
        <w:rPr>
          <w:rFonts w:ascii="Arial" w:cs="Arial" w:eastAsia="Arial" w:hAnsi="Arial"/>
          <w:sz w:val="18"/>
          <w:szCs w:val="18"/>
          <w:color w:val="auto"/>
        </w:rPr>
        <w:t>serves as our Chief Financial Officer. Mr. Gatti joined ArcLight in 2018 and has 11 years of energy and private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Mr. Gatti has also been serving as Chief Financial Officer of ACTC I (Nasdaq: ACTC) since September 2020. Prior to joining ArcLight,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189" w:lineRule="exact"/>
        <w:rPr>
          <w:sz w:val="20"/>
          <w:szCs w:val="20"/>
          <w:color w:val="auto"/>
        </w:rPr>
      </w:pPr>
    </w:p>
    <w:p>
      <w:pPr>
        <w:ind w:left="120" w:right="80" w:firstLine="440"/>
        <w:spacing w:after="0" w:line="298" w:lineRule="auto"/>
        <w:rPr>
          <w:sz w:val="20"/>
          <w:szCs w:val="20"/>
          <w:color w:val="auto"/>
        </w:rPr>
      </w:pPr>
      <w:r>
        <w:rPr>
          <w:rFonts w:ascii="Arial" w:cs="Arial" w:eastAsia="Arial" w:hAnsi="Arial"/>
          <w:sz w:val="16"/>
          <w:szCs w:val="16"/>
          <w:b w:val="1"/>
          <w:bCs w:val="1"/>
          <w:color w:val="auto"/>
        </w:rPr>
        <w:t xml:space="preserve">Rick S. Knauth, 57, </w:t>
      </w:r>
      <w:r>
        <w:rPr>
          <w:rFonts w:ascii="Arial" w:cs="Arial" w:eastAsia="Arial" w:hAnsi="Arial"/>
          <w:sz w:val="16"/>
          <w:szCs w:val="16"/>
          <w:color w:val="auto"/>
        </w:rPr>
        <w:t>serves as our Chief Operating Officer. Mr. Knauth joined CAMS in 2013 and has 25 years of energy project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asset management experience. Mr. Knauth has been serving as Chief Operating Officer of ACTC I (Nasdaq: ACTC) since September 2020. Prior to CAMS, Mr. Knauth was a Director at Vestas, a Danish wind turbine manufacturer, where he held both contract negotiation and asset management roles. Mr. Knauth has a bachelor’s degree in engineering from Tulane University and an MA in Economics and International Relations from the Johns Hopkins School of Advanced International Studies, with a concentration in energy and the environment.</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firstLine="440"/>
        <w:spacing w:after="0" w:line="298" w:lineRule="auto"/>
        <w:rPr>
          <w:sz w:val="20"/>
          <w:szCs w:val="20"/>
          <w:color w:val="auto"/>
        </w:rPr>
      </w:pPr>
      <w:r>
        <w:rPr>
          <w:rFonts w:ascii="Arial" w:cs="Arial" w:eastAsia="Arial" w:hAnsi="Arial"/>
          <w:sz w:val="16"/>
          <w:szCs w:val="16"/>
          <w:b w:val="1"/>
          <w:bCs w:val="1"/>
          <w:color w:val="auto"/>
        </w:rPr>
        <w:t xml:space="preserve">Christine M. Miller, 50, </w:t>
      </w:r>
      <w:r>
        <w:rPr>
          <w:rFonts w:ascii="Arial" w:cs="Arial" w:eastAsia="Arial" w:hAnsi="Arial"/>
          <w:sz w:val="16"/>
          <w:szCs w:val="16"/>
          <w:color w:val="auto"/>
        </w:rPr>
        <w:t>serves as our General Counsel. Ms. Miller joined ArcLight in 2004 and has 23 years of legal experience in the areas of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transactions and fund operations, with 21 years specific to energy finance and private equity. Ms. Miller has also been serving as General Counsel of ACTC I (Nasdaq: ACTC) since September 2020. Prior to joining ArcLight, she was Counsel in John Hancock’s Investment Law Division, where she represented investment managers and advised institutional investors in purchasing private debt and equity securities. Ms. Miller earned a Bachelor of Arts in Political Science from the University of Massachusetts at Amherst and a Juris Doctor from Boston University School of Law.</w:t>
      </w:r>
    </w:p>
    <w:p>
      <w:pPr>
        <w:spacing w:after="0" w:line="15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b w:val="1"/>
          <w:bCs w:val="1"/>
          <w:color w:val="auto"/>
        </w:rPr>
        <w:t xml:space="preserve">Arno Harris, 51, </w:t>
      </w:r>
      <w:r>
        <w:rPr>
          <w:rFonts w:ascii="Arial" w:cs="Arial" w:eastAsia="Arial" w:hAnsi="Arial"/>
          <w:sz w:val="16"/>
          <w:szCs w:val="16"/>
          <w:color w:val="auto"/>
        </w:rPr>
        <w:t>has agreed to serve on our board of directors. Mr. Harris has spent the last 25 years starting and growing successful businesses</w:t>
      </w:r>
      <w:r>
        <w:rPr>
          <w:rFonts w:ascii="Arial" w:cs="Arial" w:eastAsia="Arial" w:hAnsi="Arial"/>
          <w:sz w:val="16"/>
          <w:szCs w:val="16"/>
          <w:b w:val="1"/>
          <w:bCs w:val="1"/>
          <w:color w:val="auto"/>
        </w:rPr>
        <w:t xml:space="preserve"> </w:t>
      </w:r>
      <w:r>
        <w:rPr>
          <w:rFonts w:ascii="Arial" w:cs="Arial" w:eastAsia="Arial" w:hAnsi="Arial"/>
          <w:sz w:val="16"/>
          <w:szCs w:val="16"/>
          <w:color w:val="auto"/>
        </w:rPr>
        <w:t>in high technology, clean energy and electric mobility. Mr. Harris has also been serving on the board of directors of ACTC I (Nasdaq: ACTC). He now advises startups and growth companies, helping them to raise capital and achieve scale. In addition to his advisory work, Mr. Harris serves as an independent director for Pacific Gas &amp; Electric Company (NYSE:PCG), California’s largest investor-owned utility, and Azure Power Global Limited (NYSE:AZRE), India’s leading solar developer with almost 2GW of operating assets and over 5GW in development. Between 2006 and 2015,</w:t>
      </w:r>
    </w:p>
    <w:p>
      <w:pPr>
        <w:spacing w:after="0" w:line="2"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Mr. Harris was the founder, CEO and chair of Recurrent Energy, one of North America’s largest solar project developers. Prior to Recurrent Energy, Mr. Harris was the founder and CEO of Prevalent Power, one of California’s fastest growing commercial solar project developers. Mr. Harris earned a Bachelor of Arts from the University of California Berkeley.</w:t>
      </w:r>
    </w:p>
    <w:p>
      <w:pPr>
        <w:spacing w:after="0" w:line="186"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b w:val="1"/>
          <w:bCs w:val="1"/>
          <w:color w:val="auto"/>
        </w:rPr>
        <w:t xml:space="preserve">Dr. Ja-Chin Audrey Lee, 42, </w:t>
      </w:r>
      <w:r>
        <w:rPr>
          <w:rFonts w:ascii="Arial" w:cs="Arial" w:eastAsia="Arial" w:hAnsi="Arial"/>
          <w:sz w:val="17"/>
          <w:szCs w:val="17"/>
          <w:color w:val="auto"/>
        </w:rPr>
        <w:t>has agreed to serve on our board of directors. Dr. Lee has 15 years of experience in clean energy. Dr. Lee has also</w:t>
      </w:r>
      <w:r>
        <w:rPr>
          <w:rFonts w:ascii="Arial" w:cs="Arial" w:eastAsia="Arial" w:hAnsi="Arial"/>
          <w:sz w:val="17"/>
          <w:szCs w:val="17"/>
          <w:b w:val="1"/>
          <w:bCs w:val="1"/>
          <w:color w:val="auto"/>
        </w:rPr>
        <w:t xml:space="preserve"> </w:t>
      </w:r>
      <w:r>
        <w:rPr>
          <w:rFonts w:ascii="Arial" w:cs="Arial" w:eastAsia="Arial" w:hAnsi="Arial"/>
          <w:sz w:val="17"/>
          <w:szCs w:val="17"/>
          <w:color w:val="auto"/>
        </w:rPr>
        <w:t>been serving on the board of directors of ACTC I (Nasdaq: ACTC). Previously, Dr. Lee served as Vice President of Energy Services at Sunrun Inc (NASDAQ: RUN) from 2017 to 2020. Prior to Sunrun, she served as Vice President of Analytics and Design at Advanced Microgrid Solutions from 2014 to 2017. Before her role at Advanced Microgrid Solutions, Dr. Lee was appointed by the Governor as Advisor to the President of the California Public Utilities Commission from 2011 to 2014, where she led the approval of first-in-the-nation rules on customer energy data. Dr. Lee serves on the board of Gridworks, a non-profit that convenes, educates and empowers stakeholders to decarbonize electricity grids. She also serves on the board of Pinnacle Engines, commercializing advanced engines for reduced petroleum usage and greenhouse gas emissions. Dr. Lee also serves on the board of Redaptive, an Efficiency-as-a-Service tool for commercial and industrial customers. She volunteered as Co-Chair and Co-Founder of Clean Energy for Biden. Dr. Lee earned her Ph.D. and M.S. in Electrical Engineering from Princeton University and her B.S. in Applied Physics from the California Institute of Technology.</w:t>
      </w:r>
    </w:p>
    <w:p>
      <w:pPr>
        <w:spacing w:after="0" w:line="177" w:lineRule="exact"/>
        <w:rPr>
          <w:sz w:val="20"/>
          <w:szCs w:val="20"/>
          <w:color w:val="auto"/>
        </w:rPr>
      </w:pPr>
    </w:p>
    <w:p>
      <w:pPr>
        <w:ind w:left="120" w:right="180" w:firstLine="440"/>
        <w:spacing w:after="0" w:line="285" w:lineRule="auto"/>
        <w:rPr>
          <w:sz w:val="20"/>
          <w:szCs w:val="20"/>
          <w:color w:val="auto"/>
        </w:rPr>
      </w:pPr>
      <w:r>
        <w:rPr>
          <w:rFonts w:ascii="Arial" w:cs="Arial" w:eastAsia="Arial" w:hAnsi="Arial"/>
          <w:sz w:val="16"/>
          <w:szCs w:val="16"/>
          <w:b w:val="1"/>
          <w:bCs w:val="1"/>
          <w:color w:val="auto"/>
        </w:rPr>
        <w:t xml:space="preserve">Brian Goncher, 64, </w:t>
      </w:r>
      <w:r>
        <w:rPr>
          <w:rFonts w:ascii="Arial" w:cs="Arial" w:eastAsia="Arial" w:hAnsi="Arial"/>
          <w:sz w:val="16"/>
          <w:szCs w:val="16"/>
          <w:color w:val="auto"/>
        </w:rPr>
        <w:t>has agreed to serve on our board of directors. Mr. Goncher is Strategy Advisor to Powerhouse and active member of Clean</w:t>
      </w:r>
      <w:r>
        <w:rPr>
          <w:rFonts w:ascii="Arial" w:cs="Arial" w:eastAsia="Arial" w:hAnsi="Arial"/>
          <w:sz w:val="16"/>
          <w:szCs w:val="16"/>
          <w:b w:val="1"/>
          <w:bCs w:val="1"/>
          <w:color w:val="auto"/>
        </w:rPr>
        <w:t xml:space="preserve"> </w:t>
      </w:r>
      <w:r>
        <w:rPr>
          <w:rFonts w:ascii="Arial" w:cs="Arial" w:eastAsia="Arial" w:hAnsi="Arial"/>
          <w:sz w:val="16"/>
          <w:szCs w:val="16"/>
          <w:color w:val="auto"/>
        </w:rPr>
        <w:t>Energy for Biden with more than 42 years of experience in finance, management and consulting. Mr. Goncher has also been serving on the board of directors of ACTC I (Nasdaq: ACTC). Mr. Goncher was a Managing Director at Deloitte until 2019, where he created and led their Energy Tech Practice. Before Deloitte, Mr. Goncher was a venture capitalist at Frontier Ventures between 1997 and 2000, and Crystal Ventures between 2000 and 2003 where he invested in technology companies. In addition, between 1990 and 1996, Mr. Goncher created and led the Emerging Company Services Group at Coopers &amp; Lybrand (now part of PwC). He provided financial and strategic consulting services to tech startups. Earlier in his career,</w:t>
      </w:r>
    </w:p>
    <w:p>
      <w:pPr>
        <w:spacing w:after="0" w:line="3"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Mr. Goncher was the founder/CFO of several technology-enabled startups and a Corporate Banking Officer at Bank of America. Mr. Goncher earned a BS in Economics and MBA in Finance from the University of Chicago.</w:t>
      </w:r>
    </w:p>
    <w:p>
      <w:pPr>
        <w:spacing w:after="0" w:line="181"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Steven Berkenfeld, 61, </w:t>
      </w:r>
      <w:r>
        <w:rPr>
          <w:rFonts w:ascii="Arial" w:cs="Arial" w:eastAsia="Arial" w:hAnsi="Arial"/>
          <w:sz w:val="18"/>
          <w:szCs w:val="18"/>
          <w:color w:val="auto"/>
        </w:rPr>
        <w:t>has agreed to serve on our board of directors. After 33 years, Mr. Berkenfeld retired from a career in investment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in 2019 to focus entirely on impact and sustainability. Steven is founder and principal of Ecotopia Consulting LLC. and is primarily engaged in advising earlier stage, mission driven companies. Mr. Berkenfeld has also been serving on the board of directors of ACTC I (Nasdaq: ACTC). Previously he was a Managing Director in Investment Banking at Barclays where he served as senior sponsor of the Environmental and Social Impact Banking Initiative and was co head of the firm’s Cleantech Initiative. Before joining Barclays in 2008, Steven spent over 21 years at Lehman Brothers in numerous roles including</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Chief Investment Officer of the firm’s Private Equity Division. Steven is former chair of the board of the Sierra Club Foundation, and is a sponsor of several projects, and board member of several other organizations, focused on social impact and sustainability. He holds a J.D. from Columbia Law School and a Bachelor’s Degree from Cornell University.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board of directors is divided into three classes, with only one class of directors being appointed in each year, and with each class (except for those directors appointed prior to our first annual general meeting) serving a three-year term. In accordance with NASDAQ corporate governance requirements, we are not required to hold an annual meeting until one year after our first fiscal year end following our listing on NASDAQ. The term of office of the first class of directors, consisting of Steven Berkenfeld and John F. Erhard, will expire at our first annual general meeting. The term of office of the second class of directors, consisting of Brian Goncher and Daniel R. Revers, will expire at our second annual general meeting. The term of office of the third class of directors, consisting of Ja-Chin Audrey Lee and Arno Harris, will expire at our third annual general meeting.</w:t>
      </w:r>
    </w:p>
    <w:p>
      <w:pPr>
        <w:spacing w:after="0" w:line="16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Pursuant to an agreement to be entered into on or prior to the closing of this offering, our sponsor, upon and following consummation of an initial business combination, will be entitled to nominate three individuals for appointment to our board of directors, as long as the sponsor holds any securities covered by the registration and shareholder rights agreement.</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one or more chairman of the board, chief executive officer, president, chief financial officer, vice presidents, secretary, treasurer and such other offices as may be determined by the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440" w:firstLine="440"/>
        <w:spacing w:after="0" w:line="286" w:lineRule="auto"/>
        <w:rPr>
          <w:sz w:val="20"/>
          <w:szCs w:val="20"/>
          <w:color w:val="auto"/>
        </w:rPr>
      </w:pPr>
      <w:r>
        <w:rPr>
          <w:rFonts w:ascii="Arial" w:cs="Arial" w:eastAsia="Arial" w:hAnsi="Arial"/>
          <w:sz w:val="17"/>
          <w:szCs w:val="17"/>
          <w:color w:val="auto"/>
        </w:rPr>
        <w:t>NASDAQ listing standards require that a majority of our board of directors be independent. Our board of directors has determined that Arno Harris, Brian Goncher, Ja-Chin Audrey Lee and Steven Berkenfeld are “independent directors” as defined in NASDAQ listing standards. Our independent directors will have regularly scheduled meetings at which only independent directors are present.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None of our executive officers or directors have received any cash compensation for services rendered to us. Commencing on the date that our securities are first listed on NASDAQ through the earlier of consummation of our initial business combination and our liquidation, we will reimburse an affiliate of our sponsor for office space, secretarial and administrative services provided to us in the amount of $10,000 per month. In addition, our sponsor, executive officers and directors, or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executive officers or directors, or their affiliates. Any such payments prior to an initial business combination will be made using funds held outside the trust account. Other than quarterly audit committee review of such reimbursements, we do not expect to have any additional</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their respective affiliates, prior to completion of our initial business combination.</w:t>
      </w:r>
    </w:p>
    <w:p>
      <w:pPr>
        <w:spacing w:after="0" w:line="18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7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Upon the effectiveness of the registration statement of which this prospectus forms a part, our board of directors will have three standing committees: an audit committee, a nominating committee and a compensation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and the nominating committee of a listed company be comprised solely of independent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an audit committee of the board of directors. Brian Goncher, Steven Berkenfeld and Arno Harris will serve as members of our audit committee. Our board of directors has determined that Brian Goncher, Steven Berkenfeld and Arno Harris are independent under NASDAQ listing standards and applicable SEC rules. Brian Goncher will serve as the Chairman of the audit committee. Under NASDAQ listing standards and applicable SEC rules, all the directors on the audit committee must be independent. Each member of the audit committee is financially literate and our board of directors has determined that Brian Goncher, Steven Berkenfeld and Arno Harris qualify as an “audit committee financial expert” as defined in applicable SEC rules.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is responsible for:</w:t>
      </w:r>
    </w:p>
    <w:p>
      <w:pPr>
        <w:spacing w:after="0" w:line="131" w:lineRule="exact"/>
        <w:rPr>
          <w:sz w:val="20"/>
          <w:szCs w:val="20"/>
          <w:color w:val="auto"/>
        </w:rPr>
      </w:pPr>
    </w:p>
    <w:p>
      <w:pPr>
        <w:ind w:left="1080" w:right="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monitoring the independence of the independent registered public accounting firm;</w:t>
      </w:r>
    </w:p>
    <w:p>
      <w:pPr>
        <w:spacing w:after="0" w:line="130"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appointing or replacing the independent registered public accounting firm;</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89"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1" w:lineRule="exact"/>
        <w:rPr>
          <w:rFonts w:ascii="Arial" w:cs="Arial" w:eastAsia="Arial" w:hAnsi="Arial"/>
          <w:sz w:val="17"/>
          <w:szCs w:val="17"/>
          <w:color w:val="auto"/>
        </w:rPr>
      </w:pPr>
    </w:p>
    <w:p>
      <w:pPr>
        <w:ind w:left="1080" w:right="140" w:hanging="424"/>
        <w:spacing w:after="0" w:line="308"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51" w:lineRule="exact"/>
        <w:rPr>
          <w:rFonts w:ascii="Arial" w:cs="Arial" w:eastAsia="Arial" w:hAnsi="Arial"/>
          <w:sz w:val="17"/>
          <w:szCs w:val="17"/>
          <w:color w:val="auto"/>
        </w:rPr>
      </w:pPr>
    </w:p>
    <w:p>
      <w:pPr>
        <w:jc w:val="both"/>
        <w:ind w:left="108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Upon the effectiveness of the registration statement of which this prospectus forms a part, we will establish a nominating committee of our board of directors. The members of our nominating committee will be Steven Berkenfeld, Ja-Chin Audrey Lee and Arno Harris, and Steven Berkenfeld will serve as chairman of the nominating committee. Under NASDAQ listing standards, we are required to have a nominating committee composed entirely of independent directors. Our board of directors has determined that Steven Berkenfeld, Ja-Chin Audrey Lee and Arno Harris are independent.</w:t>
      </w:r>
    </w:p>
    <w:p>
      <w:pPr>
        <w:spacing w:after="0" w:line="157" w:lineRule="exact"/>
        <w:rPr>
          <w:sz w:val="20"/>
          <w:szCs w:val="20"/>
          <w:color w:val="auto"/>
        </w:rPr>
      </w:pPr>
    </w:p>
    <w:p>
      <w:pPr>
        <w:ind w:left="120" w:right="720" w:firstLine="440"/>
        <w:spacing w:after="0" w:line="342" w:lineRule="auto"/>
        <w:rPr>
          <w:sz w:val="20"/>
          <w:szCs w:val="20"/>
          <w:color w:val="auto"/>
        </w:rPr>
      </w:pPr>
      <w:r>
        <w:rPr>
          <w:rFonts w:ascii="Arial" w:cs="Arial" w:eastAsia="Arial" w:hAnsi="Arial"/>
          <w:sz w:val="16"/>
          <w:szCs w:val="16"/>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11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The guidelines for selecting nominees, which will be specified in a charter to be adopted by us, generally will provide that persons to be nominated:</w:t>
      </w:r>
    </w:p>
    <w:p>
      <w:pPr>
        <w:spacing w:after="0" w:line="76"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75"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shareholders.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our board of directors. The members of our compensation committee will be Ja-Chin Audrey Lee, Arno Harris and Brian Goncher, and Ja-Chin Audrey Lee will serve as chairman of the compensation committee.</w:t>
      </w:r>
    </w:p>
    <w:p>
      <w:pPr>
        <w:spacing w:after="0" w:line="18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Under NASDAQ listing standards, we are required to have a compensation committee composed entirely of independent directors. Our board of directors has determined that Ja-Chin Audrey Lee, Arno Harris and Brian Goncher are independent. We will adopt a compensation committee charter, which will detail the principal functions of the compensation committee, including:</w:t>
      </w:r>
    </w:p>
    <w:p>
      <w:pPr>
        <w:spacing w:after="0" w:line="89" w:lineRule="exact"/>
        <w:rPr>
          <w:sz w:val="20"/>
          <w:szCs w:val="20"/>
          <w:color w:val="auto"/>
        </w:rPr>
      </w:pPr>
    </w:p>
    <w:p>
      <w:pPr>
        <w:ind w:left="1080" w:right="20" w:hanging="424"/>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President’s, Chief Financial Officer’s and Chief Operating Officer’s, evaluating our President’s, Chief Financial Officer’s and Chief Operating Officer’s performance in light of such goals and objectives and determining and approving the remuneration (if any) of our President, Chief Financial Officer and Chief Operating Officer based on such evaluation;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have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131"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duty not to put themselves in a position in which there is a conflict between their duty to the company and their personal interests;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25"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49"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is full disclosure by the directors. This can be done by way of permission granted in the amended and restated memorandum and articles of association or alternatively by shareholder approval at general meetings.</w:t>
      </w:r>
    </w:p>
    <w:p>
      <w:pPr>
        <w:spacing w:after="0" w:line="15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Certain of our officers and directors presently have, and any of them in the future are expected to have additional, fiduciary and contractual duties to other entities. As a result, if any of our officers or directors becomes aware of a business combination opportunity which is suitable for an entity to which he or she has then-current fiduciary or contractual obligations, then, subject to their fiduciary duties under Cayman Islands law, he or she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because we do not currently anticipate any meaningful overlap of investment objectives.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 See “Risk Factors — 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8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pursue other business or investment ventures during the period in which we are seeking an initial business combination. Any such companies, businesses or investments may present additional conflicts of interest in pursuing an initial business combination. In particular, affiliates of our sponsor currently sponsor another blank check company, ACTC I, and Mr. Erhard is the President and Chief Executive Officer of ACTC I and a director on ACTC I’s board of directors, Mr. Gatti is the Chief Financial Officer of</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9" w:right="5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1" w:lineRule="auto"/>
        <w:rPr>
          <w:sz w:val="20"/>
          <w:szCs w:val="20"/>
          <w:color w:val="auto"/>
        </w:rPr>
      </w:pPr>
      <w:r>
        <w:rPr>
          <w:rFonts w:ascii="Arial" w:cs="Arial" w:eastAsia="Arial" w:hAnsi="Arial"/>
          <w:sz w:val="17"/>
          <w:szCs w:val="17"/>
          <w:color w:val="auto"/>
        </w:rPr>
        <w:t>ACTC I, Mr. Revers is the Chairman of the board of directors of ACTC I, Mr. Knauth serves as Chief Operating Officer of ACTC I and Ms. Miller serves as General Counsel of ACTC I, Mr. Harris, Dr. Lee, Mr. Berkenfeld and Mr. Goncher all serve on ACTC I’s board of directors, and each owes fiduciary duties under Cayman Islands law to ACTC I. On January 12, 2021, ACTC I announced that it had entered into a definitive agreement with Proterra Inc, a leading innovator in commercial vehicle electrification technology, to combine. The transaction is expected to close in the first half of 2021, subject to the satisfaction of customary closing conditions, including the approval of the shareholders of ACTC I. Upon the closing of the transaction, it is expected that Proterra Inc will trade under the ticker symbol PTRA on NASDAQ. Should the transaction with Proterra Inc not close, ACTC I would likely compete with us for future business combination opportunities. However, we do not believe that any potential conflicts would materially affect our ability to complete our initial business combination.</w:t>
      </w:r>
    </w:p>
    <w:p>
      <w:pPr>
        <w:spacing w:after="0" w:line="17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contractual obligations or other material management relationships: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200" w:type="dxa"/>
            <w:vAlign w:val="bottom"/>
          </w:tcPr>
          <w:p>
            <w:pPr>
              <w:spacing w:after="0"/>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6"/>
                <w:szCs w:val="16"/>
                <w:color w:val="auto"/>
              </w:rPr>
            </w:pPr>
          </w:p>
        </w:tc>
        <w:tc>
          <w:tcPr>
            <w:tcW w:w="2760" w:type="dxa"/>
            <w:vAlign w:val="bottom"/>
          </w:tcPr>
          <w:p>
            <w:pPr>
              <w:ind w:left="118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6"/>
                <w:szCs w:val="16"/>
                <w:color w:val="auto"/>
              </w:rPr>
            </w:pPr>
          </w:p>
        </w:tc>
        <w:tc>
          <w:tcPr>
            <w:tcW w:w="3100" w:type="dxa"/>
            <w:vAlign w:val="bottom"/>
            <w:gridSpan w:val="2"/>
          </w:tcPr>
          <w:p>
            <w:pPr>
              <w:ind w:left="960"/>
              <w:spacing w:after="0"/>
              <w:rPr>
                <w:sz w:val="20"/>
                <w:szCs w:val="20"/>
                <w:color w:val="auto"/>
              </w:rPr>
            </w:pPr>
            <w:r>
              <w:rPr>
                <w:rFonts w:ascii="Arial" w:cs="Arial" w:eastAsia="Arial" w:hAnsi="Arial"/>
                <w:sz w:val="14"/>
                <w:szCs w:val="14"/>
                <w:b w:val="1"/>
                <w:bCs w:val="1"/>
                <w:color w:val="auto"/>
              </w:rPr>
              <w:t>Entity’s Business</w:t>
            </w:r>
          </w:p>
        </w:tc>
        <w:tc>
          <w:tcPr>
            <w:tcW w:w="2760" w:type="dxa"/>
            <w:vAlign w:val="bottom"/>
          </w:tcPr>
          <w:p>
            <w:pPr>
              <w:ind w:left="1060"/>
              <w:spacing w:after="0"/>
              <w:rPr>
                <w:sz w:val="20"/>
                <w:szCs w:val="20"/>
                <w:color w:val="auto"/>
              </w:rPr>
            </w:pPr>
            <w:r>
              <w:rPr>
                <w:rFonts w:ascii="Arial" w:cs="Arial" w:eastAsia="Arial" w:hAnsi="Arial"/>
                <w:sz w:val="14"/>
                <w:szCs w:val="14"/>
                <w:b w:val="1"/>
                <w:bCs w:val="1"/>
                <w:color w:val="auto"/>
              </w:rPr>
              <w:t>Affiliation</w:t>
            </w:r>
          </w:p>
        </w:tc>
      </w:tr>
      <w:tr>
        <w:trPr>
          <w:trHeight w:val="195"/>
        </w:trPr>
        <w:tc>
          <w:tcPr>
            <w:tcW w:w="2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R. Revers</w:t>
            </w:r>
          </w:p>
        </w:tc>
        <w:tc>
          <w:tcPr>
            <w:tcW w:w="10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ArcLight Capital Partners, LLC</w:t>
            </w: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2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Private Equity</w:t>
            </w:r>
          </w:p>
        </w:tc>
        <w:tc>
          <w:tcPr>
            <w:tcW w:w="12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Founder and Managing Partner</w:t>
            </w:r>
          </w:p>
        </w:tc>
      </w:tr>
      <w:tr>
        <w:trPr>
          <w:trHeight w:val="229"/>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Chairman</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TransMontaigne Partners, L.P.</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Energy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Dartmouth College, Tuck School of</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Education</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Business</w:t>
            </w: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ArcLight Capital Partners, LLC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Private Equity</w:t>
            </w:r>
          </w:p>
        </w:tc>
        <w:tc>
          <w:tcPr>
            <w:tcW w:w="2760" w:type="dxa"/>
            <w:vAlign w:val="bottom"/>
          </w:tcPr>
          <w:p>
            <w:pPr>
              <w:spacing w:after="0"/>
              <w:rPr>
                <w:sz w:val="20"/>
                <w:szCs w:val="20"/>
                <w:color w:val="auto"/>
              </w:rPr>
            </w:pPr>
            <w:r>
              <w:rPr>
                <w:rFonts w:ascii="Arial" w:cs="Arial" w:eastAsia="Arial" w:hAnsi="Arial"/>
                <w:sz w:val="18"/>
                <w:szCs w:val="18"/>
                <w:color w:val="auto"/>
              </w:rPr>
              <w:t>Partner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Jake F. Erhard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and Director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Marco F. Gatti</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ArcLight Capital Partners, LLC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Private Equity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Rick S. Knauth</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Consolidated Asset Management</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Asset Management</w:t>
            </w:r>
          </w:p>
        </w:tc>
        <w:tc>
          <w:tcPr>
            <w:tcW w:w="27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Services, LLC</w:t>
            </w: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Christine M. Miller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ArcLight Capital Partners, LLC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Private Equity</w:t>
            </w:r>
          </w:p>
        </w:tc>
        <w:tc>
          <w:tcPr>
            <w:tcW w:w="2760" w:type="dxa"/>
            <w:vAlign w:val="bottom"/>
          </w:tcPr>
          <w:p>
            <w:pPr>
              <w:spacing w:after="0"/>
              <w:rPr>
                <w:sz w:val="20"/>
                <w:szCs w:val="20"/>
                <w:color w:val="auto"/>
              </w:rPr>
            </w:pPr>
            <w:r>
              <w:rPr>
                <w:rFonts w:ascii="Arial" w:cs="Arial" w:eastAsia="Arial" w:hAnsi="Arial"/>
                <w:sz w:val="18"/>
                <w:szCs w:val="18"/>
                <w:color w:val="auto"/>
              </w:rPr>
              <w:t>Associate General Counsel</w:t>
            </w:r>
          </w:p>
        </w:tc>
      </w:tr>
      <w:tr>
        <w:trPr>
          <w:trHeight w:val="229"/>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Arno Harris</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Azure Power Global Limited</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Renewable Energy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Pacific Gas &amp; Electric Company</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Electric &amp; Gas Utility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Ja-Chin Audrey Lee</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Gridworks</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Non-profit</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Pinnacle Engines, Inc.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Technology Development</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Kevala, Inc.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Software and Services</w:t>
            </w:r>
          </w:p>
        </w:tc>
        <w:tc>
          <w:tcPr>
            <w:tcW w:w="276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230"/>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Redaptive Inc.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Renewable Energy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Steven Berkenfeld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Svante</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Renewable Energy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365"/>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80" w:type="dxa"/>
            <w:vAlign w:val="bottom"/>
            <w:gridSpan w:val="2"/>
          </w:tcPr>
          <w:p>
            <w:pPr>
              <w:jc w:val="right"/>
              <w:ind w:right="2419"/>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200" w:type="dxa"/>
            <w:vAlign w:val="bottom"/>
          </w:tcPr>
          <w:p>
            <w:pPr>
              <w:spacing w:after="0"/>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6"/>
                <w:szCs w:val="16"/>
                <w:color w:val="auto"/>
              </w:rPr>
            </w:pPr>
          </w:p>
        </w:tc>
        <w:tc>
          <w:tcPr>
            <w:tcW w:w="2760" w:type="dxa"/>
            <w:vAlign w:val="bottom"/>
          </w:tcPr>
          <w:p>
            <w:pPr>
              <w:ind w:left="118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6"/>
                <w:szCs w:val="16"/>
                <w:color w:val="auto"/>
              </w:rPr>
            </w:pPr>
          </w:p>
        </w:tc>
        <w:tc>
          <w:tcPr>
            <w:tcW w:w="3100" w:type="dxa"/>
            <w:vAlign w:val="bottom"/>
            <w:gridSpan w:val="2"/>
          </w:tcPr>
          <w:p>
            <w:pPr>
              <w:ind w:left="960"/>
              <w:spacing w:after="0"/>
              <w:rPr>
                <w:sz w:val="20"/>
                <w:szCs w:val="20"/>
                <w:color w:val="auto"/>
              </w:rPr>
            </w:pPr>
            <w:r>
              <w:rPr>
                <w:rFonts w:ascii="Arial" w:cs="Arial" w:eastAsia="Arial" w:hAnsi="Arial"/>
                <w:sz w:val="14"/>
                <w:szCs w:val="14"/>
                <w:b w:val="1"/>
                <w:bCs w:val="1"/>
                <w:color w:val="auto"/>
              </w:rPr>
              <w:t>Entity’s Business</w:t>
            </w:r>
          </w:p>
        </w:tc>
        <w:tc>
          <w:tcPr>
            <w:tcW w:w="2760" w:type="dxa"/>
            <w:vAlign w:val="bottom"/>
          </w:tcPr>
          <w:p>
            <w:pPr>
              <w:ind w:left="1060"/>
              <w:spacing w:after="0"/>
              <w:rPr>
                <w:sz w:val="20"/>
                <w:szCs w:val="20"/>
                <w:color w:val="auto"/>
              </w:rPr>
            </w:pPr>
            <w:r>
              <w:rPr>
                <w:rFonts w:ascii="Arial" w:cs="Arial" w:eastAsia="Arial" w:hAnsi="Arial"/>
                <w:sz w:val="14"/>
                <w:szCs w:val="14"/>
                <w:b w:val="1"/>
                <w:bCs w:val="1"/>
                <w:color w:val="auto"/>
              </w:rPr>
              <w:t>Affiliation</w:t>
            </w:r>
          </w:p>
        </w:tc>
      </w:tr>
      <w:tr>
        <w:trPr>
          <w:trHeight w:val="195"/>
        </w:trPr>
        <w:tc>
          <w:tcPr>
            <w:tcW w:w="2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Preserve</w:t>
            </w:r>
          </w:p>
        </w:tc>
        <w:tc>
          <w:tcPr>
            <w:tcW w:w="100" w:type="dxa"/>
            <w:vAlign w:val="bottom"/>
          </w:tcPr>
          <w:p>
            <w:pPr>
              <w:spacing w:after="0"/>
              <w:rPr>
                <w:sz w:val="16"/>
                <w:szCs w:val="16"/>
                <w:color w:val="auto"/>
              </w:rPr>
            </w:pPr>
          </w:p>
        </w:tc>
        <w:tc>
          <w:tcPr>
            <w:tcW w:w="2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Sustainable Consumer Products</w:t>
            </w:r>
          </w:p>
        </w:tc>
        <w:tc>
          <w:tcPr>
            <w:tcW w:w="12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alphaDIRECT Group LLC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Equity Research</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Green City Force</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Non-profit</w:t>
            </w:r>
          </w:p>
        </w:tc>
        <w:tc>
          <w:tcPr>
            <w:tcW w:w="2760" w:type="dxa"/>
            <w:vAlign w:val="bottom"/>
          </w:tcPr>
          <w:p>
            <w:pPr>
              <w:spacing w:after="0"/>
              <w:rPr>
                <w:sz w:val="20"/>
                <w:szCs w:val="20"/>
                <w:color w:val="auto"/>
              </w:rPr>
            </w:pPr>
            <w:r>
              <w:rPr>
                <w:rFonts w:ascii="Arial" w:cs="Arial" w:eastAsia="Arial" w:hAnsi="Arial"/>
                <w:sz w:val="18"/>
                <w:szCs w:val="18"/>
                <w:color w:val="auto"/>
              </w:rPr>
              <w:t>Board Chair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The Clean Fight New York</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Non-profit</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Brian Goncher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42"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certain of its funds, other affiliates and portfolio companies.</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Potential investors should also be aware of the following other potential conflicts of interest:</w:t>
      </w:r>
    </w:p>
    <w:p>
      <w:pPr>
        <w:spacing w:after="0" w:line="130" w:lineRule="exact"/>
        <w:rPr>
          <w:rFonts w:ascii="Arial" w:cs="Arial" w:eastAsia="Arial" w:hAnsi="Arial"/>
          <w:sz w:val="18"/>
          <w:szCs w:val="18"/>
          <w:color w:val="auto"/>
        </w:rPr>
      </w:pPr>
    </w:p>
    <w:p>
      <w:pPr>
        <w:ind w:left="1080" w:right="80" w:hanging="424"/>
        <w:spacing w:after="0" w:line="257" w:lineRule="auto"/>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93" w:lineRule="exact"/>
        <w:rPr>
          <w:rFonts w:ascii="Arial" w:cs="Arial" w:eastAsia="Arial" w:hAnsi="Arial"/>
          <w:sz w:val="18"/>
          <w:szCs w:val="18"/>
          <w:color w:val="auto"/>
        </w:rPr>
      </w:pPr>
    </w:p>
    <w:p>
      <w:pPr>
        <w:ind w:left="1080" w:right="40" w:hanging="424"/>
        <w:spacing w:after="0" w:line="277" w:lineRule="auto"/>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Our sponsor subscribed for founder shares prior to the date of this prospectus and will purchase private placement warrants in a transaction that will close simultaneously with the closing of this offering.</w:t>
      </w:r>
    </w:p>
    <w:p>
      <w:pPr>
        <w:spacing w:after="0" w:line="75" w:lineRule="exact"/>
        <w:rPr>
          <w:rFonts w:ascii="Arial" w:cs="Arial" w:eastAsia="Arial" w:hAnsi="Arial"/>
          <w:sz w:val="18"/>
          <w:szCs w:val="18"/>
          <w:color w:val="auto"/>
        </w:rPr>
      </w:pPr>
    </w:p>
    <w:p>
      <w:pPr>
        <w:ind w:left="1080" w:hanging="424"/>
        <w:spacing w:after="0" w:line="285" w:lineRule="auto"/>
        <w:tabs>
          <w:tab w:leader="none" w:pos="10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Our sponsor and each member of our management team have entered into an agreement with us, pursuant to which they have agreed to waive their redemption rights with respect to any founder shares and public shares held by them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prescribed time frame. If we do not complete our initial business combination within the prescribed time frame, the private placement warrants will expire worthless. Except as described herein, our sponsor and our directors and executive officers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ordinary shares for cash, securities or other property. Except as described herein, the private placement warrants will not be transferable until 30 days following the completion of our initial business combination. Because each of our executive officers and director nominees will own ordinary shares or warrants directly or indirectly, they may have a conflict of interest in determining whether a particular target business is an appropriate business with which to effectuate our initial business combination.</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300" w:hanging="424"/>
        <w:spacing w:after="0" w:line="279"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 In addition, our sponsor, officers and directors may sponsor, form or participate in other blank check companies similar to ours during the period in which we are seeking an initial business combination.</w:t>
      </w:r>
    </w:p>
    <w:p>
      <w:pPr>
        <w:spacing w:after="0" w:line="17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Any such companies may present additional conflicts of interest in pursuing an acquisition target, particularly in the event there is overlap among investment mandates.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w:t>
      </w:r>
    </w:p>
    <w:p>
      <w:pPr>
        <w:spacing w:after="0" w:line="18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Furthermore, in no event will our sponsor or any of our existing officers or directors, or their respective affiliates, be paid by us any finder’s fee, consulting fee or other compensation prior to, or for any services they render in order to effectuate, the completion of our initial business combination. Further, commencing on the date our securities are first listed on NASDAQ, we will also reimburse an affiliate of our sponsor for office space, secretarial and administrative services provided to us in the amount of $10,000 per month.</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9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9"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89"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that beneficially owns ordinary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 The following table does not reflect any shares indirectly owned by any individual as a result of their membership interest in our sponsor.</w:t>
      </w:r>
    </w:p>
    <w:p>
      <w:pPr>
        <w:spacing w:after="0" w:line="187"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On January 20, 2021, our sponsor paid $25,000, or approximately $0.003 per share, to cover certain expenses on our behalf in consideration of 7,187,500 Class B ordinary shares, par value $0.0001. Prior to the initial investment in the company of $25,000 by the sponsor, the company had no assets, tangible or intangible. The per share price of the founder shares was determined by dividing the amount contributed to the company by the number of founder shares issued. On February 2, 2021, our sponsor transferred 35,000 founder shares to each of Arno Harris, Ja-Chin Audrey Lee, Brian Goncher and Steven Berkenfeld, our independent director nominees. The post-offering percentages in the following table assume that the underwriters do not exercise their over-allotment option and that there are 31,250,000 ordinary shares issued and outstanding after this offering.</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Percentage of Issued</w:t>
            </w: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40" w:type="dxa"/>
            <w:vAlign w:val="bottom"/>
            <w:gridSpan w:val="2"/>
          </w:tcPr>
          <w:p>
            <w:pPr>
              <w:jc w:val="center"/>
              <w:ind w:right="584"/>
              <w:spacing w:after="0" w:line="158" w:lineRule="exact"/>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3"/>
                <w:szCs w:val="13"/>
                <w:color w:val="auto"/>
              </w:rPr>
            </w:pPr>
          </w:p>
        </w:tc>
        <w:tc>
          <w:tcPr>
            <w:tcW w:w="2020" w:type="dxa"/>
            <w:vAlign w:val="bottom"/>
            <w:gridSpan w:val="5"/>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and Outstanding</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4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4"/>
                <w:szCs w:val="14"/>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Ordinary Shares</w:t>
            </w:r>
          </w:p>
        </w:tc>
        <w:tc>
          <w:tcPr>
            <w:tcW w:w="0" w:type="dxa"/>
            <w:vAlign w:val="bottom"/>
          </w:tcPr>
          <w:p>
            <w:pPr>
              <w:spacing w:after="0"/>
              <w:rPr>
                <w:sz w:val="1"/>
                <w:szCs w:val="1"/>
                <w:color w:val="auto"/>
              </w:rPr>
            </w:pPr>
          </w:p>
        </w:tc>
      </w:tr>
      <w:tr>
        <w:trPr>
          <w:trHeight w:val="119"/>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r>
              <w:rPr>
                <w:rFonts w:ascii="Arial" w:cs="Arial" w:eastAsia="Arial" w:hAnsi="Arial"/>
                <w:sz w:val="12"/>
                <w:szCs w:val="12"/>
                <w:b w:val="1"/>
                <w:bCs w:val="1"/>
                <w:color w:val="auto"/>
                <w:w w:val="92"/>
              </w:rPr>
              <w:t>(1)</w:t>
            </w:r>
          </w:p>
        </w:tc>
        <w:tc>
          <w:tcPr>
            <w:tcW w:w="2940" w:type="dxa"/>
            <w:vAlign w:val="bottom"/>
            <w:vMerge w:val="restart"/>
          </w:tcPr>
          <w:p>
            <w:pPr>
              <w:spacing w:after="0"/>
              <w:rPr>
                <w:sz w:val="10"/>
                <w:szCs w:val="10"/>
                <w:color w:val="auto"/>
              </w:rPr>
            </w:pPr>
          </w:p>
        </w:tc>
        <w:tc>
          <w:tcPr>
            <w:tcW w:w="1440" w:type="dxa"/>
            <w:vAlign w:val="bottom"/>
            <w:gridSpan w:val="2"/>
          </w:tcPr>
          <w:p>
            <w:pPr>
              <w:jc w:val="center"/>
              <w:ind w:right="564"/>
              <w:spacing w:after="0" w:line="119" w:lineRule="exact"/>
              <w:rPr>
                <w:sz w:val="20"/>
                <w:szCs w:val="20"/>
                <w:color w:val="auto"/>
              </w:rPr>
            </w:pPr>
            <w:r>
              <w:rPr>
                <w:rFonts w:ascii="Arial" w:cs="Arial" w:eastAsia="Arial" w:hAnsi="Arial"/>
                <w:sz w:val="13"/>
                <w:szCs w:val="13"/>
                <w:b w:val="1"/>
                <w:bCs w:val="1"/>
                <w:color w:val="auto"/>
                <w:w w:val="99"/>
              </w:rPr>
              <w:t>Beneficially</w:t>
            </w:r>
          </w:p>
        </w:tc>
        <w:tc>
          <w:tcPr>
            <w:tcW w:w="28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Before</w:t>
            </w: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After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580" w:type="dxa"/>
            <w:vAlign w:val="bottom"/>
            <w:tcBorders>
              <w:bottom w:val="single" w:sz="8" w:color="auto"/>
            </w:tcBorders>
            <w:vMerge w:val="continue"/>
          </w:tcPr>
          <w:p>
            <w:pPr>
              <w:spacing w:after="0"/>
              <w:rPr>
                <w:sz w:val="13"/>
                <w:szCs w:val="13"/>
                <w:color w:val="auto"/>
              </w:rPr>
            </w:pPr>
          </w:p>
        </w:tc>
        <w:tc>
          <w:tcPr>
            <w:tcW w:w="2940" w:type="dxa"/>
            <w:vAlign w:val="bottom"/>
            <w:vMerge w:val="continue"/>
          </w:tcPr>
          <w:p>
            <w:pPr>
              <w:spacing w:after="0"/>
              <w:rPr>
                <w:sz w:val="13"/>
                <w:szCs w:val="13"/>
                <w:color w:val="auto"/>
              </w:rPr>
            </w:pPr>
          </w:p>
        </w:tc>
        <w:tc>
          <w:tcPr>
            <w:tcW w:w="1440" w:type="dxa"/>
            <w:vAlign w:val="bottom"/>
            <w:gridSpan w:val="2"/>
          </w:tcPr>
          <w:p>
            <w:pPr>
              <w:jc w:val="center"/>
              <w:ind w:right="584"/>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(2)</w:t>
            </w:r>
          </w:p>
        </w:tc>
        <w:tc>
          <w:tcPr>
            <w:tcW w:w="1260" w:type="dxa"/>
            <w:vAlign w:val="bottom"/>
            <w:gridSpan w:val="3"/>
          </w:tcPr>
          <w:p>
            <w:pPr>
              <w:jc w:val="right"/>
              <w:ind w:right="440"/>
              <w:spacing w:after="0" w:line="158" w:lineRule="exact"/>
              <w:rPr>
                <w:sz w:val="20"/>
                <w:szCs w:val="20"/>
                <w:color w:val="auto"/>
              </w:rPr>
            </w:pPr>
            <w:r>
              <w:rPr>
                <w:rFonts w:ascii="Arial" w:cs="Arial" w:eastAsia="Arial" w:hAnsi="Arial"/>
                <w:sz w:val="14"/>
                <w:szCs w:val="14"/>
                <w:b w:val="1"/>
                <w:bCs w:val="1"/>
                <w:color w:val="auto"/>
              </w:rPr>
              <w:t>Offering</w:t>
            </w:r>
          </w:p>
        </w:tc>
        <w:tc>
          <w:tcPr>
            <w:tcW w:w="104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5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ArcLight CTC Holdings II, L.P. (our sponsor)</w:t>
            </w:r>
          </w:p>
        </w:tc>
        <w:tc>
          <w:tcPr>
            <w:tcW w:w="8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jc w:val="right"/>
              <w:ind w:right="224"/>
              <w:spacing w:after="0"/>
              <w:rPr>
                <w:sz w:val="20"/>
                <w:szCs w:val="20"/>
                <w:color w:val="auto"/>
              </w:rPr>
            </w:pPr>
            <w:r>
              <w:rPr>
                <w:rFonts w:ascii="Arial" w:cs="Arial" w:eastAsia="Arial" w:hAnsi="Arial"/>
                <w:sz w:val="15"/>
                <w:szCs w:val="15"/>
                <w:color w:val="auto"/>
                <w:w w:val="87"/>
              </w:rPr>
              <w:t>(3)(4)</w:t>
            </w:r>
          </w:p>
        </w:tc>
        <w:tc>
          <w:tcPr>
            <w:tcW w:w="2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7,047,500</w:t>
            </w:r>
          </w:p>
        </w:tc>
        <w:tc>
          <w:tcPr>
            <w:tcW w:w="64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98.1%</w:t>
            </w:r>
          </w:p>
        </w:tc>
        <w:tc>
          <w:tcPr>
            <w:tcW w:w="30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Daniel R. Revers</w:t>
            </w:r>
          </w:p>
        </w:tc>
        <w:tc>
          <w:tcPr>
            <w:tcW w:w="1440" w:type="dxa"/>
            <w:vAlign w:val="bottom"/>
            <w:gridSpan w:val="2"/>
          </w:tcPr>
          <w:p>
            <w:pPr>
              <w:jc w:val="right"/>
              <w:ind w:right="224"/>
              <w:spacing w:after="0"/>
              <w:rPr>
                <w:sz w:val="20"/>
                <w:szCs w:val="20"/>
                <w:color w:val="auto"/>
              </w:rPr>
            </w:pPr>
            <w:r>
              <w:rPr>
                <w:rFonts w:ascii="Arial" w:cs="Arial" w:eastAsia="Arial" w:hAnsi="Arial"/>
                <w:sz w:val="18"/>
                <w:szCs w:val="18"/>
                <w:color w:val="auto"/>
                <w:w w:val="95"/>
              </w:rPr>
              <w:t>7,047,500</w:t>
            </w:r>
            <w:r>
              <w:rPr>
                <w:rFonts w:ascii="Arial" w:cs="Arial" w:eastAsia="Arial" w:hAnsi="Arial"/>
                <w:sz w:val="15"/>
                <w:szCs w:val="15"/>
                <w:color w:val="auto"/>
                <w:w w:val="95"/>
              </w:rPr>
              <w:t>(3)(4)</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98.1%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Arno Harris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Ja-Chin Audrey Lee</w:t>
            </w:r>
          </w:p>
        </w:tc>
        <w:tc>
          <w:tcPr>
            <w:tcW w:w="800" w:type="dxa"/>
            <w:vAlign w:val="bottom"/>
          </w:tcPr>
          <w:p>
            <w:pPr>
              <w:jc w:val="right"/>
              <w:spacing w:after="0"/>
              <w:rPr>
                <w:sz w:val="20"/>
                <w:szCs w:val="20"/>
                <w:color w:val="auto"/>
              </w:rPr>
            </w:pPr>
            <w:r>
              <w:rPr>
                <w:rFonts w:ascii="Arial" w:cs="Arial" w:eastAsia="Arial" w:hAnsi="Arial"/>
                <w:sz w:val="18"/>
                <w:szCs w:val="18"/>
                <w:color w:val="auto"/>
              </w:rPr>
              <w:t>35,000</w:t>
            </w:r>
          </w:p>
        </w:tc>
        <w:tc>
          <w:tcPr>
            <w:tcW w:w="6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Goncher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Steven Berkenfeld</w:t>
            </w:r>
          </w:p>
        </w:tc>
        <w:tc>
          <w:tcPr>
            <w:tcW w:w="800" w:type="dxa"/>
            <w:vAlign w:val="bottom"/>
          </w:tcPr>
          <w:p>
            <w:pPr>
              <w:jc w:val="right"/>
              <w:spacing w:after="0"/>
              <w:rPr>
                <w:sz w:val="20"/>
                <w:szCs w:val="20"/>
                <w:color w:val="auto"/>
              </w:rPr>
            </w:pPr>
            <w:r>
              <w:rPr>
                <w:rFonts w:ascii="Arial" w:cs="Arial" w:eastAsia="Arial" w:hAnsi="Arial"/>
                <w:sz w:val="18"/>
                <w:szCs w:val="18"/>
                <w:color w:val="auto"/>
              </w:rPr>
              <w:t>35,000</w:t>
            </w:r>
          </w:p>
        </w:tc>
        <w:tc>
          <w:tcPr>
            <w:tcW w:w="6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officers, directors and director nominees as a group (five</w:t>
            </w: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individuals)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7,187,500</w:t>
            </w:r>
          </w:p>
        </w:tc>
        <w:tc>
          <w:tcPr>
            <w:tcW w:w="64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our shareholders is 200 Clarendon Street, 55th Floor, Boston, MA 02116.</w:t>
      </w:r>
    </w:p>
    <w:p>
      <w:pPr>
        <w:spacing w:after="0" w:line="9"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at the time of our initial business combination or earlier at the option of the holders thereof as described in the section entitled “Description of Securities.”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shares reported above are held in the name of our sponsor. Our sponsor is controlled by Mr. Revers.</w:t>
      </w:r>
    </w:p>
    <w:p>
      <w:pPr>
        <w:spacing w:after="0" w:line="9" w:lineRule="exact"/>
        <w:rPr>
          <w:rFonts w:ascii="Arial" w:cs="Arial" w:eastAsia="Arial" w:hAnsi="Arial"/>
          <w:sz w:val="18"/>
          <w:szCs w:val="18"/>
          <w:color w:val="auto"/>
        </w:rPr>
      </w:pPr>
    </w:p>
    <w:p>
      <w:pPr>
        <w:ind w:left="540" w:right="280" w:hanging="424"/>
        <w:spacing w:after="0" w:line="260"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up to 937,500 founder shares that will be surrendered to us for no consideration by our sponsor depending on the extent to which the underwriters’ over-allotment option is exercised.</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20"/>
          </w:cols>
          <w:pgMar w:left="320" w:top="459" w:right="5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Immediately after this offering, our initial shareholders will beneficially own 20% of the then issued and outstanding ordinary shares (assuming they do not purchase any units in this offering) and will have the right to appoint all of our directors prior to our initial business combination. Holders of our public shares will not have the right to appoint any directors to our board of directors prior to our initial business combination. Because of this ownership block, our sponsor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 If we increase or decrease the size of this offering, we will effect a share capitalization or a share surrender or redemption or other appropriate mechanism, as applicable, with respect to our Class B ordinary shares immediately prior to the consummation of this offering in such amount as to maintain the number of founder shares, on an as-converted basis, at 20% of our issued and outstanding ordinary shares upon the consummation of this offering.</w:t>
      </w:r>
    </w:p>
    <w:p>
      <w:pPr>
        <w:spacing w:after="0" w:line="181"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Our sponsor has agreed (a) to vote any founder shares and public shares held by it in favor of any proposed business combination and (b) not to redeem any founder shares or public shares held by it in connection with a shareholder vote to approve a proposed initial business combination.</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sponsor is deemed to be our “promoter” as such term is defined under the federal securities laws.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The founder shares, private placement warrants and any Class A ordinary shares issued upon conversion or exercise thereof are each subject to transfer restrictions pursuant to lock-up provisions in the agreement entered into by our sponsor and management team. Our sponsor and each member of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Class A ordinary shares for cash, securities or other property. The private placement warrants and the respective Class A ordinary shares underlying such warrants are not transferable or salable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founder shares, private placement warrants or Class A ordinary shares,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 (i) in the event of our completion of a liquidation, merger, share exchange or other similar transaction which results in all of our public shareholders having the right to exchange their Class A ordinary shares for cash, securities or other property subsequent to our completion of our initial business combination; </w:t>
      </w:r>
      <w:r>
        <w:rPr>
          <w:rFonts w:ascii="Arial" w:cs="Arial" w:eastAsia="Arial" w:hAnsi="Arial"/>
          <w:sz w:val="16"/>
          <w:szCs w:val="16"/>
          <w:i w:val="1"/>
          <w:iCs w:val="1"/>
          <w:color w:val="auto"/>
        </w:rPr>
        <w:t>provided</w:t>
      </w:r>
      <w:r>
        <w:rPr>
          <w:rFonts w:ascii="Arial" w:cs="Arial" w:eastAsia="Arial" w:hAnsi="Arial"/>
          <w:sz w:val="16"/>
          <w:szCs w:val="16"/>
          <w:color w:val="auto"/>
        </w:rPr>
        <w:t>, however, that in the case of clauses (a) through (f) these permitted transferees must enter into a written agreement agreeing to be bound by these transfer restrictions and the other restrictions contained in the letter agreement.</w:t>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On January 20, 2021, our sponsor paid $25,000, or approximately $0.003 per share, to cover certain expenses on our behalf in consideration of 7,187,500 Class B ordinary shares, par value $0.0001. The number of founder shares issued was determined based on the expectation that such founder shares would represent 20% of the issued and outstanding shares upon completion of this offering. On February 2, 2021, our sponsor transferred 35,000 founder shares to each of Arno Harris, Ja-Chin Audrey Lee, Brian Goncher and Steven Berkenfeld, our independent director nominees. If we increase or decrease the size of this offering, we will effect a share capitalization or a share surrender or redemption or other appropriate mechanism, as applicable, with respect to our Class B ordinary shares immediately prior to the consummation of this offering in such amount as to maintain the number of founder shares, on an as-converted basis, at 20% of the issued and outstanding ordinary shares upon the consummation of this offering. Up to 937,500 founder shares are subject to forfeiture by our sponsor depending on the extent to which the underwriters’ over-allotment option is exercised. The founder shares (including the Class A ordinary shares issuable upon exercise thereof) may not, subject to certain limited exceptions, be transferred, assigned or sold by the holder.</w:t>
      </w:r>
    </w:p>
    <w:p>
      <w:pPr>
        <w:spacing w:after="0" w:line="185"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Our sponsor has committed, pursuant to a written agreement, to purchase an aggregate of 8,000,000 private placement warrants (or 8,750,000 private placement warrants if the over-allotment option is exercised in full) for a purchase price of $1.00 per whole warrant in a private placement that will occur simultaneously with the closing of this offering. As such, our sponsor’s interest in this transaction is valued at between $8,000,000 and $8,750,000, depending on the number of private placement warrants purchased. Each private placement warrant entitles the holder to purchase one Class A ordinary share at $11.50 per share, subject to adjustment. The private placement warrants (including the Class A ordinary shares issuable upon exercise thereof) may not, subject to certain limited exceptions, be transferred, assigned or sold by the holder until 30 days after the completion of our initial business combination.</w:t>
      </w:r>
    </w:p>
    <w:p>
      <w:pPr>
        <w:spacing w:after="0" w:line="19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As more fully discussed in the section of this prospectus entitled “Management — Conflicts of Interest,”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currently maintain our executive offices at 200 Clarendon Street, 55th Floor, Boston, MA 02116. The cost for our use of this space is included in the $10,000 per month fee we will pay to an affiliate of our sponsor for office space, administrative and support services, commencing on the date that our securities are first listed on NASDAQ. Upon completion of our initial business combination or our liquidation, we will cease paying these monthly fees.</w:t>
      </w:r>
    </w:p>
    <w:p>
      <w:pPr>
        <w:spacing w:after="0" w:line="18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No compensation of any kind, including finder’s and consulting fees, will be paid to our sponsor, officers and directors, or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78"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Prior to the consummation of this offering, our sponsor has agreed to loan us up to $300,000 to be used for a portion of the expenses of this offering. These loans are non-interest bearing, unsecured and are due at the earlier of June 30, 2021 and the closing of this offering. The loan will be repaid upon the closing of this offering out of the offering proceeds not held in the trust account.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may repay such loaned amounts out of the proceeds of the trust account released to us.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including as to exercise price, exercisability and exercise period. The terms of such loans by our officers and directors, if any, have not been determined and no written agreements exist with respect to such loans. We do not expect to seek loans from parties other than our sponsor, its affiliates or our management team as we do not believe third parties will be willing to loan such funds and provide a waiver against any and all rights to seek access to funds in our trust account.</w:t>
      </w:r>
    </w:p>
    <w:p>
      <w:pPr>
        <w:spacing w:after="0" w:line="16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general meeting held to consider our initial business combination, as applicable, as it will be up to the directors of the post-combination business to determine executive and director compensation.</w:t>
      </w:r>
    </w:p>
    <w:p>
      <w:pPr>
        <w:spacing w:after="0" w:line="1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will enter into a registration and shareholder rights agreement pursuant to which our sponsor will be entitled to certain registration rights with respect to the private placement warrants, the warrants issuable upon conversion of working capital loans (if any) and the Class A ordinary shares issuable upon exercise of the foregoing and upon conversion of the founder shares, and, upon consummation of our initial business combination, to nominate three individuals for appointment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2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audit committee of our board of directors will adopt a charter, providing for the review, approval and/or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We are a Cayman Islands exempted company and our affairs will be governed by our amended and restated memorandum and articles of association, the Companies Act and the common law of the Cayman Islands. Pursuant to our amended and restated memorandum and articles of association, which will be adopted prior to the consummation of this offering, we will be authorized to issue 500,000,000 Class A ordinary shares and 50,000,000 Class B ordinary shares, as well as 5,000,000 preference shares, $0.0001 par value each. The following description summarizes the material terms of our shares as set out more particularly in our amended and restated memorandum and articles of association. Because it is only a summary, it may not contain all the information that is important to you.</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Each unit has an offering price of $10.00 and consists of one Class A ordinary share and one-fifth of one redeemable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w:t>
      </w:r>
    </w:p>
    <w:p>
      <w:pPr>
        <w:spacing w:after="0" w:line="18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The Class A ordinary shares and warrants comprising the units are expected to begin separate trading on the 52nd day following the date of this prospectus unless Citigroup Global Markets Inc.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five units, you will not be able to receive or trade a whole warrant.</w:t>
      </w:r>
    </w:p>
    <w:p>
      <w:pPr>
        <w:spacing w:after="0" w:line="19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reflecting our receipt of the gross proceeds at the closing of this offering and the sale of the private placement warrants. We will file a Current Report on Form 8-K which includes this audited balance sheet promptly after the completion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76"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Prior to the date of this prospectus, there were 7,187,500 Class B ordinary shares issued and outstanding, all of which were held of record by our initial shareholders, so that our initial shareholders will own 20% of our issued and outstanding shares after this offering and the expiration of the underwriters’ option to purchase additional units (assuming our sponsor does not purchase any units in this offering). Upon the closing of this offering, 31,250,000 of our ordinary shares will be outstanding (assuming no exercise of the underwriters’ over-allotment option) including:</w:t>
      </w:r>
    </w:p>
    <w:p>
      <w:pPr>
        <w:spacing w:after="0" w:line="63"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25,000,000 Class A ordinary shares underlying the units issued as part of this offering;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6,250,000 Class B ordinary shares held by our sponsor.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59" w:lineRule="auto"/>
        <w:rPr>
          <w:sz w:val="20"/>
          <w:szCs w:val="20"/>
          <w:color w:val="auto"/>
        </w:rPr>
      </w:pPr>
      <w:r>
        <w:rPr>
          <w:rFonts w:ascii="Arial" w:cs="Arial" w:eastAsia="Arial" w:hAnsi="Arial"/>
          <w:sz w:val="18"/>
          <w:szCs w:val="18"/>
          <w:color w:val="auto"/>
        </w:rPr>
        <w:t>If we increase or decrease the size of this offering, we will effect a share capitalization or a compulsory redemption or redemption or other appropriate mechanism, as applicable, with respect to our Class B ordinary shares immediately prior to the consummation of this offering in such amount as to maintain the number of founder shares, on an as-converted basis, at 20% of our issued and outstanding ordinary shares upon the consummation of this offering.</w:t>
      </w:r>
    </w:p>
    <w:p>
      <w:pPr>
        <w:spacing w:after="0" w:line="18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Act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appointed in each year. There is no cumulative voting with respect to the appointment of directors, with the result that the holders of more than 50% of the shares voted for the appointment of directors can appoint all of the directors. Our shareholders are entitled to receive ratable dividends when, as and if declared by the board of directors out of funds legally available therefor. Prior to our initial business combination, holders of our founder shares are the only shareholders of the company which will have the right to vote on the appointment of directors. Holders of our public shares will not be entitled to vote on the appointment of directors during such time. In addition, prior to the completion of an initial business combination, holders of a majority of our founder shares may remove a member of the board of directors for any reason.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general meeting which shall include the affirmative vote of a simple majority of our Class B ordinary shares.</w:t>
      </w:r>
    </w:p>
    <w:p>
      <w:pPr>
        <w:spacing w:after="0" w:line="174" w:lineRule="exact"/>
        <w:rPr>
          <w:sz w:val="20"/>
          <w:szCs w:val="20"/>
          <w:color w:val="auto"/>
        </w:rPr>
      </w:pPr>
    </w:p>
    <w:p>
      <w:pPr>
        <w:jc w:val="both"/>
        <w:ind w:left="120" w:right="280" w:firstLine="440"/>
        <w:spacing w:after="0" w:line="279" w:lineRule="auto"/>
        <w:rPr>
          <w:sz w:val="20"/>
          <w:szCs w:val="20"/>
          <w:color w:val="auto"/>
        </w:rPr>
      </w:pPr>
      <w:r>
        <w:rPr>
          <w:rFonts w:ascii="Arial" w:cs="Arial" w:eastAsia="Arial" w:hAnsi="Arial"/>
          <w:sz w:val="17"/>
          <w:szCs w:val="17"/>
          <w:color w:val="auto"/>
        </w:rPr>
        <w:t>Because our amended and restated memorandum and articles of association will authorize the issuance of up to 500,000,000 Class A ordinary shares, if we were to enter into a business combination, we may (depending on the terms of such a business combination) be required to increase the number of Class A ordinary shares which we will be authorized to issue at the same time as our shareholders vote on the business combination to the extent we seek shareholder approval in connection with our initial business combination.</w:t>
      </w:r>
    </w:p>
    <w:p>
      <w:pPr>
        <w:spacing w:after="0" w:line="17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board of directors is divided into three classes with only one class of directors being appointed in each year and each class (except for those directors appointed prior to our first annual general meeting) serving a three-year term. In accordance with NASDAQ corporate governance requirements, we are not required to hold an annual meeting until one year after our first fiscal year end following our listing on NASDAQ. There is no requirement under the Companies Act for us to hold annual or extraordinary general meetings to appoint directors. We may not hold an annual general meeting to appoint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92"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will include the requirement that a beneficial owner must identify itself in order to valid redeem its shares. Our sponsor and each member of our management team have entered into an agreement with us, pursuant to which they have agreed to waive their redemption rights with respect to any founder shares and public shares held by them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applicable law or stock exchange listing requirements, if a shareholder vote is not required by applicable law or stock exchange listing requirements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listing requirements, or we decide to obtain shareholder approval for business or other reasons, we will, like many blank check companies, offer to redeem shares in conjunction with a proxy solicitation pursuant to the proxy rules and not pursuant to the tender offer rules. 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For purposes of seeking approval of the majority of our issued and outstanding ordinary shares, non-votes will have no effect on the approval of our initial business combination once a quorum is obtained. Our amended and restated memorandum and articles of association will require that at least five days’ notice will be given of any general meeting.</w:t>
      </w:r>
    </w:p>
    <w:p>
      <w:pPr>
        <w:spacing w:after="0" w:line="3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 As a result, in addition to our initial shareholders’ founder shares, we would need 9,375,001, or 37.5% (assuming all issued and outstanding shares are voted and the over-allotment option is not exercised), or 1,562,501, or 6.25% (assuming only the minimum number of shares representing a quorum are voted and the over-allotment option is not exercised), of the 25,000,000 public shares sold in this offering to be voted in favor of an initial business combination in order to have our initial business combination approved. Additionally, each public shareholder may elect to redeem their public shares irrespective of whether they vote for or against the proposed transaction or vote at all.</w:t>
      </w:r>
    </w:p>
    <w:p>
      <w:pPr>
        <w:spacing w:after="0" w:line="18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Pursuant to our amended and restated memorandum and articles of association, if we have not consummated an initial business combination within 24 months (or 30 months, as applicable) from the closing of this offering (or 30 months from the closing of this offering if we have executed a letter of intent, agreement in principle or definitive agreement for an initial business combination within 24 months (or 30 months, as applicable) from the closing of this offering but have not completed the initial business combination within such 24-month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sponsor and each member of our management team have entered into an agreement with us, pursuant to which they have agreed to waive their rights to liquidating distributions from the trust account with respect to any founder shares they hold if we fail to consummate an initial business combination within 24 months (or 30 months, as applicable) from the closing of this offering (although they will be entitled to liquidating distributions from the trust account with respect to any public shares they hold if we fail to complete our initial business combination within the prescribed time frame).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39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income taxes, if any, divided by the number of the then-outstanding public shares, upon the completion of our initial business combination, subject to the limitations described herein.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founder shares are designated as Class B ordinary shares and, except as described below, are identical to the Class A ordinary shares included in the units being sold in this offering, and holders of founder shares have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the same shareholder rights as public shareholders, except that: (a) prior to our initial business combination, holders of the founder shares have the right to vote on the appointment of directors and holders of a majority of our founder shares may remove a member of the board of directors for any reason;</w:t>
      </w:r>
    </w:p>
    <w:p>
      <w:pPr>
        <w:ind w:left="120" w:right="20" w:hanging="4"/>
        <w:spacing w:after="0" w:line="266" w:lineRule="auto"/>
        <w:tabs>
          <w:tab w:leader="none" w:pos="375"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founder shares are subject to certain transfer restrictions, as described in more detail below; (c) our sponsor and each member of our management team have entered into an agreement with us, pursuant to which they have agreed to (i) waive their redemption rights with respect to their founder shares, (ii) to waive their redemption rights with respect to their founder shares and public shares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and (iii) waive their rights to liquidating distributions from the trust account with respect to any founder shares they hold if we fail to consummate an initial business combination within 24 months (or 30 months, as applicable) from the closing of this offering (although they will be entitled to liquidating distributions from the trust account with respect to any public shares they hold if we fail to complete our initial business combination within the prescribed time frame); (d) the founder shares will automatically convert into our Class A ordinary shares at the time of our initial business combination or earlier at the option of the holders thereof as described herein; and (e) the founder shares are entitled to registration rights. 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w:t>
      </w:r>
    </w:p>
    <w:p>
      <w:pPr>
        <w:spacing w:after="0" w:line="191"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The founder shares are designated as Class B ordinary shares and will automatically convert into Class A ordinary shares (which such Class A ordinary shares delivered upon conversion will not have redemption rights or be entitled to liquidating distributions from the trust account if we do not consummate an initial business combination) at the time of our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our sponsor, its affiliates or any member of our management team upon conversion of working capital loans. In no event will the Class B ordinary shares convert into Class A ordinary shares at a rate of less than one-to-one.</w:t>
      </w:r>
    </w:p>
    <w:p>
      <w:pPr>
        <w:spacing w:after="0" w:line="16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Except as described herein, our sponsor and our directors and executive officers have agreed not to transfer, assign or sell any of their founder shares until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ordinary shares for cash, securities or other property. We refer to such transfer restrictions throughout this prospectus as the lock-up. Any permitted transferees would be subject to the same restrictions and other agreements of our sponsor and our directors and executive officers with respect to any founder shares.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Prior to our initial business combination, holders of our founder shares are the only shareholders of the company which will have the right to vote on the appointment of directors. Holders of our public shares will not be entitled to vote on the appointment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not less than two-thirds of our ordinary shares who attend and vote at our general meeting which shall include the affirmative vote of a simple majority of our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 of Members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Cayman Islands law, we must keep a register of members and there will be entered therein:</w:t>
      </w:r>
    </w:p>
    <w:p>
      <w:pPr>
        <w:spacing w:after="0" w:line="131" w:lineRule="exact"/>
        <w:rPr>
          <w:sz w:val="20"/>
          <w:szCs w:val="20"/>
          <w:color w:val="auto"/>
        </w:rPr>
      </w:pPr>
    </w:p>
    <w:p>
      <w:pPr>
        <w:ind w:left="1080" w:right="80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 and the voting rights of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Preference Shares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Our amended and restated memorandum and articles of association will authorize 5,000,000 preference shares and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are being issued or registered in this offering.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Shareholders’ Warrants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Each whole warrant entitles the registered holder to purchase one Class A ordinary share at a price of $11.50 per share, subject to adjustment as discussed below, at any time commencing 30 days after the completion of our initial business combination, except as discussed in the immediately succeeding paragraph.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five units, you will not be able to receive or trade a whole warrant. The warrants will expire five years after the completion of our initial business combination, at 5:00 p.m., New York City time, or earlier upon redemption or liquidation.</w:t>
      </w:r>
    </w:p>
    <w:p>
      <w:pPr>
        <w:spacing w:after="0" w:line="19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8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have agreed that as soon as practicable, but in no event later than twenty business days after the closing of our initial business combination, we will use our commercially reasonable efforts to file with the SEC a registration statement for the registration, under the Securities Act, of the Class A ordinary shares issuable upon exercise of the warrants, and we will use our commercially reasonable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as specified in the warrant agreement; provided that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Class A ordinary shares equal to the lesser of (A) the quotient obtained by dividing (x) the product of the number of Class A ordinary shares underlying the warrants, multiplied by the excess of the “fair market value” (defined below) less the exercise price of the warrants by (y) the fair market value and (B) 0.361. The “fair market value” as used in this paragraph shall mean the volume weighted average price of the Class A ordinary shares for the 10 trading days ending on the trading day prior to the date on which the notice of exercise is received by the warrant agent.</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Redemption of warrants when the price per Class A ordinary share equals or exceeds $18.00.</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76"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080" w:right="220" w:hanging="424"/>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$18.00 per share (as adjusted for adjustments to the number of shares issuable upon exercise or the exercise price of a warrant as described under the heading “— Warrants — Public Shareholders’ Warrants — Anti-Dilution Adjustments”) for any 20 trading days within a 30-trading day period ending three trading days before we send the notice of redemption to the warrant holders.</w:t>
      </w:r>
    </w:p>
    <w:p>
      <w:pPr>
        <w:spacing w:after="0" w:line="18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We will not redeem the warrants as described above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71"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adjustments to the number of shares issuable upon exercise or the exercise price of a warrant as described under the heading “— Warrants — Public Shareholders’ Warrants — Anti-dilution Adjustments”) as well as the $11.50 (for whole shares) warrant exercise price after the redemption notice is issued.</w:t>
      </w:r>
    </w:p>
    <w:p>
      <w:pPr>
        <w:spacing w:after="0" w:line="17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Redemption of warrants when the price per Class A ordinary share equals or exceeds $10.00. Once the warrants become exercisable, we may redeem the outstanding warrants:</w:t>
      </w:r>
    </w:p>
    <w:p>
      <w:pPr>
        <w:spacing w:after="0" w:line="76"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40" w:hanging="424"/>
        <w:spacing w:after="0" w:line="311"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our Class A ordinary shares (as defined below) except as otherwise described below;</w:t>
      </w:r>
    </w:p>
    <w:p>
      <w:pPr>
        <w:spacing w:after="0" w:line="54"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and only if, the closing price of our Class A ordinary shares equals or exceeds $10.00 per public share (as adjusted for adjustments to the number of shares issuable upon exercise or the exercise price of a warrant as described under the heading “— Warrants — Public Shareholders’ Warrants — Anti-Dilution Adjustments”) for any 20 trading days within the 30-trading day period ending three trading days before we send the notice of redemption to the warrant holders; and</w:t>
      </w:r>
    </w:p>
    <w:p>
      <w:pPr>
        <w:spacing w:after="0" w:line="92"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 Warrants — Public Shareholders’ Warrants — Anti-dilution Adjustments”), the private placement warrants must also be concurrently called for redemption on the same terms as the outstanding public warrants, as described above.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Beginning on the date the notice of redemption is given until the warrants are redeemed or exercised,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“fair market value” of our Class A ordinary shares on the corresponding redemption date (assuming holders elect to exercise their warrants and such warrants are not redeemed for $0.10 per warrant), determined for these purposes based on volume 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Pursuant to the warrant agreement, references above to Class A ordinary shares shall include a security other than Class A ordinary shares into which the Class A ordinary shares have been converted or exchanged for in the event we are not the surviving company in our initial business combination. The numbers in the table below will not be adjusted when determining the number of Class A ordinary shares to be issued upon exercise of the warrants if we are not the surviving entity following our initial business combination.</w:t>
      </w:r>
    </w:p>
    <w:p>
      <w:pPr>
        <w:spacing w:after="0" w:line="187"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color w:val="auto"/>
        </w:rPr>
        <w:t>The share prices set forth in the column headings of the table below will be adjusted as of any date on which the number of shares issuable upon exercise of a warrant or the exercise price of a warrant is adjusted as set forth under the heading “— 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Anti-dilution Adjustments” below, the adjusted share prices in the column headings will equal the unadjusted share price multiplied by a fraction, the numerator of which is the higher of the Market Value and the Newly Issued Price as set forth under the heading “— Anti-dilution Adjustments” and the denominator of which is $10.00 and</w:t>
      </w:r>
    </w:p>
    <w:p>
      <w:pPr>
        <w:spacing w:after="0" w:line="6" w:lineRule="exact"/>
        <w:rPr>
          <w:sz w:val="20"/>
          <w:szCs w:val="20"/>
          <w:color w:val="auto"/>
        </w:rPr>
      </w:pPr>
    </w:p>
    <w:p>
      <w:pPr>
        <w:ind w:left="5480" w:right="4980" w:hanging="5364"/>
        <w:spacing w:after="0" w:line="403" w:lineRule="auto"/>
        <w:tabs>
          <w:tab w:leader="none" w:pos="362"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 the case of an adjustment pursuant to the second paragraph under the heading 139</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 Anti-dilution Adjustments” below, the adjusted share prices in the column headings will equal the unadjusted share price less the decrease in the exercise price of a warrant pursuant to such exercise price adjustment.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Arial" w:cs="Arial" w:eastAsia="Arial" w:hAnsi="Arial"/>
                <w:sz w:val="14"/>
                <w:szCs w:val="14"/>
                <w:b w:val="1"/>
                <w:bCs w:val="1"/>
                <w:color w:val="auto"/>
              </w:rPr>
              <w:t>Redemption Date</w:t>
            </w:r>
          </w:p>
        </w:tc>
        <w:tc>
          <w:tcPr>
            <w:tcW w:w="3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40" w:type="dxa"/>
            <w:vAlign w:val="bottom"/>
            <w:gridSpan w:val="10"/>
          </w:tcPr>
          <w:p>
            <w:pPr>
              <w:ind w:left="100"/>
              <w:spacing w:after="0"/>
              <w:rPr>
                <w:sz w:val="20"/>
                <w:szCs w:val="20"/>
                <w:color w:val="auto"/>
              </w:rPr>
            </w:pPr>
            <w:r>
              <w:rPr>
                <w:rFonts w:ascii="Arial" w:cs="Arial" w:eastAsia="Arial" w:hAnsi="Arial"/>
                <w:sz w:val="14"/>
                <w:szCs w:val="14"/>
                <w:b w:val="1"/>
                <w:bCs w:val="1"/>
                <w:color w:val="auto"/>
              </w:rPr>
              <w:t>Fair Market Value of Class A Ordinary Shares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w w:val="93"/>
              </w:rPr>
              <w:t>(period to expiration of warrants)</w:t>
            </w:r>
          </w:p>
        </w:tc>
        <w:tc>
          <w:tcPr>
            <w:tcW w:w="308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80" w:type="dxa"/>
            <w:vAlign w:val="bottom"/>
            <w:tcBorders>
              <w:bottom w:val="single" w:sz="8" w:color="auto"/>
            </w:tcBorders>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w w:val="91"/>
              </w:rPr>
              <w:t xml:space="preserve">£ </w:t>
            </w:r>
            <w:r>
              <w:rPr>
                <w:rFonts w:ascii="Arial" w:cs="Arial" w:eastAsia="Arial" w:hAnsi="Arial"/>
                <w:sz w:val="14"/>
                <w:szCs w:val="14"/>
                <w:b w:val="1"/>
                <w:bCs w:val="1"/>
                <w:color w:val="auto"/>
                <w:w w:val="91"/>
              </w:rPr>
              <w:t>$10.00</w:t>
            </w:r>
          </w:p>
        </w:tc>
        <w:tc>
          <w:tcPr>
            <w:tcW w:w="160" w:type="dxa"/>
            <w:vAlign w:val="bottom"/>
          </w:tcPr>
          <w:p>
            <w:pPr>
              <w:spacing w:after="0"/>
              <w:rPr>
                <w:sz w:val="12"/>
                <w:szCs w:val="12"/>
                <w:color w:val="auto"/>
              </w:rPr>
            </w:pPr>
          </w:p>
        </w:tc>
        <w:tc>
          <w:tcPr>
            <w:tcW w:w="5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11.00</w:t>
            </w:r>
          </w:p>
        </w:tc>
        <w:tc>
          <w:tcPr>
            <w:tcW w:w="160" w:type="dxa"/>
            <w:vAlign w:val="bottom"/>
          </w:tcPr>
          <w:p>
            <w:pPr>
              <w:spacing w:after="0"/>
              <w:rPr>
                <w:sz w:val="12"/>
                <w:szCs w:val="12"/>
                <w:color w:val="auto"/>
              </w:rPr>
            </w:pPr>
          </w:p>
        </w:tc>
        <w:tc>
          <w:tcPr>
            <w:tcW w:w="4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12.00</w:t>
            </w:r>
          </w:p>
        </w:tc>
        <w:tc>
          <w:tcPr>
            <w:tcW w:w="160" w:type="dxa"/>
            <w:vAlign w:val="bottom"/>
          </w:tcPr>
          <w:p>
            <w:pPr>
              <w:spacing w:after="0"/>
              <w:rPr>
                <w:sz w:val="12"/>
                <w:szCs w:val="12"/>
                <w:color w:val="auto"/>
              </w:rPr>
            </w:pPr>
          </w:p>
        </w:tc>
        <w:tc>
          <w:tcPr>
            <w:tcW w:w="50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13.00</w:t>
            </w:r>
          </w:p>
        </w:tc>
        <w:tc>
          <w:tcPr>
            <w:tcW w:w="160" w:type="dxa"/>
            <w:vAlign w:val="bottom"/>
          </w:tcPr>
          <w:p>
            <w:pPr>
              <w:spacing w:after="0"/>
              <w:rPr>
                <w:sz w:val="12"/>
                <w:szCs w:val="12"/>
                <w:color w:val="auto"/>
              </w:rPr>
            </w:pPr>
          </w:p>
        </w:tc>
        <w:tc>
          <w:tcPr>
            <w:tcW w:w="4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14.00</w:t>
            </w:r>
          </w:p>
        </w:tc>
        <w:tc>
          <w:tcPr>
            <w:tcW w:w="160" w:type="dxa"/>
            <w:vAlign w:val="bottom"/>
          </w:tcPr>
          <w:p>
            <w:pPr>
              <w:spacing w:after="0"/>
              <w:rPr>
                <w:sz w:val="12"/>
                <w:szCs w:val="12"/>
                <w:color w:val="auto"/>
              </w:rPr>
            </w:pPr>
          </w:p>
        </w:tc>
        <w:tc>
          <w:tcPr>
            <w:tcW w:w="4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15.00</w:t>
            </w:r>
          </w:p>
        </w:tc>
        <w:tc>
          <w:tcPr>
            <w:tcW w:w="160" w:type="dxa"/>
            <w:vAlign w:val="bottom"/>
          </w:tcPr>
          <w:p>
            <w:pPr>
              <w:spacing w:after="0"/>
              <w:rPr>
                <w:sz w:val="12"/>
                <w:szCs w:val="12"/>
                <w:color w:val="auto"/>
              </w:rPr>
            </w:pPr>
          </w:p>
        </w:tc>
        <w:tc>
          <w:tcPr>
            <w:tcW w:w="5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16.00</w:t>
            </w:r>
          </w:p>
        </w:tc>
        <w:tc>
          <w:tcPr>
            <w:tcW w:w="160" w:type="dxa"/>
            <w:vAlign w:val="bottom"/>
          </w:tcPr>
          <w:p>
            <w:pPr>
              <w:spacing w:after="0"/>
              <w:rPr>
                <w:sz w:val="12"/>
                <w:szCs w:val="12"/>
                <w:color w:val="auto"/>
              </w:rPr>
            </w:pPr>
          </w:p>
        </w:tc>
        <w:tc>
          <w:tcPr>
            <w:tcW w:w="5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17.00</w:t>
            </w:r>
          </w:p>
        </w:tc>
        <w:tc>
          <w:tcPr>
            <w:tcW w:w="180" w:type="dxa"/>
            <w:vAlign w:val="bottom"/>
          </w:tcPr>
          <w:p>
            <w:pPr>
              <w:spacing w:after="0"/>
              <w:rPr>
                <w:sz w:val="12"/>
                <w:szCs w:val="12"/>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color w:val="auto"/>
                <w:w w:val="96"/>
              </w:rPr>
              <w:t xml:space="preserve">³ </w:t>
            </w:r>
            <w:r>
              <w:rPr>
                <w:rFonts w:ascii="Arial" w:cs="Arial" w:eastAsia="Arial" w:hAnsi="Arial"/>
                <w:sz w:val="14"/>
                <w:szCs w:val="14"/>
                <w:b w:val="1"/>
                <w:bCs w:val="1"/>
                <w:color w:val="auto"/>
                <w:w w:val="96"/>
              </w:rPr>
              <w:t>18.00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60 months</w:t>
            </w:r>
          </w:p>
        </w:tc>
        <w:tc>
          <w:tcPr>
            <w:tcW w:w="30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0.261</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0.281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0.297</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0.311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0.324</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0.337</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0.348</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0.358</w:t>
            </w: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57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0.257</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0.277</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0.294</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0.310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0.324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0.337</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0.348</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0.358</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54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0.252</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0.272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0.291</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0.307</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0.322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0.335</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0.347</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0.357</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51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0.246</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0.268</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0.287</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0.304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0.320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0.333</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48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0.241</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0.263</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0.283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0.317</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0.332</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0.344</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45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0.235</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0.258</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0.279</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0.298</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0.315</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0.330</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0.343</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42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0.228</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0.252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0.274</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0.312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0.328</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0.342</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39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0.221</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0.246</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0.269</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0.290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0.309</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0.325</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0.340</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0.354</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36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0.213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0.239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0.263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0.285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0.323</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0.339</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33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0.205</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0.232</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0.257</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0.280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0.301</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0.320</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0.337</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30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0.196</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0.224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0.250</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0.274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0.297</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0.316</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0.335</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27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0.185</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0.214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0.242</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0.268</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0.291</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0.313</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0.332</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24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0.173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0.204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0.233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0.260</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0.285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0.308</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0.329</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21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0.161</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0.193</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0.223</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0.252</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0.279</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0.304</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0.326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0.347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18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0.146</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0.179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0.211</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0.242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0.271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0.298</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0.322</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15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0.130</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0.164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0.197</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0.230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0.262</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0.291</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0.317</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0.342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12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0.111</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0.146</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0.181</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0.216</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0.250</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0.282</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0.312</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0.339</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9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0.090</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0.125</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0.162</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0.199</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0.237</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0.272</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0.305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0.336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6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0.065</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0.099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0.137</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0.178</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0.219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0.259</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0.296</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0.034</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0.065</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0.104</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0.150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0.197</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0.243</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0.286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0.326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0 months</w:t>
            </w:r>
          </w:p>
        </w:tc>
        <w:tc>
          <w:tcPr>
            <w:tcW w:w="3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0.042</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0.115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0.179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0.233</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0.281</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ordinary shares for each whole warrant. For an example where the exact fair market value and redemption date are not as set forth in the table above, if the volume weighted average price of our Class A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on a cashless basis in connection with this redemption feature for more than 0.361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ordinary shares.</w:t>
      </w:r>
    </w:p>
    <w:p>
      <w:pPr>
        <w:spacing w:after="0" w:line="171" w:lineRule="exact"/>
        <w:rPr>
          <w:sz w:val="20"/>
          <w:szCs w:val="20"/>
          <w:color w:val="auto"/>
        </w:rPr>
      </w:pPr>
    </w:p>
    <w:p>
      <w:pPr>
        <w:jc w:val="both"/>
        <w:ind w:left="120" w:right="200" w:firstLine="440"/>
        <w:spacing w:after="0" w:line="279" w:lineRule="auto"/>
        <w:rPr>
          <w:sz w:val="20"/>
          <w:szCs w:val="20"/>
          <w:color w:val="auto"/>
        </w:rPr>
      </w:pPr>
      <w:r>
        <w:rPr>
          <w:rFonts w:ascii="Arial" w:cs="Arial" w:eastAsia="Arial" w:hAnsi="Arial"/>
          <w:sz w:val="17"/>
          <w:szCs w:val="17"/>
          <w:color w:val="auto"/>
        </w:rPr>
        <w:t>This redemption feature differs from the typical warrant redemption features used in some other blank check offerings, which only provide for a redemption of warrants for cash (other than the private placement warrants) when the trading price for the Class A ordinary shares exceeds $18.00 per share for a specified period of time. This redemption feature is structured to allow for all of the outstanding warrants to be redeemed when the Class A ordinary shares are trading at or above $10.00 per public share, which may be at a time when the trading</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price of our Class A ordinary shares is below the exercise price of the warrants. We have established this redemption feature to provide us with the flexibility to redeem the warrants without the warrants having to reach the $18.00 per share threshold set forth above under “— Redemption of warrants when the price per Class A ordinary share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6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 stated above, we can redeem the warrants when the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procedures.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Anti-dilution Adjustments.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If the number of outstanding Class A ordinary shares is increased by a capitalization or share dividend paid in Class A ordinary shares to all or substantially all holders of Class A ordinary shares, or by a split-up of Class Aordinary shares or other similar event, then, on the effective date of such capitalization or share dividend, split-up or similar event, the number of Class A ordinary shares issuable on exercise of each warrant will be increased in proportion to such increase in the outstanding Class A ordinary shares. A rights offering made to all or substantially all holders of ordinary shares entitling holders to purchase Class A ordinary shares at a price less than the “historical fair market value” (as defined below)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96" w:lineRule="auto"/>
        <w:rPr>
          <w:sz w:val="20"/>
          <w:szCs w:val="20"/>
          <w:color w:val="auto"/>
        </w:rPr>
      </w:pPr>
      <w:r>
        <w:rPr>
          <w:rFonts w:ascii="Arial" w:cs="Arial" w:eastAsia="Arial" w:hAnsi="Arial"/>
          <w:sz w:val="16"/>
          <w:szCs w:val="16"/>
          <w:color w:val="auto"/>
        </w:rPr>
        <w:t>share paid in such rights offering and (y) the historical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“historical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161" w:lineRule="exact"/>
        <w:rPr>
          <w:sz w:val="20"/>
          <w:szCs w:val="20"/>
          <w:color w:val="auto"/>
        </w:rPr>
      </w:pPr>
    </w:p>
    <w:p>
      <w:pPr>
        <w:ind w:left="120" w:right="100" w:firstLine="440"/>
        <w:spacing w:after="0" w:line="283"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all or substantially all of the holders of the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Class A ordinary shares issuable on exercise of each warrant) but only with respect to the amount of the aggregate cash dividends or cash distributions equal to or less than $0.50 per share,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w:t>
      </w:r>
    </w:p>
    <w:p>
      <w:pPr>
        <w:spacing w:after="0" w:line="6" w:lineRule="exact"/>
        <w:rPr>
          <w:sz w:val="20"/>
          <w:szCs w:val="20"/>
          <w:color w:val="auto"/>
        </w:rPr>
      </w:pPr>
    </w:p>
    <w:p>
      <w:pPr>
        <w:ind w:left="420" w:hanging="304"/>
        <w:spacing w:after="0"/>
        <w:tabs>
          <w:tab w:leader="none" w:pos="4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 modify the substance or timing of our obligation to provide holders of our Class A ordinary shares the right to have their shares redeemed in</w:t>
      </w:r>
    </w:p>
    <w:p>
      <w:pPr>
        <w:spacing w:after="0" w:line="20" w:lineRule="exact"/>
        <w:rPr>
          <w:rFonts w:ascii="Arial" w:cs="Arial" w:eastAsia="Arial" w:hAnsi="Arial"/>
          <w:sz w:val="17"/>
          <w:szCs w:val="17"/>
          <w:color w:val="auto"/>
        </w:rPr>
      </w:pPr>
    </w:p>
    <w:p>
      <w:pPr>
        <w:ind w:left="120"/>
        <w:spacing w:after="0" w:line="271" w:lineRule="auto"/>
        <w:rPr>
          <w:rFonts w:ascii="Arial" w:cs="Arial" w:eastAsia="Arial" w:hAnsi="Arial"/>
          <w:sz w:val="17"/>
          <w:szCs w:val="17"/>
          <w:color w:val="auto"/>
        </w:rPr>
      </w:pPr>
      <w:r>
        <w:rPr>
          <w:rFonts w:ascii="Arial" w:cs="Arial" w:eastAsia="Arial" w:hAnsi="Arial"/>
          <w:sz w:val="17"/>
          <w:szCs w:val="17"/>
          <w:color w:val="auto"/>
        </w:rPr>
        <w:t>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outstanding Class A ordinary shares.</w:t>
      </w:r>
    </w:p>
    <w:p>
      <w:pPr>
        <w:spacing w:after="0" w:line="18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7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115% of the higher of the Market Value and the Newly Issued Price, and the $18.00 per share redemption trigger price described above under “— Redemption of warrants when the price per Class A ordinary share equals or exceeds $18.00” will be adjusted (to the nearest cent) to be equal to 180% of the higher of the Market Value and the Newly Issued Price, and the $10.00 per share redemption trigger price described above under “— Redemption of warrants when the price per Class A ordinary share equals or exceeds $10.00” will be adjusted (to the nearest cent) to be equal to the higher of the Market Value and the Newly Issued Price.</w:t>
      </w:r>
    </w:p>
    <w:p>
      <w:pPr>
        <w:spacing w:after="0" w:line="188"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You should review a copy of the warrant agreement, which will be filed as an exhibit to the registration statement of which this prospectus is a part, for a complete description of the terms and conditions applicable to the warrants.</w:t>
      </w:r>
    </w:p>
    <w:p>
      <w:pPr>
        <w:spacing w:after="0" w:line="185"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Class A ordinary shares to be issued to the warrant holder.</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Except as described below, the private placement warrants have terms and provisions that are identical to those of the warrants being sold as part of the units in this offering. The private placement warrants (including the Class A ordinary shares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and Private Placement Warrants,” to our officers and directors and other persons or entities affiliated with the initial purchasers of the private placement warrants) and they will not be redeemable by us (except as described under “— Warrants — Public Shareholders’ Warrants — Redemption of warrants when the price per Class A ordinary share equals or exceeds $10.00”) so long as they are held by our sponsor or its permitted transferees (except as otherwise set forth herein). Our sponsor, or its permitted transferees, has the option to exercise the private placement warrants on a cashless basis. If the private placement warrants are held by holders other than our sponsor or its permitted transferees, the private placement warrants will be redeemable by us in all redemption scenarios and exercisable by the holders on the same basis as the warrants included in the units being sold in this offering. Any amendment to the terms of the private placement warrants or any provision of the warrant agreement with respect to the private placement warrants will require a vote of holders of at least 50% of the number of the then outstanding private placement warrants.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Except as described above under “— Public Shareholders’ Warrants — Redemption of warrants when the price per Class A ordinary share equals or exceeds $10.00,” 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“Sponsor fair market value” (defined below) over the exercise price of the warrants by (y) the Sponsor fair market value. For these purposes, the “Sponsor fair market value” shall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warrants of the post business combination entity at a price of $1.00 per warrant at the option of the lender. Such warrants would be identical to the private placement warrants.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upon the consummation of this offering. Further, if we incur any indebtedness in connection with a business combination, our ability to declare dividends may be limited by restrictive covenants we may agree to in connection therewith.</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Differences in Corporate Law</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provisions of the Companies Act applicable to us and the laws applicable to companies incorporated in the United States and their shareholders.</w:t>
      </w:r>
    </w:p>
    <w:p>
      <w:pPr>
        <w:spacing w:after="0" w:line="23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Mergers and Similar Arrangements</w:t>
      </w:r>
      <w:r>
        <w:rPr>
          <w:rFonts w:ascii="Arial" w:cs="Arial" w:eastAsia="Arial" w:hAnsi="Arial"/>
          <w:sz w:val="18"/>
          <w:szCs w:val="18"/>
          <w:color w:val="auto"/>
        </w:rPr>
        <w:t>. In certain circumstances, the Companies Act allows for mergers or consolidations between two Cayman</w:t>
      </w:r>
      <w:r>
        <w:rPr>
          <w:rFonts w:ascii="Arial" w:cs="Arial" w:eastAsia="Arial" w:hAnsi="Arial"/>
          <w:sz w:val="18"/>
          <w:szCs w:val="18"/>
          <w:i w:val="1"/>
          <w:iCs w:val="1"/>
          <w:color w:val="auto"/>
        </w:rPr>
        <w:t xml:space="preserve"> </w:t>
      </w:r>
      <w:r>
        <w:rPr>
          <w:rFonts w:ascii="Arial" w:cs="Arial" w:eastAsia="Arial" w:hAnsi="Arial"/>
          <w:sz w:val="18"/>
          <w:szCs w:val="18"/>
          <w:color w:val="auto"/>
        </w:rPr>
        <w:t>Islands companies, or between a Cayman Islands exempted company and a company incorporated in another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is facilitated by the laws of that other jurisdiction).</w:t>
      </w:r>
    </w:p>
    <w:p>
      <w:pPr>
        <w:spacing w:after="0" w:line="184"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 majority of 662/3 % in value of the voting shares voted at a general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16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181"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w:t>
      </w:r>
    </w:p>
    <w:p>
      <w:pPr>
        <w:ind w:left="120" w:hanging="4"/>
        <w:spacing w:after="0" w:line="252"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Where the above procedures are adopted, the Companies Act provides for a right of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9"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w:t>
      </w:r>
    </w:p>
    <w:p>
      <w:pPr>
        <w:ind w:left="120" w:hanging="4"/>
        <w:spacing w:after="0" w:line="281" w:lineRule="auto"/>
        <w:tabs>
          <w:tab w:leader="none" w:pos="375" w:val="left"/>
        </w:tabs>
        <w:numPr>
          <w:ilvl w:val="0"/>
          <w:numId w:val="76"/>
        </w:numPr>
        <w:rPr>
          <w:rFonts w:ascii="Arial" w:cs="Arial" w:eastAsia="Arial" w:hAnsi="Arial"/>
          <w:sz w:val="16"/>
          <w:szCs w:val="16"/>
          <w:color w:val="auto"/>
        </w:rPr>
      </w:pPr>
      <w:r>
        <w:rPr>
          <w:rFonts w:ascii="Arial" w:cs="Arial" w:eastAsia="Arial" w:hAnsi="Arial"/>
          <w:sz w:val="16"/>
          <w:szCs w:val="16"/>
          <w:color w:val="auto"/>
        </w:rPr>
        <w:t>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w:t>
      </w:r>
    </w:p>
    <w:p>
      <w:pPr>
        <w:spacing w:after="0" w:line="2" w:lineRule="exact"/>
        <w:rPr>
          <w:rFonts w:ascii="Arial" w:cs="Arial" w:eastAsia="Arial" w:hAnsi="Arial"/>
          <w:sz w:val="16"/>
          <w:szCs w:val="16"/>
          <w:color w:val="auto"/>
        </w:rPr>
      </w:pPr>
    </w:p>
    <w:p>
      <w:pPr>
        <w:ind w:left="120" w:right="140" w:hanging="4"/>
        <w:spacing w:after="0" w:line="286" w:lineRule="auto"/>
        <w:tabs>
          <w:tab w:leader="none" w:pos="365"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7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general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91" w:lineRule="exact"/>
        <w:rPr>
          <w:sz w:val="20"/>
          <w:szCs w:val="20"/>
          <w:color w:val="auto"/>
        </w:rPr>
      </w:pPr>
    </w:p>
    <w:p>
      <w:pPr>
        <w:ind w:left="1080" w:right="26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the statutory provisions as to majority vote have been complied with;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arrangement is such as a businessman would reasonably approve;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 or that would amount to a “fraud on the minority.”</w:t>
      </w:r>
    </w:p>
    <w:p>
      <w:pPr>
        <w:spacing w:after="0" w:line="170"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i w:val="1"/>
          <w:iCs w:val="1"/>
          <w:color w:val="auto"/>
        </w:rPr>
        <w:t>Squeeze-out Provisions</w:t>
      </w:r>
      <w:r>
        <w:rPr>
          <w:rFonts w:ascii="Arial" w:cs="Arial" w:eastAsia="Arial" w:hAnsi="Arial"/>
          <w:sz w:val="18"/>
          <w:szCs w:val="18"/>
          <w:color w:val="auto"/>
        </w:rPr>
        <w:t>. When a takeover offer is made and accepted by holders of 90% of the shares to whom the offer relates within four</w:t>
      </w:r>
      <w:r>
        <w:rPr>
          <w:rFonts w:ascii="Arial" w:cs="Arial" w:eastAsia="Arial" w:hAnsi="Arial"/>
          <w:sz w:val="18"/>
          <w:szCs w:val="18"/>
          <w:i w:val="1"/>
          <w:iCs w:val="1"/>
          <w:color w:val="auto"/>
        </w:rPr>
        <w:t xml:space="preserve"> </w:t>
      </w:r>
      <w:r>
        <w:rPr>
          <w:rFonts w:ascii="Arial" w:cs="Arial" w:eastAsia="Arial" w:hAnsi="Arial"/>
          <w:sz w:val="18"/>
          <w:szCs w:val="18"/>
          <w:color w:val="auto"/>
        </w:rPr>
        <w:t>months, the offeror may, within a two-month period, require the holders of the remaining shares to transfer such shares on the terms of the offer. An objection can be made to the Grand Court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of the Cayman Islands, but this is unlikely to succeed unless there is evidence of fraud, bad faith, collusion or inequitable treatment of the shareholders.</w:t>
      </w:r>
    </w:p>
    <w:p>
      <w:pPr>
        <w:spacing w:after="0" w:line="248"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84"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Maples and Calder, our Cayman Islands legal counsel, is not aware of any reported class action having been brought in a</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98"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 shareholder may have a direct right of action against us where the individual rights of that shareholder have been infringed or are about to be infringed.</w:t>
      </w:r>
    </w:p>
    <w:p>
      <w:pPr>
        <w:spacing w:after="0" w:line="170"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i w:val="1"/>
          <w:iCs w:val="1"/>
          <w:color w:val="auto"/>
        </w:rPr>
        <w:t>Enforcement of Civil Liabilities</w:t>
      </w:r>
      <w:r>
        <w:rPr>
          <w:rFonts w:ascii="Arial" w:cs="Arial" w:eastAsia="Arial" w:hAnsi="Arial"/>
          <w:sz w:val="16"/>
          <w:szCs w:val="16"/>
          <w:color w:val="auto"/>
        </w:rPr>
        <w:t>. The Cayman Islands has a different body of securities laws as compared to the United States and provides less</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 to investors. Additionally, Cayman Islands companies may not have standing to sue before the Federal courts of the United States.</w:t>
      </w:r>
    </w:p>
    <w:p>
      <w:pPr>
        <w:spacing w:after="0" w:line="12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i w:val="1"/>
          <w:iCs w:val="1"/>
          <w:color w:val="auto"/>
        </w:rPr>
        <w:t>Special Considerations for Exempted Companies</w:t>
      </w:r>
      <w:r>
        <w:rPr>
          <w:rFonts w:ascii="Arial" w:cs="Arial" w:eastAsia="Arial" w:hAnsi="Arial"/>
          <w:sz w:val="17"/>
          <w:szCs w:val="17"/>
          <w:color w:val="auto"/>
        </w:rPr>
        <w:t>. We are an exempted company with limited liability (meaning our public shareholders have no</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as members of the company, for liabilities of the company over and above the amount paid for their shares) under the Companies Act. The Companies Act distinguishes between ordinary resident companies and exempted companies. Any company that is registered in the Cayman Islands but conducts business mainly outside of the Cayman Islands may apply to be registered as an exempted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company. The requirements for an exempted company are essentially the same as for an ordinary company except for the exemptions and privileges listed below:</w:t>
      </w:r>
    </w:p>
    <w:p>
      <w:pPr>
        <w:spacing w:after="0" w:line="76" w:lineRule="exact"/>
        <w:rPr>
          <w:sz w:val="20"/>
          <w:szCs w:val="20"/>
          <w:color w:val="auto"/>
        </w:rPr>
      </w:pPr>
    </w:p>
    <w:p>
      <w:pPr>
        <w:ind w:left="1080" w:right="6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may issue negotiable or bearer shares or shares with no par value;</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established of an agency relationship or an illegal or improper purpose or other circumstance in which a court may be prepared to pierce or lift the corporate veil).</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Amended and Restated Memorandum and Articles of Association 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under Cayman Islands law.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general meeting for which notice specifying the intention to propose the resolution as a special resolution has been given; or (ii) if so authorized by a company’s articles of association, by a unanimous written resolution of all of the company’s shareholders. Other than as described above, our amended and restated memorandum and articles of association will provide that special resolutions must be approved either by at least two-thirds of our shareholders who attend and vote at a general meeting of the company (i.e., the lowest threshold permissible under Cayman Islands law), or by a unanimous written resolution of all of our shareholders.</w:t>
      </w:r>
    </w:p>
    <w:p>
      <w:pPr>
        <w:spacing w:after="0" w:line="18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initial shareholders and their permitted transferees, if any, who will collectively beneficially own 20% of our ordinary shares upon the closing of this offering (assuming they do not purchase any units in this offering), will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92" w:lineRule="exact"/>
        <w:rPr>
          <w:sz w:val="20"/>
          <w:szCs w:val="20"/>
          <w:color w:val="auto"/>
        </w:rPr>
      </w:pPr>
    </w:p>
    <w:p>
      <w:pPr>
        <w:ind w:left="1080" w:right="340" w:hanging="424"/>
        <w:spacing w:after="0" w:line="287"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we have not consummated an initial business combination within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w:t>
      </w:r>
    </w:p>
    <w:p>
      <w:pPr>
        <w:spacing w:after="0" w:line="2" w:lineRule="exact"/>
        <w:rPr>
          <w:rFonts w:ascii="Arial" w:cs="Arial" w:eastAsia="Arial" w:hAnsi="Arial"/>
          <w:sz w:val="16"/>
          <w:szCs w:val="16"/>
          <w:color w:val="auto"/>
        </w:rPr>
      </w:pPr>
    </w:p>
    <w:p>
      <w:pPr>
        <w:ind w:left="1080"/>
        <w:spacing w:after="0" w:line="260" w:lineRule="auto"/>
        <w:rPr>
          <w:rFonts w:ascii="Arial" w:cs="Arial" w:eastAsia="Arial" w:hAnsi="Arial"/>
          <w:sz w:val="16"/>
          <w:szCs w:val="16"/>
          <w:color w:val="auto"/>
        </w:rPr>
      </w:pPr>
      <w:r>
        <w:rPr>
          <w:rFonts w:ascii="Arial" w:cs="Arial" w:eastAsia="Arial" w:hAnsi="Arial"/>
          <w:sz w:val="18"/>
          <w:szCs w:val="18"/>
          <w:color w:val="auto"/>
        </w:rPr>
        <w:t>24-month period), we will (i) cease all operations except for the purpose of winding up; (ii) as promptly as reasonably possible but no more than ten business days thereafter, redeem the public</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2" w:lineRule="auto"/>
        <w:rPr>
          <w:sz w:val="20"/>
          <w:szCs w:val="20"/>
          <w:color w:val="auto"/>
        </w:rPr>
      </w:pPr>
      <w:r>
        <w:rPr>
          <w:rFonts w:ascii="Arial" w:cs="Arial" w:eastAsia="Arial" w:hAnsi="Arial"/>
          <w:sz w:val="17"/>
          <w:szCs w:val="17"/>
          <w:color w:val="auto"/>
        </w:rPr>
        <w:t>shares, at a per-share price, payable in cash, equal to the aggregate amount then on deposit in the trust account, including interest earned on the funds held in the trust account and not previously released to us to pay our income taxes that were paid by us or are payable by us,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83" w:lineRule="exact"/>
        <w:rPr>
          <w:sz w:val="20"/>
          <w:szCs w:val="20"/>
          <w:color w:val="auto"/>
        </w:rPr>
      </w:pPr>
    </w:p>
    <w:p>
      <w:pPr>
        <w:ind w:left="1080" w:right="60" w:hanging="424"/>
        <w:spacing w:after="0" w:line="255"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Prior to or in connection with our initial business combination, we may not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(or 30 months, as applicable) from the closing of this offering or (y) amend the foregoing provisions;</w:t>
      </w:r>
    </w:p>
    <w:p>
      <w:pPr>
        <w:spacing w:after="0" w:line="97"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Although we do not intend to enter into a business combination with a target business that is affiliated with our sponsor, our directors or our officers, we are not prohibited from doing so. In the event we enter into such a transaction, we, or a committee of independent directors, will obtain an opinion from independent investment banking firm or another independent entity that commonly renders valuation opinions that such a business combination is fair to our company from a financial point of view;</w:t>
      </w:r>
    </w:p>
    <w:p>
      <w:pPr>
        <w:spacing w:after="0" w:line="92"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 shareholder vote on our initial business combination is not required by applicable law or stock exchange listing requirements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93"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So long as our securities are then listed on NASDAQ, 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the agreement to enter into the initial business combination;</w:t>
      </w:r>
    </w:p>
    <w:p>
      <w:pPr>
        <w:spacing w:after="0" w:line="92" w:lineRule="exact"/>
        <w:rPr>
          <w:rFonts w:ascii="Arial" w:cs="Arial" w:eastAsia="Arial" w:hAnsi="Arial"/>
          <w:sz w:val="18"/>
          <w:szCs w:val="18"/>
          <w:color w:val="auto"/>
        </w:rPr>
      </w:pPr>
    </w:p>
    <w:p>
      <w:pPr>
        <w:ind w:left="1080" w:hanging="424"/>
        <w:spacing w:after="0" w:line="288"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our shareholders approve an amendment to our amended and restated memorandum and articles of association (A) that would modify the substance or timing of our obligation to provide holders of our 146 Class A ordinary shares the right to have their shares redeemed in connection with our initial business combination or to redeem 100% of our public shares if we do not complete our initial business combination within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 or (B) with respect to any other provision relating to the rights of holders of our Class A ordinary shares,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p>
      <w:pPr>
        <w:spacing w:after="0" w:line="73" w:lineRule="exact"/>
        <w:rPr>
          <w:rFonts w:ascii="Arial" w:cs="Arial" w:eastAsia="Arial" w:hAnsi="Arial"/>
          <w:sz w:val="16"/>
          <w:szCs w:val="16"/>
          <w:color w:val="auto"/>
        </w:rPr>
      </w:pPr>
    </w:p>
    <w:p>
      <w:pPr>
        <w:ind w:left="1080" w:right="52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solely with another blank check company or a similar company with nominal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addition, our amended and restated memorandum and articles of association will provide that under no circumstances will we redeem our public shares in an amount that would cause our net tangible assets to be less than $5,000,001.</w:t>
      </w:r>
    </w:p>
    <w:p>
      <w:pPr>
        <w:spacing w:after="0" w:line="170"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color w:val="auto"/>
        </w:rPr>
        <w:t>The Companies Act permits a company incorporated in the Cayman Islands to amend its memorandum and articles of association with the approval of a special resolution which requires the approval of the holders of at least two-thirds of such company’s issued and outstanding ordinary shares who attend and vote at a general meeting or by way of unanimous written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Anti-Money Laundering — Cayman Islands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any person in the Cayman Islands knows or suspects, or has reasonable grounds for knowing or suspecting, that another person is engaged in criminal conduct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Act (As Revised) of the Cayman Islands if the disclosure relates to criminal conduct or money laundering or (ii) a police officer of the rank of constable or higher, or the Financial Reporting Authority, pursuant to the Terrorism Act (As Revised) of the Cayman Islands, if the disclosure relates to involvement with terrorism or terrorist financing and property. Such a report shall not be treated as a breach of confidence or of any restriction upon the disclosure of information imposed by any enactment or otherwise.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Data Protection — Cayman Islands</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We have certain duties under the Data Protection Act (As Revised) of the Cayman Islands (the “DPL”) based on internationally accepted principles of data privacy.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Privacy Notice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This privacy notice puts our shareholders on notice that through your investment in the Company you will provide us with certain personal information which constitutes personal data within the meaning of the DPL (“personal data”). In the following discussion, the “company” refers to us and our affiliates and/or delegates, except where the context requires otherwise.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 Data</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this Affects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the Company May Use a Shareholder’s Personal Data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as the data controller, may collect, store and use personal data for lawful purposes, including, in particular:</w:t>
      </w:r>
    </w:p>
    <w:p>
      <w:pPr>
        <w:spacing w:after="0" w:line="252"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where this is necessary for the performance of our rights and obligations under any purchase agreements;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where this is necessary for compliance with a legal and regulatory obligation to which we are subject (such as compliance with anti-money laundering and FATCA/CRS requirements); and/or</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where this is necessary for the purposes of our legitimate interests and such interests are not overridden by your interests, fundamental rights or freedoms.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Should we wish to use personal data for other specific purposes (including, if applicable, any purpose that requires your consent), we will contact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Why We May Transfer Your Personal Data</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84"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We anticipates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Data Protection Measures We Take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transfer of personal data by us or our duly authorized affiliates and/or delegates outside of the Cayman Islands shall be in accordance with the requirements of the DPL.</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amended and restated memorandum and articles of association will provide that our board of directors will be classified into three classes of directors. As a result, in most circumstances, a person can gain control of our board only by successfully engaging in a proxy contest at two or more annual general meetings.</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authorized but unissued Class A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Immediately after this offering, we will have 25,000,000 Class A ordinary shares (or 28,750,000 Class A ordinary shares if the underwriters’ over-allotment option is exercised in full) issued and outstanding on an as-converted basis. Of these shares, the Class A ordinary shares sold in this offering (25,000,000 Class A ordinary shares if the underwriters’ over-allotment option is not exercised and 28,750,000 Class A ordinary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(6,250,000 founder shares if the underwriters’ over-allotment option is not exercised and 7,187,500 founder shares if the underwriters’ over-allotment option is exercised in full) and all of the outstanding private placement warrants (8,000,000 private placement warrants if the underwriters’ over-allotment option is not exercised and 8,750,000 private placement warrants if the underwriters’ over-allotment option is exercised in full) will be restricted securities under Rule 144, in that they were issued in private transactions not involving a public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Rule 144</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Pursuant to Rule 144, a person who has beneficially owned restricted shares or warrants for at least six months would be entitled to sell their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188"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9" w:lineRule="exact"/>
        <w:rPr>
          <w:sz w:val="20"/>
          <w:szCs w:val="20"/>
          <w:color w:val="auto"/>
        </w:rPr>
      </w:pPr>
    </w:p>
    <w:p>
      <w:pPr>
        <w:ind w:left="1080" w:right="24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 of the total number of ordinary shares then-outstanding, which will equal 312,500 shares immediately after this offering (or 359,375 shares if the underwriters exercise their overallotment option in full); or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Restrictions on the Use of Rule 144 by Shell Companies or Former Shell Companies. 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71"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w:t>
      </w:r>
    </w:p>
    <w:p>
      <w:pPr>
        <w:spacing w:after="0" w:line="18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As a result, our sponsor will be able to sell its founder shares and private placement warrants, as applicable, pursuant to Rule 144 without registration one year after we have completed our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and Shareholder Rights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working capital loans) will be entitled to registration rights pursuant to a registration and shareholder rights agreement to be signed prior to or on the effective date of this offering.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as described in the following paragraph, and (ii)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185" w:lineRule="exact"/>
        <w:rPr>
          <w:sz w:val="20"/>
          <w:szCs w:val="20"/>
          <w:color w:val="auto"/>
        </w:rPr>
      </w:pPr>
    </w:p>
    <w:p>
      <w:pPr>
        <w:ind w:left="120" w:right="240" w:firstLine="440"/>
        <w:spacing w:after="0" w:line="254" w:lineRule="auto"/>
        <w:rPr>
          <w:sz w:val="20"/>
          <w:szCs w:val="20"/>
          <w:color w:val="auto"/>
        </w:rPr>
      </w:pPr>
      <w:r>
        <w:rPr>
          <w:rFonts w:ascii="Arial" w:cs="Arial" w:eastAsia="Arial" w:hAnsi="Arial"/>
          <w:sz w:val="18"/>
          <w:szCs w:val="18"/>
          <w:color w:val="auto"/>
        </w:rPr>
        <w:t>Except as described herein, our sponsor and our directors and executive officers have agreed not to transfer, assign or sell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ordinary shares for cash, securities or other property. Any permitted transferees will be subject to the same restrictions and other agreements of our sponsor with respect to any founder shares. We refer to such transfer restrictions throughout this prospectus as the lock-up.</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addition, pursuant to the registration and shareholder rights agreement,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intend to apply to have our units listed on the Nasdaq Capital Market, or NASDAQ, under the symbol “ACTDU.” We expect that the Class A ordinary shares and warrants comprising the units will begin separate trading on NASDAQ under the symbols “ACTD,” and “ACTDW,” respectively. The units will automatically separate into their component parts and will not be traded following the completion of our initial business combination.</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20"/>
          </w:cols>
          <w:pgMar w:left="320" w:top="459" w:right="5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following summary of certain Cayman Islands and U.S. federal income tax consequences of an investment in our units, each consisting of one Class A ordinary share and one-fifth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15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Prospective investors should consult their advisors on the possible tax consequences of investing in our securities under the laws of their country of citizenship, residence or domicile.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 Tax Considerations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 Existing Cayman Islands Laws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corporate or capital gains tax and no estate duty, inheritance tax or gift tax.</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No stamp duty is payable in respect of the issue of the warrants. An instrument of transfer in respect of a warrant is stampable if executed in or brought into the Cayman Islands.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stamp duty is payable in respect of the issue of our Class A ordinary shares or on an instrument of transfer in respect of such shares.</w:t>
      </w:r>
    </w:p>
    <w:p>
      <w:pPr>
        <w:spacing w:after="0" w:line="237"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The Company has been incorporated under the laws of the Cayman Islands as an exempted company with limited liability and, as such, has applied for and received an undertaking from the Financial Secretary of the Cayman Islands in the following form:</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Tax Concessions Act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Revised)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Undertaking as to Tax Concessions</w:t>
      </w:r>
    </w:p>
    <w:p>
      <w:pPr>
        <w:spacing w:after="0" w:line="21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accordance with the provision of Section 6 of The Tax Concessions Act (As Revised), the Financial Secretary undertakes with ArcLight Clean Transition Corp. II (the “Company”):</w:t>
      </w:r>
    </w:p>
    <w:p>
      <w:pPr>
        <w:spacing w:after="0" w:line="170" w:lineRule="exact"/>
        <w:rPr>
          <w:sz w:val="20"/>
          <w:szCs w:val="20"/>
          <w:color w:val="auto"/>
        </w:rPr>
      </w:pPr>
    </w:p>
    <w:p>
      <w:pPr>
        <w:ind w:left="120" w:right="120" w:firstLine="436"/>
        <w:spacing w:after="0" w:line="277" w:lineRule="auto"/>
        <w:tabs>
          <w:tab w:leader="none" w:pos="73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no law which is hereafter enacted in the Islands imposing any tax to be levied on profits, income, gains or appreciations shall apply to the Company or its operations; and</w:t>
      </w:r>
    </w:p>
    <w:p>
      <w:pPr>
        <w:spacing w:after="0" w:line="170" w:lineRule="exact"/>
        <w:rPr>
          <w:rFonts w:ascii="Arial" w:cs="Arial" w:eastAsia="Arial" w:hAnsi="Arial"/>
          <w:sz w:val="18"/>
          <w:szCs w:val="18"/>
          <w:color w:val="auto"/>
        </w:rPr>
      </w:pPr>
    </w:p>
    <w:p>
      <w:pPr>
        <w:ind w:left="740" w:hanging="184"/>
        <w:spacing w:after="0"/>
        <w:tabs>
          <w:tab w:leader="none" w:pos="7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addition, that no tax to be levied on profits, income, gains or appreciations or which is in the nature of estate duty or inheritance tax shall be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payable:</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 On or in respect of the shares, debentures or other obligations of the Company; or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 by way of the withholding in whole or part, of any relevant payment as defined in Section 6(3) of the Tax Concessions Act (As Revised).</w:t>
      </w:r>
    </w:p>
    <w:p>
      <w:pPr>
        <w:spacing w:after="0" w:line="248" w:lineRule="exact"/>
        <w:rPr>
          <w:sz w:val="20"/>
          <w:szCs w:val="20"/>
          <w:color w:val="auto"/>
        </w:rPr>
      </w:pPr>
    </w:p>
    <w:p>
      <w:pPr>
        <w:jc w:val="right"/>
        <w:ind w:right="5340"/>
        <w:spacing w:after="0"/>
        <w:rPr>
          <w:sz w:val="20"/>
          <w:szCs w:val="20"/>
          <w:color w:val="auto"/>
        </w:rPr>
      </w:pPr>
      <w:r>
        <w:rPr>
          <w:rFonts w:ascii="Arial" w:cs="Arial" w:eastAsia="Arial" w:hAnsi="Arial"/>
          <w:sz w:val="17"/>
          <w:szCs w:val="17"/>
          <w:color w:val="auto"/>
        </w:rPr>
        <w:t>These concessions shall be for a period of 20 years from the date hereof.</w:t>
      </w:r>
    </w:p>
    <w:p>
      <w:pPr>
        <w:spacing w:after="0" w:line="169" w:lineRule="exact"/>
        <w:rPr>
          <w:sz w:val="20"/>
          <w:szCs w:val="20"/>
          <w:color w:val="auto"/>
        </w:rPr>
      </w:pPr>
    </w:p>
    <w:p>
      <w:pPr>
        <w:jc w:val="right"/>
        <w:ind w:right="536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following discussion summarizes certain U.S. federal income tax considerations generally applicable to the acquisition, ownership and disposition of our units (each consisting of one Class A ordinary share and one-fifth of one redeemable warrant) that are purchased in this offering by U.S. Holders (as defined below) and Non-U.S. Holders (as defined below). Because the components of a unit are generally separable at the option of the holder, the holder of a unit generally should be treated, for U.S.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164"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This discussion is limited to certain U.S. federal income tax considerations to beneficial owners of our securities who are initial purchasers of a unit pursuant to this offering and hold the unit and each component of the unit as a capital asset under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including:</w:t>
      </w:r>
    </w:p>
    <w:p>
      <w:pPr>
        <w:spacing w:after="0" w:line="100"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sponsor, officers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banks, financial institutions or financial services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 or in connection with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persons that hold our securities as part of a straddle, constructive sale, hedging, conversion or other integrated or similar transaction; or</w:t>
      </w:r>
    </w:p>
    <w:p>
      <w:pPr>
        <w:spacing w:after="0" w:line="153" w:lineRule="exact"/>
        <w:rPr>
          <w:rFonts w:ascii="Arial" w:cs="Arial" w:eastAsia="Arial" w:hAnsi="Arial"/>
          <w:sz w:val="16"/>
          <w:szCs w:val="16"/>
          <w:color w:val="auto"/>
        </w:rPr>
      </w:pPr>
    </w:p>
    <w:p>
      <w:pPr>
        <w:ind w:left="1080" w:hanging="424"/>
        <w:spacing w:after="0" w:line="296"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U.S. Holders (as defined below) whose functional currency is not the U.S. dollar. Moreover, 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311" w:lineRule="auto"/>
        <w:rPr>
          <w:sz w:val="20"/>
          <w:szCs w:val="20"/>
          <w:color w:val="auto"/>
        </w:rPr>
      </w:pPr>
      <w:r>
        <w:rPr>
          <w:rFonts w:ascii="Arial" w:cs="Arial" w:eastAsia="Arial" w:hAnsi="Arial"/>
          <w:sz w:val="16"/>
          <w:szCs w:val="16"/>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4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used herein, the term “U.S. Holder” means a beneficial owner of units, Class A ordinary shares or warrants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1080" w:right="500" w:hanging="424"/>
        <w:spacing w:after="0" w:line="308"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that is created or organized (or treated as created or organized) in or under the laws of the United States, any state thereof or the District of Columbia;</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This discussion does not consider the tax treatment of partnerships or other pass-through entities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of a partnership holding our securities, we urge you to consult your own tax advisor.</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DISCUSSION IS FOR INFORMATIONAL PURPOSES ONLY, IS ONLY A SUMMARY OF CERTAIN U.S. FEDERAL INCOME TAX CONSIDERATIONS ASSOCIATED WITH THE ACQUISITION, OWNERSHIP AND DISPOSITION OF OUR SECURITIES, AND IS NOT A SUBSTITUTE FOR CAREFUL TAX PLANNING. EACH PROSPECTIVE INVESTOR IN OUR SECURITIES IS URGED TO CONSULT ITS TAX ADVISOR WITH RESPECT TO THE PARTICULAR TAX CONSEQUENCES TO SUCH INVESTOR OF THE ACQUISITION, OWNERSHIP AND DISPOSITION OF OUR SECURITIES, INCLUDING THE APPLICABILITY AND EFFECT OF U.S. FEDERAL, STATE, LOCAL, AND NON-UNITED STATES TAX LAWS, AS WELL AS UNDER ANY APPLICABLE TAX TREATY.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Allocation of Purchase Price and Characterization of a Unit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Class A ordinary share and one-fifth of one redeemable warrant, a whole one of which is exercisable to acquire one Class A ordinary share. We intend to treat the acquisition of a unit in this manner and, by purchasing a unit, you must adopt such treatment for applicable tax purposes. For U.S. federal income tax purposes, each holder of a unit will agree to allocate the purchase price paid by such holder for such unit between the one Class A ordinary share and the one-fifth of one redeemable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Class A ordinary share and one-fifth of one redeemable warrant should constitute the shareholder’s initial tax basis in such share or warrant. Any disposition of a unit should be treated for U.S. federal income tax purposes as a disposition of the Class A ordinary share and one-fifth of one redeemable warrant comprising the unit, and the amount realized on the disposition should be allocated between the Class A ordinary share and one-fifth of one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311" w:lineRule="auto"/>
        <w:rPr>
          <w:sz w:val="20"/>
          <w:szCs w:val="20"/>
          <w:color w:val="auto"/>
        </w:rPr>
      </w:pPr>
      <w:r>
        <w:rPr>
          <w:rFonts w:ascii="Arial" w:cs="Arial" w:eastAsia="Arial" w:hAnsi="Arial"/>
          <w:sz w:val="16"/>
          <w:szCs w:val="16"/>
          <w:color w:val="auto"/>
        </w:rPr>
        <w:t>redeemable warrant based on their relative fair market values at the time of disposition (as determined by each such unit holder based on all relevant facts and circumstances). Neither the separation of the Class A ordinary share and the one-fifth of one redeemable warrant constituting a unit nor the combination of quarters of warrants into a single warrant should be a taxable event for U.S. federal income tax purposes.</w:t>
      </w:r>
    </w:p>
    <w:p>
      <w:pPr>
        <w:spacing w:after="0" w:line="14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foregoing treatment of the units, the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Distributions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Subject to the passive foreign investment company (“PFIC”) rules discussed below, a U.S. Holder generally will be required to include in gross income as dividends the amount of any distribution paid on our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(see “— Gain or Loss on Sale, Taxable Exchange or Other Taxable Disposition of Class A Ordinary Shares and Warrants” below).</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 Gain or Loss on Sale, Taxable Exchange or Other Taxable Disposition of Class A Ordinary Shares and Warrants” below) only if our Class A ordinary shares are readily tradable on an established securities market in the United States, the Company is not treated as a PFIC at the time the dividend was paid or in the preceding year and provided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Gain or Loss on Sale, Taxable Exchange or Other Taxable Disposition of Class A Ordinary Shares and Warrants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Subject to the PFIC rules discussed below, a U.S. Holder generally will recognize capital gain or loss on the sale or other taxable disposition of our Class A ordinary shares or warrants (including on our dissolution and liquidation if we do not complete our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spacing w:after="0" w:line="188"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The amount of gain or loss recognized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based upon the then relative fair market values of the Class A ordinary shares and the warrants included in the units) and (ii) the U.S. Holder’s adjusted tax basis in its Class A ordinary shares or warrants so disposed of. A U.S. Holder’s adjusted tax basis in its Class A ordinary shares and warrants generally will equal the U.S. Holder’s acquisition cost (that is, the portion of the purchase price of a unit allocated to a Class A ordinary share or one-fifth of one redeemable warrant, as described above under “— Allocation of Purchase Price and Characterization of a Unit”) reduced by any prior distributions treated as a return of capital. Long-term capital gain realized by a non-corporate U.S. Holder is currently eligible to be taxed at reduced rates. See “— Exercise, Lapse or Redemption of a Warrant” below for a discussion regarding a U.S. Holder’s tax basis in the Class A ordinary share acquired pursuant to the exercise of a warrant. The deduction of capital losses is subject to certain limitations.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Class A Ordinary Shares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Subject to the PFIC rules discussed below, in the event that a U.S. Holder’s Class A ordinary shares are redeemed pursuant to the redemption provisions described in this prospectus under “Description of Securities — Ordinary Shares” or if we purchase a U.S. Holder’s Class A ordinary shares in an open market transaction (referred to herein as a “redemption”), the treatment of the redemption for U.S. federal income tax purposes will depend on whether it qualifies as a sale of the Class A ordinary shares under Section 302 of the Code. If the redemption qualifies as a sale of Class A ordinary shares, the U.S. Holder will be treated as described under “— Gain or Loss on Sale, Taxable Exchange or Other Taxable Disposition of Class A Ordinary Shares and Warrants” above. If the redemption does not qualify as a sale of Class A ordinary shares, the U.S. Holder will be treated as receiving a corporate distribution with the tax consequences described above under “— Taxation of Distributions.” Whether a redemption qualifies for sale treatment will depend largely on the total number of our shares treated as held by the U.S. Holder (including any shares constructively owned by the U.S. Holder described in the following paragraph) relative to all of our shares outstanding both before and after such redemption. The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6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our Class A ordinary shares actually owned by the U.S. Holder, but also our shares that are constructively owned by it.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in the Company. The redemption of the Class A ordinary shares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over corporate affairs may constitute such a “meaningful reduction.” A U.S. Holder should consult with its tax advisors as to the tax consequences of a redemption.</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none of the foregoing tests are satisfied, then the redemption will be treated as a corporate distribution and the tax effects will be as described under “— Taxation of Distributions” above. After the application of those rules, any remaining tax basis of the U.S. Holder in the redeemed Class A ordinary shares will be added to the U.S. Holder’s adjusted tax basis in its remaining shares, or, if it has none, to the U.S. Holder’s adjusted tax basis in its warrants or possibly in other shares constructively owned by it.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initial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78" w:lineRule="exact"/>
        <w:rPr>
          <w:sz w:val="20"/>
          <w:szCs w:val="20"/>
          <w:color w:val="auto"/>
        </w:rPr>
      </w:pPr>
    </w:p>
    <w:p>
      <w:pPr>
        <w:ind w:left="120" w:right="340" w:firstLine="440"/>
        <w:spacing w:after="0" w:line="293" w:lineRule="auto"/>
        <w:rPr>
          <w:sz w:val="20"/>
          <w:szCs w:val="20"/>
          <w:color w:val="auto"/>
        </w:rPr>
      </w:pPr>
      <w:r>
        <w:rPr>
          <w:rFonts w:ascii="Arial" w:cs="Arial" w:eastAsia="Arial" w:hAnsi="Arial"/>
          <w:sz w:val="16"/>
          <w:szCs w:val="16"/>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In either situation, a U.S. Holder’s tax basis in the Class A ordinary shares received generally would equal the U.S. Holder’s tax basis in 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16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It is also possible that a cashless exercise may be treated as a taxable exchange in which gain or loss would be recognized. In such event, a U.S. Holder may be deemed to have surrendered a number of warrants having a value equal to the exercise price for the total number of warrants to be exercised. Subject to the PFIC rules discussed below,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initial investment in the warrants exercised (i.e., the portion of the U.S. Holder’s purchase price for the units that is allocated to the warrant, as described above under “— Allocation of Purchase Price and Characterization of a Unit”) and the exercise price of such warrants. It is unclear whether a U.S. Holder’s holding period for the Class A ordinary share would commence on the date of exercise of the warrant or the day following the date of exercise of the warrant.</w:t>
      </w:r>
    </w:p>
    <w:p>
      <w:pPr>
        <w:spacing w:after="0" w:line="178"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spacing w:after="0" w:line="184"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Subject to the PFIC rules described below, if we redeem warrants for cash pursuant to the redemption provisions described in the section of this prospectus entitled “ Description of Securities—Warrants—Public Shareholders’ Warrants” or if we purchase warrants in an open market transaction, such redemption or purchase generally will be treated as a taxable disposition to the U.S. Holder, taxed as described above under “—Gain or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Loss on Sale, Taxable Exchange or Other Taxable Disposition of Class A Ordinary Shares and Warrants.” The tax consequences of an exercise of a warrant occurring after our giving notice of an intention to redeem the warrant for $0.01 or $.10 as described in the section of this prospectus entitled “Description of Securities —Redeemable Warrants — Public Stockholders’ Warrants,” are unclear under current law. In the case of a cashless exercise, the exercise may be treated either as if we redeemed such warrant for Class A ordinary shares or as an exercise of the warrant. If the cashless exercise of a warrant for Class A ordinary shares is treated as a redemption, then such redemption generally should be treated as a tax-deferred recapitalization for U.S. federal income tax purposes, in which case a U.S. Holder should not recognize any gain or loss on such redemption, and accordingly, a U.S. Holder’s basis in the Class A ordinary shares received should equal the U.S. Holder’s basis in the warrant and the holding period of the Class A ordinary shares would include the holding period of the warrant. If the cashless exercise of a warrant is treated as such, the tax consequences generally should be similar to those described in the previous paragraphs. In the case of an exercise of a warrant for cash, the tax treatment generally should be as described above in the first paragraph under the heading “U.S. Holders — Exercise, Lapse or Redemption of a Warrant.” Due to the lack of clarity under current law regarding the treatment of an exercise of a warrant after our giving notice of an intention to redeem the warrant,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 — Warrants — Public Shareholders’ Warrants.” An adjustment which has the effect of preventing dilution generally is not taxable. The U.S. Holders of the warrants would, however, be treated as receiving a constructive distribution from us if, for example, the adjustment increases such U.S. Holders’ proportionate interest in our assets or earnings and profits (e.g., through an increase in the number of Class A ordinary shares that would be obtained upon exercise or through a decrease to the exercise price, including, for example, the decrease to the exercise price of the warrants where additional Class A ordinary shares or equity-linked securities are issued in connection with the closing of our initial business combination at an issue price or effective issue price of less than $9.20 per ordinary share, as described under “Description of Securities — Warrants — Anti-Dilution Adjustments”) as a result of a distribution of cash or other property to the holders of our Class A ordinary shares which is taxable to the U.S. Holders of such Class A ordinary shares as described under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7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for either of the two taxable years following the start-up year; and (3) the corporation is not in fact a PFIC for either of those years. The applicability of the start-up exception to us is uncertain and will not be known until after the close of our current taxable year (or possibly not until after the close of the first two taxable years following our start-up year, as described under the start-up exception).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however, will not be determinable until after the end of such taxable year. Accordingly, there can be no assurance with respect to our status as a PFIC for our current taxable year or any future taxable year.</w:t>
      </w:r>
    </w:p>
    <w:p>
      <w:pPr>
        <w:spacing w:after="0" w:line="178"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Although our PFIC status is determined annually, an initial determination that our company is a PFIC will generally apply for subsequent years to a U.S. Holder who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qualified electing fund (“QEF”) election for our first taxable year as a PFIC in which the U.S. Holder held (or was deemed to hold) Class A ordinary shares, a QEF election along with a purging election, or a mark-to-market election, each as described below, such U.S. Holder generally will be subject to special rules with respect to</w:t>
      </w:r>
    </w:p>
    <w:p>
      <w:pPr>
        <w:spacing w:after="0" w:line="4" w:lineRule="exact"/>
        <w:rPr>
          <w:sz w:val="20"/>
          <w:szCs w:val="20"/>
          <w:color w:val="auto"/>
        </w:rPr>
      </w:pPr>
    </w:p>
    <w:p>
      <w:pPr>
        <w:ind w:left="120" w:hanging="4"/>
        <w:spacing w:after="0" w:line="253"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these rules:</w:t>
      </w:r>
    </w:p>
    <w:p>
      <w:pPr>
        <w:spacing w:after="0" w:line="131" w:lineRule="exact"/>
        <w:rPr>
          <w:sz w:val="20"/>
          <w:szCs w:val="20"/>
          <w:color w:val="auto"/>
        </w:rPr>
      </w:pPr>
    </w:p>
    <w:p>
      <w:pPr>
        <w:ind w:left="1080" w:right="2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Class A ordinary shares or warrants;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70"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In general, if we are determined to be a PFIC, a U.S. Holder may avoid the PFIC tax consequences described above in respect of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 U.S. Holder may not make a QEF election with respect to its warrants to acquire our Class A ordinary shares. As a result, if a U.S. Holder sells or otherwise disposes of such warrants (other than upon exercise of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warrants) and we were a PFIC at any time during the U.S. Holder’s holding period of such warrants, any gain recognized generally will be treated as an excess distribution, taxed as described above. If a U.S. Holder that 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such QEF election,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one type of the purging election, the U.S. Holder will be deemed to have sold such shares at their fair market value and any gain recognized on such deemed sale will be treated as an excess distribution, as described above. As a result of such purging election, the U.S. Holder will generally have a new basis and holding period in the Class A ordinary shares acquired upon the exercise of the warrants for purposes of the PFIC rules. U.S. Holders should consult their tax advisors as to the application of the rules governing purging elections to their particular circumstances (including the availability of a separate purging election available if we are a controlled foreign corporation).</w:t>
      </w:r>
    </w:p>
    <w:p>
      <w:pPr>
        <w:spacing w:after="0" w:line="17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7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8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or interest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taxable year.</w:t>
      </w:r>
    </w:p>
    <w:p>
      <w:pPr>
        <w:spacing w:after="0" w:line="18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Alternatively, 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61"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mark-to-market election is available only for “marketable stock,” generally, stock that is regularly traded on a national securities exchange that is registered with the Securities and Exchange Commission, including NASDAQ (on which we intend to list the Class A ordinary shares),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ordinary shares ceased to qualify as “marketable stock” for purposes of the PFIC rules or the IRS consented to the revocation of the election. U.S. Holders should consult their tax advisors regarding the availability and tax consequences of a mark-to-market election with respect to our Class A ordinary shares under their particular circumstances.</w:t>
      </w:r>
    </w:p>
    <w:p>
      <w:pPr>
        <w:spacing w:after="0" w:line="17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 U.S. Holder that owns (or is deemed to own) shares in a PFIC during any taxable year of the U.S. Holder, may have to file an IRS Form 8621 (whether or not a QEF or market-to-market election is made) and such other information as may be required by the U.S. Treasury Department. Failure to do so, if required, will extend the statute of limitations until such required information is furnished to the IRS.</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our Class A ordinary shares and warrants should consult their own tax advisors concerning the application of the PFIC rules to our securities under their particular circumstances.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Reporting</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An interest in the Company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Potential investors are urged to consult their tax advisors regarding the foreign financial asset and other reporting obligations and their application to an investment in our Class A ordinary shares and warrants.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Non-U.S. Holders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ordinary shares or warrants (other than a partnership or other entity or arrangement treated as a partnership for U.S. federal income tax purposes) who or that is for U.S. federal income tax purposes:</w:t>
      </w:r>
    </w:p>
    <w:p>
      <w:pPr>
        <w:spacing w:after="0" w:line="89" w:lineRule="exact"/>
        <w:rPr>
          <w:sz w:val="20"/>
          <w:szCs w:val="20"/>
          <w:color w:val="auto"/>
        </w:rPr>
      </w:pPr>
    </w:p>
    <w:p>
      <w:pPr>
        <w:ind w:left="1080" w:hanging="424"/>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non-resident alien individual (other than certain former citizens and residents of the United States subject to U.S. tax as expatriates);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Dividends (including constructive dividends) paid or deemed paid to a Non-U.S. Holder in respect of our Class A ordinary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 In addition, a Non-U.S. Holder generally will not be subject to U.S. federal income tax on any gain attributable to a sale or other taxable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Dividends (including constructive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 Holder that is a corporation for U.S. federal income tax purposes, also may be subject to an additional branch profits tax at a 30% rate or a lower applicable tax treaty rate.</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 U.S. Holders — Exercise or Lapse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applicable successor form) or by otherwise establishing an exemption.</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holder’s U.S. federal income tax liability, and a holder generally may obtain a refund of any excess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amounts withheld under the backup withholding rules by timely filing the appropriate claim for refund with the IRS and furnishing any required information.</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and warrants, including the tax consequences under state, local, estate, foreign and other tax laws and tax treaties and the possible effects of changes in U.S. or other tax laws.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40"/>
          </w:cols>
          <w:pgMar w:left="320" w:top="459" w:right="5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this prospectus, each underwriter named below has severally and not jointly agreed to purchase, and we have agreed to sell to the underwriters named below the following respective numbers of units: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62"/>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5500" w:type="dxa"/>
            <w:vAlign w:val="bottom"/>
            <w:vMerge w:val="restart"/>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5500" w:type="dxa"/>
            <w:vAlign w:val="bottom"/>
            <w:vMerge w:val="continue"/>
          </w:tcPr>
          <w:p>
            <w:pPr>
              <w:spacing w:after="0"/>
              <w:rPr>
                <w:sz w:val="15"/>
                <w:szCs w:val="15"/>
                <w:color w:val="auto"/>
              </w:rPr>
            </w:pPr>
          </w:p>
        </w:tc>
        <w:tc>
          <w:tcPr>
            <w:tcW w:w="1140" w:type="dxa"/>
            <w:vAlign w:val="bottom"/>
            <w:gridSpan w:val="2"/>
          </w:tcPr>
          <w:p>
            <w:pPr>
              <w:ind w:left="300"/>
              <w:spacing w:after="0" w:line="158" w:lineRule="exact"/>
              <w:rPr>
                <w:sz w:val="20"/>
                <w:szCs w:val="20"/>
                <w:color w:val="auto"/>
              </w:rPr>
            </w:pPr>
            <w:r>
              <w:rPr>
                <w:rFonts w:ascii="Arial" w:cs="Arial" w:eastAsia="Arial" w:hAnsi="Arial"/>
                <w:sz w:val="14"/>
                <w:szCs w:val="14"/>
                <w:b w:val="1"/>
                <w:bCs w:val="1"/>
                <w:color w:val="auto"/>
              </w:rPr>
              <w:t>of Units</w:t>
            </w:r>
          </w:p>
        </w:tc>
        <w:tc>
          <w:tcPr>
            <w:tcW w:w="0" w:type="dxa"/>
            <w:vAlign w:val="bottom"/>
          </w:tcPr>
          <w:p>
            <w:pPr>
              <w:spacing w:after="0"/>
              <w:rPr>
                <w:sz w:val="1"/>
                <w:szCs w:val="1"/>
                <w:color w:val="auto"/>
              </w:rPr>
            </w:pPr>
          </w:p>
        </w:tc>
      </w:tr>
      <w:tr>
        <w:trPr>
          <w:trHeight w:val="189"/>
        </w:trPr>
        <w:tc>
          <w:tcPr>
            <w:tcW w:w="6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Citigroup Global Markets Inc.</w:t>
            </w: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25,000,000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underwriting agreement provides that the obligations of the underwriters to purchase the units included in this offering are subject to approval of legal matters by counsel and to other conditions. The underwriting agreement provides that the underwriters are obligated to purchase all the units in this offering if any are purchased, other than those units covered by the over-allotment option described below.</w:t>
      </w:r>
    </w:p>
    <w:p>
      <w:pPr>
        <w:spacing w:after="0" w:line="165"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We have granted to the underwriters a 45-day option to purchase on a pro rata basis up to 3,750,000 additional units at the initial public offering price, less the underwriting discounts and commissions. The option may be exercised only to cover any over-allotments of units.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propose to offer the units initially at the public offering price on the cover page of this prospectus and to selling group members</w:t>
      </w:r>
    </w:p>
    <w:p>
      <w:pPr>
        <w:spacing w:after="0" w:line="46" w:lineRule="exact"/>
        <w:rPr>
          <w:sz w:val="20"/>
          <w:szCs w:val="20"/>
          <w:color w:val="auto"/>
        </w:rPr>
      </w:pPr>
    </w:p>
    <w:p>
      <w:pPr>
        <w:ind w:left="120"/>
        <w:spacing w:after="0"/>
        <w:tabs>
          <w:tab w:leader="none" w:pos="3800" w:val="left"/>
        </w:tabs>
        <w:rPr>
          <w:sz w:val="20"/>
          <w:szCs w:val="20"/>
          <w:color w:val="auto"/>
        </w:rPr>
      </w:pPr>
      <w:r>
        <w:rPr>
          <w:rFonts w:ascii="Arial" w:cs="Arial" w:eastAsia="Arial" w:hAnsi="Arial"/>
          <w:sz w:val="18"/>
          <w:szCs w:val="18"/>
          <w:color w:val="auto"/>
        </w:rPr>
        <w:t>at that price less a selling concession of $</w:t>
      </w:r>
      <w:r>
        <w:rPr>
          <w:sz w:val="20"/>
          <w:szCs w:val="20"/>
          <w:color w:val="auto"/>
        </w:rPr>
        <w:tab/>
      </w:r>
      <w:r>
        <w:rPr>
          <w:rFonts w:ascii="Arial" w:cs="Arial" w:eastAsia="Arial" w:hAnsi="Arial"/>
          <w:sz w:val="16"/>
          <w:szCs w:val="16"/>
          <w:color w:val="auto"/>
        </w:rPr>
        <w:t>per unit.</w:t>
      </w:r>
    </w:p>
    <w:p>
      <w:pPr>
        <w:spacing w:after="0" w:line="21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over-allotment option. $0.35 per unit, or $8,750,000 (or $10,062,500 if the overallotment option is exercised in full), of deferred underwriting commissions will be paid to the underwriters upon the completion of our initial business combination.</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Full Exercise</w:t>
            </w: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PerUnit</w:t>
            </w:r>
            <w:r>
              <w:rPr>
                <w:rFonts w:ascii="Arial" w:cs="Arial" w:eastAsia="Arial" w:hAnsi="Arial"/>
                <w:sz w:val="15"/>
                <w:szCs w:val="15"/>
                <w:color w:val="auto"/>
              </w:rPr>
              <w:t>(1)</w:t>
            </w:r>
          </w:p>
        </w:tc>
        <w:tc>
          <w:tcPr>
            <w:tcW w:w="2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(1)</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13,750,000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15,812,500</w:t>
            </w:r>
          </w:p>
        </w:tc>
      </w:tr>
    </w:tbl>
    <w:p>
      <w:pPr>
        <w:spacing w:after="0" w:line="214" w:lineRule="exact"/>
        <w:rPr>
          <w:sz w:val="20"/>
          <w:szCs w:val="20"/>
          <w:color w:val="auto"/>
        </w:rPr>
      </w:pPr>
    </w:p>
    <w:p>
      <w:pPr>
        <w:ind w:left="540" w:right="100" w:hanging="424"/>
        <w:spacing w:after="0" w:line="263"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$0.35 per unit, or $8,750,000 in the aggregate (or $10,062,500 in the aggregate if the underwriters’ over-allotment option is exercised in full), payable to the underwriters for deferred underwriting commissions to be placed in a trust account located in the United States as described herein and released to the underwriters only upon the consummation of an initial business combination.</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estimate that our non-reimbursed out-of-pocket expenses for this offering will be approximately $1,450,000. We have agreed to pay for the FINRA-related fees and expenses of the underwriters’ legal counsel, not to exceed $20,000.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underwriters have informed us that the underwriters do not intend to make sales to discretionary accounts.</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our sponsor and our officers and directors have agreed that we will not offer, sell, contract to sell, pledge or otherwise dispose of, directly or indirectly, without the prior written consent of Citigroup Global Markets Inc. and Barclays Capital Inc. for a period of 180 days after the date of this prospectus, any units, warrants, ordinary shares or any other securities convertible into, or exercisable, or exchangeable for, ordinary shares; provided, however, that we may (1) issue and sell the private placement warrants; (2) issue and sell the additional units to cover our underwriters’ over-allotment option (if any); (3) register with the SEC pursuant to</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9"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an agreement to be entered into on or prior to the closing of this offering, the resale of the private placement warrants and the ordinary shares issuable upon exercise of the warrants and the founder shares; and (4) issue securities in connection with our initial business combination. However, the foregoing shall not apply to the forfeiture of any founder shares pursuant to their terms or any transfer of founder shares to any current or future independent director of the Company (as long as such current or future independent director is subject to the terms of the letter agreement, filed herewith, at the time of such transfer; and as long as, to the extent any Section 16 reporting obligation is triggered as a result of such transfer, any related Section 16 filing includes a practical explanation as to the nature of the transfer). Citigroup Global Markets Inc. and Barclays Capital Inc. may, in their sole discretion, release any of the securities subject to these lock-up agreements at any time without notice.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sponsor and our directors and executive officers have agreed not to transfer, assign or sell any of their founder shares until the earliest of</w:t>
      </w:r>
    </w:p>
    <w:p>
      <w:pPr>
        <w:spacing w:after="0" w:line="46" w:lineRule="exact"/>
        <w:rPr>
          <w:sz w:val="20"/>
          <w:szCs w:val="20"/>
          <w:color w:val="auto"/>
        </w:rPr>
      </w:pPr>
    </w:p>
    <w:p>
      <w:pPr>
        <w:ind w:left="120" w:right="40" w:hanging="4"/>
        <w:spacing w:after="0" w:line="281" w:lineRule="auto"/>
        <w:tabs>
          <w:tab w:leader="none" w:pos="415" w:val="left"/>
        </w:tabs>
        <w:numPr>
          <w:ilvl w:val="0"/>
          <w:numId w:val="92"/>
        </w:numPr>
        <w:rPr>
          <w:rFonts w:ascii="Arial" w:cs="Arial" w:eastAsia="Arial" w:hAnsi="Arial"/>
          <w:sz w:val="16"/>
          <w:szCs w:val="16"/>
          <w:color w:val="auto"/>
        </w:rPr>
      </w:pPr>
      <w:r>
        <w:rPr>
          <w:rFonts w:ascii="Arial" w:cs="Arial" w:eastAsia="Arial" w:hAnsi="Arial"/>
          <w:sz w:val="16"/>
          <w:szCs w:val="16"/>
          <w:color w:val="auto"/>
        </w:rPr>
        <w:t>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ordinary shares for cash, securities or other property (except pursuant to limited exceptions as described under “Principal Shareholders</w:t>
      </w:r>
    </w:p>
    <w:p>
      <w:pPr>
        <w:spacing w:after="0" w:line="2" w:lineRule="exact"/>
        <w:rPr>
          <w:rFonts w:ascii="Arial" w:cs="Arial" w:eastAsia="Arial" w:hAnsi="Arial"/>
          <w:sz w:val="16"/>
          <w:szCs w:val="16"/>
          <w:color w:val="auto"/>
        </w:rPr>
      </w:pPr>
    </w:p>
    <w:p>
      <w:pPr>
        <w:ind w:left="120" w:right="620"/>
        <w:spacing w:after="0" w:line="260" w:lineRule="auto"/>
        <w:rPr>
          <w:rFonts w:ascii="Arial" w:cs="Arial" w:eastAsia="Arial" w:hAnsi="Arial"/>
          <w:sz w:val="16"/>
          <w:szCs w:val="16"/>
          <w:color w:val="auto"/>
        </w:rPr>
      </w:pPr>
      <w:r>
        <w:rPr>
          <w:rFonts w:ascii="Arial" w:cs="Arial" w:eastAsia="Arial" w:hAnsi="Arial"/>
          <w:sz w:val="18"/>
          <w:szCs w:val="18"/>
          <w:color w:val="auto"/>
        </w:rPr>
        <w:t>— Transfers of Founder Shares and Private Placement Warrants”). Any permitted transferees would be subject to the same restrictions and other agreements of our sponsor and our directors and executive officers with respect to any founder shares.</w:t>
      </w:r>
    </w:p>
    <w:p>
      <w:pPr>
        <w:spacing w:after="0" w:line="185" w:lineRule="exact"/>
        <w:rPr>
          <w:sz w:val="20"/>
          <w:szCs w:val="20"/>
          <w:color w:val="auto"/>
        </w:rPr>
      </w:pPr>
    </w:p>
    <w:p>
      <w:pPr>
        <w:jc w:val="both"/>
        <w:ind w:left="120" w:right="520" w:firstLine="440"/>
        <w:spacing w:after="0" w:line="286" w:lineRule="auto"/>
        <w:rPr>
          <w:sz w:val="20"/>
          <w:szCs w:val="20"/>
          <w:color w:val="auto"/>
        </w:rPr>
      </w:pPr>
      <w:r>
        <w:rPr>
          <w:rFonts w:ascii="Arial" w:cs="Arial" w:eastAsia="Arial" w:hAnsi="Arial"/>
          <w:sz w:val="17"/>
          <w:szCs w:val="17"/>
          <w:color w:val="auto"/>
        </w:rPr>
        <w:t>The private placement warrants (including the Class A ordinary shares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and Private Placement Warrants”).</w:t>
      </w:r>
    </w:p>
    <w:p>
      <w:pPr>
        <w:spacing w:after="0" w:line="16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under the Securities Act, or contribute to payments that the underwriters may be required to make in that respect.</w:t>
      </w:r>
    </w:p>
    <w:p>
      <w:pPr>
        <w:spacing w:after="0" w:line="170"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intend to apply to have our units listed on the Nasdaq Capital Market, on NASDAQ, under the symbol “ACTDU” We expect that the Class A ordinary shares and warrants comprising the units will begin separate trading on NASDAQ under the symbols “ACTD,” and “ACTDW,” respectively.</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Prior to this offering, there has been no public market for our securities. Consequently, the initial public offering price for the units was determined by negotiations between us and the underwriters.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determination of our per unit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16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underwriters have agreed to waive their rights to their deferred underwriting commission held in the trust account in the event we do not consummate an initial business combination within the required time frame and instead liquidate, and, in such event, such amounts will be included with the funds held in the trust account that will be available to fund the redemption of our public shares in connection with our liquidation.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76" w:lineRule="exact"/>
        <w:rPr>
          <w:sz w:val="20"/>
          <w:szCs w:val="20"/>
          <w:color w:val="auto"/>
        </w:rPr>
      </w:pPr>
    </w:p>
    <w:p>
      <w:pPr>
        <w:ind w:left="1080" w:hanging="424"/>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auto"/>
        </w:rPr>
      </w:pPr>
    </w:p>
    <w:p>
      <w:pPr>
        <w:ind w:left="1080" w:right="80" w:hanging="424"/>
        <w:spacing w:after="0" w:line="255"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units in excess of the number of units the underwriters are obligated to purchase, which creates a syndicate short position. The short position may be either a covered short position or a naked short position. In a covered short position, the number of units over-allotted by the underwriters is not greater than the number of units that they may purchase in the over-allotment option. In a naked short position, the number of units involved is greater than the number of units in the over-allotment option. The underwriters may close out any covered short position by either exercising their over-allotment option and/or purchasing units in the open market.</w:t>
      </w:r>
    </w:p>
    <w:p>
      <w:pPr>
        <w:spacing w:after="0" w:line="97" w:lineRule="exact"/>
        <w:rPr>
          <w:rFonts w:ascii="Arial" w:cs="Arial" w:eastAsia="Arial" w:hAnsi="Arial"/>
          <w:sz w:val="18"/>
          <w:szCs w:val="18"/>
          <w:color w:val="auto"/>
        </w:rPr>
      </w:pPr>
    </w:p>
    <w:p>
      <w:pPr>
        <w:ind w:left="1080" w:hanging="424"/>
        <w:spacing w:after="0" w:line="254"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units in the open market after the distribution has been completed in order to cover syndicate short positions. In determining the source of units to close out the short position, the underwriters will consider, among other things, the price of units available for purchase in the open market as compared to the price at which they may purchase units through the overallotment option. If the underwriters sell more units than could be covered by the over-allotment option, a naked short position, the position can only be closed out by buying units in the open market. A naked short position is more likely to be created if the underwriters are concerned that there could be downward pressure on the price of the units in the open market after pricing that could adversely affect investors who purchase in this offering.</w:t>
      </w:r>
    </w:p>
    <w:p>
      <w:pPr>
        <w:spacing w:after="0" w:line="100" w:lineRule="exact"/>
        <w:rPr>
          <w:rFonts w:ascii="Arial" w:cs="Arial" w:eastAsia="Arial" w:hAnsi="Arial"/>
          <w:sz w:val="18"/>
          <w:szCs w:val="18"/>
          <w:color w:val="auto"/>
        </w:rPr>
      </w:pPr>
    </w:p>
    <w:p>
      <w:pPr>
        <w:ind w:left="1080" w:right="500" w:hanging="424"/>
        <w:spacing w:after="0" w:line="308"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units originally sold by the syndicate member are purchased in a stabilizing or syndicate covering transaction to cover syndicate short positions.</w:t>
      </w:r>
    </w:p>
    <w:p>
      <w:pPr>
        <w:spacing w:after="0" w:line="146"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units or preventing or retarding a decline in the market price of the units. As a result, the price of our units may be higher than the price that might otherwise exist in the open market. These transactions may be effected on NASDAQ or otherwise and, if commenced, may be discontinued at any time.</w:t>
      </w:r>
    </w:p>
    <w:p>
      <w:pPr>
        <w:spacing w:after="0" w:line="14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are not under any contractual obligation to engage the underwriters to provide any services for us after this offering, but we may do so at our discretion. However, the underwriters may introduce us to potential target businesses, provide financial advisory services to us in connection with a business combination or assist us in raising additional capital in the future, including by acting as a placement agent in a private offering or underwriting or arranging debt financing. If the underwriters provide services to us after this offering, we may pay the underwriters fair and reasonable fees that would be determined at that time in an arm’s length negotiation; provided that no agreement will be entered into with the underwriters, provided that such services are relevant to the underwriting terms and arrangements of the offering, and no fees for such services will be paid to the underwriters prior to the date that is 60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 Any fees we may pay the underwriters or their affiliates for services rendered to us after this offering may be contingent on the completion of a business combination and may include non-cash compensation. The underwriters or their affiliates that provide these services to us may have a potential conflict of interest given that the underwriters are entitled to the deferred portion of their underwriting compensation for this offering only if an initial business combination is completed within the specified timeframe.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the websites maintained by the underwriters, or selling group members, if any, participating in this offering and the underwriters participating in this offering may distribute prospectuses electronically. The underwriters may allocate a number of units for sale to its online brokerage account holders. Internet distributions will be allocated by the underwriters that will make internet distributions on the same basis as other allocations.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units are offered for sale in the United States and other jurisdictions where it is lawful to make such offers.</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underwriters have represented and agreed that they have not offered, sold or delivered and will not offer, sell or deliver any of the units directly or indirectly, or distribute this prospectus or any other offering material relating to the units, in or from any jurisdiction except under circumstances that will result in compliance with the applicable laws and regulations thereof and that will not impose any obligations on us except as set forth in the underwriting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European Economic Area</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units have been offered or will be offered pursuant to the offering to the public in that Member State prior to the publication of a prospectus in relation to the units which has been approved by the competent authority in that Member State or, where appropriate, approved in another Member State and notified to the competent authority in that Member State, all in accordance with the Prospectus Regulation), except that offers of units may be made to the public in that Member State at any time under the following exemptions under the Prospectus Regulation:</w:t>
      </w:r>
    </w:p>
    <w:p>
      <w:pPr>
        <w:spacing w:after="0" w:line="93" w:lineRule="exact"/>
        <w:rPr>
          <w:sz w:val="20"/>
          <w:szCs w:val="20"/>
          <w:color w:val="auto"/>
        </w:rPr>
      </w:pPr>
    </w:p>
    <w:p>
      <w:pPr>
        <w:ind w:left="1080" w:right="20" w:hanging="532"/>
        <w:spacing w:after="0" w:line="342"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the Prospectus Regulation; to any legal entity which is a qualified investor as defined under the Prospectus Regulation; in any other circumstances falling within Article 1(4) of the Prospectus Regulation,</w:t>
      </w:r>
    </w:p>
    <w:p>
      <w:pPr>
        <w:spacing w:after="0" w:line="29" w:lineRule="exact"/>
        <w:rPr>
          <w:rFonts w:ascii="Arial" w:cs="Arial" w:eastAsia="Arial" w:hAnsi="Arial"/>
          <w:sz w:val="16"/>
          <w:szCs w:val="16"/>
          <w:color w:val="auto"/>
        </w:rPr>
      </w:pPr>
    </w:p>
    <w:p>
      <w:pPr>
        <w:ind w:left="1080" w:right="10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units shall require the company or any Representative to publish a prospectus pursuant to Article 3 of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or supplement a prospectus pursuant to Article 23 of the Prospectus Regulation.</w:t>
      </w:r>
    </w:p>
    <w:p>
      <w:pPr>
        <w:spacing w:after="0" w:line="170"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units in any Member State means the communication in any form and by any means of sufficient information on the terms of the offer and any units to be offered so as to enable an investor to decide to purchase or subscribe for any units, and the expression “Prospectus Regulation” means Regulation (EU) 2017/1129.</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United Kingdom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have represented and agreed that:</w:t>
      </w:r>
    </w:p>
    <w:p>
      <w:pPr>
        <w:spacing w:after="0" w:line="131" w:lineRule="exact"/>
        <w:rPr>
          <w:sz w:val="20"/>
          <w:szCs w:val="20"/>
          <w:color w:val="auto"/>
        </w:rPr>
      </w:pPr>
    </w:p>
    <w:p>
      <w:pPr>
        <w:ind w:left="1080" w:right="140" w:hanging="532"/>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they have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units in circumstances in which Section 21(1) of the FSMA does not apply to the company; and</w:t>
      </w:r>
    </w:p>
    <w:p>
      <w:pPr>
        <w:spacing w:after="0" w:line="92"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they have complied and will comply with all applicable provisions of the FSMA with respect to anything done by it in relation to the units in, from or otherwise involving the United Kingdom.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Japan</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underwriters will not offer or sell any of our units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and regulations of Japan. For purposes of this paragraph, “Japanese person” means any person resident in Japan, including any corporation or other entity organized under the laws of Japan.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Hong Kong</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underwriters and each of their affiliates have not (1) offered or sold, and will not offer or sell, in Hong Kong, by means of any document, our units other than (A) to “professional investors” as defined in the Securities and Futures Ordinance (Cap.571)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or (2) issued or had in its possession for the purposes of issue, and will not issue or have in its possession for the purposes of issue, whether in Hong Kong or elsewhere any advertisement, invitation or document relating to our units which is directed at, or the contents of which are likely to be accessed or read by, the public in Hong Kong (except if permitted to do so under the securities laws of Hong Kong) other than with respect to our securities which are or are intended to be disposed of only to persons outside Hong Kong or only to “professional investors” as defined in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Singapore</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units are subscribed or purchased under Section 275 of the SFA by a relevant person which is</w:t>
      </w:r>
    </w:p>
    <w:p>
      <w:pPr>
        <w:spacing w:after="0" w:line="131" w:lineRule="exact"/>
        <w:rPr>
          <w:sz w:val="20"/>
          <w:szCs w:val="20"/>
          <w:color w:val="auto"/>
        </w:rPr>
      </w:pPr>
    </w:p>
    <w:p>
      <w:pPr>
        <w:ind w:left="1080" w:right="80" w:hanging="424"/>
        <w:spacing w:after="0" w:line="308"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160" w:hanging="424"/>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2" w:lineRule="exact"/>
        <w:rPr>
          <w:rFonts w:ascii="Arial" w:cs="Arial" w:eastAsia="Arial" w:hAnsi="Arial"/>
          <w:sz w:val="18"/>
          <w:szCs w:val="18"/>
          <w:color w:val="auto"/>
        </w:rPr>
      </w:pPr>
    </w:p>
    <w:p>
      <w:pPr>
        <w:jc w:val="both"/>
        <w:ind w:left="1080" w:hanging="424"/>
        <w:spacing w:after="0" w:line="275"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 where the transfer is by operation of law.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Germany</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Each person who is in possession of this prospectus is aware that no German sales prospectus (Verkaufsprospekt) within the meaning of the Securities Sales Prospectus Act (Wertpapier-Verkaufsprospektgesetz, the “Act”) of the Federal Republic of Germany has been or will be published with respect to our units. In particular, the underwriters have represented that they have not engaged and have agreed that they will not engage in a public offering (offentliches Angebot) within the meaning of the Act with respect to any of our units otherwise then in accordance with the Act and all other applicable legal and regulatory requirements.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France</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units are being issued and sold outside the Republic of France and that, in connection with their initial distribution, it has not offered or sold and will not offer or sell, directly or indirectly, any units to the public in the Republic of France, and that it has not distributed and will not distribute or cause to be distributed to the public in the Republic of France this prospectus or any other offering material relating to the units, and that such offers, sales and distributions have been and will be made in the Republic of France only to qualified investors (investisseurs qualifiés) in accordance with Article L.411-2 of the Monetary and Financial Code and decrét no. 98-880 dated October 1, 1998.</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the Netherlands</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units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prospectus and in any other documents or advertisements in which a forthcoming offering of our units is publicly announced (whether electronically or otherwise) in The Netherlands it is stated that such offer is and will be exclusively made to such Professional Investors. Individual or legal entities who are not Professional Investors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may not participate in the offering of our units, and this prospectus or any other offering material relating to our units may not be considered an offer or the prospect of an offer to sell or exchange our units.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Cayman Islands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invitation, whether directly or indirectly, may be made to the public in the Cayman Islands to subscribe for our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distribution of units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units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By purchasing units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1080" w:hanging="424"/>
        <w:spacing w:after="0" w:line="342"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purchaser is entitled under applicable provincial securities laws to purchase the units without the benefit of a prospectus qualified under those securities laws as it is an “accredited investor” as defined under National Instrument 45 – 106 — Prospectus Exemptions;</w:t>
      </w:r>
    </w:p>
    <w:p>
      <w:pPr>
        <w:spacing w:after="0" w:line="29"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 – 103 — Registration Requirements, Exemptions and Ongoing Registrant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jc w:val="center"/>
        <w:ind w:right="120"/>
        <w:spacing w:after="0" w:line="342" w:lineRule="auto"/>
        <w:rPr>
          <w:sz w:val="20"/>
          <w:szCs w:val="20"/>
          <w:color w:val="auto"/>
        </w:rPr>
      </w:pPr>
      <w:r>
        <w:rPr>
          <w:rFonts w:ascii="Arial" w:cs="Arial" w:eastAsia="Arial" w:hAnsi="Arial"/>
          <w:sz w:val="16"/>
          <w:szCs w:val="16"/>
          <w:color w:val="auto"/>
        </w:rPr>
        <w:t xml:space="preserve">Canadian purchasers are hereby notified that Citigroup Global Markets Inc. is relying on the exemption set out in section 3A.3 or 3A.4, if applicable, of National Instrument 33 </w:t>
      </w:r>
      <w:r>
        <w:rPr>
          <w:rFonts w:ascii="Arial" w:cs="Arial" w:eastAsia="Arial" w:hAnsi="Arial"/>
          <w:sz w:val="16"/>
          <w:szCs w:val="16"/>
          <w:b w:val="1"/>
          <w:bCs w:val="1"/>
          <w:color w:val="auto"/>
        </w:rPr>
        <w:t>–</w:t>
      </w:r>
      <w:r>
        <w:rPr>
          <w:rFonts w:ascii="Arial" w:cs="Arial" w:eastAsia="Arial" w:hAnsi="Arial"/>
          <w:sz w:val="16"/>
          <w:szCs w:val="16"/>
          <w:color w:val="auto"/>
        </w:rPr>
        <w:t xml:space="preserve"> 105 </w:t>
      </w:r>
      <w:r>
        <w:rPr>
          <w:rFonts w:ascii="Arial" w:cs="Arial" w:eastAsia="Arial" w:hAnsi="Arial"/>
          <w:sz w:val="16"/>
          <w:szCs w:val="16"/>
          <w:b w:val="1"/>
          <w:bCs w:val="1"/>
          <w:color w:val="auto"/>
        </w:rPr>
        <w:t>—</w:t>
      </w:r>
      <w:r>
        <w:rPr>
          <w:rFonts w:ascii="Arial" w:cs="Arial" w:eastAsia="Arial" w:hAnsi="Arial"/>
          <w:sz w:val="16"/>
          <w:szCs w:val="16"/>
          <w:color w:val="auto"/>
        </w:rPr>
        <w:t xml:space="preserve"> Underwriting Conflicts from having to provide certain conflict of interest disclosure in this document.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Canadian purchasers of units should consult their own legal and tax advisors with respect to the tax consequences of an investment in the units in their particular circumstances and about the eligibility of the units for investment by the purchaser under relevant Canadian legislation.</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20"/>
          </w:cols>
          <w:pgMar w:left="320" w:top="459" w:right="5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Kirkland &amp; Ellis LLP, New York, New York will pass upon the validity of the securities offered in this prospectus with respect to units and warrants. Maples and Calder will pass upon the validity of the securities offered in this prospectus with respect to the ordinary shares and matters of Cayman Islands law. White &amp; Case LLP, New York, New York advised the underwriters in connection with the offering of the securities.</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financial statements of ArcLight Clean Transition Corp. II as of January 20, 2021 and for the period from January 13, 2021 (inception) through January 20, 2021 appearing in this prospectus have been audited by Marcum LLP, independent registered public accounting firm, as set forth in their report thereon (which contains an explanatory paragraph relating to substantial doubt about the ability of ArcLight Clean Transition Corp. II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2"/>
            <w:vMerge w:val="restart"/>
          </w:tcPr>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Report of Independent Registered Public Accounting Firm</w:t>
              </w:r>
            </w:hyperlink>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0640" w:type="dxa"/>
            <w:vAlign w:val="bottom"/>
            <w:gridSpan w:val="2"/>
            <w:vMerge w:val="continue"/>
          </w:tcPr>
          <w:p>
            <w:pPr>
              <w:spacing w:after="0"/>
              <w:rPr>
                <w:sz w:val="16"/>
                <w:szCs w:val="16"/>
                <w:color w:val="auto"/>
              </w:rPr>
            </w:pPr>
          </w:p>
        </w:tc>
        <w:tc>
          <w:tcPr>
            <w:tcW w:w="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Balance Sheet as of January 20, 2021</w:t>
              </w:r>
            </w:hyperlink>
          </w:p>
        </w:tc>
        <w:tc>
          <w:tcPr>
            <w:tcW w:w="68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3840" w:type="dxa"/>
            <w:vAlign w:val="bottom"/>
          </w:tcPr>
          <w:p>
            <w:pPr>
              <w:spacing w:after="0"/>
              <w:rPr>
                <w:rFonts w:ascii="Arial" w:cs="Arial" w:eastAsia="Arial" w:hAnsi="Arial"/>
                <w:sz w:val="18"/>
                <w:szCs w:val="18"/>
                <w:u w:val="single" w:color="auto"/>
                <w:color w:val="0000EE"/>
                <w:w w:val="91"/>
              </w:rPr>
            </w:pPr>
            <w:hyperlink w:anchor="page183">
              <w:r>
                <w:rPr>
                  <w:rFonts w:ascii="Arial" w:cs="Arial" w:eastAsia="Arial" w:hAnsi="Arial"/>
                  <w:sz w:val="18"/>
                  <w:szCs w:val="18"/>
                  <w:u w:val="single" w:color="auto"/>
                  <w:color w:val="0000EE"/>
                  <w:w w:val="91"/>
                </w:rPr>
                <w:t>Statement of Operations for the period from January</w:t>
              </w:r>
            </w:hyperlink>
          </w:p>
        </w:tc>
        <w:tc>
          <w:tcPr>
            <w:tcW w:w="6800" w:type="dxa"/>
            <w:vAlign w:val="bottom"/>
          </w:tcPr>
          <w:p>
            <w:pPr>
              <w:ind w:left="20"/>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13, 2021 (inception) through January 20, 2021</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Statement of Changes in Shareholder’s Equity for the period from January 13, 2021 (inception) through January 20, 2021</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3840" w:type="dxa"/>
            <w:vAlign w:val="bottom"/>
          </w:tcPr>
          <w:p>
            <w:pPr>
              <w:spacing w:after="0"/>
              <w:rPr>
                <w:rFonts w:ascii="Arial" w:cs="Arial" w:eastAsia="Arial" w:hAnsi="Arial"/>
                <w:sz w:val="18"/>
                <w:szCs w:val="18"/>
                <w:u w:val="single" w:color="auto"/>
                <w:color w:val="0000EE"/>
                <w:w w:val="90"/>
              </w:rPr>
            </w:pPr>
            <w:hyperlink w:anchor="page185">
              <w:r>
                <w:rPr>
                  <w:rFonts w:ascii="Arial" w:cs="Arial" w:eastAsia="Arial" w:hAnsi="Arial"/>
                  <w:sz w:val="18"/>
                  <w:szCs w:val="18"/>
                  <w:u w:val="single" w:color="auto"/>
                  <w:color w:val="0000EE"/>
                  <w:w w:val="90"/>
                </w:rPr>
                <w:t>Statement of Cash Flows for the period from January</w:t>
              </w:r>
            </w:hyperlink>
          </w:p>
        </w:tc>
        <w:tc>
          <w:tcPr>
            <w:tcW w:w="6800" w:type="dxa"/>
            <w:vAlign w:val="bottom"/>
          </w:tcPr>
          <w:p>
            <w:pPr>
              <w:ind w:left="80"/>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13, 2021 (inception) through January 20, 2021</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30"/>
        </w:trPr>
        <w:tc>
          <w:tcPr>
            <w:tcW w:w="3840" w:type="dxa"/>
            <w:vAlign w:val="bottom"/>
          </w:tcPr>
          <w:p>
            <w:pPr>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Notes to Financial Statements</w:t>
              </w:r>
            </w:hyperlink>
          </w:p>
        </w:tc>
        <w:tc>
          <w:tcPr>
            <w:tcW w:w="680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ArcLight Clean Transition Corp. II</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audited the accompanying balance sheet of ArcLight Clean Transition Corp. II (the “Company”) as of January 20, 2021, the related statements of operations, changes in shareholder’s equity and cash flows for the period from January 13, 2021 (inception) through January 20, 2021, and the related notes (collectively referred to as the “financial statements”). In our opinion, the financial statements present fairly, in all material respects, the financial position of the Company as of January 20, 2021, and the results of its operations and its cash flows for the period from January 13, 2021 (inception) through January 20, 2021,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 to the financial statements, the Company’s business plan is dependent upon its completion of the proposed initial public offering described in Note 3 to the financial statements. The Company has a working capital deficiency as of January 20 , 2021 and lacks the financial resources it needs to sustain operations for a reasonable period of time, which is considered to be one year from the issuance date of the financial statements. These conditions raise substantial doubt about the Company’s ability to continue as a going concern. Management’s plans with regard to these matters are also described in Notes 1 and 3. The financial statements do not include any adjustments that might result from the outcome of this uncertainty.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4"/>
          <w:szCs w:val="14"/>
          <w:color w:val="auto"/>
        </w:rPr>
        <w:t>LLP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4"/>
          <w:szCs w:val="14"/>
          <w:color w:val="auto"/>
        </w:rPr>
        <w:t>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Hartford, CT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4,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4"/>
        </w:trPr>
        <w:tc>
          <w:tcPr>
            <w:tcW w:w="1042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10300" w:type="dxa"/>
            <w:vAlign w:val="bottom"/>
          </w:tcPr>
          <w:p>
            <w:pPr>
              <w:jc w:val="center"/>
              <w:ind w:left="610"/>
              <w:spacing w:after="0"/>
              <w:rPr>
                <w:sz w:val="20"/>
                <w:szCs w:val="20"/>
                <w:color w:val="auto"/>
              </w:rPr>
            </w:pPr>
            <w:r>
              <w:rPr>
                <w:rFonts w:ascii="Arial" w:cs="Arial" w:eastAsia="Arial" w:hAnsi="Arial"/>
                <w:sz w:val="18"/>
                <w:szCs w:val="18"/>
                <w:b w:val="1"/>
                <w:bCs w:val="1"/>
                <w:color w:val="auto"/>
              </w:rPr>
              <w:t>ARCLIGHT CLEAN TRANSITION CORP. II</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120" w:type="dxa"/>
            <w:vAlign w:val="bottom"/>
          </w:tcPr>
          <w:p>
            <w:pPr>
              <w:spacing w:after="0"/>
              <w:rPr>
                <w:sz w:val="24"/>
                <w:szCs w:val="24"/>
                <w:color w:val="auto"/>
              </w:rPr>
            </w:pPr>
          </w:p>
        </w:tc>
        <w:tc>
          <w:tcPr>
            <w:tcW w:w="10300" w:type="dxa"/>
            <w:vAlign w:val="bottom"/>
          </w:tcPr>
          <w:p>
            <w:pPr>
              <w:jc w:val="center"/>
              <w:ind w:left="610"/>
              <w:spacing w:after="0"/>
              <w:rPr>
                <w:sz w:val="20"/>
                <w:szCs w:val="20"/>
                <w:color w:val="auto"/>
              </w:rPr>
            </w:pPr>
            <w:r>
              <w:rPr>
                <w:rFonts w:ascii="Arial" w:cs="Arial" w:eastAsia="Arial" w:hAnsi="Arial"/>
                <w:sz w:val="18"/>
                <w:szCs w:val="18"/>
                <w:b w:val="1"/>
                <w:bCs w:val="1"/>
                <w:color w:val="auto"/>
                <w:w w:val="99"/>
              </w:rPr>
              <w:t>BALANCE SHEET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030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January 20, 2021</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10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15,847</w:t>
            </w:r>
          </w:p>
        </w:tc>
      </w:tr>
      <w:tr>
        <w:trPr>
          <w:trHeight w:val="223"/>
        </w:trPr>
        <w:tc>
          <w:tcPr>
            <w:tcW w:w="12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15,847</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associated with proposed public offering</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42,000</w:t>
            </w:r>
          </w:p>
        </w:tc>
      </w:tr>
      <w:tr>
        <w:trPr>
          <w:trHeight w:val="223"/>
        </w:trPr>
        <w:tc>
          <w:tcPr>
            <w:tcW w:w="12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57,847</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42,000</w:t>
            </w:r>
          </w:p>
        </w:tc>
      </w:tr>
      <w:tr>
        <w:trPr>
          <w:trHeight w:val="230"/>
        </w:trPr>
        <w:tc>
          <w:tcPr>
            <w:tcW w:w="12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 $0.0001 par value; 5,000,000 shares authorized; none issued and outstanding</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Class A ordinary shares, $0.0001 par value; 500,000,000 shares authorized; none issued and outstanding</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 $0.0001 par value; 50,000,000 shares authorized; 7,187,500 shares issued and outstanding</w:t>
            </w:r>
            <w:r>
              <w:rPr>
                <w:rFonts w:ascii="Arial" w:cs="Arial" w:eastAsia="Arial" w:hAnsi="Arial"/>
                <w:sz w:val="15"/>
                <w:szCs w:val="15"/>
                <w:color w:val="auto"/>
              </w:rPr>
              <w:t>(1)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w:t>
            </w:r>
          </w:p>
        </w:tc>
      </w:tr>
      <w:tr>
        <w:trPr>
          <w:trHeight w:val="216"/>
        </w:trPr>
        <w:tc>
          <w:tcPr>
            <w:tcW w:w="1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24,281</w:t>
            </w: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(9,153)</w:t>
            </w:r>
          </w:p>
        </w:tc>
      </w:tr>
      <w:tr>
        <w:trPr>
          <w:trHeight w:val="230"/>
        </w:trPr>
        <w:tc>
          <w:tcPr>
            <w:tcW w:w="12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15,847</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57,847</w:t>
            </w:r>
          </w:p>
        </w:tc>
      </w:tr>
      <w:tr>
        <w:trPr>
          <w:trHeight w:val="20"/>
        </w:trPr>
        <w:tc>
          <w:tcPr>
            <w:tcW w:w="1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540" w:right="180" w:hanging="424"/>
        <w:spacing w:after="0" w:line="277" w:lineRule="auto"/>
        <w:tabs>
          <w:tab w:leader="none" w:pos="540" w:val="left"/>
        </w:tabs>
        <w:numPr>
          <w:ilvl w:val="0"/>
          <w:numId w:val="98"/>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includes up to 937,500 Class B ordinary shares subject to forfeiture if the over-allotment option is not exercised in full or in part by the underwriters (see Note 5).</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34"/>
        </w:trPr>
        <w:tc>
          <w:tcPr>
            <w:tcW w:w="1020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20" w:type="dxa"/>
            <w:vAlign w:val="bottom"/>
          </w:tcPr>
          <w:p>
            <w:pPr>
              <w:spacing w:after="0"/>
              <w:rPr>
                <w:sz w:val="24"/>
                <w:szCs w:val="24"/>
                <w:color w:val="auto"/>
              </w:rPr>
            </w:pPr>
          </w:p>
        </w:tc>
        <w:tc>
          <w:tcPr>
            <w:tcW w:w="10080" w:type="dxa"/>
            <w:vAlign w:val="bottom"/>
          </w:tcPr>
          <w:p>
            <w:pPr>
              <w:jc w:val="center"/>
              <w:ind w:left="830"/>
              <w:spacing w:after="0"/>
              <w:rPr>
                <w:sz w:val="20"/>
                <w:szCs w:val="20"/>
                <w:color w:val="auto"/>
              </w:rPr>
            </w:pPr>
            <w:r>
              <w:rPr>
                <w:rFonts w:ascii="Arial" w:cs="Arial" w:eastAsia="Arial" w:hAnsi="Arial"/>
                <w:sz w:val="18"/>
                <w:szCs w:val="18"/>
                <w:b w:val="1"/>
                <w:bCs w:val="1"/>
                <w:color w:val="auto"/>
              </w:rPr>
              <w:t>ARCLIGHT CLEAN TRANSITION CORP.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10080" w:type="dxa"/>
            <w:vAlign w:val="bottom"/>
          </w:tcPr>
          <w:p>
            <w:pPr>
              <w:jc w:val="center"/>
              <w:ind w:left="850"/>
              <w:spacing w:after="0"/>
              <w:rPr>
                <w:sz w:val="20"/>
                <w:szCs w:val="20"/>
                <w:color w:val="auto"/>
              </w:rPr>
            </w:pPr>
            <w:r>
              <w:rPr>
                <w:rFonts w:ascii="Arial" w:cs="Arial" w:eastAsia="Arial" w:hAnsi="Arial"/>
                <w:sz w:val="18"/>
                <w:szCs w:val="18"/>
                <w:b w:val="1"/>
                <w:bCs w:val="1"/>
                <w:color w:val="auto"/>
                <w:w w:val="99"/>
              </w:rPr>
              <w:t>STATEMENT OF OPERATIONS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080" w:type="dxa"/>
            <w:vAlign w:val="bottom"/>
          </w:tcPr>
          <w:p>
            <w:pPr>
              <w:jc w:val="center"/>
              <w:ind w:left="850"/>
              <w:spacing w:after="0"/>
              <w:rPr>
                <w:sz w:val="20"/>
                <w:szCs w:val="20"/>
                <w:color w:val="auto"/>
              </w:rPr>
            </w:pPr>
            <w:r>
              <w:rPr>
                <w:rFonts w:ascii="Arial" w:cs="Arial" w:eastAsia="Arial" w:hAnsi="Arial"/>
                <w:sz w:val="18"/>
                <w:szCs w:val="18"/>
                <w:b w:val="1"/>
                <w:bCs w:val="1"/>
                <w:color w:val="auto"/>
                <w:w w:val="91"/>
              </w:rPr>
              <w:t>For the period from January 13, 2021 (inception) through January 20,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0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9,153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ordinary shares outstanding, basic and diluted</w:t>
            </w:r>
            <w:r>
              <w:rPr>
                <w:rFonts w:ascii="Arial" w:cs="Arial" w:eastAsia="Arial" w:hAnsi="Arial"/>
                <w:sz w:val="15"/>
                <w:szCs w:val="15"/>
                <w:b w:val="1"/>
                <w:bCs w:val="1"/>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6,250,000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540" w:right="220" w:hanging="424"/>
        <w:spacing w:after="0" w:line="277" w:lineRule="auto"/>
        <w:tabs>
          <w:tab w:leader="none" w:pos="540" w:val="left"/>
        </w:tabs>
        <w:numPr>
          <w:ilvl w:val="0"/>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excludes an aggregate of up to 937,500 Class B ordinary shares subject to forfeiture if the over-allotment option is not exercised in full or in part by the underwriters (see Note 5).</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from January 13, 2021 (inception) through January 20, 2021</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49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42"/>
        </w:trPr>
        <w:tc>
          <w:tcPr>
            <w:tcW w:w="4900" w:type="dxa"/>
            <w:vAlign w:val="bottom"/>
          </w:tcPr>
          <w:p>
            <w:pPr>
              <w:spacing w:after="0"/>
              <w:rPr>
                <w:sz w:val="12"/>
                <w:szCs w:val="12"/>
                <w:color w:val="auto"/>
              </w:rPr>
            </w:pPr>
          </w:p>
        </w:tc>
        <w:tc>
          <w:tcPr>
            <w:tcW w:w="840" w:type="dxa"/>
            <w:vAlign w:val="bottom"/>
            <w:tcBorders>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9"/>
              </w:rPr>
              <w:t>Class B</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Paid-in</w:t>
            </w: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Accumulated</w:t>
            </w:r>
          </w:p>
        </w:tc>
        <w:tc>
          <w:tcPr>
            <w:tcW w:w="9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Shareholder’s</w:t>
            </w:r>
          </w:p>
        </w:tc>
      </w:tr>
      <w:tr>
        <w:trPr>
          <w:trHeight w:val="142"/>
        </w:trPr>
        <w:tc>
          <w:tcPr>
            <w:tcW w:w="49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2"/>
                <w:szCs w:val="12"/>
                <w:color w:val="auto"/>
              </w:rPr>
            </w:pPr>
          </w:p>
        </w:tc>
        <w:tc>
          <w:tcPr>
            <w:tcW w:w="960" w:type="dxa"/>
            <w:vAlign w:val="bottom"/>
            <w:gridSpan w:val="2"/>
          </w:tcPr>
          <w:p>
            <w:pPr>
              <w:jc w:val="right"/>
              <w:ind w:right="421"/>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Equity</w:t>
            </w:r>
          </w:p>
        </w:tc>
      </w:tr>
      <w:tr>
        <w:trPr>
          <w:trHeight w:val="209"/>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13, 2021 (inception)</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Issuance of Class B ordinary shares to Sponsor</w:t>
            </w:r>
            <w:r>
              <w:rPr>
                <w:rFonts w:ascii="Arial" w:cs="Arial" w:eastAsia="Arial" w:hAnsi="Arial"/>
                <w:sz w:val="15"/>
                <w:szCs w:val="15"/>
                <w:color w:val="auto"/>
              </w:rPr>
              <w:t>(1)</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7,187,500</w:t>
            </w:r>
          </w:p>
        </w:tc>
        <w:tc>
          <w:tcPr>
            <w:tcW w:w="16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24,281</w:t>
            </w:r>
          </w:p>
        </w:tc>
        <w:tc>
          <w:tcPr>
            <w:tcW w:w="140" w:type="dxa"/>
            <w:vAlign w:val="bottom"/>
          </w:tcPr>
          <w:p>
            <w:pPr>
              <w:spacing w:after="0"/>
              <w:rPr>
                <w:sz w:val="18"/>
                <w:szCs w:val="18"/>
                <w:color w:val="auto"/>
              </w:rPr>
            </w:pPr>
          </w:p>
        </w:tc>
        <w:tc>
          <w:tcPr>
            <w:tcW w:w="9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(9,153)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(9,153)</w:t>
            </w:r>
          </w:p>
        </w:tc>
      </w:tr>
      <w:tr>
        <w:trPr>
          <w:trHeight w:val="223"/>
        </w:trPr>
        <w:tc>
          <w:tcPr>
            <w:tcW w:w="4900" w:type="dxa"/>
            <w:vAlign w:val="bottom"/>
          </w:tcPr>
          <w:p>
            <w:pPr>
              <w:spacing w:after="0"/>
              <w:rPr>
                <w:sz w:val="20"/>
                <w:szCs w:val="20"/>
                <w:color w:val="auto"/>
              </w:rPr>
            </w:pPr>
            <w:r>
              <w:rPr>
                <w:rFonts w:ascii="Arial" w:cs="Arial" w:eastAsia="Arial" w:hAnsi="Arial"/>
                <w:sz w:val="18"/>
                <w:szCs w:val="18"/>
                <w:b w:val="1"/>
                <w:bCs w:val="1"/>
                <w:color w:val="auto"/>
              </w:rPr>
              <w:t>Balance — January 20, 2021</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4"/>
              </w:rPr>
              <w:t>7,187,500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6"/>
              </w:rPr>
              <w:t>719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24,281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(9,153</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15,847</w:t>
            </w:r>
          </w:p>
        </w:tc>
        <w:tc>
          <w:tcPr>
            <w:tcW w:w="12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80" w:hanging="424"/>
        <w:spacing w:after="0" w:line="277" w:lineRule="auto"/>
        <w:tabs>
          <w:tab w:leader="none" w:pos="540"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includes up to 937,500 Class B ordinary shares subject to forfeiture if the over-allotment option is not exercised in full or in part by the underwriters (see Note 5).</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34"/>
        </w:trPr>
        <w:tc>
          <w:tcPr>
            <w:tcW w:w="1042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20" w:type="dxa"/>
            <w:vAlign w:val="bottom"/>
          </w:tcPr>
          <w:p>
            <w:pPr>
              <w:spacing w:after="0"/>
              <w:rPr>
                <w:sz w:val="24"/>
                <w:szCs w:val="24"/>
                <w:color w:val="auto"/>
              </w:rPr>
            </w:pPr>
          </w:p>
        </w:tc>
        <w:tc>
          <w:tcPr>
            <w:tcW w:w="10300" w:type="dxa"/>
            <w:vAlign w:val="bottom"/>
          </w:tcPr>
          <w:p>
            <w:pPr>
              <w:jc w:val="center"/>
              <w:ind w:left="610"/>
              <w:spacing w:after="0"/>
              <w:rPr>
                <w:sz w:val="20"/>
                <w:szCs w:val="20"/>
                <w:color w:val="auto"/>
              </w:rPr>
            </w:pPr>
            <w:r>
              <w:rPr>
                <w:rFonts w:ascii="Arial" w:cs="Arial" w:eastAsia="Arial" w:hAnsi="Arial"/>
                <w:sz w:val="18"/>
                <w:szCs w:val="18"/>
                <w:b w:val="1"/>
                <w:bCs w:val="1"/>
                <w:color w:val="auto"/>
              </w:rPr>
              <w:t>ARCLIGHT CLEAN TRANSITION CORP. II</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10300" w:type="dxa"/>
            <w:vAlign w:val="bottom"/>
          </w:tcPr>
          <w:p>
            <w:pPr>
              <w:jc w:val="center"/>
              <w:ind w:left="610"/>
              <w:spacing w:after="0"/>
              <w:rPr>
                <w:sz w:val="20"/>
                <w:szCs w:val="20"/>
                <w:color w:val="auto"/>
              </w:rPr>
            </w:pPr>
            <w:r>
              <w:rPr>
                <w:rFonts w:ascii="Arial" w:cs="Arial" w:eastAsia="Arial" w:hAnsi="Arial"/>
                <w:sz w:val="18"/>
                <w:szCs w:val="18"/>
                <w:b w:val="1"/>
                <w:bCs w:val="1"/>
                <w:color w:val="auto"/>
                <w:w w:val="99"/>
              </w:rPr>
              <w:t>STATEMENT OF CASH FLOWS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30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For the period from January 13, 2021 (inception) through January 20, 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0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(9,153)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9,153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b w:val="1"/>
                <w:bCs w:val="1"/>
                <w:color w:val="auto"/>
              </w:rPr>
              <w:t>Net increase in cash</w:t>
            </w:r>
          </w:p>
        </w:tc>
        <w:tc>
          <w:tcPr>
            <w:tcW w:w="1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b w:val="1"/>
                <w:bCs w:val="1"/>
                <w:color w:val="auto"/>
              </w:rPr>
              <w:t>Cash — ending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Deferred offering costs included in accrued expenses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42,000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paid by Sponsor in exchange for issuance of Class B ordinary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300" w:type="dxa"/>
            <w:vAlign w:val="bottom"/>
            <w:vMerge w:val="restart"/>
          </w:tcPr>
          <w:p>
            <w:pPr>
              <w:jc w:val="center"/>
              <w:ind w:left="61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20" w:type="dxa"/>
            <w:vAlign w:val="bottom"/>
          </w:tcPr>
          <w:p>
            <w:pPr>
              <w:spacing w:after="0"/>
              <w:rPr>
                <w:sz w:val="24"/>
                <w:szCs w:val="24"/>
                <w:color w:val="auto"/>
              </w:rPr>
            </w:pPr>
          </w:p>
        </w:tc>
        <w:tc>
          <w:tcPr>
            <w:tcW w:w="10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0" w:type="dxa"/>
            <w:vAlign w:val="bottom"/>
          </w:tcPr>
          <w:p>
            <w:pPr>
              <w:spacing w:after="0"/>
              <w:rPr>
                <w:sz w:val="24"/>
                <w:szCs w:val="24"/>
                <w:color w:val="auto"/>
              </w:rPr>
            </w:pPr>
          </w:p>
        </w:tc>
        <w:tc>
          <w:tcPr>
            <w:tcW w:w="10300" w:type="dxa"/>
            <w:vAlign w:val="bottom"/>
          </w:tcPr>
          <w:p>
            <w:pPr>
              <w:jc w:val="center"/>
              <w:ind w:left="610"/>
              <w:spacing w:after="0"/>
              <w:rPr>
                <w:sz w:val="20"/>
                <w:szCs w:val="20"/>
                <w:color w:val="auto"/>
              </w:rPr>
            </w:pPr>
            <w:r>
              <w:rPr>
                <w:rFonts w:ascii="Arial" w:cs="Arial" w:eastAsia="Arial" w:hAnsi="Arial"/>
                <w:sz w:val="18"/>
                <w:szCs w:val="18"/>
                <w:color w:val="auto"/>
                <w:w w:val="88"/>
              </w:rPr>
              <w:t>F-6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40"/>
          </w:cols>
          <w:pgMar w:left="320" w:top="459"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BUSINESS OPERATIONS, AND GOING CONCERN</w:t>
      </w:r>
    </w:p>
    <w:p>
      <w:pPr>
        <w:spacing w:after="0" w:line="121"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yet identified (“Business Combination”).</w:t>
      </w:r>
    </w:p>
    <w:p>
      <w:pPr>
        <w:spacing w:after="0" w:line="165" w:lineRule="exact"/>
        <w:rPr>
          <w:sz w:val="20"/>
          <w:szCs w:val="20"/>
          <w:color w:val="auto"/>
        </w:rPr>
      </w:pPr>
    </w:p>
    <w:p>
      <w:pPr>
        <w:ind w:left="120" w:right="700"/>
        <w:spacing w:after="0" w:line="263" w:lineRule="auto"/>
        <w:rPr>
          <w:sz w:val="20"/>
          <w:szCs w:val="20"/>
          <w:color w:val="auto"/>
        </w:rPr>
      </w:pPr>
      <w:r>
        <w:rPr>
          <w:rFonts w:ascii="Arial" w:cs="Arial" w:eastAsia="Arial" w:hAnsi="Arial"/>
          <w:sz w:val="18"/>
          <w:szCs w:val="18"/>
          <w:color w:val="auto"/>
        </w:rPr>
        <w:t>As of January 20, 2021, the Company had not yet commenced operations. All activity for the period from January 13, 2021 (inception) through January 20, 2021 relates to the Company’s formation and the Proposed Public Offering, which is described below. The Company has selected December 31 as its fiscal year end.</w:t>
      </w:r>
    </w:p>
    <w:p>
      <w:pPr>
        <w:spacing w:after="0" w:line="184"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initial public offering of 25,000,000 units at $10.00 per unit (or 28,750,000 units if the underwriters’ option to purchase additional units is exercised in full) (“Units” and, with respect to the Class A ordinary shares included in the Units being offered, the “Public Shares”) which is discussed in Note 3 (the “Proposed Public Offering”) and the sale of 8,000,000 warrants (or 8,750,000 warrants if the underwriters’ option to purchase additional units is exercised in full) at a price of $1.00 per warrant (“Private Placement Warrants”) in a private placement (the “Private Placement”) to the Company’s sponsor, ArcLight CTC Holdings II, L.P., a Delaware limited partnership (“Sponsor”), that will close simultaneously with the Proposed Public Offering.</w:t>
      </w:r>
    </w:p>
    <w:p>
      <w:pPr>
        <w:spacing w:after="0" w:line="16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its Proposed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(as defined below)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or the Investment Company Act. Upon the closing of the Proposed Public Offering, management has agreed that an amount equal to at least $10.00 per Unit sold in the Proposed Public Offering, including the proceeds of the Private Placement Warrants, will be held in a trust account (“Trust Account”) with Continental Stock Transfer &amp; Trust Company acting as trustee and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84"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Shareholders who redeem their Public Shares will not be reduced by the deferred underwriting commissions the Company will pay to the underwriters (as discussed in Note 6). These Public Shares will be recorded at a redemption value and classified as temporary equity upon the completion of the Proposed Public</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Offering,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Proposed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Proposed Public Offering (the “Initial Shareholders”) will agree to vote their Founder Shares (as defined in Note 5) and any Public Shares purchased during or after the Proposed Public Offering in favor of a Business Combination. In addition, the Initial Shareholders will agree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16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Notwithstanding the foregoing, the Company’s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Proposed Public Offering, without the prior consent of the Company.</w:t>
      </w:r>
    </w:p>
    <w:p>
      <w:pPr>
        <w:spacing w:after="0" w:line="15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Company’s Sponsor, executive officers, directors and director nominees will agree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88"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81"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Initial Shareholders will agree to waive their liquidation rights with respect to the Founder Shares if the Company fails to complete a Business Combination within the Combination Period. However, if the Initial Shareholders should acquire Public Shares in or after the Proposed Public Offering, they will be entitled to liquidating distributions from the Trust Account with respect to such Public Shares if the Company fails to complete a Business Combination within the Combination Period. The underwriters will agree to waive their rights to their deferred underwriting commission (see Note 6) held in the Trust Account in the event the Company does not complete a Business Combination within 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Going Concern Consideration</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of January 20, 2021, the Company had no cash and a working capital deficiency of approximately $26,000. Further, the Company has incurred and expect to continue to incur significant costs in pursuit of its financing and acquisition plans. Management’s plans to address this need for capital through the Proposed Public Offering. The Company cannot assure that its plans to raise capital or to consummate an initial Business Combination will be successful. In addition, management is currently evaluating the impact of the COVID-19 pandemic on the industry and its effect on the Company’s financial position, results its operations and/or search for a target company.</w:t>
      </w:r>
    </w:p>
    <w:p>
      <w:pPr>
        <w:spacing w:after="0" w:line="18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These factors, among others, raise substantial doubt about the Company’s ability to continue as a going concern for one year from the issuance of the statements. The financial statements do not include any adjustments that might result from its inability to consummate the Proposed Public Offering or its inability to continue as a going concern.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(“GAAP”) and pursuant to the rules and regulations of the SEC.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5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84"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the FASB ASC 820, “Fair Value Measurements and Disclosures,” approximates the carrying amounts represented in the balance sheet, primarily due to their short-term nature.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offering costs</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Deferred offering costs consist of legal fees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to be incurred, will be charged to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ordinary share</w:t>
      </w:r>
    </w:p>
    <w:p>
      <w:pPr>
        <w:spacing w:after="0" w:line="117" w:lineRule="exact"/>
        <w:rPr>
          <w:sz w:val="20"/>
          <w:szCs w:val="20"/>
          <w:color w:val="auto"/>
        </w:rPr>
      </w:pPr>
    </w:p>
    <w:p>
      <w:pPr>
        <w:ind w:left="120" w:right="500"/>
        <w:spacing w:after="0" w:line="311" w:lineRule="auto"/>
        <w:rPr>
          <w:sz w:val="20"/>
          <w:szCs w:val="20"/>
          <w:color w:val="auto"/>
        </w:rPr>
      </w:pPr>
      <w:r>
        <w:rPr>
          <w:rFonts w:ascii="Arial" w:cs="Arial" w:eastAsia="Arial" w:hAnsi="Arial"/>
          <w:sz w:val="16"/>
          <w:szCs w:val="16"/>
          <w:color w:val="auto"/>
        </w:rPr>
        <w:t>The Company complies with accounting and disclosure requirements of ASC Topic 260, “Earnings Per Share.” Net loss per share is computed by dividing net loss by the weighted average number of ordinary shares outstanding during the period, excluding Class A ordinary shares subject to forfeiture. Weighted average shares at January 20, 2021 were reduced for the effect of an aggregate of 937,500 Class B ordinary shares that are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subject to forfeiture if the over-allotment option is not exercised in full or in part by the underwriters (see Note 6). At January 20, 2021, the Company did not have any dilutive securities and other contracts that could, potentially, be exercised or converted into ordinary shares and then share in the earnings of the Company. As a result, diluted loss per share is the same as basic loss per share for the periods presented.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January 20, 2021. The Company is currently not aware of any issues under review that could result in significant payments, accruals or material deviation from its position.</w:t>
      </w:r>
    </w:p>
    <w:p>
      <w:pPr>
        <w:spacing w:after="0" w:line="178"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PROPOSED PUBLIC OFFERING</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Pursuant to the Proposed Public Offering, the Company will offer for sale up to 25,000,000 Units (or 28,750,000 Units if the underwriters’ option to purchase additional units is exercised in full) at a purchase price of $10.00 per Unit. Each Unit will consist of one Class A ordinary share and one-fifth of one redeemable warrant (“Public Warrant”). Each whole Public Warrant will entitle the holder to purchase one Class A ordinary share at an exercise price of $11.50 per share, subject to adjustment (see Note 7).</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The Sponsor agreed to purchase an aggregate of 8,000,000 Private Placement Warrants (or 8,750,000 Private Placement Warrants if the underwriters’ over-allotment option is exercised in full), at a price of $1.00 per Private Placement Warrant ($8.0 million in the aggregate, or approximately</w:t>
      </w:r>
    </w:p>
    <w:p>
      <w:pPr>
        <w:ind w:left="120" w:right="40"/>
        <w:spacing w:after="0" w:line="253" w:lineRule="auto"/>
        <w:rPr>
          <w:sz w:val="20"/>
          <w:szCs w:val="20"/>
          <w:color w:val="auto"/>
        </w:rPr>
      </w:pPr>
      <w:r>
        <w:rPr>
          <w:rFonts w:ascii="Arial" w:cs="Arial" w:eastAsia="Arial" w:hAnsi="Arial"/>
          <w:sz w:val="18"/>
          <w:szCs w:val="18"/>
          <w:color w:val="auto"/>
        </w:rPr>
        <w:t>$8.8 million if the underwriters’ over-allotment option is exercised in full) in the Private Placement that will occur simultaneously with the closing of the Proposed Public Offering. In the event that the Sponsor, or an affiliate of the Sponsor, purchases any such units, the number of Private Placement Warrants to be purchased by the Sponsor will be reduced to account for the corresponding reduction in underwriting discounts payable upon completion the Proposed Public Offering.</w:t>
      </w:r>
    </w:p>
    <w:p>
      <w:pPr>
        <w:spacing w:after="0" w:line="19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Each whole Private Placement Warrant is exercisable for one whole share of Class A ordinary shares at a price of $11.50 per share. A portion of the proceeds from the sale of the Private Placement Warrants to the Sponsor will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be added to the proceeds from the Proposed Public Offering to be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6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Sponsor and the Company’s officers and directors will agree, subject to limited exceptions, not to transfer, assign or sell any of their Private Placement Warrants until 30 days after the completion of the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On January 20, 2021, the Sponsor paid an aggregate of $25,000 for certain expenses on behalf of the Company in exchange for issuance of 7,187,500 Class B ordinary shares (the “Founder Shares”). On February 2, 2021, our sponsor transferred 35,000 founder shares to each of Arno Harris, Ja-Chin Audrey Lee, Brian Goncher and Steven Berkenfeld, our independent director nominees. The holders of the Founder Shares will agree to forfeit up to an aggregate of 937,500 Founder Shares, on a pro rata basis, to the extent that the option to purchase additional units is not exercised in full by the underwriters. The forfeiture will be adjusted to the extent that the option to purchase additional units is not exercised in full by the underwriters so that the Founder Shares will represent 20% of the Company’s issued and outstanding shares after the Proposed Public Offering. If the Company increases or decreases the size of the Proposed Public Offering, the Company will effect a share capitalization or a share repurchase or redemption or other appropriate mechanism, as applicable, with respect to the Class B ordinary shares prior to the consummation of the Proposed Public Offering in such amount as to maintain the number of Founder Shares at 20% of the Company’s issued and outstanding ordinary shares upon the consummation of the Proposed Public Offering.</w:t>
      </w:r>
    </w:p>
    <w:p>
      <w:pPr>
        <w:spacing w:after="0" w:line="185"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Initial Shareholders will agree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On January 20, 2021, the Sponsor agreed to loan the Company up to $300,000 to be used for the payment of costs related to the Proposed Public Offering pursuant to a promissory note (the “Note”). The Note is non-interest bearing, unsecured and due on the earlier of June 30, 2021 or the closing of the Proposed Public Offering. The Company intends to repay the Note from the proceeds of the Proposed Public Offering not being placed in the Trust Account. As of January 20, 2021, the Company has not borrowed any amount under the Note.</w:t>
      </w:r>
    </w:p>
    <w:p>
      <w:pPr>
        <w:spacing w:after="0" w:line="171"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w:t>
      </w:r>
    </w:p>
    <w:p>
      <w:pPr>
        <w:spacing w:after="0" w:line="2" w:lineRule="exact"/>
        <w:rPr>
          <w:sz w:val="20"/>
          <w:szCs w:val="20"/>
          <w:color w:val="auto"/>
        </w:rPr>
      </w:pPr>
    </w:p>
    <w:p>
      <w:pPr>
        <w:ind w:left="120" w:right="60"/>
        <w:spacing w:after="0" w:line="277" w:lineRule="auto"/>
        <w:rPr>
          <w:sz w:val="20"/>
          <w:szCs w:val="20"/>
          <w:color w:val="auto"/>
        </w:rPr>
      </w:pPr>
      <w:r>
        <w:rPr>
          <w:rFonts w:ascii="Arial" w:cs="Arial" w:eastAsia="Arial" w:hAnsi="Arial"/>
          <w:sz w:val="17"/>
          <w:szCs w:val="17"/>
          <w:color w:val="auto"/>
        </w:rPr>
        <w:t>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To date, the Company had no borrowings under the Working Capital Loans.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Company will enter into an agreement that will provide that, commencing on the date that the Company’s securities are first listed on Nasdaq through the earlier of consummation of the initial Business Combination and the liquidation, the Company will pay the Sponsor $10,000 per month for office space, secretarial and administrative services provided to the Company.</w:t>
      </w:r>
    </w:p>
    <w:p>
      <w:pPr>
        <w:spacing w:after="0" w:line="184"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&amp;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17"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will be entitled to registration rights pursuant to a registration and shareholder rights agreement to be signed prior to or on the effective date of the Proposed Public Offering.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Company will grant the underwriters a 45-day option from the date of this prospectus to purchase up to 3,750,000 additional Units at the Proposed Public Offering price less the underwriting discounts and commissions.</w:t>
      </w:r>
    </w:p>
    <w:p>
      <w:pPr>
        <w:spacing w:after="0" w:line="170"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underwriters will be entitled to an underwriting discount of $0.20 per unit, or $5.0 million in the aggregate (or approximately $5.8 million in the aggregate if the underwriters’ over-allotment option is exercised in full), payable upon the closing of the Proposed Public Offering. In addition, $0.35 per unit, or approximately $8.8 million in the aggregate (or approximately $10.1 million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SHAREHOLDER’S EQUITY</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500,000,000 Class A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Class A ordinary shares are entitled to one vote for each share. At January 20, 2021, there were no Class A ordinary shares issued or outstanding.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50,000,000 Class B ordinary shares with a par value of $0.0001 per share.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 2021, 7,187,500 Class B ordinary shares were issued and outstanding including an aggregate of up to 937,500 Class B ordinary shares that are subject to forfeiture, to the Company by the Initial Shareholders for no consideration to the extent that the underwriters’ over-allotment option is not exercised in full or in part, so that the Initial Shareholders will collectively own 20% of the Company’s issued and outstanding ordinary shares after the Proposed Public Offering.</w:t>
      </w:r>
    </w:p>
    <w:p>
      <w:pPr>
        <w:spacing w:after="0" w:line="188"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84"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Proposed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5,000,000 preference shares with a par value of $0.0001 per share. At January 20, 2021,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no preference shares issued or outstanding.</w:t>
      </w:r>
    </w:p>
    <w:p>
      <w:pPr>
        <w:spacing w:after="0" w:line="170"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Public Warrants will be issued upon separation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has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7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Proposed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7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$18.00: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herein with respect to the Private Placement Warrants):</w:t>
      </w:r>
    </w:p>
    <w:p>
      <w:pPr>
        <w:spacing w:after="0" w:line="76" w:lineRule="exact"/>
        <w:rPr>
          <w:sz w:val="20"/>
          <w:szCs w:val="20"/>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$10.00: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w:t>
      </w:r>
    </w:p>
    <w:p>
      <w:pPr>
        <w:spacing w:after="0" w:line="76"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80"/>
        <w:spacing w:after="0" w:line="277" w:lineRule="auto"/>
        <w:rPr>
          <w:sz w:val="20"/>
          <w:szCs w:val="20"/>
          <w:color w:val="auto"/>
        </w:rPr>
      </w:pPr>
      <w:r>
        <w:rPr>
          <w:rFonts w:ascii="Arial" w:cs="Arial" w:eastAsia="Arial" w:hAnsi="Arial"/>
          <w:sz w:val="18"/>
          <w:szCs w:val="18"/>
          <w:color w:val="auto"/>
        </w:rPr>
        <w:t>number of Class A ordinary shares to be determined by reference to an agreed table based on the redemption date and the “fair market value” of Class A ordinary shares; and</w:t>
      </w:r>
    </w:p>
    <w:p>
      <w:pPr>
        <w:spacing w:after="0" w:line="76" w:lineRule="exact"/>
        <w:rPr>
          <w:sz w:val="20"/>
          <w:szCs w:val="20"/>
          <w:color w:val="auto"/>
        </w:rPr>
      </w:pPr>
    </w:p>
    <w:p>
      <w:pPr>
        <w:ind w:left="1080" w:right="100" w:hanging="424"/>
        <w:spacing w:after="0" w:line="342"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and only if, the closing price of Class A ordinary shares equals or exceeds $10.00 per share (as adjusted) for any 20 trading days within the 30-trading day period ending three trading days before the Company sends the notice of redemption to the warrant holders; and</w:t>
      </w:r>
    </w:p>
    <w:p>
      <w:pPr>
        <w:spacing w:after="0" w:line="29" w:lineRule="exact"/>
        <w:rPr>
          <w:rFonts w:ascii="Arial" w:cs="Arial" w:eastAsia="Arial" w:hAnsi="Arial"/>
          <w:sz w:val="16"/>
          <w:szCs w:val="16"/>
          <w:color w:val="auto"/>
        </w:rPr>
      </w:pPr>
    </w:p>
    <w:p>
      <w:pPr>
        <w:ind w:left="1080" w:right="160" w:hanging="424"/>
        <w:spacing w:after="0" w:line="259"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4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SUBSEQUENT EVENTS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has evaluated subsequent events to determine if events or transactions occurring after the balance sheet date through the date the financial statements were issued. Based upon this review, the Company did not identify any subsequent events that would have required potential adjustment to or disclosure in the financial statements and has concluded that all such events that would require recognition or disclosure have been recognized or disclosed.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20"/>
        <w:spacing w:after="0"/>
        <w:rPr>
          <w:sz w:val="20"/>
          <w:szCs w:val="20"/>
          <w:color w:val="auto"/>
        </w:rPr>
      </w:pPr>
      <w:r>
        <w:rPr>
          <w:rFonts w:ascii="Arial" w:cs="Arial" w:eastAsia="Arial" w:hAnsi="Arial"/>
          <w:sz w:val="29"/>
          <w:szCs w:val="29"/>
          <w:b w:val="1"/>
          <w:bCs w:val="1"/>
          <w:color w:val="auto"/>
        </w:rPr>
        <w:t>25,000,000 Units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360"/>
        <w:spacing w:after="0"/>
        <w:rPr>
          <w:sz w:val="20"/>
          <w:szCs w:val="20"/>
          <w:color w:val="auto"/>
        </w:rPr>
      </w:pPr>
      <w:r>
        <w:rPr>
          <w:rFonts w:ascii="Arial" w:cs="Arial" w:eastAsia="Arial" w:hAnsi="Arial"/>
          <w:sz w:val="40"/>
          <w:szCs w:val="40"/>
          <w:b w:val="1"/>
          <w:bCs w:val="1"/>
          <w:color w:val="auto"/>
        </w:rPr>
        <w:t>ArcLight Clean Transition Corp.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1706880</wp:posOffset>
            </wp:positionV>
            <wp:extent cx="1474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PRELIMINARY PROSPECTUS</w:t>
      </w:r>
    </w:p>
    <w:p>
      <w:pPr>
        <w:spacing w:after="0" w:line="19"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20"/>
        <w:spacing w:after="0"/>
        <w:rPr>
          <w:sz w:val="20"/>
          <w:szCs w:val="20"/>
          <w:color w:val="auto"/>
        </w:rPr>
      </w:pPr>
      <w:r>
        <w:rPr>
          <w:rFonts w:ascii="Arial" w:cs="Arial" w:eastAsia="Arial" w:hAnsi="Arial"/>
          <w:sz w:val="29"/>
          <w:szCs w:val="29"/>
          <w:b w:val="1"/>
          <w:bCs w:val="1"/>
          <w:color w:val="auto"/>
        </w:rPr>
        <w:t>Citigroup</w:t>
      </w:r>
    </w:p>
    <w:p>
      <w:pPr>
        <w:spacing w:after="0" w:line="112" w:lineRule="exact"/>
        <w:rPr>
          <w:sz w:val="20"/>
          <w:szCs w:val="20"/>
          <w:color w:val="auto"/>
        </w:rPr>
      </w:pPr>
    </w:p>
    <w:p>
      <w:pPr>
        <w:ind w:left="5100"/>
        <w:spacing w:after="0"/>
        <w:rPr>
          <w:sz w:val="20"/>
          <w:szCs w:val="20"/>
          <w:color w:val="auto"/>
        </w:rPr>
      </w:pPr>
      <w:r>
        <w:rPr>
          <w:rFonts w:ascii="Arial" w:cs="Arial" w:eastAsia="Arial" w:hAnsi="Arial"/>
          <w:sz w:val="29"/>
          <w:szCs w:val="29"/>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1643380</wp:posOffset>
            </wp:positionV>
            <wp:extent cx="69951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1694815</wp:posOffset>
            </wp:positionV>
            <wp:extent cx="699516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SEC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38,582</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FINRA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52,150</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325,000</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NASDAQ listing and filing fees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85,000</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Director &amp; Officers liability insurance premiums</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750,000</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Miscellaneous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1,450,000</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500" w:hanging="424"/>
        <w:spacing w:after="0" w:line="277"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amount represents the approximate amount of annual director and officer liability insurance premiums the registrant anticipates paying following the completion of its initial public offering and until it completes a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9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8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January 20, 2021, the sponsor paid $25,000, or approximately $0.003 per share, to cover certain expenses on our behalf in consideration of 7,187,500 Class B ordinary shares, par value $0.0001. Such securities were issued in connection with our organization pursuant to the exemption from registration contained in Section 4(a)(2) of the Securities Act. On February 2, 2021, our sponsor transferred 35,000 founder shares to each of Arno Harris, Ja-Chin Audrey Lee, Brian Goncher and Steven Berkenfeld, our independent director nominees. The total number of Class B ordinary shares outstanding after this offering and the expiration of the underwriters’ option to purchase additional units will equal 20% of the total number of Class A ordinary shares and Class B ordinary shares outstanding at such time. The Class B ordinary shares will automatically convert into Class A ordinary shares concurrently with or immediately following the consummation of our initial business combination, or earlier at the option of the holder thereof, on a one-for-one basis, subject to adjustment, as described in this prospectus. If we increase or decrease the size of this offering, we will effect a share capitalization or a share repurchase or redemption or other appropriate mechanism, as applicable, with respect to our Class B ordinary shares prior to the consummation of this offering in such amount as to maintain the number of founder shares at 20% of the total number of Class A ordinary shares and Class B ordinary shares outstanding at such time (assuming the underwriters exercise their option to purchase additional units in full).</w:t>
      </w:r>
    </w:p>
    <w:p>
      <w:pPr>
        <w:spacing w:after="0" w:line="172"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Our sponsor is an accredited investor for purposes of Rule 501 of Regulation D. Each of the equity holders in our sponsor is an accredited investor under Rule 501 of Regulation D. The sole business of our sponsor is to act as the company’s sponsor in connection with this offering.</w:t>
      </w:r>
    </w:p>
    <w:p>
      <w:pPr>
        <w:spacing w:after="0" w:line="146"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Our sponsor has committed, pursuant to a written agreement, to purchase an aggregate of 8,000,000 private placement warrants (or 8,750,000 private placement warrants if the underwriters’ over-allotment option is exercised in full), each exercisable to purchase one ordinary share at $1.00 per share, subject to adjustment, at a price of $11.50 per warrant ($8,000,000 in the aggregate or $8,750,000 if the underwriters’ over-allotment option is exercised in full), in a private placement that will close simultaneously with the closing of this offering. This issuance will be made pursuant to the exemption from registration contained in Section 4(a)(2) of the Securities Act.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The Exhibit Index is incorporated herein by reference.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firstLine="436"/>
        <w:spacing w:after="0" w:line="308" w:lineRule="auto"/>
        <w:tabs>
          <w:tab w:leader="none" w:pos="77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6" w:lineRule="exact"/>
        <w:rPr>
          <w:rFonts w:ascii="Arial" w:cs="Arial" w:eastAsia="Arial" w:hAnsi="Arial"/>
          <w:sz w:val="17"/>
          <w:szCs w:val="17"/>
          <w:color w:val="auto"/>
        </w:rPr>
      </w:pPr>
    </w:p>
    <w:p>
      <w:pPr>
        <w:ind w:left="120" w:right="120" w:firstLine="436"/>
        <w:spacing w:after="0" w:line="271" w:lineRule="auto"/>
        <w:tabs>
          <w:tab w:leader="none" w:pos="82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324"/>
        <w:spacing w:after="0"/>
        <w:tabs>
          <w:tab w:leader="none" w:pos="8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30"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40" w:hanging="532"/>
        <w:spacing w:after="0" w:line="271" w:lineRule="auto"/>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of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3" w:lineRule="exact"/>
        <w:rPr>
          <w:rFonts w:ascii="Arial" w:cs="Arial" w:eastAsia="Arial" w:hAnsi="Arial"/>
          <w:sz w:val="17"/>
          <w:szCs w:val="17"/>
          <w:color w:val="auto"/>
        </w:rPr>
      </w:pPr>
    </w:p>
    <w:p>
      <w:pPr>
        <w:ind w:left="1080" w:hanging="532"/>
        <w:spacing w:after="0" w:line="275" w:lineRule="auto"/>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1" w:lineRule="exact"/>
        <w:rPr>
          <w:rFonts w:ascii="Arial" w:cs="Arial" w:eastAsia="Arial" w:hAnsi="Arial"/>
          <w:sz w:val="17"/>
          <w:szCs w:val="17"/>
          <w:color w:val="auto"/>
        </w:rPr>
      </w:pPr>
    </w:p>
    <w:p>
      <w:pPr>
        <w:ind w:left="1540" w:right="200" w:hanging="439"/>
        <w:spacing w:after="0" w:line="277" w:lineRule="auto"/>
        <w:tabs>
          <w:tab w:leader="none" w:pos="154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40" w:hanging="439"/>
        <w:spacing w:after="0" w:line="277" w:lineRule="auto"/>
        <w:tabs>
          <w:tab w:leader="none" w:pos="154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75" w:lineRule="exact"/>
        <w:rPr>
          <w:rFonts w:ascii="Arial" w:cs="Arial" w:eastAsia="Arial" w:hAnsi="Arial"/>
          <w:sz w:val="18"/>
          <w:szCs w:val="18"/>
          <w:color w:val="auto"/>
        </w:rPr>
      </w:pPr>
    </w:p>
    <w:p>
      <w:pPr>
        <w:ind w:left="1540" w:right="560" w:hanging="439"/>
        <w:spacing w:after="0" w:line="277" w:lineRule="auto"/>
        <w:tabs>
          <w:tab w:leader="none" w:pos="154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2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10020" w:type="dxa"/>
            <w:vAlign w:val="bottom"/>
            <w:vMerge w:val="restart"/>
          </w:tcPr>
          <w:p>
            <w:pPr>
              <w:ind w:left="4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5"/>
                <w:szCs w:val="15"/>
                <w:color w:val="auto"/>
              </w:rPr>
            </w:pPr>
          </w:p>
        </w:tc>
        <w:tc>
          <w:tcPr>
            <w:tcW w:w="10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Form of Underwriting Agreement.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Memorandum and Articles of Association.</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Form of Amended and Restated Memorandum and Articles of Association.</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color w:val="0000EE"/>
              </w:rPr>
            </w:pPr>
            <w:hyperlink w:anchor="page309">
              <w:r>
                <w:rPr>
                  <w:rFonts w:ascii="Arial" w:cs="Arial" w:eastAsia="Arial" w:hAnsi="Arial"/>
                  <w:sz w:val="18"/>
                  <w:szCs w:val="18"/>
                  <w:u w:val="single" w:color="auto"/>
                  <w:color w:val="0000EE"/>
                </w:rPr>
                <w:t>Specimen Unit Certificate</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312">
              <w:r>
                <w:rPr>
                  <w:rFonts w:ascii="Arial" w:cs="Arial" w:eastAsia="Arial" w:hAnsi="Arial"/>
                  <w:sz w:val="18"/>
                  <w:szCs w:val="18"/>
                  <w:u w:val="single" w:color="auto"/>
                  <w:color w:val="0000EE"/>
                </w:rPr>
                <w:t>Specimen Class A Ordinary Share Certificate.</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color w:val="0000EE"/>
              </w:rPr>
            </w:pPr>
            <w:hyperlink w:anchor="page315">
              <w:r>
                <w:rPr>
                  <w:rFonts w:ascii="Arial" w:cs="Arial" w:eastAsia="Arial" w:hAnsi="Arial"/>
                  <w:sz w:val="18"/>
                  <w:szCs w:val="18"/>
                  <w:u w:val="single" w:color="auto"/>
                  <w:color w:val="0000EE"/>
                </w:rPr>
                <w:t>Specimen Warrant Certificate</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320">
              <w:r>
                <w:rPr>
                  <w:rFonts w:ascii="Arial" w:cs="Arial" w:eastAsia="Arial" w:hAnsi="Arial"/>
                  <w:sz w:val="18"/>
                  <w:szCs w:val="18"/>
                  <w:u w:val="single" w:color="auto"/>
                  <w:color w:val="0000EE"/>
                </w:rPr>
                <w:t>Form of Warrant Agreement between Continental Stock Transfer &amp; Trust Company and the Registrant.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338">
              <w:r>
                <w:rPr>
                  <w:rFonts w:ascii="Arial" w:cs="Arial" w:eastAsia="Arial" w:hAnsi="Arial"/>
                  <w:sz w:val="18"/>
                  <w:szCs w:val="18"/>
                  <w:u w:val="single" w:color="auto"/>
                  <w:color w:val="0000EE"/>
                </w:rPr>
                <w:t>Opinion of Kirkland &amp; Ellis LLP.</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341">
              <w:r>
                <w:rPr>
                  <w:rFonts w:ascii="Arial" w:cs="Arial" w:eastAsia="Arial" w:hAnsi="Arial"/>
                  <w:sz w:val="18"/>
                  <w:szCs w:val="18"/>
                  <w:u w:val="single" w:color="auto"/>
                  <w:color w:val="0000EE"/>
                </w:rPr>
                <w:t>Opinion of Maples and Calder, Cayman Islands Counsel to the Registrant.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349">
              <w:r>
                <w:rPr>
                  <w:rFonts w:ascii="Arial" w:cs="Arial" w:eastAsia="Arial" w:hAnsi="Arial"/>
                  <w:sz w:val="18"/>
                  <w:szCs w:val="18"/>
                  <w:u w:val="single" w:color="auto"/>
                  <w:color w:val="0000EE"/>
                </w:rPr>
                <w:t>Form of Investment Management Trust Agreement between Continental Stock Transfer &amp; Trust Company and the Registrant.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10.2</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color w:val="0000EE"/>
                <w:w w:val="98"/>
              </w:rPr>
            </w:pPr>
            <w:hyperlink w:anchor="page361">
              <w:r>
                <w:rPr>
                  <w:rFonts w:ascii="Arial" w:cs="Arial" w:eastAsia="Arial" w:hAnsi="Arial"/>
                  <w:sz w:val="18"/>
                  <w:szCs w:val="18"/>
                  <w:u w:val="single" w:color="auto"/>
                  <w:color w:val="0000EE"/>
                  <w:w w:val="98"/>
                </w:rPr>
                <w:t>Form of Registration and Shareholder Rights Agreement among the Registrant, the Sponsor and the Holders signatory thereto</w:t>
              </w:r>
              <w:r>
                <w:rPr>
                  <w:rFonts w:ascii="Arial" w:cs="Arial" w:eastAsia="Arial" w:hAnsi="Arial"/>
                  <w:sz w:val="18"/>
                  <w:szCs w:val="18"/>
                  <w:color w:val="0000EE"/>
                  <w:w w:val="98"/>
                </w:rPr>
                <w: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10.3</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383">
              <w:r>
                <w:rPr>
                  <w:rFonts w:ascii="Arial" w:cs="Arial" w:eastAsia="Arial" w:hAnsi="Arial"/>
                  <w:sz w:val="18"/>
                  <w:szCs w:val="18"/>
                  <w:u w:val="single" w:color="auto"/>
                  <w:color w:val="0000EE"/>
                </w:rPr>
                <w:t>Form of Private Placement Warrants Purchase Agreement between the Registrant and the Sponsor.</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10.4</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391">
              <w:r>
                <w:rPr>
                  <w:rFonts w:ascii="Arial" w:cs="Arial" w:eastAsia="Arial" w:hAnsi="Arial"/>
                  <w:sz w:val="18"/>
                  <w:szCs w:val="18"/>
                  <w:u w:val="single" w:color="auto"/>
                  <w:color w:val="0000EE"/>
                </w:rPr>
                <w:t>Form of Indemnity Agreement.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10.5</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413">
              <w:r>
                <w:rPr>
                  <w:rFonts w:ascii="Arial" w:cs="Arial" w:eastAsia="Arial" w:hAnsi="Arial"/>
                  <w:sz w:val="18"/>
                  <w:szCs w:val="18"/>
                  <w:u w:val="single" w:color="auto"/>
                  <w:color w:val="0000EE"/>
                </w:rPr>
                <w:t>Form of Administrative Services Agreement between the Registrant and the Sponsor.</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10.6</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415">
              <w:r>
                <w:rPr>
                  <w:rFonts w:ascii="Arial" w:cs="Arial" w:eastAsia="Arial" w:hAnsi="Arial"/>
                  <w:sz w:val="18"/>
                  <w:szCs w:val="18"/>
                  <w:u w:val="single" w:color="auto"/>
                  <w:color w:val="0000EE"/>
                </w:rPr>
                <w:t>Promissory Note, dated as of January 20, 2021, between the Registrant and the Sponsor.</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10.7</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420">
              <w:r>
                <w:rPr>
                  <w:rFonts w:ascii="Arial" w:cs="Arial" w:eastAsia="Arial" w:hAnsi="Arial"/>
                  <w:sz w:val="18"/>
                  <w:szCs w:val="18"/>
                  <w:u w:val="single" w:color="auto"/>
                  <w:color w:val="0000EE"/>
                </w:rPr>
                <w:t>Securities Subscription Agreement, dated January 20, 2021, between the Registrant and the Sponsor.</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10.8</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427">
              <w:r>
                <w:rPr>
                  <w:rFonts w:ascii="Arial" w:cs="Arial" w:eastAsia="Arial" w:hAnsi="Arial"/>
                  <w:sz w:val="18"/>
                  <w:szCs w:val="18"/>
                  <w:u w:val="single" w:color="auto"/>
                  <w:color w:val="0000EE"/>
                </w:rPr>
                <w:t>Form of Letter Agreement between the Registrant, the Sponsor and each director and executive officer of the Registrant.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color w:val="0000EE"/>
              </w:rPr>
            </w:pPr>
            <w:hyperlink w:anchor="page445">
              <w:r>
                <w:rPr>
                  <w:rFonts w:ascii="Arial" w:cs="Arial" w:eastAsia="Arial" w:hAnsi="Arial"/>
                  <w:sz w:val="18"/>
                  <w:szCs w:val="18"/>
                  <w:u w:val="single" w:color="auto"/>
                  <w:color w:val="0000EE"/>
                </w:rPr>
                <w:t>Consent of Marcum LLP</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23.2</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338">
              <w:r>
                <w:rPr>
                  <w:rFonts w:ascii="Arial" w:cs="Arial" w:eastAsia="Arial" w:hAnsi="Arial"/>
                  <w:sz w:val="18"/>
                  <w:szCs w:val="18"/>
                  <w:u w:val="single" w:color="auto"/>
                  <w:color w:val="0000EE"/>
                </w:rPr>
                <w:t>Consent of Kirkland &amp; Ellis LLP (included on Exhibit 5.1).</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23.3</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341">
              <w:r>
                <w:rPr>
                  <w:rFonts w:ascii="Arial" w:cs="Arial" w:eastAsia="Arial" w:hAnsi="Arial"/>
                  <w:sz w:val="18"/>
                  <w:szCs w:val="18"/>
                  <w:u w:val="single" w:color="auto"/>
                  <w:color w:val="0000EE"/>
                </w:rPr>
                <w:t>Consent of Maples and Calder (included on Exhibit 5.2).</w:t>
              </w:r>
            </w:hyperlink>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20" w:hanging="1004"/>
        <w:spacing w:after="0"/>
        <w:tabs>
          <w:tab w:leader="none" w:pos="1120" w:val="left"/>
        </w:tabs>
        <w:numPr>
          <w:ilvl w:val="0"/>
          <w:numId w:val="108"/>
        </w:numPr>
        <w:rPr>
          <w:rFonts w:ascii="Arial" w:cs="Arial" w:eastAsia="Arial" w:hAnsi="Arial"/>
          <w:sz w:val="18"/>
          <w:szCs w:val="18"/>
          <w:u w:val="single" w:color="auto"/>
          <w:color w:val="0000EE"/>
        </w:rPr>
      </w:pPr>
      <w:hyperlink r:id="rId256">
        <w:r>
          <w:rPr>
            <w:rFonts w:ascii="Arial" w:cs="Arial" w:eastAsia="Arial" w:hAnsi="Arial"/>
            <w:sz w:val="18"/>
            <w:szCs w:val="18"/>
            <w:u w:val="single" w:color="auto"/>
            <w:color w:val="0000EE"/>
          </w:rPr>
          <w:t>Power of Attorney (included on signature page to the initial filing of this Registration Statement).*</w:t>
        </w:r>
      </w:hyperlink>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99.1</w:t>
            </w:r>
          </w:p>
        </w:tc>
        <w:tc>
          <w:tcPr>
            <w:tcW w:w="2580" w:type="dxa"/>
            <w:vAlign w:val="bottom"/>
          </w:tcPr>
          <w:p>
            <w:pPr>
              <w:ind w:left="340"/>
              <w:spacing w:after="0"/>
              <w:rPr>
                <w:rFonts w:ascii="Arial" w:cs="Arial" w:eastAsia="Arial" w:hAnsi="Arial"/>
                <w:sz w:val="18"/>
                <w:szCs w:val="18"/>
                <w:color w:val="0000EE"/>
              </w:rPr>
            </w:pPr>
            <w:hyperlink r:id="rId257">
              <w:r>
                <w:rPr>
                  <w:rFonts w:ascii="Arial" w:cs="Arial" w:eastAsia="Arial" w:hAnsi="Arial"/>
                  <w:sz w:val="18"/>
                  <w:szCs w:val="18"/>
                  <w:u w:val="single" w:color="auto"/>
                  <w:color w:val="0000EE"/>
                </w:rPr>
                <w:t>Consent of Audrey Lee</w:t>
              </w:r>
            </w:hyperlink>
            <w:r>
              <w:rPr>
                <w:rFonts w:ascii="Arial" w:cs="Arial" w:eastAsia="Arial" w:hAnsi="Arial"/>
                <w:sz w:val="18"/>
                <w:szCs w:val="18"/>
                <w:color w:val="000000"/>
              </w:rPr>
              <w:t>*</w:t>
            </w:r>
          </w:p>
        </w:tc>
      </w:tr>
      <w:tr>
        <w:trPr>
          <w:trHeight w:val="324"/>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99.2</w:t>
            </w:r>
          </w:p>
        </w:tc>
        <w:tc>
          <w:tcPr>
            <w:tcW w:w="2580" w:type="dxa"/>
            <w:vAlign w:val="bottom"/>
          </w:tcPr>
          <w:p>
            <w:pPr>
              <w:ind w:left="340"/>
              <w:spacing w:after="0"/>
              <w:rPr>
                <w:rFonts w:ascii="Arial" w:cs="Arial" w:eastAsia="Arial" w:hAnsi="Arial"/>
                <w:sz w:val="18"/>
                <w:szCs w:val="18"/>
                <w:color w:val="0000EE"/>
                <w:w w:val="90"/>
              </w:rPr>
            </w:pPr>
            <w:hyperlink r:id="rId258">
              <w:r>
                <w:rPr>
                  <w:rFonts w:ascii="Arial" w:cs="Arial" w:eastAsia="Arial" w:hAnsi="Arial"/>
                  <w:sz w:val="18"/>
                  <w:szCs w:val="18"/>
                  <w:u w:val="single" w:color="auto"/>
                  <w:color w:val="0000EE"/>
                  <w:w w:val="90"/>
                </w:rPr>
                <w:t>Consent of Steven Berkenfeld</w:t>
              </w:r>
            </w:hyperlink>
            <w:r>
              <w:rPr>
                <w:rFonts w:ascii="Arial" w:cs="Arial" w:eastAsia="Arial" w:hAnsi="Arial"/>
                <w:sz w:val="18"/>
                <w:szCs w:val="18"/>
                <w:color w:val="000000"/>
                <w:w w:val="90"/>
              </w:rPr>
              <w:t>*</w:t>
            </w:r>
          </w:p>
        </w:tc>
      </w:tr>
      <w:tr>
        <w:trPr>
          <w:trHeight w:val="324"/>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99.3</w:t>
            </w:r>
          </w:p>
        </w:tc>
        <w:tc>
          <w:tcPr>
            <w:tcW w:w="2580" w:type="dxa"/>
            <w:vAlign w:val="bottom"/>
          </w:tcPr>
          <w:p>
            <w:pPr>
              <w:ind w:left="340"/>
              <w:spacing w:after="0"/>
              <w:rPr>
                <w:rFonts w:ascii="Arial" w:cs="Arial" w:eastAsia="Arial" w:hAnsi="Arial"/>
                <w:sz w:val="18"/>
                <w:szCs w:val="18"/>
                <w:color w:val="0000EE"/>
              </w:rPr>
            </w:pPr>
            <w:hyperlink r:id="rId259">
              <w:r>
                <w:rPr>
                  <w:rFonts w:ascii="Arial" w:cs="Arial" w:eastAsia="Arial" w:hAnsi="Arial"/>
                  <w:sz w:val="18"/>
                  <w:szCs w:val="18"/>
                  <w:u w:val="single" w:color="auto"/>
                  <w:color w:val="0000EE"/>
                </w:rPr>
                <w:t>Consent of Arno Harris</w:t>
              </w:r>
            </w:hyperlink>
            <w:r>
              <w:rPr>
                <w:rFonts w:ascii="Arial" w:cs="Arial" w:eastAsia="Arial" w:hAnsi="Arial"/>
                <w:sz w:val="18"/>
                <w:szCs w:val="18"/>
                <w:color w:val="000000"/>
              </w:rPr>
              <w:t>*</w:t>
            </w:r>
          </w:p>
        </w:tc>
      </w:tr>
      <w:tr>
        <w:trPr>
          <w:trHeight w:val="324"/>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99.4</w:t>
            </w:r>
          </w:p>
        </w:tc>
        <w:tc>
          <w:tcPr>
            <w:tcW w:w="2580" w:type="dxa"/>
            <w:vAlign w:val="bottom"/>
          </w:tcPr>
          <w:p>
            <w:pPr>
              <w:ind w:left="340"/>
              <w:spacing w:after="0"/>
              <w:rPr>
                <w:rFonts w:ascii="Arial" w:cs="Arial" w:eastAsia="Arial" w:hAnsi="Arial"/>
                <w:sz w:val="18"/>
                <w:szCs w:val="18"/>
                <w:color w:val="0000EE"/>
              </w:rPr>
            </w:pPr>
            <w:hyperlink r:id="rId260">
              <w:r>
                <w:rPr>
                  <w:rFonts w:ascii="Arial" w:cs="Arial" w:eastAsia="Arial" w:hAnsi="Arial"/>
                  <w:sz w:val="18"/>
                  <w:szCs w:val="18"/>
                  <w:u w:val="single" w:color="auto"/>
                  <w:color w:val="0000EE"/>
                </w:rPr>
                <w:t>Consent of Brian Goncher</w:t>
              </w:r>
            </w:hyperlink>
            <w:r>
              <w:rPr>
                <w:rFonts w:ascii="Arial" w:cs="Arial" w:eastAsia="Arial" w:hAnsi="Arial"/>
                <w:sz w:val="18"/>
                <w:szCs w:val="18"/>
                <w:color w:val="000000"/>
              </w:rPr>
              <w:t>*</w:t>
            </w: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Previously filed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Boston, Massachusetts, on the 8th day of March, 2021.</w:t>
      </w:r>
    </w:p>
    <w:p>
      <w:pPr>
        <w:spacing w:after="0" w:line="16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ARCLIGHT CLEAN TRANSITION</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CORP. II</w:t>
      </w:r>
    </w:p>
    <w:p>
      <w:pPr>
        <w:spacing w:after="0" w:line="224"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Erhard</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John F. Erhard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500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Chairman</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Daniel R. Revers</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Erhard</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John F. Erhard</w:t>
            </w:r>
          </w:p>
        </w:tc>
        <w:tc>
          <w:tcPr>
            <w:tcW w:w="1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19"/>
                <w:szCs w:val="19"/>
                <w:color w:val="auto"/>
              </w:rPr>
            </w:pP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Marco F. Gatti</w:t>
            </w:r>
          </w:p>
        </w:tc>
        <w:tc>
          <w:tcPr>
            <w:tcW w:w="1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020" w:type="dxa"/>
            <w:vAlign w:val="bottom"/>
          </w:tcPr>
          <w:p>
            <w:pPr>
              <w:spacing w:after="0"/>
              <w:rPr>
                <w:sz w:val="19"/>
                <w:szCs w:val="19"/>
                <w:color w:val="auto"/>
              </w:rPr>
            </w:pP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John F. Erhard</w:t>
            </w:r>
          </w:p>
        </w:tc>
        <w:tc>
          <w:tcPr>
            <w:tcW w:w="1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9"/>
        </w:trPr>
        <w:tc>
          <w:tcPr>
            <w:tcW w:w="3660" w:type="dxa"/>
            <w:vAlign w:val="bottom"/>
          </w:tcPr>
          <w:p>
            <w:pPr>
              <w:ind w:left="360"/>
              <w:spacing w:after="0"/>
              <w:rPr>
                <w:sz w:val="20"/>
                <w:szCs w:val="20"/>
                <w:color w:val="auto"/>
              </w:rPr>
            </w:pPr>
            <w:r>
              <w:rPr>
                <w:rFonts w:ascii="Arial" w:cs="Arial" w:eastAsia="Arial" w:hAnsi="Arial"/>
                <w:sz w:val="18"/>
                <w:szCs w:val="18"/>
                <w:color w:val="auto"/>
              </w:rPr>
              <w:t>John F. Erhard</w:t>
            </w:r>
          </w:p>
        </w:tc>
        <w:tc>
          <w:tcPr>
            <w:tcW w:w="1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3660" w:type="dxa"/>
            <w:vAlign w:val="bottom"/>
          </w:tcPr>
          <w:p>
            <w:pPr>
              <w:ind w:left="360"/>
              <w:spacing w:after="0"/>
              <w:rPr>
                <w:sz w:val="20"/>
                <w:szCs w:val="20"/>
                <w:color w:val="auto"/>
              </w:rPr>
            </w:pPr>
            <w:r>
              <w:rPr>
                <w:rFonts w:ascii="Arial" w:cs="Arial" w:eastAsia="Arial" w:hAnsi="Arial"/>
                <w:sz w:val="18"/>
                <w:szCs w:val="18"/>
                <w:i w:val="1"/>
                <w:iCs w:val="1"/>
                <w:color w:val="auto"/>
              </w:rPr>
              <w:t>Attorney-in-Fact</w:t>
            </w:r>
          </w:p>
        </w:tc>
        <w:tc>
          <w:tcPr>
            <w:tcW w:w="1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2"/>
          </w:tcPr>
          <w:p>
            <w:pPr>
              <w:ind w:left="1580"/>
              <w:spacing w:after="0"/>
              <w:rPr>
                <w:sz w:val="20"/>
                <w:szCs w:val="20"/>
                <w:color w:val="auto"/>
              </w:rPr>
            </w:pPr>
            <w:r>
              <w:rPr>
                <w:rFonts w:ascii="Arial" w:cs="Arial" w:eastAsia="Arial" w:hAnsi="Arial"/>
                <w:sz w:val="18"/>
                <w:szCs w:val="18"/>
                <w:color w:val="auto"/>
              </w:rPr>
              <w:t>II-5</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ArcLight Clean Transition Corp. II</w:t>
      </w:r>
    </w:p>
    <w:p>
      <w:pPr>
        <w:spacing w:after="0" w:line="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25,000,000 Units</w:t>
      </w:r>
      <w:r>
        <w:rPr>
          <w:rFonts w:ascii="Arial" w:cs="Arial" w:eastAsia="Arial" w:hAnsi="Arial"/>
          <w:sz w:val="15"/>
          <w:szCs w:val="15"/>
          <w:color w:val="auto"/>
        </w:rPr>
        <w:t>1</w:t>
      </w:r>
    </w:p>
    <w:p>
      <w:pPr>
        <w:spacing w:after="0" w:line="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UNDERWRITING AGREEMENT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10013</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745 7th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ArcLight Clean Transition Corp. II, a Cayman Islands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issue and sell to Citigroup Global Markets Inc. and Barclays Capital Inc. (the “</w:t>
      </w:r>
      <w:r>
        <w:rPr>
          <w:rFonts w:ascii="Arial" w:cs="Arial" w:eastAsia="Arial" w:hAnsi="Arial"/>
          <w:sz w:val="16"/>
          <w:szCs w:val="16"/>
          <w:u w:val="single" w:color="auto"/>
          <w:color w:val="auto"/>
        </w:rPr>
        <w:t>Underwriters</w:t>
      </w:r>
      <w:r>
        <w:rPr>
          <w:rFonts w:ascii="Arial" w:cs="Arial" w:eastAsia="Arial" w:hAnsi="Arial"/>
          <w:sz w:val="16"/>
          <w:szCs w:val="16"/>
          <w:color w:val="auto"/>
        </w:rPr>
        <w:t>”), an aggregate of 25,000,000 units (the “</w:t>
      </w:r>
      <w:r>
        <w:rPr>
          <w:rFonts w:ascii="Arial" w:cs="Arial" w:eastAsia="Arial" w:hAnsi="Arial"/>
          <w:sz w:val="16"/>
          <w:szCs w:val="16"/>
          <w:u w:val="single" w:color="auto"/>
          <w:color w:val="auto"/>
        </w:rPr>
        <w:t>Units</w:t>
      </w:r>
      <w:r>
        <w:rPr>
          <w:rFonts w:ascii="Arial" w:cs="Arial" w:eastAsia="Arial" w:hAnsi="Arial"/>
          <w:sz w:val="16"/>
          <w:szCs w:val="16"/>
          <w:color w:val="auto"/>
        </w:rPr>
        <w:t>”) of the Company (said Units to be issued and sold by the Company being hereinafter called the “</w:t>
      </w:r>
      <w:r>
        <w:rPr>
          <w:rFonts w:ascii="Arial" w:cs="Arial" w:eastAsia="Arial" w:hAnsi="Arial"/>
          <w:sz w:val="16"/>
          <w:szCs w:val="16"/>
          <w:u w:val="single" w:color="auto"/>
          <w:color w:val="auto"/>
        </w:rPr>
        <w:t>Underwritten Securities</w:t>
      </w:r>
      <w:r>
        <w:rPr>
          <w:rFonts w:ascii="Arial" w:cs="Arial" w:eastAsia="Arial" w:hAnsi="Arial"/>
          <w:sz w:val="16"/>
          <w:szCs w:val="16"/>
          <w:color w:val="auto"/>
        </w:rPr>
        <w:t>”) (the “</w:t>
      </w:r>
      <w:r>
        <w:rPr>
          <w:rFonts w:ascii="Arial" w:cs="Arial" w:eastAsia="Arial" w:hAnsi="Arial"/>
          <w:sz w:val="16"/>
          <w:szCs w:val="16"/>
          <w:u w:val="single" w:color="auto"/>
          <w:color w:val="auto"/>
        </w:rPr>
        <w:t>Offering</w:t>
      </w:r>
      <w:r>
        <w:rPr>
          <w:rFonts w:ascii="Arial" w:cs="Arial" w:eastAsia="Arial" w:hAnsi="Arial"/>
          <w:sz w:val="16"/>
          <w:szCs w:val="16"/>
          <w:color w:val="auto"/>
        </w:rPr>
        <w:t>”). The Company also proposes to grant to the Underwriters an option to purchase up to 3,750,000 additional Units to cover over-allotments (the “</w:t>
      </w:r>
      <w:r>
        <w:rPr>
          <w:rFonts w:ascii="Arial" w:cs="Arial" w:eastAsia="Arial" w:hAnsi="Arial"/>
          <w:sz w:val="16"/>
          <w:szCs w:val="16"/>
          <w:u w:val="single" w:color="auto"/>
          <w:color w:val="auto"/>
        </w:rPr>
        <w:t>Option Securities</w:t>
      </w:r>
      <w:r>
        <w:rPr>
          <w:rFonts w:ascii="Arial" w:cs="Arial" w:eastAsia="Arial" w:hAnsi="Arial"/>
          <w:sz w:val="16"/>
          <w:szCs w:val="16"/>
          <w:color w:val="auto"/>
        </w:rPr>
        <w:t>”; the Option Securities, together with the Underwritten Securities, being hereinafter called the “</w:t>
      </w:r>
      <w:r>
        <w:rPr>
          <w:rFonts w:ascii="Arial" w:cs="Arial" w:eastAsia="Arial" w:hAnsi="Arial"/>
          <w:sz w:val="16"/>
          <w:szCs w:val="16"/>
          <w:u w:val="single" w:color="auto"/>
          <w:color w:val="auto"/>
        </w:rPr>
        <w:t>Securities</w:t>
      </w:r>
      <w:r>
        <w:rPr>
          <w:rFonts w:ascii="Arial" w:cs="Arial" w:eastAsia="Arial" w:hAnsi="Arial"/>
          <w:sz w:val="16"/>
          <w:szCs w:val="16"/>
          <w:color w:val="auto"/>
        </w:rPr>
        <w:t>”). To the extent there are no additional Underwriters listed on Schedule I other than you, the term Underwriters as used herein shall mean you, as Underwriter, and the term Underwriter shall mean either the singular or plural as the context requires. Certain capitalized terms used in this Agreement and not otherwise defined are defined in Section 22 hereof.</w:t>
      </w:r>
    </w:p>
    <w:p>
      <w:pPr>
        <w:spacing w:after="0" w:line="166"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Each Unit consists of one Class A ordinary share, par value $0.0001 per share (the “</w:t>
      </w:r>
      <w:r>
        <w:rPr>
          <w:rFonts w:ascii="Arial" w:cs="Arial" w:eastAsia="Arial" w:hAnsi="Arial"/>
          <w:sz w:val="16"/>
          <w:szCs w:val="16"/>
          <w:u w:val="single" w:color="auto"/>
          <w:color w:val="auto"/>
        </w:rPr>
        <w:t>Ordinary Shares</w:t>
      </w:r>
      <w:r>
        <w:rPr>
          <w:rFonts w:ascii="Arial" w:cs="Arial" w:eastAsia="Arial" w:hAnsi="Arial"/>
          <w:sz w:val="16"/>
          <w:szCs w:val="16"/>
          <w:color w:val="auto"/>
        </w:rPr>
        <w:t>”), of the Company and one-fifth of one warrant, where each whole warrant entitles the holder to purchase one (1) Ordinary Share (the “</w:t>
      </w:r>
      <w:r>
        <w:rPr>
          <w:rFonts w:ascii="Arial" w:cs="Arial" w:eastAsia="Arial" w:hAnsi="Arial"/>
          <w:sz w:val="16"/>
          <w:szCs w:val="16"/>
          <w:u w:val="single" w:color="auto"/>
          <w:color w:val="auto"/>
        </w:rPr>
        <w:t>Warrant(s)</w:t>
      </w:r>
      <w:r>
        <w:rPr>
          <w:rFonts w:ascii="Arial" w:cs="Arial" w:eastAsia="Arial" w:hAnsi="Arial"/>
          <w:sz w:val="16"/>
          <w:szCs w:val="16"/>
          <w:color w:val="auto"/>
        </w:rPr>
        <w:t>”). The Ordinary Shares and the Warrants included in the Units will not trade separately until the 52nd day following the date of the Prospectus (as defined herein) unless the Underwriters inform the Company of its decision to allow earlier separate trading, subject to (a) the preparation of an audited balance sheet of the Company reflecting receipt by the Company of the proceeds of the Offering, (b) the filing by the Company of such audited balance sheet with the Commission on a Current Report on Form 8-K (the “Closing Form 8-K”) and (c) the issuance by the Company of a press release announcing when such separate trading will begin. Each whole Warrant entitles its holder, upon exercise, to purchase one (1) Ordinary Share for $11.50, subject to certain adjustments, during the period commencing on the later of thirty (30) days after the completion by the Company of its Initial Business Combination (as defined below) and twelve</w:t>
      </w:r>
    </w:p>
    <w:p>
      <w:pPr>
        <w:spacing w:after="0" w:line="1" w:lineRule="exact"/>
        <w:rPr>
          <w:sz w:val="20"/>
          <w:szCs w:val="20"/>
          <w:color w:val="auto"/>
        </w:rPr>
      </w:pPr>
    </w:p>
    <w:p>
      <w:pPr>
        <w:ind w:left="4" w:right="260" w:hanging="4"/>
        <w:spacing w:after="0" w:line="253" w:lineRule="auto"/>
        <w:tabs>
          <w:tab w:leader="none" w:pos="34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months from the date of the consummation of the Offering and terminating on the five-year anniversary of the completion by the Company of its Initial Business Combination or earlier upon redemption or liquidation of the Trust Account (as defined herein). As used herein, the term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(as described more fully in the Registration Statement (as defined herein)) shall mean any merger, share exchange, asset acquisition, share purchase, reorganization or other similar business combination with one or more businesses or entities (collectively, a “</w:t>
      </w:r>
      <w:r>
        <w:rPr>
          <w:rFonts w:ascii="Arial" w:cs="Arial" w:eastAsia="Arial" w:hAnsi="Arial"/>
          <w:sz w:val="18"/>
          <w:szCs w:val="18"/>
          <w:u w:val="single" w:color="auto"/>
          <w:color w:val="auto"/>
        </w:rPr>
        <w:t>Target</w:t>
      </w:r>
      <w:r>
        <w:rPr>
          <w:rFonts w:ascii="Arial" w:cs="Arial" w:eastAsia="Arial" w:hAnsi="Arial"/>
          <w:sz w:val="18"/>
          <w:szCs w:val="18"/>
          <w:color w:val="auto"/>
        </w:rPr>
        <w:t xml:space="preserve"> </w:t>
      </w:r>
      <w:r>
        <w:rPr>
          <w:rFonts w:ascii="Arial" w:cs="Arial" w:eastAsia="Arial" w:hAnsi="Arial"/>
          <w:sz w:val="18"/>
          <w:szCs w:val="18"/>
          <w:u w:val="single" w:color="auto"/>
          <w:color w:val="auto"/>
        </w:rPr>
        <w:t>Business</w:t>
      </w:r>
      <w:r>
        <w:rPr>
          <w:rFonts w:ascii="Arial" w:cs="Arial" w:eastAsia="Arial" w:hAnsi="Arial"/>
          <w:sz w:val="18"/>
          <w:szCs w:val="18"/>
          <w:color w:val="auto"/>
        </w:rPr>
        <w:t>”).</w:t>
      </w:r>
    </w:p>
    <w:p>
      <w:pPr>
        <w:spacing w:after="0" w:line="191"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Pursuant to the Securities Subscription Agreement, dated January 20, 2021 (the “</w:t>
      </w:r>
      <w:r>
        <w:rPr>
          <w:rFonts w:ascii="Arial" w:cs="Arial" w:eastAsia="Arial" w:hAnsi="Arial"/>
          <w:sz w:val="18"/>
          <w:szCs w:val="18"/>
          <w:u w:val="single" w:color="auto"/>
          <w:color w:val="auto"/>
        </w:rPr>
        <w:t>Securities Subscription Agreement</w:t>
      </w:r>
      <w:r>
        <w:rPr>
          <w:rFonts w:ascii="Arial" w:cs="Arial" w:eastAsia="Arial" w:hAnsi="Arial"/>
          <w:sz w:val="18"/>
          <w:szCs w:val="18"/>
          <w:color w:val="auto"/>
        </w:rPr>
        <w:t>”), the Company issued to ArcLight CTC Holdings II, L.P. (the “</w:t>
      </w:r>
      <w:r>
        <w:rPr>
          <w:rFonts w:ascii="Arial" w:cs="Arial" w:eastAsia="Arial" w:hAnsi="Arial"/>
          <w:sz w:val="18"/>
          <w:szCs w:val="18"/>
          <w:u w:val="single" w:color="auto"/>
          <w:color w:val="auto"/>
        </w:rPr>
        <w:t>Sponsor</w:t>
      </w:r>
      <w:r>
        <w:rPr>
          <w:rFonts w:ascii="Arial" w:cs="Arial" w:eastAsia="Arial" w:hAnsi="Arial"/>
          <w:sz w:val="18"/>
          <w:szCs w:val="18"/>
          <w:color w:val="auto"/>
        </w:rPr>
        <w:t>”) an aggregate of 7,187,500 Class B ordinary share, par value $0.0001 per share (such shares, as well as the Ordinary Shares issuable upon conversion thereof, where applicable, the “</w:t>
      </w:r>
      <w:r>
        <w:rPr>
          <w:rFonts w:ascii="Arial" w:cs="Arial" w:eastAsia="Arial" w:hAnsi="Arial"/>
          <w:sz w:val="18"/>
          <w:szCs w:val="18"/>
          <w:u w:val="single" w:color="auto"/>
          <w:color w:val="auto"/>
        </w:rPr>
        <w:t>Founder Shares</w:t>
      </w:r>
      <w:r>
        <w:rPr>
          <w:rFonts w:ascii="Arial" w:cs="Arial" w:eastAsia="Arial" w:hAnsi="Arial"/>
          <w:sz w:val="18"/>
          <w:szCs w:val="18"/>
          <w:color w:val="auto"/>
        </w:rPr>
        <w:t>”) in a private placement for an aggregate purchase price of $25,000 in cash. Up to 937,500 of the Founder Shares held by the Sponsor are subject to forfeiture to the extent the Underwriters do not exercise their over-allotment option.</w:t>
      </w:r>
    </w:p>
    <w:p>
      <w:pPr>
        <w:spacing w:after="0" w:line="188" w:lineRule="exact"/>
        <w:rPr>
          <w:sz w:val="20"/>
          <w:szCs w:val="20"/>
          <w:color w:val="auto"/>
        </w:rPr>
      </w:pPr>
    </w:p>
    <w:p>
      <w:pPr>
        <w:ind w:left="4" w:right="120" w:firstLine="440"/>
        <w:spacing w:after="0" w:line="301" w:lineRule="auto"/>
        <w:rPr>
          <w:sz w:val="20"/>
          <w:szCs w:val="20"/>
          <w:color w:val="auto"/>
        </w:rPr>
      </w:pPr>
      <w:r>
        <w:rPr>
          <w:rFonts w:ascii="Arial" w:cs="Arial" w:eastAsia="Arial" w:hAnsi="Arial"/>
          <w:sz w:val="16"/>
          <w:szCs w:val="16"/>
          <w:color w:val="auto"/>
        </w:rPr>
        <w:t>The Company has entered into a Private Placement Warrants Purchase Agreement, dated as of the date hereof (the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with the Sponsor, a form of which is filed as an exhibit to the Registration Statement, pursuant to which the Sponsor has agreed to purchase from the Company an aggregate of 8,000,000 warrants (or up to 8,750,000 warrants depending on the extent to which the Underwriters exercise their right to purchase Option Securities), each entitling the holder to purchase one (1) Ordinary Share (the “</w:t>
      </w:r>
      <w:r>
        <w:rPr>
          <w:rFonts w:ascii="Arial" w:cs="Arial" w:eastAsia="Arial" w:hAnsi="Arial"/>
          <w:sz w:val="16"/>
          <w:szCs w:val="16"/>
          <w:u w:val="single" w:color="auto"/>
          <w:color w:val="auto"/>
        </w:rPr>
        <w:t>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715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0" w:lineRule="exact"/>
        <w:rPr>
          <w:sz w:val="20"/>
          <w:szCs w:val="20"/>
          <w:color w:val="auto"/>
        </w:rPr>
      </w:pPr>
    </w:p>
    <w:p>
      <w:pPr>
        <w:ind w:left="424" w:hanging="424"/>
        <w:spacing w:after="0"/>
        <w:tabs>
          <w:tab w:leader="none" w:pos="424" w:val="left"/>
        </w:tabs>
        <w:numPr>
          <w:ilvl w:val="0"/>
          <w:numId w:val="110"/>
        </w:numPr>
        <w:rPr>
          <w:rFonts w:ascii="Arial" w:cs="Arial" w:eastAsia="Arial" w:hAnsi="Arial"/>
          <w:sz w:val="15"/>
          <w:szCs w:val="15"/>
          <w:color w:val="auto"/>
        </w:rPr>
      </w:pPr>
      <w:r>
        <w:rPr>
          <w:rFonts w:ascii="Arial" w:cs="Arial" w:eastAsia="Arial" w:hAnsi="Arial"/>
          <w:sz w:val="18"/>
          <w:szCs w:val="18"/>
          <w:color w:val="auto"/>
        </w:rPr>
        <w:t>Plus an option to purchase from the Company up to 3,750,000 additional Units to cover over-allotments, if any.</w:t>
      </w:r>
    </w:p>
    <w:p>
      <w:pPr>
        <w:sectPr>
          <w:pgSz w:w="11900" w:h="16838" w:orient="portrait"/>
          <w:cols w:equalWidth="0" w:num="1">
            <w:col w:w="11024"/>
          </w:cols>
          <w:pgMar w:left="436" w:top="121" w:right="439" w:bottom="1440" w:gutter="0" w:footer="0" w:header="0"/>
        </w:sectPr>
      </w:pPr>
    </w:p>
    <w:bookmarkStart w:id="202" w:name="page203"/>
    <w:bookmarkEnd w:id="202"/>
    <w:p>
      <w:pPr>
        <w:ind w:left="4"/>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Placement Warrants</w:t>
      </w:r>
      <w:r>
        <w:rPr>
          <w:rFonts w:ascii="Arial" w:cs="Arial" w:eastAsia="Arial" w:hAnsi="Arial"/>
          <w:sz w:val="18"/>
          <w:szCs w:val="18"/>
          <w:color w:val="auto"/>
        </w:rPr>
        <w:t>”) at a price of $1.00 per warrant ($8,000,000 in the aggregate, or $8,750,000 in the aggregate if the Underwriters exercise their right to purchase Option Securities in full) in a private placement that will occur simultaneously with the consummation of the Offering. The Private Placement Warrants are substantially similar to the Warrants included in the Units, except as described in the Statutory Prospectus, Registration Statement and Prospectus.</w:t>
      </w:r>
    </w:p>
    <w:p>
      <w:pPr>
        <w:spacing w:after="0" w:line="187"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The Company will enter into a Warrant Agreement, dated as of the Closing Date, with respect to the Warrants, the Private Placement Warrants and certain warrants that may be issued to the Company’s executive officers or directors, the Sponsor or their permitted transferees or affiliates upon conversion of working capital loans made to the Company (the “</w:t>
      </w:r>
      <w:r>
        <w:rPr>
          <w:rFonts w:ascii="Arial" w:cs="Arial" w:eastAsia="Arial" w:hAnsi="Arial"/>
          <w:sz w:val="17"/>
          <w:szCs w:val="17"/>
          <w:u w:val="single" w:color="auto"/>
          <w:color w:val="auto"/>
        </w:rPr>
        <w:t>Working Capital Warrants</w:t>
      </w:r>
      <w:r>
        <w:rPr>
          <w:rFonts w:ascii="Arial" w:cs="Arial" w:eastAsia="Arial" w:hAnsi="Arial"/>
          <w:sz w:val="17"/>
          <w:szCs w:val="17"/>
          <w:color w:val="auto"/>
        </w:rPr>
        <w:t>”) with Continental Stock Transfer &amp; Trust Company, as warrant agent, in substantially the form filed as an exhibit to the Registration Statement (the “</w:t>
      </w:r>
      <w:r>
        <w:rPr>
          <w:rFonts w:ascii="Arial" w:cs="Arial" w:eastAsia="Arial" w:hAnsi="Arial"/>
          <w:sz w:val="17"/>
          <w:szCs w:val="17"/>
          <w:u w:val="single" w:color="auto"/>
          <w:color w:val="auto"/>
        </w:rPr>
        <w:t>Warrant Agreement</w:t>
      </w:r>
      <w:r>
        <w:rPr>
          <w:rFonts w:ascii="Arial" w:cs="Arial" w:eastAsia="Arial" w:hAnsi="Arial"/>
          <w:sz w:val="17"/>
          <w:szCs w:val="17"/>
          <w:color w:val="auto"/>
        </w:rPr>
        <w:t>”), pursuant to which Continental Stock Transfer &amp; Trust Company will act as warrant agent in connection with the issuance, registration, transfer, exchange, redemption and exercise of the Warrants, Private Placement Warrants and Working Capital Warrants.</w:t>
      </w:r>
    </w:p>
    <w:p>
      <w:pPr>
        <w:spacing w:after="0" w:line="178"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The Company will enter into an Investment Management Trust Agreement, dated as of the Closing Date, with Continental Stock Transfer &amp; Trust Company,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in substantially the form filed as an exhibit to the Registration Statement (the “</w:t>
      </w:r>
      <w:r>
        <w:rPr>
          <w:rFonts w:ascii="Arial" w:cs="Arial" w:eastAsia="Arial" w:hAnsi="Arial"/>
          <w:sz w:val="17"/>
          <w:szCs w:val="17"/>
          <w:u w:val="single" w:color="auto"/>
          <w:color w:val="auto"/>
        </w:rPr>
        <w:t>Trust Agreement</w:t>
      </w:r>
      <w:r>
        <w:rPr>
          <w:rFonts w:ascii="Arial" w:cs="Arial" w:eastAsia="Arial" w:hAnsi="Arial"/>
          <w:sz w:val="17"/>
          <w:szCs w:val="17"/>
          <w:color w:val="auto"/>
        </w:rPr>
        <w:t>”), pursuant to which the proceeds from the sale of the Private Placement Warrants and certain proceeds of the Offering will be deposited and held in a trust account (the “</w:t>
      </w:r>
      <w:r>
        <w:rPr>
          <w:rFonts w:ascii="Arial" w:cs="Arial" w:eastAsia="Arial" w:hAnsi="Arial"/>
          <w:sz w:val="17"/>
          <w:szCs w:val="17"/>
          <w:u w:val="single" w:color="auto"/>
          <w:color w:val="auto"/>
        </w:rPr>
        <w:t>Trust Account</w:t>
      </w:r>
      <w:r>
        <w:rPr>
          <w:rFonts w:ascii="Arial" w:cs="Arial" w:eastAsia="Arial" w:hAnsi="Arial"/>
          <w:sz w:val="17"/>
          <w:szCs w:val="17"/>
          <w:color w:val="auto"/>
        </w:rPr>
        <w:t>”) for the benefit of the Company, the Underwriters and holders of the Securities.</w:t>
      </w:r>
    </w:p>
    <w:p>
      <w:pPr>
        <w:spacing w:after="0" w:line="171"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The Company has issued a non-interest bearing, unsecured promissory note for an aggregate amount of $300,000 to the Sponsor in substantially the form filed as an exhibit to the Registration Statement (the “</w:t>
      </w:r>
      <w:r>
        <w:rPr>
          <w:rFonts w:ascii="Arial" w:cs="Arial" w:eastAsia="Arial" w:hAnsi="Arial"/>
          <w:sz w:val="18"/>
          <w:szCs w:val="18"/>
          <w:u w:val="single" w:color="auto"/>
          <w:color w:val="auto"/>
        </w:rPr>
        <w:t>Promissory Note</w:t>
      </w:r>
      <w:r>
        <w:rPr>
          <w:rFonts w:ascii="Arial" w:cs="Arial" w:eastAsia="Arial" w:hAnsi="Arial"/>
          <w:sz w:val="18"/>
          <w:szCs w:val="18"/>
          <w:color w:val="auto"/>
        </w:rPr>
        <w:t>”), in exchange for the payment of the equivalent amount by the Sponsor to the Company. These monies have been used to cover expenses relating to the Offering. The Promissory Note will be payable on the earlier to occur of June 30, 2021 the date of the consummation of the Offering.</w:t>
      </w:r>
    </w:p>
    <w:p>
      <w:pPr>
        <w:spacing w:after="0" w:line="187"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The Company will enter into a Registration and Shareholder Rights Agreement, dated as of the Closing Date, in substantially the form filed as an exhibit to the Registration Statement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pursuant to which the Company has granted certain registration rights in respect of the Founder Shares, the Private Placement Warrants and the Working Capital Warrants (and any Ordinary Shares issuable upon exercise of the Private Placement Warrants or the Working Capital Warrants and upon the conversion of the Founder Shares).</w:t>
      </w:r>
    </w:p>
    <w:p>
      <w:pPr>
        <w:spacing w:after="0" w:line="171" w:lineRule="exact"/>
        <w:rPr>
          <w:sz w:val="20"/>
          <w:szCs w:val="20"/>
          <w:color w:val="auto"/>
        </w:rPr>
      </w:pPr>
    </w:p>
    <w:p>
      <w:pPr>
        <w:ind w:left="4" w:right="680" w:firstLine="440"/>
        <w:spacing w:after="0" w:line="342" w:lineRule="auto"/>
        <w:rPr>
          <w:sz w:val="20"/>
          <w:szCs w:val="20"/>
          <w:color w:val="auto"/>
        </w:rPr>
      </w:pPr>
      <w:r>
        <w:rPr>
          <w:rFonts w:ascii="Arial" w:cs="Arial" w:eastAsia="Arial" w:hAnsi="Arial"/>
          <w:sz w:val="16"/>
          <w:szCs w:val="16"/>
          <w:color w:val="auto"/>
        </w:rPr>
        <w:t>The Company will cause the Sponsor and each of the Company’s directors, director nominees, and executive officers to enter into a letter agreement, dated as of the Closing Date, in substantially the form filed as an exhibit to the Registration Statement (the “</w:t>
      </w:r>
      <w:r>
        <w:rPr>
          <w:rFonts w:ascii="Arial" w:cs="Arial" w:eastAsia="Arial" w:hAnsi="Arial"/>
          <w:sz w:val="16"/>
          <w:szCs w:val="16"/>
          <w:u w:val="single" w:color="auto"/>
          <w:color w:val="auto"/>
        </w:rPr>
        <w:t>Insider Letter</w:t>
      </w:r>
      <w:r>
        <w:rPr>
          <w:rFonts w:ascii="Arial" w:cs="Arial" w:eastAsia="Arial" w:hAnsi="Arial"/>
          <w:sz w:val="16"/>
          <w:szCs w:val="16"/>
          <w:color w:val="auto"/>
        </w:rPr>
        <w:t>”).</w:t>
      </w:r>
    </w:p>
    <w:p>
      <w:pPr>
        <w:spacing w:after="0" w:line="124"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The Company will enter into an Administrative Services Agreement, dated as of the Closing Date, with an affiliate of the Sponsor, in substantially the form filed as an exhibit to the Registration Statement (the “</w:t>
      </w:r>
      <w:r>
        <w:rPr>
          <w:rFonts w:ascii="Arial" w:cs="Arial" w:eastAsia="Arial" w:hAnsi="Arial"/>
          <w:sz w:val="16"/>
          <w:szCs w:val="16"/>
          <w:u w:val="single" w:color="auto"/>
          <w:color w:val="auto"/>
        </w:rPr>
        <w:t>Administrative Services Agreement</w:t>
      </w:r>
      <w:r>
        <w:rPr>
          <w:rFonts w:ascii="Arial" w:cs="Arial" w:eastAsia="Arial" w:hAnsi="Arial"/>
          <w:sz w:val="16"/>
          <w:szCs w:val="16"/>
          <w:color w:val="auto"/>
        </w:rPr>
        <w:t>”), pursuant to which the Company will pay to such affiliate of the Sponsor an aggregate monthly fee of $10,000 for certain office space, utilities and secretarial and administrative support from the date that the Units are first listed on Nasdaq until the earlier of the consummation of an initial Business Combination and the Company’s liquidation.</w:t>
      </w:r>
    </w:p>
    <w:p>
      <w:pPr>
        <w:spacing w:after="0" w:line="261" w:lineRule="exact"/>
        <w:rPr>
          <w:sz w:val="20"/>
          <w:szCs w:val="20"/>
          <w:color w:val="auto"/>
        </w:rPr>
      </w:pPr>
    </w:p>
    <w:p>
      <w:pPr>
        <w:ind w:left="184" w:hanging="184"/>
        <w:spacing w:after="0"/>
        <w:tabs>
          <w:tab w:leader="none" w:pos="184"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21" w:lineRule="exact"/>
        <w:rPr>
          <w:rFonts w:ascii="Arial" w:cs="Arial" w:eastAsia="Arial" w:hAnsi="Arial"/>
          <w:sz w:val="18"/>
          <w:szCs w:val="18"/>
          <w:b w:val="1"/>
          <w:bCs w:val="1"/>
          <w:color w:val="auto"/>
        </w:rPr>
      </w:pPr>
    </w:p>
    <w:p>
      <w:pPr>
        <w:jc w:val="center"/>
        <w:ind w:left="5464" w:right="1480" w:hanging="4473"/>
        <w:spacing w:after="0" w:line="449" w:lineRule="auto"/>
        <w:tabs>
          <w:tab w:leader="none" w:pos="123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Underwriter as set forth below in this Section 1(a). 2</w:t>
      </w:r>
    </w:p>
    <w:p>
      <w:pPr>
        <w:sectPr>
          <w:pgSz w:w="11900" w:h="16838" w:orient="portrait"/>
          <w:cols w:equalWidth="0" w:num="1">
            <w:col w:w="11004"/>
          </w:cols>
          <w:pgMar w:left="436" w:top="274" w:right="4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 Effectiveness of Registration Statement.</w:t>
      </w:r>
    </w:p>
    <w:p>
      <w:pPr>
        <w:spacing w:after="0" w:line="117"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The Company has prepared and filed with the Commission the Registration Statement (file number 333-252730) on Form S-1 (the “</w:t>
      </w:r>
      <w:r>
        <w:rPr>
          <w:rFonts w:ascii="Arial" w:cs="Arial" w:eastAsia="Arial" w:hAnsi="Arial"/>
          <w:sz w:val="18"/>
          <w:szCs w:val="18"/>
          <w:u w:val="single" w:color="auto"/>
          <w:color w:val="auto"/>
        </w:rPr>
        <w:t>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including the related Preliminary Prospectus, for registration under the Act of the offering and sale of the Securities. Such Registration Statement, including any amendments thereto filed prior to the Execution Time, has become effective. The Company may have filed one or more amendments thereto, including the related Preliminary Prospectus, each of which has previously been furnished to the Underwriters. The Company will file with the Commission the Prospectus in accordance with Rule 424(b). As filed, such Prospectus shall contain all information required by the Act and, except to the extent the Underwriters shall agree in writing to a modification, shall be in all substantive respects in the form furnished to the Underwriters prior to the Execution Time or, to the extent not completed at the Execution Time, shall contain only such specific additional information and other changes (beyond that contained in the Statutory Prospectus) as the Company has advised the Underwriters, prior to the Execution Time, will be included or made therein. The Company has complied to the Commission’s satisfaction with all requests of the Commission for additional or supplemental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Effective Date.</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On the Effective Date, the Registration Statement did, and when the Prospectus is first filed in accordance with Rule 424(b) and on the Closing Date (as defined herein) and on any date on which Option Securities are purchased, if such date is not the Closing Date (a “</w:t>
      </w:r>
      <w:r>
        <w:rPr>
          <w:rFonts w:ascii="Arial" w:cs="Arial" w:eastAsia="Arial" w:hAnsi="Arial"/>
          <w:sz w:val="17"/>
          <w:szCs w:val="17"/>
          <w:u w:val="single" w:color="auto"/>
          <w:color w:val="auto"/>
        </w:rPr>
        <w:t>settlement date</w:t>
      </w:r>
      <w:r>
        <w:rPr>
          <w:rFonts w:ascii="Arial" w:cs="Arial" w:eastAsia="Arial" w:hAnsi="Arial"/>
          <w:sz w:val="17"/>
          <w:szCs w:val="17"/>
          <w:color w:val="auto"/>
        </w:rPr>
        <w:t xml:space="preserve">”), the Prospectus (and any supplements thereto) will, comply in all material respects with the applicable requirements of the Act; on the Effective Date and at the Execution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specifically for inclusion in the Registration Statement or the Prospectus (or any supplement thereto), it being understood and agreed that the only such information furnished by any Underwriter consists of the information described as such in Section 8 hereof.</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Execution Time.</w:t>
      </w:r>
    </w:p>
    <w:p>
      <w:pPr>
        <w:spacing w:after="0" w:line="117" w:lineRule="exact"/>
        <w:rPr>
          <w:sz w:val="20"/>
          <w:szCs w:val="20"/>
          <w:color w:val="auto"/>
        </w:rPr>
      </w:pPr>
    </w:p>
    <w:p>
      <w:pPr>
        <w:ind w:right="300" w:firstLine="440"/>
        <w:spacing w:after="0" w:line="291" w:lineRule="auto"/>
        <w:rPr>
          <w:sz w:val="20"/>
          <w:szCs w:val="20"/>
          <w:color w:val="auto"/>
        </w:rPr>
      </w:pPr>
      <w:r>
        <w:rPr>
          <w:rFonts w:ascii="Arial" w:cs="Arial" w:eastAsia="Arial" w:hAnsi="Arial"/>
          <w:sz w:val="16"/>
          <w:szCs w:val="16"/>
          <w:color w:val="auto"/>
        </w:rPr>
        <w:t xml:space="preserve">At the Execution Time, the Statutory Prospectus, each road show when taken together as a whole with the Statutory Prospectus, and any individual Written Testing-the-Waters Communication (as defined below), when taken together as a whole with the Statutory Prospectus, does not contain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Statutory Prospectus in reliance upon and in conformity with information furnished in writing to the Company by or on behalf of any Underwriter specifically for inclusion in the Statutory Prospectus, it being understood and agreed that the only such information furnished by or on behalf of any Underwriter consists of the information described as such in Section 8(b) hereof.</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Compliance with Exchange Act.</w:t>
      </w:r>
    </w:p>
    <w:p>
      <w:pPr>
        <w:spacing w:after="0" w:line="117"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The Company has filed with the Commission a Form 8-A (file number [●]) providing for the registration under the Exchange Act of the Securities, the Ordinary Shares included as part of the Securities and the Warrants included as part of the Securities. The registration of such securities under the Exchange Act has been declared effective by the Commission on or prior to the date of this Agreement. The Securities have been authorized for listing, subject to official notice of issuance and evidence of satisfactory distribution, on the Nasdaq Capital Market (“</w:t>
      </w:r>
      <w:r>
        <w:rPr>
          <w:rFonts w:ascii="Arial" w:cs="Arial" w:eastAsia="Arial" w:hAnsi="Arial"/>
          <w:sz w:val="17"/>
          <w:szCs w:val="17"/>
          <w:u w:val="single" w:color="auto"/>
          <w:color w:val="auto"/>
        </w:rPr>
        <w:t>Nasdaq</w:t>
      </w:r>
      <w:r>
        <w:rPr>
          <w:rFonts w:ascii="Arial" w:cs="Arial" w:eastAsia="Arial" w:hAnsi="Arial"/>
          <w:sz w:val="17"/>
          <w:szCs w:val="17"/>
          <w:color w:val="auto"/>
        </w:rPr>
        <w:t>”), and the Company knows of no reason or set of facts that is likely to adversely affect such authorization.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 No Stop Orders, Etc.</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Neither the Commission nor, to the Company’s knowledge, any state regulatory authority has issued any order or threatened to issue any order preventing or suspending the effectiveness of the Registration Statement or the use of any Preliminary Prospectus, the Prospectus or any part thereof, or has instituted or, to the Company’s knowledge, threatened to institute any proceedings with respect to such an order including, without limitation, pursuant to Section 8A of the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04" w:name="page205"/>
    <w:bookmarkEnd w:id="204"/>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 Disclosure of Agreements.</w:t>
      </w:r>
    </w:p>
    <w:p>
      <w:pPr>
        <w:spacing w:after="0" w:line="117"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The agreements and documents described in the Statutory Prospectus, the Registration Statement and the Prospectus conform in all material respects to the descriptions thereof contained therein. There is no franchise, contract or other document of a character required to be described in the Registration Statement, the Statutory Prospectus or the Prospectus, or to be filed as an exhibit to the Registration Statement, which is not described or filed as required (and the Statutory Prospectus contains in all material respects the same description of the foregoing matters contained in the Prospectus); and the statements in the Statutory Prospectus and the Prospectus under the headings “Principal Shareholders,” “Certain Relationships and Related Party Transactions,” and “Description of Securities,” insofar as such statements summarize legal matters, agreements, documents or proceedings discussed therein, are in all material respects accurate and fair summaries of such legal matters, agreements, documents or proceedings. There are no business relationships or related party transactions involving the Company or any other person required by the Act to be described in the Registration Statement or Prospectus that have not been described as required.</w:t>
      </w:r>
    </w:p>
    <w:p>
      <w:pPr>
        <w:spacing w:after="0" w:line="7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(7) Capitalization.</w:t>
      </w:r>
    </w:p>
    <w:p>
      <w:pPr>
        <w:spacing w:after="0" w:line="117" w:lineRule="exact"/>
        <w:rPr>
          <w:sz w:val="20"/>
          <w:szCs w:val="20"/>
          <w:color w:val="auto"/>
        </w:rPr>
      </w:pPr>
    </w:p>
    <w:p>
      <w:pPr>
        <w:ind w:left="4" w:right="360" w:firstLine="440"/>
        <w:spacing w:after="0" w:line="263" w:lineRule="auto"/>
        <w:rPr>
          <w:sz w:val="20"/>
          <w:szCs w:val="20"/>
          <w:color w:val="auto"/>
        </w:rPr>
      </w:pPr>
      <w:r>
        <w:rPr>
          <w:rFonts w:ascii="Arial" w:cs="Arial" w:eastAsia="Arial" w:hAnsi="Arial"/>
          <w:sz w:val="18"/>
          <w:szCs w:val="18"/>
          <w:color w:val="auto"/>
        </w:rPr>
        <w:t>The Company’s authorized equity capitalization is as set forth in the Statutory Prospectus, the Registration Statement and the Prospectus. The share capital of the Company conforms in all material respects to the description thereof contained in the Statutory Prospectus, the Registration Statement and the Prospectus.</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(8) Outstanding Securities.</w:t>
      </w:r>
    </w:p>
    <w:p>
      <w:pPr>
        <w:spacing w:after="0" w:line="117"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All issued and outstanding securities of the Company have been duly and validly authorized and issued and are fully paid and non-assessable; and none of such securities were issued in violation of the preemptive rights of any holders of any security of the Company or similar contractual rights granted by the Company. The offers and sales of the outstanding Ordinary Shares and Warrants were at all relevant times either registered under the Act, the applicable state securities and blue sky laws or, based in part on the representations and warranties of the purchasers of such Ordinary Shares and Warrants, exempt from such registration requirements. The holders of outstanding securities of the Company are not entitled to preemptive or other rights to subscribe for the Securities arising by operation of law or under the Company’s Amended and Restated Memorandum and Articles of Association Memorandum and Articles of Association (as amended from time to time, the “</w:t>
      </w:r>
      <w:r>
        <w:rPr>
          <w:rFonts w:ascii="Arial" w:cs="Arial" w:eastAsia="Arial" w:hAnsi="Arial"/>
          <w:sz w:val="17"/>
          <w:szCs w:val="17"/>
          <w:u w:val="single" w:color="auto"/>
          <w:color w:val="auto"/>
        </w:rPr>
        <w:t>Amended and Restated Memorandum and Articles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Association</w:t>
      </w:r>
      <w:r>
        <w:rPr>
          <w:rFonts w:ascii="Arial" w:cs="Arial" w:eastAsia="Arial" w:hAnsi="Arial"/>
          <w:sz w:val="17"/>
          <w:szCs w:val="17"/>
          <w:color w:val="auto"/>
        </w:rPr>
        <w:t>”); and, except as set forth in the Registration Statement, the Statutory Prospectus and the Prospectus, no options, warrants or other rights to purchase, agreements or other obligations to issue, or rights to convert any obligations into or exchange any securities for, shares or other ownership interests in the Company are outstanding.</w:t>
      </w:r>
    </w:p>
    <w:p>
      <w:pPr>
        <w:spacing w:after="0" w:line="77" w:lineRule="exact"/>
        <w:rPr>
          <w:sz w:val="20"/>
          <w:szCs w:val="20"/>
          <w:color w:val="auto"/>
        </w:rPr>
      </w:pPr>
    </w:p>
    <w:p>
      <w:pPr>
        <w:ind w:left="264" w:hanging="264"/>
        <w:spacing w:after="0"/>
        <w:tabs>
          <w:tab w:leader="none" w:pos="264" w:val="left"/>
        </w:tabs>
        <w:numPr>
          <w:ilvl w:val="0"/>
          <w:numId w:val="11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Securities Sold Pursuant to this Agreement.</w:t>
      </w:r>
    </w:p>
    <w:p>
      <w:pPr>
        <w:spacing w:after="0" w:line="117" w:lineRule="exact"/>
        <w:rPr>
          <w:rFonts w:ascii="Arial" w:cs="Arial" w:eastAsia="Arial" w:hAnsi="Arial"/>
          <w:sz w:val="18"/>
          <w:szCs w:val="18"/>
          <w:u w:val="single" w:color="auto"/>
          <w:color w:val="auto"/>
        </w:rPr>
      </w:pPr>
    </w:p>
    <w:p>
      <w:pPr>
        <w:ind w:left="4" w:right="100" w:firstLine="987"/>
        <w:spacing w:after="0" w:line="277" w:lineRule="auto"/>
        <w:tabs>
          <w:tab w:leader="none" w:pos="121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Securities have been duly authorized and when issued and delivered against payment therefor by the Underwriters pursuant to this Agreement, will be validly issued.</w:t>
      </w:r>
    </w:p>
    <w:p>
      <w:pPr>
        <w:spacing w:after="0" w:line="62" w:lineRule="exact"/>
        <w:rPr>
          <w:rFonts w:ascii="Arial" w:cs="Arial" w:eastAsia="Arial" w:hAnsi="Arial"/>
          <w:sz w:val="18"/>
          <w:szCs w:val="18"/>
          <w:color w:val="auto"/>
        </w:rPr>
      </w:pPr>
    </w:p>
    <w:p>
      <w:pPr>
        <w:ind w:left="4" w:right="220" w:firstLine="987"/>
        <w:spacing w:after="0" w:line="275" w:lineRule="auto"/>
        <w:tabs>
          <w:tab w:leader="none" w:pos="126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Ordinary Shares included in the Securities have been duly authorized and, when issued and delivered against payment for the Securities by the Underwriters pursuant to this Agreement and the Amended and Restated Memorandum and Articles of Association of the Company, and following registration in the Register of Members of the Company, will be validly issued as, fully paid and non-assessable. The holders of such Ordinary Shares are not and will not be subject to personal liability by reason of being such holders; such Ordinary Shares are not and will not be subject to any preemptive or other similar contractual rights granted by the Company.</w:t>
      </w:r>
    </w:p>
    <w:p>
      <w:pPr>
        <w:spacing w:after="0" w:line="68" w:lineRule="exact"/>
        <w:rPr>
          <w:rFonts w:ascii="Arial" w:cs="Arial" w:eastAsia="Arial" w:hAnsi="Arial"/>
          <w:sz w:val="17"/>
          <w:szCs w:val="17"/>
          <w:color w:val="auto"/>
        </w:rPr>
      </w:pPr>
    </w:p>
    <w:p>
      <w:pPr>
        <w:ind w:left="4" w:right="320" w:firstLine="987"/>
        <w:spacing w:after="0" w:line="257" w:lineRule="auto"/>
        <w:tabs>
          <w:tab w:leader="none" w:pos="131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Warrants included in the Securities have been duly authorized and, when issued and delivered in the manner set forth in the Warrant Agreement against payment for the Securities by the Underwriters pursuant to this Agreement, will constitute legal,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205" w:name="page206"/>
    <w:bookmarkEnd w:id="205"/>
    <w:p>
      <w:pPr>
        <w:ind w:left="4" w:firstLine="987"/>
        <w:spacing w:after="0" w:line="296" w:lineRule="auto"/>
        <w:tabs>
          <w:tab w:leader="none" w:pos="13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Ordinary Shares issuable upon exercise of the Warrants included in the Securities have been duly authorized and reserved for issuance and, when issued and delivered against payment therefor pursuant to the Warrants, the Warrant Agreement and the Amended and Restated Memorandum and Articles of Association of the Company, and following registration in the Register of Members of the Company, will be validly issued as fully paid and non-assessable. The holders of such Ordinary Shares are not and will not be subject to personal liability by reason of being such holders; such Ordinary Shares are not and will not be subject to any preemptive or other similar contractual rights granted by the Company.</w:t>
      </w:r>
    </w:p>
    <w:p>
      <w:pPr>
        <w:spacing w:after="0" w:line="53" w:lineRule="exact"/>
        <w:rPr>
          <w:rFonts w:ascii="Arial" w:cs="Arial" w:eastAsia="Arial" w:hAnsi="Arial"/>
          <w:sz w:val="16"/>
          <w:szCs w:val="16"/>
          <w:color w:val="auto"/>
        </w:rPr>
      </w:pPr>
    </w:p>
    <w:p>
      <w:pPr>
        <w:ind w:left="344" w:hanging="344"/>
        <w:spacing w:after="0"/>
        <w:tabs>
          <w:tab w:leader="none" w:pos="344" w:val="left"/>
        </w:tabs>
        <w:numPr>
          <w:ilvl w:val="0"/>
          <w:numId w:val="11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Registration Rights of Third Parties.</w:t>
      </w:r>
    </w:p>
    <w:p>
      <w:pPr>
        <w:spacing w:after="0" w:line="117"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Except as set forth in the Registration Statement, Statutory Prospectus and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57" w:lineRule="exact"/>
        <w:rPr>
          <w:sz w:val="20"/>
          <w:szCs w:val="20"/>
          <w:color w:val="auto"/>
        </w:rPr>
      </w:pPr>
    </w:p>
    <w:p>
      <w:pPr>
        <w:ind w:left="344" w:hanging="344"/>
        <w:spacing w:after="0"/>
        <w:tabs>
          <w:tab w:leader="none" w:pos="344" w:val="left"/>
        </w:tabs>
        <w:numPr>
          <w:ilvl w:val="0"/>
          <w:numId w:val="11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Prior Securities Transactions.</w:t>
      </w:r>
    </w:p>
    <w:p>
      <w:pPr>
        <w:spacing w:after="0" w:line="117" w:lineRule="exact"/>
        <w:rPr>
          <w:rFonts w:ascii="Arial" w:cs="Arial" w:eastAsia="Arial" w:hAnsi="Arial"/>
          <w:sz w:val="18"/>
          <w:szCs w:val="18"/>
          <w:u w:val="single" w:color="auto"/>
          <w:color w:val="auto"/>
        </w:rPr>
      </w:pPr>
    </w:p>
    <w:p>
      <w:pPr>
        <w:ind w:left="4" w:right="160" w:firstLine="987"/>
        <w:spacing w:after="0" w:line="263" w:lineRule="auto"/>
        <w:tabs>
          <w:tab w:leader="none" w:pos="121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No securities of the Company have been sold by the Company or by or on behalf of, or for the benefit of, any person or persons controlling, controlled by, or under common control with the Company from its inception through and including the date hereof, except as disclosed in the Registration Statement, the Statutory Prospectus or the Prospectus.</w:t>
      </w:r>
    </w:p>
    <w:p>
      <w:pPr>
        <w:spacing w:after="0" w:line="75" w:lineRule="exact"/>
        <w:rPr>
          <w:rFonts w:ascii="Arial" w:cs="Arial" w:eastAsia="Arial" w:hAnsi="Arial"/>
          <w:sz w:val="18"/>
          <w:szCs w:val="18"/>
          <w:color w:val="auto"/>
        </w:rPr>
      </w:pPr>
    </w:p>
    <w:p>
      <w:pPr>
        <w:ind w:left="4" w:right="180" w:firstLine="987"/>
        <w:spacing w:after="0" w:line="277" w:lineRule="auto"/>
        <w:tabs>
          <w:tab w:leader="none" w:pos="12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Neither the Company nor any of its affiliates has, prior to the date hereof, made any offer or sale of any securities that are required to be “integrated” pursuant to the Act with the offer and sale of the Securities pursuant to the Registration Statement.</w:t>
      </w:r>
    </w:p>
    <w:p>
      <w:pPr>
        <w:spacing w:after="0" w:line="62" w:lineRule="exact"/>
        <w:rPr>
          <w:rFonts w:ascii="Arial" w:cs="Arial" w:eastAsia="Arial" w:hAnsi="Arial"/>
          <w:sz w:val="18"/>
          <w:szCs w:val="18"/>
          <w:color w:val="auto"/>
        </w:rPr>
      </w:pPr>
    </w:p>
    <w:p>
      <w:pPr>
        <w:ind w:left="344" w:hanging="344"/>
        <w:spacing w:after="0"/>
        <w:tabs>
          <w:tab w:leader="none" w:pos="344" w:val="left"/>
        </w:tabs>
        <w:numPr>
          <w:ilvl w:val="0"/>
          <w:numId w:val="11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Securities Sold to Founders, Sponsor and Insiders.</w:t>
      </w:r>
    </w:p>
    <w:p>
      <w:pPr>
        <w:spacing w:after="0" w:line="117" w:lineRule="exact"/>
        <w:rPr>
          <w:sz w:val="20"/>
          <w:szCs w:val="20"/>
          <w:color w:val="auto"/>
        </w:rPr>
      </w:pPr>
    </w:p>
    <w:p>
      <w:pPr>
        <w:ind w:left="4" w:right="100" w:firstLine="440"/>
        <w:spacing w:after="0" w:line="290" w:lineRule="auto"/>
        <w:rPr>
          <w:sz w:val="20"/>
          <w:szCs w:val="20"/>
          <w:color w:val="auto"/>
        </w:rPr>
      </w:pPr>
      <w:r>
        <w:rPr>
          <w:rFonts w:ascii="Arial" w:cs="Arial" w:eastAsia="Arial" w:hAnsi="Arial"/>
          <w:sz w:val="16"/>
          <w:szCs w:val="16"/>
          <w:color w:val="auto"/>
        </w:rPr>
        <w:t>The Founder Shares have been duly authorized and are validly issued, fully paid and, except with respect to the forfeiture of certain Founder Shares as described in the Registration Statement upon the failure by the Underwriters to purchase any or all of the Option Securities, non-assessable. The Private Placement Warrants have been duly authorized and, when delivered upon the consummation of the Offering,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 The Ordinary Shares issuable upon exercise of the Private Placement Warrants have been duly authorized and reserved for issuance and, when issued and delivered against payment therefor pursuant to the Private Placement Warrants Purchase Agreement, the Private Placement Warrants, and the Warrant Agreement will be validly issued, fully paid and non-assessable.</w:t>
      </w:r>
    </w:p>
    <w:p>
      <w:pPr>
        <w:spacing w:after="0" w:line="57"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Each of the Sponsor and the Company’s executive officers and directors have agreed to: (a) waive their redemption rights with respect to any Founder Shares and Ordinary Shares sold as part of the Units in the Offering (the “</w:t>
      </w:r>
      <w:r>
        <w:rPr>
          <w:rFonts w:ascii="Arial" w:cs="Arial" w:eastAsia="Arial" w:hAnsi="Arial"/>
          <w:sz w:val="17"/>
          <w:szCs w:val="17"/>
          <w:u w:val="single" w:color="auto"/>
          <w:color w:val="auto"/>
        </w:rPr>
        <w:t>Public Shares</w:t>
      </w:r>
      <w:r>
        <w:rPr>
          <w:rFonts w:ascii="Arial" w:cs="Arial" w:eastAsia="Arial" w:hAnsi="Arial"/>
          <w:sz w:val="17"/>
          <w:szCs w:val="17"/>
          <w:color w:val="auto"/>
        </w:rPr>
        <w:t>”) held by them in connection with the completion of an Initial Business Combination; (b) waive their redemption rights with respect to any Founder Shares and Public Shares held by them in connection with a shareholder vote to approve an amendment to the Amended and Restated Memorandum and Articles of Association to modify the substance or timing of the Company’s obligation to provide for the redemption of the Public Shares in connection with an Initial Business Combination or to redeem 100% of its Public Shares if the Company has not consummated an Initial Business Combination within the time period set forth in the Amended and Restated Memorandum and Articles of Association; (c) waive their rights to liquidating distributions from the Trust Account with respect to any Founder Shares held by them if the Company fails to complete an Initial Business Combination within the time period set forth in the Amended and Restated Memorandum and Articles of Association (although</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06" w:name="page207"/>
    <w:bookmarkEnd w:id="206"/>
    <w:p>
      <w:pPr>
        <w:ind w:left="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they will be entitled to liquidating distributions from the Trust Account with respect to any Public Shares held by them if the Company fails to complete an Initial Business Combination within the time period set forth in the Amended and Restated Memorandum and Articles of Association); and (d) vote any Founder Shares and any Public Shares held by them in favor of an initial Business Combination if the Company submits an Initial Business Combination to its public shareholders for a vote.</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(13) Due Incorporation; Power and Authority.</w:t>
      </w:r>
    </w:p>
    <w:p>
      <w:pPr>
        <w:spacing w:after="0" w:line="117"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The Company has been duly incorporated and is validly existing as an exempted company in good standing under the laws of the Cayman Islands with full corporate power and authority to own or lease, as the case may be, and to operate its properties and conduct its business as described in the Statutory Prospectus and the Prospectus.</w:t>
      </w:r>
    </w:p>
    <w:p>
      <w:pPr>
        <w:spacing w:after="0" w:line="76" w:lineRule="exact"/>
        <w:rPr>
          <w:sz w:val="20"/>
          <w:szCs w:val="20"/>
          <w:color w:val="auto"/>
        </w:rPr>
      </w:pPr>
    </w:p>
    <w:p>
      <w:pPr>
        <w:ind w:left="344" w:hanging="344"/>
        <w:spacing w:after="0"/>
        <w:tabs>
          <w:tab w:leader="none" w:pos="344" w:val="left"/>
        </w:tabs>
        <w:numPr>
          <w:ilvl w:val="0"/>
          <w:numId w:val="11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Validity and Binding Effect of Agreements.</w:t>
      </w:r>
    </w:p>
    <w:p>
      <w:pPr>
        <w:spacing w:after="0" w:line="117" w:lineRule="exact"/>
        <w:rPr>
          <w:rFonts w:ascii="Arial" w:cs="Arial" w:eastAsia="Arial" w:hAnsi="Arial"/>
          <w:sz w:val="18"/>
          <w:szCs w:val="18"/>
          <w:u w:val="single" w:color="auto"/>
          <w:color w:val="auto"/>
        </w:rPr>
      </w:pPr>
    </w:p>
    <w:p>
      <w:pPr>
        <w:ind w:left="4" w:right="100" w:firstLine="987"/>
        <w:spacing w:after="0" w:line="311" w:lineRule="auto"/>
        <w:tabs>
          <w:tab w:leader="none" w:pos="121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Trust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40" w:lineRule="exact"/>
        <w:rPr>
          <w:rFonts w:ascii="Arial" w:cs="Arial" w:eastAsia="Arial" w:hAnsi="Arial"/>
          <w:sz w:val="16"/>
          <w:szCs w:val="16"/>
          <w:color w:val="auto"/>
        </w:rPr>
      </w:pPr>
    </w:p>
    <w:p>
      <w:pPr>
        <w:ind w:left="4" w:right="20" w:firstLine="987"/>
        <w:spacing w:after="0" w:line="311" w:lineRule="auto"/>
        <w:tabs>
          <w:tab w:leader="none" w:pos="12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Warrant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40" w:lineRule="exact"/>
        <w:rPr>
          <w:rFonts w:ascii="Arial" w:cs="Arial" w:eastAsia="Arial" w:hAnsi="Arial"/>
          <w:sz w:val="16"/>
          <w:szCs w:val="16"/>
          <w:color w:val="auto"/>
        </w:rPr>
      </w:pPr>
    </w:p>
    <w:p>
      <w:pPr>
        <w:ind w:left="4" w:right="60" w:firstLine="987"/>
        <w:spacing w:after="0" w:line="257" w:lineRule="auto"/>
        <w:tabs>
          <w:tab w:leader="none" w:pos="131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Private Placement Warrants Purchase Agreement has been duly authorized, executed and delivered by the Company and, to the Company’s knowledge, the Sponsor, and is a valid and binding agreement of the Company and, to the Company’s knowledge, the Sponsor, enforceable against the Company and, to the Company’s knowledge,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79" w:lineRule="exact"/>
        <w:rPr>
          <w:rFonts w:ascii="Arial" w:cs="Arial" w:eastAsia="Arial" w:hAnsi="Arial"/>
          <w:sz w:val="18"/>
          <w:szCs w:val="18"/>
          <w:color w:val="auto"/>
        </w:rPr>
      </w:pPr>
    </w:p>
    <w:p>
      <w:pPr>
        <w:ind w:left="4" w:right="420" w:firstLine="987"/>
        <w:spacing w:after="0" w:line="301" w:lineRule="auto"/>
        <w:tabs>
          <w:tab w:leader="none" w:pos="130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Registration Rights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 and except that the indemnification and contribution provisions of the Registration Rights Agreement may be unenforceable.</w:t>
      </w:r>
    </w:p>
    <w:p>
      <w:pPr>
        <w:spacing w:after="0" w:line="49" w:lineRule="exact"/>
        <w:rPr>
          <w:rFonts w:ascii="Arial" w:cs="Arial" w:eastAsia="Arial" w:hAnsi="Arial"/>
          <w:sz w:val="16"/>
          <w:szCs w:val="16"/>
          <w:color w:val="auto"/>
        </w:rPr>
      </w:pPr>
    </w:p>
    <w:p>
      <w:pPr>
        <w:ind w:left="4" w:right="140" w:firstLine="987"/>
        <w:spacing w:after="0" w:line="259" w:lineRule="auto"/>
        <w:tabs>
          <w:tab w:leader="none" w:pos="125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Administrative Services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78" w:lineRule="exact"/>
        <w:rPr>
          <w:rFonts w:ascii="Arial" w:cs="Arial" w:eastAsia="Arial" w:hAnsi="Arial"/>
          <w:sz w:val="18"/>
          <w:szCs w:val="18"/>
          <w:color w:val="auto"/>
        </w:rPr>
      </w:pPr>
    </w:p>
    <w:p>
      <w:pPr>
        <w:ind w:left="4" w:firstLine="987"/>
        <w:spacing w:after="0" w:line="275" w:lineRule="auto"/>
        <w:tabs>
          <w:tab w:leader="none" w:pos="130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Insider Letter has been duly authorized, executed and delivered by the Sponsor and, to the knowledge of the Company, each of the Company’s directors and executive officers, respectively, and is a valid and binding agreement of the Sponsor and each of the Company’s directors and executive officers respectively, enforceable against the Sponsor and each of the Company’s directors and executive officers, respectively,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68" w:lineRule="exact"/>
        <w:rPr>
          <w:rFonts w:ascii="Arial" w:cs="Arial" w:eastAsia="Arial" w:hAnsi="Arial"/>
          <w:sz w:val="17"/>
          <w:szCs w:val="17"/>
          <w:color w:val="auto"/>
        </w:rPr>
      </w:pPr>
    </w:p>
    <w:p>
      <w:pPr>
        <w:ind w:left="4" w:right="100" w:firstLine="987"/>
        <w:spacing w:after="0" w:line="259" w:lineRule="auto"/>
        <w:tabs>
          <w:tab w:leader="none" w:pos="135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Securities Subscription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07" w:name="page208"/>
    <w:bookmarkEnd w:id="207"/>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 Consents, Approvals, Etc.</w:t>
      </w:r>
    </w:p>
    <w:p>
      <w:pPr>
        <w:spacing w:after="0" w:line="117"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No consent, approval, authorization, filing with or order of any court or governmental agency or body is required in connection with the transactions contemplated herein or in the Trust Agreement, the Warrant Agreement, the Securities Subscription Agreement, the Private Placement Warrants Purchase Agreement, the Registration Rights Agreement, or the Insider Letter, except for the registration under the Act and the Exchange Act of the Securities, and such as may be required under the state securities or blue sky laws of any jurisdiction in connection with the purchase and distribution of the Securities by the Underwriters in the manner contemplated herein and in the Registration Statement, Statutory Prospectus and the Prospectus.</w:t>
      </w:r>
    </w:p>
    <w:p>
      <w:pPr>
        <w:spacing w:after="0" w:line="8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(16) No Breach or Violation.</w:t>
      </w:r>
    </w:p>
    <w:p>
      <w:pPr>
        <w:spacing w:after="0" w:line="117"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Neither the issue and sale of the Securities nor the consummation of any other of the transactions herein contemplated nor the fulfillment of the terms hereof or of the Trust Agreement, the Warrant Agreement, the Securities Subscription Agreement, the Private Placement Warrants Purchase Agreement, the Registration Rights Agreement, Administrative Services Agreement, or the Insider Letter will conflict with, result in a breach or violation of, or imposition of any lien, charge or encumbrance upon any property or assets of the Company pursuant to (i) the Amended and Restated Memorandum and Articles of Association; (ii) the terms of any indenture, contract, lease, mortgage, deed of trust, note agreement, loan agreement or other agreement, obligation, condition, covenant or instrument to which the Company is a party or bound or to which its property is subject; or (iii) any statute, law, rule, regulation, judgment, order or decree applicable to the Company of any court, regulatory body, administrative agency, governmental body, arbitrator or other authority having jurisdiction over the Company or any of its properties; except in the case of clauses (ii) and (iii) above for any such conflict, breach or violation that would not, individually or in the aggregate, be reasonably expected to have a material adverse effect on the condition (financial or otherwise), prospects, earnings, business or properties of the Company, taken as a whole, whether or not arising from transactions in the ordinary course of business (a “Material Adverse Effect”) and that would not, individually or in the aggregate, have a material adverse effect on the ability of the Underwriters to consummate the transactions contemplated by this Agreement.</w:t>
      </w:r>
    </w:p>
    <w:p>
      <w:pPr>
        <w:spacing w:after="0" w:line="6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(17) No Conflicts, Etc.</w:t>
      </w:r>
    </w:p>
    <w:p>
      <w:pPr>
        <w:spacing w:after="0" w:line="117"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The Company is not in violation or default of (i) any provision of its Amended and Restated Memorandum and Articles of Association; (ii) the terms of any indenture, contract, lease, mortgage, deed of trust, note agreement, loan agreement or other agreement, obligation, condition, covenant or instrument to which it is a party or bound or to which its property is subject; or (iii) any statute, law, rule, regulation, or judgment, order or decree of any court, regulatory body, administrative agency, governmental body, arbitrator or other authority having jurisdiction over the Company; except in the case of clauses (ii) and (iii) above for any such conflict, breach or violation that would not, individually or in the aggregate, be reasonably expected to have a Material Adverse Effect.</w:t>
      </w:r>
    </w:p>
    <w:p>
      <w:pPr>
        <w:spacing w:after="0" w:line="8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(18) Investment Company Act.</w:t>
      </w:r>
    </w:p>
    <w:p>
      <w:pPr>
        <w:spacing w:after="0" w:line="117" w:lineRule="exact"/>
        <w:rPr>
          <w:sz w:val="20"/>
          <w:szCs w:val="20"/>
          <w:color w:val="auto"/>
        </w:rPr>
      </w:pPr>
    </w:p>
    <w:p>
      <w:pPr>
        <w:jc w:val="both"/>
        <w:ind w:left="4" w:right="260" w:firstLine="440"/>
        <w:spacing w:after="0" w:line="263" w:lineRule="auto"/>
        <w:rPr>
          <w:sz w:val="20"/>
          <w:szCs w:val="20"/>
          <w:color w:val="auto"/>
        </w:rPr>
      </w:pPr>
      <w:r>
        <w:rPr>
          <w:rFonts w:ascii="Arial" w:cs="Arial" w:eastAsia="Arial" w:hAnsi="Arial"/>
          <w:sz w:val="18"/>
          <w:szCs w:val="18"/>
          <w:color w:val="auto"/>
        </w:rPr>
        <w:t>The Company is not and, after giving effect to the Offering and the application of the proceeds thereof as described in the Statutory Prospectus and the Prospectus, will not be required to register as an “investment company” as defined in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and the rules and regulations of the Commission thereunder.</w:t>
      </w:r>
    </w:p>
    <w:p>
      <w:pPr>
        <w:spacing w:after="0" w:line="76" w:lineRule="exact"/>
        <w:rPr>
          <w:sz w:val="20"/>
          <w:szCs w:val="20"/>
          <w:color w:val="auto"/>
        </w:rPr>
      </w:pPr>
    </w:p>
    <w:p>
      <w:pPr>
        <w:ind w:left="344" w:hanging="344"/>
        <w:spacing w:after="0"/>
        <w:tabs>
          <w:tab w:leader="none" w:pos="344"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left="4" w:right="40" w:firstLine="440"/>
        <w:spacing w:after="0" w:line="290" w:lineRule="auto"/>
        <w:rPr>
          <w:sz w:val="20"/>
          <w:szCs w:val="20"/>
          <w:color w:val="auto"/>
        </w:rPr>
      </w:pPr>
      <w:r>
        <w:rPr>
          <w:rFonts w:ascii="Arial" w:cs="Arial" w:eastAsia="Arial" w:hAnsi="Arial"/>
          <w:sz w:val="16"/>
          <w:szCs w:val="16"/>
          <w:color w:val="auto"/>
        </w:rPr>
        <w:t>The financial statements, including the notes thereto and the supporting schedules, if any, of the Company included in the Statutory Prospectus, the Prospectus and the Registration Statement present fairly the financial condition, results of operations and cash flows of the Company as of the dates and for the periods indicated, comply as to form with the applicable accounting requirements of the Act and have been prepared in conformity with generally accepted accounting principles applied on a consistent basis throughout the periods involved (except as otherwise noted therein). There are no pro forma or as adjusted financial statements that are required to be included in the Statutory Prospectus, the Prospectus and the Registration Statement in accordance with Regulation S-X that have not been included as so required. All disclosures contained in the Registration Statement, the Pricing Prospectus and the Prospectus regarding “non-GAAP financial measures” (as such term is defined by the rules and regulations of the Commission), if any, comply with Regulation G of the Exchange Act and Item 10 of Regulation S-K of the Act, to the extent applicable.</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 Off-Balance Sheet Arrangements.</w:t>
      </w:r>
    </w:p>
    <w:p>
      <w:pPr>
        <w:spacing w:after="0" w:line="117"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Company is not party to any off-balance sheet transactions, arrangements, obligations (including contingent obligations), or other relationships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(21) Other Data.</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statistical, industry-related and market-related data included in the Registration Statement, the Statutory Prospectus and the Prospectus, if any, are based on or derived from sources that the Company reasonably and in good faith believes are reliable and accurate, and such data agree with the sources from which they are derived.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(22) Independent Accountants.</w:t>
      </w:r>
    </w:p>
    <w:p>
      <w:pPr>
        <w:spacing w:after="0" w:line="117"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Marcum LLP (“</w:t>
      </w:r>
      <w:r>
        <w:rPr>
          <w:rFonts w:ascii="Arial" w:cs="Arial" w:eastAsia="Arial" w:hAnsi="Arial"/>
          <w:sz w:val="16"/>
          <w:szCs w:val="16"/>
          <w:u w:val="single" w:color="auto"/>
          <w:color w:val="auto"/>
        </w:rPr>
        <w:t>Marcum</w:t>
      </w:r>
      <w:r>
        <w:rPr>
          <w:rFonts w:ascii="Arial" w:cs="Arial" w:eastAsia="Arial" w:hAnsi="Arial"/>
          <w:sz w:val="16"/>
          <w:szCs w:val="16"/>
          <w:color w:val="auto"/>
        </w:rPr>
        <w:t>”) are independent public accountants with respect to the Company within the meaning of the Act and the applicable published rules and regulations thereunder and the Public Company Accounting Oversight Board (including the rules and regulations promulgated by such entity). Marcum has not, during the periods covered by the financial statements included in the Statutory Prospectus, the Prospectus and the Registration Statement, provided to the Company any non-audit services, as such term is used in Section 10A(g) of the Exchange Act.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(23) Disclosure Controls and Procedures.</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Company maintains effective “disclosure controls and procedures” (as defined under Rule 13a-15(e) under the Exchange Act) to the extent required by such rule.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(24) Sarbanes-Oxley.</w:t>
      </w:r>
    </w:p>
    <w:p>
      <w:pPr>
        <w:spacing w:after="0" w:line="11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Solely to the extent that the Sarbanes-Oxley Act of 2002, as amended, and the rules and regulations promulgated by the Commission thereunder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have been applicable to the Company, there is and has been no failure on the part of the Company to comply with any applicable provision of the Sarbanes-Oxley Act. The Company has taken all necessary actions to ensure that it is in compliance with all provisions of the Sarbanes-Oxley Act that are in effect and with which the Company is required to comply and is making commercially reasonable efforts to ensure that it will be in compliance with other provisions of the Sarbanes-Oxley Act not currently in effect or which will become applicable to the Company.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(25) Transfer Taxes.</w:t>
      </w:r>
    </w:p>
    <w:p>
      <w:pPr>
        <w:spacing w:after="0" w:line="117"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There are no transfer, stamp, issue, registration, documentary or other similar taxes, duties, fees or charges under U.S. federal law or the laws of any state, or any political subdivision thereof, or under the laws of any non-U.S. jurisdiction, required to be paid in connection with the execution and delivery of this Agreement or the issuance or sale by the Company of the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(26) Ownership.</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owns or leases all such properties as are necessary to the conduct of its operations as presently conducted.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09" w:name="page210"/>
    <w:bookmarkEnd w:id="209"/>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(27) Litigation; Government Proceedings.</w:t>
      </w:r>
    </w:p>
    <w:p>
      <w:pPr>
        <w:spacing w:after="0" w:line="117"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No action, suit or proceeding by or before any court or governmental agency, authority or body or any arbitrator involving the Company, or to the Company’s knowledge, the Sponsor, or any executive officer or director of the Company, or its or their property is pending or, to the knowledge of the Company, threatened that (i) would reasonably be expected to have a material adverse effect on the performance of this Agreement or the consummation of any of the transactions contemplated hereby or (ii) would reasonably be expected to have a Material Adverse Effect, except as set forth in or contemplated in the Statutory Prospectus and the Prospectus (exclusive of any supplement thereto).</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(28) Tax Returns.</w:t>
      </w:r>
    </w:p>
    <w:p>
      <w:pPr>
        <w:spacing w:after="0" w:line="117"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The Company has filed all U.S. federal, state, local and non-U.S. tax returns required to be filed through the date hereof and has paid all taxes required to be paid thereon, and no tax deficiency has been determined adversely to the Company (nor does the Company have any notice or knowledge of any tax deficiency which could reasonably be expected to be determined adversely to the Company), except in each case as would not reasonably be expected to have a Material Adverse Effect.</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(29) Licenses and Permits.</w:t>
      </w:r>
    </w:p>
    <w:p>
      <w:pPr>
        <w:spacing w:after="0" w:line="117" w:lineRule="exact"/>
        <w:rPr>
          <w:sz w:val="20"/>
          <w:szCs w:val="20"/>
          <w:color w:val="auto"/>
        </w:rPr>
      </w:pPr>
    </w:p>
    <w:p>
      <w:pPr>
        <w:ind w:left="4" w:right="100" w:firstLine="440"/>
        <w:spacing w:after="0" w:line="257" w:lineRule="auto"/>
        <w:rPr>
          <w:sz w:val="20"/>
          <w:szCs w:val="20"/>
          <w:color w:val="auto"/>
        </w:rPr>
      </w:pPr>
      <w:r>
        <w:rPr>
          <w:rFonts w:ascii="Arial" w:cs="Arial" w:eastAsia="Arial" w:hAnsi="Arial"/>
          <w:sz w:val="18"/>
          <w:szCs w:val="18"/>
          <w:color w:val="auto"/>
        </w:rPr>
        <w:t>The Company possesses all licenses, certificates, permits and other authorizations issued by the appropriate U.S. federal, state or foreign regulatory authorities necessary to conduct its business, and the Company has not received any notice of proceedings relating to the revocation or modification of any such license, certificate, authorization or permit which, singly or in the aggregate, would reasonably be expected to have a Material Adverse Effect, whether or not arising from transactions in the ordinary course of business, except as set forth in or contemplated in the Statutory Prospectus and the Prospectus (exclusive of any supplement thereto).</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(30) Stabilization.</w:t>
      </w:r>
    </w:p>
    <w:p>
      <w:pPr>
        <w:spacing w:after="0" w:line="117"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76" w:lineRule="exact"/>
        <w:rPr>
          <w:sz w:val="20"/>
          <w:szCs w:val="20"/>
          <w:color w:val="auto"/>
        </w:rPr>
      </w:pPr>
    </w:p>
    <w:p>
      <w:pPr>
        <w:ind w:left="344" w:hanging="344"/>
        <w:spacing w:after="0"/>
        <w:tabs>
          <w:tab w:leader="none" w:pos="344" w:val="left"/>
        </w:tabs>
        <w:numPr>
          <w:ilvl w:val="0"/>
          <w:numId w:val="11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Certain Regulatory Matters.</w:t>
      </w:r>
    </w:p>
    <w:p>
      <w:pPr>
        <w:spacing w:after="0" w:line="117" w:lineRule="exact"/>
        <w:rPr>
          <w:rFonts w:ascii="Arial" w:cs="Arial" w:eastAsia="Arial" w:hAnsi="Arial"/>
          <w:sz w:val="18"/>
          <w:szCs w:val="18"/>
          <w:u w:val="single" w:color="auto"/>
          <w:color w:val="auto"/>
        </w:rPr>
      </w:pPr>
    </w:p>
    <w:p>
      <w:pPr>
        <w:ind w:left="4" w:right="60" w:firstLine="987"/>
        <w:spacing w:after="0" w:line="291" w:lineRule="auto"/>
        <w:tabs>
          <w:tab w:leader="none" w:pos="1210"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the Company, the Sponsor, any director, director nominee, officer or employee of the Company, nor to the knowledge of the Company, any agent, affiliate or other person acting on behalf of the Company or any director, officer, agent, employee or affiliate of the Sponsor is aware of or has taken any action, directly or indirectly, that could result in a violation or a sanction for violation by such persons of the Foreign Corrupt Practices Act of 1977 or the U.K. Bribery Act 2010, each as may be amended, or similar law of any other relevant jurisdiction, or the rules or regulations thereunder; and the Company has instituted and maintains policies and procedures to ensure compliance therewith. No part of the proceeds of the Offering will be used, directly or indirectly, in violation of the Foreign Corrupt Practices Act of 1977 or the U.K. Bribery Act 2010, each as may be amended, or similar law of any other relevant jurisdiction, or the rules or regulations thereunder.</w:t>
      </w:r>
    </w:p>
    <w:p>
      <w:pPr>
        <w:spacing w:after="0" w:line="58" w:lineRule="exact"/>
        <w:rPr>
          <w:rFonts w:ascii="Arial" w:cs="Arial" w:eastAsia="Arial" w:hAnsi="Arial"/>
          <w:sz w:val="16"/>
          <w:szCs w:val="16"/>
          <w:color w:val="auto"/>
        </w:rPr>
      </w:pPr>
    </w:p>
    <w:p>
      <w:pPr>
        <w:ind w:left="4" w:firstLine="987"/>
        <w:spacing w:after="0" w:line="275" w:lineRule="auto"/>
        <w:tabs>
          <w:tab w:leader="none" w:pos="1260" w:val="left"/>
        </w:tabs>
        <w:numPr>
          <w:ilvl w:val="1"/>
          <w:numId w:val="118"/>
        </w:numPr>
        <w:rPr>
          <w:rFonts w:ascii="Arial" w:cs="Arial" w:eastAsia="Arial" w:hAnsi="Arial"/>
          <w:sz w:val="17"/>
          <w:szCs w:val="17"/>
          <w:color w:val="auto"/>
        </w:rPr>
      </w:pP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Company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10" w:name="page211"/>
    <w:bookmarkEnd w:id="210"/>
    <w:p>
      <w:pPr>
        <w:ind w:left="4" w:firstLine="987"/>
        <w:spacing w:after="0" w:line="268" w:lineRule="auto"/>
        <w:tabs>
          <w:tab w:leader="none" w:pos="1310"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OFAC</w:t>
      </w:r>
      <w:r>
        <w:rPr>
          <w:rFonts w:ascii="Arial" w:cs="Arial" w:eastAsia="Arial" w:hAnsi="Arial"/>
          <w:sz w:val="17"/>
          <w:szCs w:val="17"/>
          <w:color w:val="auto"/>
        </w:rPr>
        <w:t>. Neither the Company, the Sponsor, any director, director nominee, officer or employee of the Company, nor to the knowledge of the Company, any agent or affiliate of the Company or any director, officer, agent, employee or affiliate of the Sponsor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and such persons, “</w:t>
      </w:r>
      <w:r>
        <w:rPr>
          <w:rFonts w:ascii="Arial" w:cs="Arial" w:eastAsia="Arial" w:hAnsi="Arial"/>
          <w:sz w:val="17"/>
          <w:szCs w:val="17"/>
          <w:u w:val="single" w:color="auto"/>
          <w:color w:val="auto"/>
        </w:rPr>
        <w:t>Sanctioned Persons</w:t>
      </w:r>
      <w:r>
        <w:rPr>
          <w:rFonts w:ascii="Arial" w:cs="Arial" w:eastAsia="Arial" w:hAnsi="Arial"/>
          <w:sz w:val="17"/>
          <w:szCs w:val="17"/>
          <w:color w:val="auto"/>
        </w:rPr>
        <w:t>” and each such person, a “</w:t>
      </w:r>
      <w:r>
        <w:rPr>
          <w:rFonts w:ascii="Arial" w:cs="Arial" w:eastAsia="Arial" w:hAnsi="Arial"/>
          <w:sz w:val="17"/>
          <w:szCs w:val="17"/>
          <w:u w:val="single" w:color="auto"/>
          <w:color w:val="auto"/>
        </w:rPr>
        <w:t>Sanctioned Person</w:t>
      </w:r>
      <w:r>
        <w:rPr>
          <w:rFonts w:ascii="Arial" w:cs="Arial" w:eastAsia="Arial" w:hAnsi="Arial"/>
          <w:sz w:val="17"/>
          <w:szCs w:val="17"/>
          <w:color w:val="auto"/>
        </w:rPr>
        <w:t>”); (ii) is located, organized or resident in a country or territory that is, or whose government is, the subject of Sanctions that broadly prohibit dealings with that country or territory (collectively, “</w:t>
      </w:r>
      <w:r>
        <w:rPr>
          <w:rFonts w:ascii="Arial" w:cs="Arial" w:eastAsia="Arial" w:hAnsi="Arial"/>
          <w:sz w:val="17"/>
          <w:szCs w:val="17"/>
          <w:u w:val="single" w:color="auto"/>
          <w:color w:val="auto"/>
        </w:rPr>
        <w:t>Sanctioned Countries</w:t>
      </w:r>
      <w:r>
        <w:rPr>
          <w:rFonts w:ascii="Arial" w:cs="Arial" w:eastAsia="Arial" w:hAnsi="Arial"/>
          <w:sz w:val="17"/>
          <w:szCs w:val="17"/>
          <w:color w:val="auto"/>
        </w:rPr>
        <w:t>” and each,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 or (iii) will (either directly or through the Trust Account), directly or indirectly, use the proceeds of the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78" w:lineRule="exact"/>
        <w:rPr>
          <w:rFonts w:ascii="Arial" w:cs="Arial" w:eastAsia="Arial" w:hAnsi="Arial"/>
          <w:sz w:val="17"/>
          <w:szCs w:val="17"/>
          <w:color w:val="auto"/>
        </w:rPr>
      </w:pPr>
    </w:p>
    <w:p>
      <w:pPr>
        <w:ind w:left="4" w:right="80" w:firstLine="987"/>
        <w:spacing w:after="0" w:line="271" w:lineRule="auto"/>
        <w:tabs>
          <w:tab w:leader="none" w:pos="1300"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Sanctions</w:t>
      </w:r>
      <w:r>
        <w:rPr>
          <w:rFonts w:ascii="Arial" w:cs="Arial" w:eastAsia="Arial" w:hAnsi="Arial"/>
          <w:sz w:val="17"/>
          <w:szCs w:val="17"/>
          <w:color w:val="auto"/>
        </w:rPr>
        <w:t>. None of the Company, the Sponsor, any director, director nominee, officer or employee of the Company, nor to the knowledge of the Company, any agent or affiliate of the Company is a person that is, or is 50% or more owned or otherwise controlled by a person that is: (i) a Sanctioned Person or (ii) located in, organized under the laws of or resident in a country or territory that is, or whose government is, the subject of Sanctions that broadly prohibit dealings with that country or territory (including, without limitation, the Crimea region, Cuba, Iran, North Korea, Sudan, and Syria). In the preceding three (3) years, except as has been disclosed to the Underwriters or is not material to the analysis under any Sanctions, neither the Company nor the Sponsor has engaged in any dealings or transactions with or for the benefit of a Sanctioned Person, or with or in a Sanctioned Country, in the preceding five (5) years, nor does the Company or the Sponsor have any plans to engage in dealings or transactions with or for the benefit of a Sanctioned Person, or with or in a Sanctioned Country.</w:t>
      </w:r>
    </w:p>
    <w:p>
      <w:pPr>
        <w:spacing w:after="0" w:line="70" w:lineRule="exact"/>
        <w:rPr>
          <w:rFonts w:ascii="Arial" w:cs="Arial" w:eastAsia="Arial" w:hAnsi="Arial"/>
          <w:sz w:val="17"/>
          <w:szCs w:val="17"/>
          <w:color w:val="auto"/>
        </w:rPr>
      </w:pPr>
    </w:p>
    <w:p>
      <w:pPr>
        <w:ind w:left="4" w:right="120" w:firstLine="987"/>
        <w:spacing w:after="0" w:line="259" w:lineRule="auto"/>
        <w:tabs>
          <w:tab w:leader="none" w:pos="125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Bank Secrecy Act; Money Laundering; Patriot Act</w:t>
      </w:r>
      <w:r>
        <w:rPr>
          <w:rFonts w:ascii="Arial" w:cs="Arial" w:eastAsia="Arial" w:hAnsi="Arial"/>
          <w:sz w:val="18"/>
          <w:szCs w:val="18"/>
          <w:color w:val="auto"/>
        </w:rPr>
        <w:t>. None of the Company, the Sponsor or any executive officer, director or director nominee of the Company has violated: (a) the Bank Secrecy Act, as amended; (b) the Money Laundering Laws; or (c) the Uniting and Strengthening of America by Providing Appropriate Tools Required to Intercept and Obstruct Terrorism (USA PATRIOT ACT) Act of 2001, and/or the rules and regulations promulgated under any such law, or any successor law.</w:t>
      </w:r>
    </w:p>
    <w:p>
      <w:pPr>
        <w:spacing w:after="0" w:line="78" w:lineRule="exact"/>
        <w:rPr>
          <w:rFonts w:ascii="Arial" w:cs="Arial" w:eastAsia="Arial" w:hAnsi="Arial"/>
          <w:sz w:val="18"/>
          <w:szCs w:val="18"/>
          <w:color w:val="auto"/>
        </w:rPr>
      </w:pPr>
    </w:p>
    <w:p>
      <w:pPr>
        <w:ind w:left="344" w:hanging="344"/>
        <w:spacing w:after="0"/>
        <w:tabs>
          <w:tab w:leader="none" w:pos="34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117" w:lineRule="exact"/>
        <w:rPr>
          <w:sz w:val="20"/>
          <w:szCs w:val="20"/>
          <w:color w:val="auto"/>
        </w:rPr>
      </w:pPr>
    </w:p>
    <w:p>
      <w:pPr>
        <w:ind w:left="4" w:right="120" w:firstLine="440"/>
        <w:spacing w:after="0" w:line="285" w:lineRule="auto"/>
        <w:rPr>
          <w:sz w:val="20"/>
          <w:szCs w:val="20"/>
          <w:color w:val="auto"/>
        </w:rPr>
      </w:pPr>
      <w:r>
        <w:rPr>
          <w:rFonts w:ascii="Arial" w:cs="Arial" w:eastAsia="Arial" w:hAnsi="Arial"/>
          <w:sz w:val="16"/>
          <w:szCs w:val="16"/>
          <w:color w:val="auto"/>
        </w:rPr>
        <w:t>The Company’s information technology assets and equipment, computers, systems, networks, hardware, software, websites, applications, and databases (collectively, “</w:t>
      </w:r>
      <w:r>
        <w:rPr>
          <w:rFonts w:ascii="Arial" w:cs="Arial" w:eastAsia="Arial" w:hAnsi="Arial"/>
          <w:sz w:val="16"/>
          <w:szCs w:val="16"/>
          <w:u w:val="single" w:color="auto"/>
          <w:color w:val="auto"/>
        </w:rPr>
        <w:t>IT Systems</w:t>
      </w:r>
      <w:r>
        <w:rPr>
          <w:rFonts w:ascii="Arial" w:cs="Arial" w:eastAsia="Arial" w:hAnsi="Arial"/>
          <w:sz w:val="16"/>
          <w:szCs w:val="16"/>
          <w:color w:val="auto"/>
        </w:rPr>
        <w:t>”) owned by or utilized by the Company are adequate for, and operate and perform in all material respects as required in connection with the operation of the business of the Company as currently conducted, and are, to the knowledge of the Company, free and clear of all material bugs, errors, defects, Trojan horses, time bombs, malware and other corruptants. The Company has or has ensured that its relevant affiliate has implemented and maintained commercially reasonable physical, technical and administrative controls, policies, procedures, and safeguards to maintain and protect its material confidential information and the integrity, operation, redundancy and security of all IT Systems and data, including “Personal Data,” used in connection with their businesses. “Personal Data”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211" w:name="page212"/>
    <w:bookmarkEnd w:id="211"/>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(33) D&amp;O Questionnaires.</w:t>
      </w:r>
    </w:p>
    <w:p>
      <w:pPr>
        <w:spacing w:after="0" w:line="117"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To the Company’s knowledge, all information contained in the questionnaires (the “</w:t>
      </w:r>
      <w:r>
        <w:rPr>
          <w:rFonts w:ascii="Arial" w:cs="Arial" w:eastAsia="Arial" w:hAnsi="Arial"/>
          <w:sz w:val="17"/>
          <w:szCs w:val="17"/>
          <w:u w:val="single" w:color="auto"/>
          <w:color w:val="auto"/>
        </w:rPr>
        <w:t>Questionnaires</w:t>
      </w:r>
      <w:r>
        <w:rPr>
          <w:rFonts w:ascii="Arial" w:cs="Arial" w:eastAsia="Arial" w:hAnsi="Arial"/>
          <w:sz w:val="17"/>
          <w:szCs w:val="17"/>
          <w:color w:val="auto"/>
        </w:rPr>
        <w:t>”) completed by each of the Company’s executive officers, director nominees and directors and provided to the Underwriters is true and correct in all material respects and the Company has not become aware of any information which would cause the information disclosed in the Questionnaires completed by the Company’s executive officers, director nominees or directors to become inaccurate and incorrect in any material respect.</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(34) Initial Business Combination.</w:t>
      </w:r>
    </w:p>
    <w:p>
      <w:pPr>
        <w:spacing w:after="0" w:line="117"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Except as disclosed in the Registration Statement, the Statutory Prospectus and the Prospectus, prior to the date hereof, the Company has not identified any business combination target and it has not, nor has anyone on its behalf, initiated any substantive discussions, directly or indirectly, with any business combination target.</w:t>
      </w:r>
    </w:p>
    <w:p>
      <w:pPr>
        <w:spacing w:after="0" w:line="76" w:lineRule="exact"/>
        <w:rPr>
          <w:sz w:val="20"/>
          <w:szCs w:val="20"/>
          <w:color w:val="auto"/>
        </w:rPr>
      </w:pPr>
    </w:p>
    <w:p>
      <w:pPr>
        <w:ind w:left="344" w:hanging="344"/>
        <w:spacing w:after="0"/>
        <w:tabs>
          <w:tab w:leader="none" w:pos="344" w:val="left"/>
        </w:tabs>
        <w:numPr>
          <w:ilvl w:val="0"/>
          <w:numId w:val="12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FINRA Matters.</w:t>
      </w:r>
    </w:p>
    <w:p>
      <w:pPr>
        <w:spacing w:after="0" w:line="117" w:lineRule="exact"/>
        <w:rPr>
          <w:rFonts w:ascii="Arial" w:cs="Arial" w:eastAsia="Arial" w:hAnsi="Arial"/>
          <w:sz w:val="18"/>
          <w:szCs w:val="18"/>
          <w:u w:val="single" w:color="auto"/>
          <w:color w:val="auto"/>
        </w:rPr>
      </w:pPr>
    </w:p>
    <w:p>
      <w:pPr>
        <w:ind w:left="4" w:right="60" w:firstLine="987"/>
        <w:spacing w:after="0" w:line="255" w:lineRule="auto"/>
        <w:tabs>
          <w:tab w:leader="none" w:pos="121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Except as described in the Statutory Prospectus and the Prospectus, there are no claims, payments, arrangements, contracts, agreements or understandings relating to the payment of a brokerage commission or finder’s, consulting, origination or similar fee by the Company, the Sponsor or any executive officer, director nominee or director of the Company, or their respective affiliates, with respect to the sale of the Securities hereunder or any other arrangements, agreements or understandings of the Company or, to the knowledge of the Company, the Sponsor or any executive officer, director nominee or director of the Company, or their respective affiliates, that may affect the Underwriters’ compensation, as determined by the Financial Industry Regulatory Authority (“</w:t>
      </w:r>
      <w:r>
        <w:rPr>
          <w:rFonts w:ascii="Arial" w:cs="Arial" w:eastAsia="Arial" w:hAnsi="Arial"/>
          <w:sz w:val="18"/>
          <w:szCs w:val="18"/>
          <w:u w:val="single" w:color="auto"/>
          <w:color w:val="auto"/>
        </w:rPr>
        <w:t>FINRA</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 w:right="220" w:firstLine="987"/>
        <w:spacing w:after="0" w:line="254" w:lineRule="auto"/>
        <w:tabs>
          <w:tab w:leader="none" w:pos="12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Company has not made any direct or indirect payments (in cash, securities or any other “type of underwriting compensation” as defined in FINRA Rule 5110(j)(22) of FINRA’s Conduct Rules and Supplementary Material .01 thereunder) to: (i) any person, as a finder’s fee, consulting fee or otherwise, in consideration of such person raising capital for the Company or introducing to the Company persons who raised or provided capital to the Company; (ii) to any person that, to the Company’s knowledge, has been accepted by FINRA as a member of FINRA (a “Member”); or (iii) to any person or entity that, to the Company’s knowledge, has any direct or indirect affiliation or association with any Member, within the 180- day period prior to the initial filing date of the Registration Statement, other than payments to the Underwriters pursuant to this Agreement.</w:t>
      </w:r>
    </w:p>
    <w:p>
      <w:pPr>
        <w:spacing w:after="0" w:line="86" w:lineRule="exact"/>
        <w:rPr>
          <w:rFonts w:ascii="Arial" w:cs="Arial" w:eastAsia="Arial" w:hAnsi="Arial"/>
          <w:sz w:val="18"/>
          <w:szCs w:val="18"/>
          <w:color w:val="auto"/>
        </w:rPr>
      </w:pPr>
    </w:p>
    <w:p>
      <w:pPr>
        <w:ind w:left="4" w:right="20" w:firstLine="987"/>
        <w:spacing w:after="0" w:line="257" w:lineRule="auto"/>
        <w:tabs>
          <w:tab w:leader="none" w:pos="131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Except as described in the Statutory Prospectus and the Prospectus, during the period beginning 180 days prior to the initial filing date and ending on the Effective Date, no Member and/or any person associated or affiliated with a Member has provided any investment banking, financial advisory and/or consulting services to the Company. No Participating Member (as defined in FINRA Rule 5110(j)(15)) in the Offering has received any underwriting compensation in connection with a public offering that has not been completed according to the terms of an agreement entered into by the Company and a Participating Member in the Offering.</w:t>
      </w:r>
    </w:p>
    <w:p>
      <w:pPr>
        <w:spacing w:after="0" w:line="79" w:lineRule="exact"/>
        <w:rPr>
          <w:rFonts w:ascii="Arial" w:cs="Arial" w:eastAsia="Arial" w:hAnsi="Arial"/>
          <w:sz w:val="18"/>
          <w:szCs w:val="18"/>
          <w:color w:val="auto"/>
        </w:rPr>
      </w:pPr>
    </w:p>
    <w:p>
      <w:pPr>
        <w:ind w:left="4" w:right="60" w:firstLine="987"/>
        <w:spacing w:after="0" w:line="259"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Except as disclosed in the FINRA questionnaires provided to the Underwriters, to the Company’s knowledge, no executive officer, director, or beneficial owner of any class of the Company’s securities (whether debt or equity, registered or unregistered, regardless of the time acquired or the source from which derived) (any such individual or entity, a “</w:t>
      </w:r>
      <w:r>
        <w:rPr>
          <w:rFonts w:ascii="Arial" w:cs="Arial" w:eastAsia="Arial" w:hAnsi="Arial"/>
          <w:sz w:val="18"/>
          <w:szCs w:val="18"/>
          <w:u w:val="single" w:color="auto"/>
          <w:color w:val="auto"/>
        </w:rPr>
        <w:t>Company Affiliate</w:t>
      </w:r>
      <w:r>
        <w:rPr>
          <w:rFonts w:ascii="Arial" w:cs="Arial" w:eastAsia="Arial" w:hAnsi="Arial"/>
          <w:sz w:val="18"/>
          <w:szCs w:val="18"/>
          <w:color w:val="auto"/>
        </w:rPr>
        <w:t>”) is a Member or a person associated or affiliated with a Member.</w:t>
      </w:r>
    </w:p>
    <w:p>
      <w:pPr>
        <w:spacing w:after="0" w:line="78" w:lineRule="exact"/>
        <w:rPr>
          <w:rFonts w:ascii="Arial" w:cs="Arial" w:eastAsia="Arial" w:hAnsi="Arial"/>
          <w:sz w:val="18"/>
          <w:szCs w:val="18"/>
          <w:color w:val="auto"/>
        </w:rPr>
      </w:pPr>
    </w:p>
    <w:p>
      <w:pPr>
        <w:ind w:left="4" w:right="80" w:firstLine="987"/>
        <w:spacing w:after="0" w:line="277" w:lineRule="auto"/>
        <w:tabs>
          <w:tab w:leader="none" w:pos="125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Except as disclosed in the FINRA questionnaires provided to the Underwriters, to the Company’s knowledge, no Company Affiliate is an owner of stock or other securities of any Member (other than securities purchased on the open market).</w:t>
      </w:r>
    </w:p>
    <w:p>
      <w:pPr>
        <w:spacing w:after="0" w:line="62" w:lineRule="exact"/>
        <w:rPr>
          <w:rFonts w:ascii="Arial" w:cs="Arial" w:eastAsia="Arial" w:hAnsi="Arial"/>
          <w:sz w:val="18"/>
          <w:szCs w:val="18"/>
          <w:color w:val="auto"/>
        </w:rPr>
      </w:pPr>
    </w:p>
    <w:p>
      <w:pPr>
        <w:ind w:left="1304" w:hanging="313"/>
        <w:spacing w:after="0"/>
        <w:tabs>
          <w:tab w:leader="none" w:pos="130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To the knowledge of the Company after due inquiry, no Company Affiliate has made a subordinated loan to any Member.</w:t>
      </w:r>
    </w:p>
    <w:p>
      <w:pPr>
        <w:spacing w:after="0" w:line="117" w:lineRule="exact"/>
        <w:rPr>
          <w:rFonts w:ascii="Arial" w:cs="Arial" w:eastAsia="Arial" w:hAnsi="Arial"/>
          <w:sz w:val="18"/>
          <w:szCs w:val="18"/>
          <w:color w:val="auto"/>
        </w:rPr>
      </w:pPr>
    </w:p>
    <w:p>
      <w:pPr>
        <w:ind w:left="4" w:firstLine="987"/>
        <w:spacing w:after="0" w:line="263" w:lineRule="auto"/>
        <w:tabs>
          <w:tab w:leader="none" w:pos="135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Statutory Prospectus and the Prospectus, no proceeds from the sale of the Securities (excluding underwriting compensation as disclosed in the Registration Statement, Statutory Prospectus and the Prospectus) will be paid by the Company to any Member, or any persons associated or affiliated with a Member.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12" w:name="page213"/>
    <w:bookmarkEnd w:id="212"/>
    <w:p>
      <w:pPr>
        <w:ind w:left="4" w:firstLine="987"/>
        <w:spacing w:after="0" w:line="263" w:lineRule="auto"/>
        <w:tabs>
          <w:tab w:leader="none" w:pos="14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75" w:lineRule="exact"/>
        <w:rPr>
          <w:rFonts w:ascii="Arial" w:cs="Arial" w:eastAsia="Arial" w:hAnsi="Arial"/>
          <w:sz w:val="18"/>
          <w:szCs w:val="18"/>
          <w:color w:val="auto"/>
        </w:rPr>
      </w:pPr>
    </w:p>
    <w:p>
      <w:pPr>
        <w:jc w:val="both"/>
        <w:ind w:left="4" w:right="160" w:firstLine="987"/>
        <w:spacing w:after="0" w:line="263" w:lineRule="auto"/>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No person to whom securities of the Company have been privately issued within the 180-day period prior to the initial filing date of the Registration Statement has, to the Company’s knowledge, any relationship or affiliation or association with any Member intending to participate in the Offering.</w:t>
      </w:r>
    </w:p>
    <w:p>
      <w:pPr>
        <w:spacing w:after="0" w:line="75" w:lineRule="exact"/>
        <w:rPr>
          <w:rFonts w:ascii="Arial" w:cs="Arial" w:eastAsia="Arial" w:hAnsi="Arial"/>
          <w:sz w:val="18"/>
          <w:szCs w:val="18"/>
          <w:color w:val="auto"/>
        </w:rPr>
      </w:pPr>
    </w:p>
    <w:p>
      <w:pPr>
        <w:jc w:val="both"/>
        <w:ind w:left="4" w:right="20" w:firstLine="987"/>
        <w:spacing w:after="0" w:line="287" w:lineRule="auto"/>
        <w:tabs>
          <w:tab w:leader="none" w:pos="125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To the Company’s knowledge, no Member intending to participate in the Offering has a conflict of interest with the Company. For this purpose, a “conflict of interest” means, if at the time of the Member’s participation in the Offering, any of the following applies: (A) the securities are to be issued by the Member; (B) the Company controls, is controlled by or is under common control with the Member or the Member’s associated persons;</w:t>
      </w:r>
    </w:p>
    <w:p>
      <w:pPr>
        <w:spacing w:after="0" w:line="2" w:lineRule="exact"/>
        <w:rPr>
          <w:rFonts w:ascii="Arial" w:cs="Arial" w:eastAsia="Arial" w:hAnsi="Arial"/>
          <w:sz w:val="16"/>
          <w:szCs w:val="16"/>
          <w:color w:val="auto"/>
        </w:rPr>
      </w:pPr>
    </w:p>
    <w:p>
      <w:pPr>
        <w:ind w:left="4" w:right="20" w:hanging="4"/>
        <w:spacing w:after="0" w:line="290" w:lineRule="auto"/>
        <w:tabs>
          <w:tab w:leader="none" w:pos="28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at least five (5%) percent of the net offering proceeds, not including underwriting compensation, are intended to be: (i) used to reduce or retire the balance of a loan or credit facility extended by the Member, its affiliates and its associated persons, in the aggregate; or (ii) otherwise directed to the Member, its affiliates and associated persons, in the aggregate; or (D) as a result of the Offering and any transactions contemplated at the time of the Offering: (i) the Member will be an affiliate of the Company; (ii) the Member will become publicly owned; or (iii) the Company will become a Member or form a broker-dealer subsidiary. “Member intending to participate in the Offering” includes any associated person of a Member that is participating in the Offering, any members of such associated person’s immediate family, and any affiliate of a Member that is participating in the Offering.</w:t>
      </w:r>
    </w:p>
    <w:p>
      <w:pPr>
        <w:spacing w:after="0" w:line="5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(36) Non-Competition Agreements.</w:t>
      </w:r>
    </w:p>
    <w:p>
      <w:pPr>
        <w:spacing w:after="0" w:line="117" w:lineRule="exact"/>
        <w:rPr>
          <w:sz w:val="20"/>
          <w:szCs w:val="20"/>
          <w:color w:val="auto"/>
        </w:rPr>
      </w:pPr>
    </w:p>
    <w:p>
      <w:pPr>
        <w:ind w:left="4" w:right="100" w:firstLine="991"/>
        <w:spacing w:after="0" w:line="311" w:lineRule="auto"/>
        <w:rPr>
          <w:sz w:val="20"/>
          <w:szCs w:val="20"/>
          <w:color w:val="auto"/>
        </w:rPr>
      </w:pPr>
      <w:r>
        <w:rPr>
          <w:rFonts w:ascii="Arial" w:cs="Arial" w:eastAsia="Arial" w:hAnsi="Arial"/>
          <w:sz w:val="16"/>
          <w:szCs w:val="16"/>
          <w:color w:val="auto"/>
        </w:rPr>
        <w:t>Except as described in the Statutory Prospectus and the Prospectus, to the Company’s knowledge, none of the Sponsor, directors or executive officers of the Company is subject to a non-competition agreement or non-solicitation agreement with any employer or prior employer which could materially affect his, her or its ability to be and act in the capacity of shareholder, executive officer or director of the Company, as applicable.</w:t>
      </w:r>
    </w:p>
    <w:p>
      <w:pPr>
        <w:spacing w:after="0" w:line="4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(37) Subsidiaries.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The Company does not own an interest in any corporation, partnership, limited liability company, joint venture, trust or other entity.</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(38) Related Party Transactions.</w:t>
      </w:r>
    </w:p>
    <w:p>
      <w:pPr>
        <w:spacing w:after="0" w:line="117" w:lineRule="exact"/>
        <w:rPr>
          <w:sz w:val="20"/>
          <w:szCs w:val="20"/>
          <w:color w:val="auto"/>
        </w:rPr>
      </w:pPr>
    </w:p>
    <w:p>
      <w:pPr>
        <w:ind w:left="4" w:right="20" w:firstLine="991"/>
        <w:spacing w:after="0" w:line="271" w:lineRule="auto"/>
        <w:rPr>
          <w:sz w:val="20"/>
          <w:szCs w:val="20"/>
          <w:color w:val="auto"/>
        </w:rPr>
      </w:pPr>
      <w:r>
        <w:rPr>
          <w:rFonts w:ascii="Arial" w:cs="Arial" w:eastAsia="Arial" w:hAnsi="Arial"/>
          <w:sz w:val="17"/>
          <w:szCs w:val="17"/>
          <w:color w:val="auto"/>
        </w:rPr>
        <w:t>No relationship, direct or indirect, exists between or among any of the Company or any affiliate of the Company, on the one hand, and the Sponsor or any director, director nominee, executive officer, shareholder, special advisor, customer or supplier of the Company or any affiliate of the Company, on the other hand, which is required by the Act or the Exchange Act to be described in the Registration Statement, Statutory Prospectus or the Prospectus which is not described as required. There are no outstanding loans, advances (except normal advances for business expenses in the ordinary course of business) or guarantees of indebtedness by the Company to or for the benefit of any of the executive officers, director nominees or directors of the Company or any of their respective family members, except as disclosed in the Registration Statement, Statutory Prospectus and the Prospectus. The Company has not extended or maintained credit, arranged for the extension of credit, or renewed an extension of credit, in the form of a personal loan to or for any director or officer of the Company.</w:t>
      </w:r>
    </w:p>
    <w:p>
      <w:pPr>
        <w:spacing w:after="0" w:line="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(39) Free Writing Prospectus.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Company has not prepared or used a Free Writing Prospectus.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13" w:name="page214"/>
    <w:bookmarkEnd w:id="213"/>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(40) Rule 419.</w:t>
      </w:r>
    </w:p>
    <w:p>
      <w:pPr>
        <w:spacing w:after="0" w:line="117"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Upon delivery and payment for the Underwritten Securities on the Closing Date and the filing of the Closing Form 8-K, the Company will not be subject to Rule 419 under the Act and none of the Company’s outstanding securities will be deemed to be a “penny stock” as defined in Rule 3a51-1 under the Exchange Act.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(41) Nasdaq Capital Market’s Marketplace Rules.</w:t>
      </w:r>
    </w:p>
    <w:p>
      <w:pPr>
        <w:spacing w:after="0" w:line="117" w:lineRule="exact"/>
        <w:rPr>
          <w:sz w:val="20"/>
          <w:szCs w:val="20"/>
          <w:color w:val="auto"/>
        </w:rPr>
      </w:pPr>
    </w:p>
    <w:p>
      <w:pPr>
        <w:ind w:left="4" w:right="80" w:firstLine="991"/>
        <w:spacing w:after="0" w:line="293" w:lineRule="auto"/>
        <w:rPr>
          <w:sz w:val="20"/>
          <w:szCs w:val="20"/>
          <w:color w:val="auto"/>
        </w:rPr>
      </w:pPr>
      <w:r>
        <w:rPr>
          <w:rFonts w:ascii="Arial" w:cs="Arial" w:eastAsia="Arial" w:hAnsi="Arial"/>
          <w:sz w:val="16"/>
          <w:szCs w:val="16"/>
          <w:color w:val="auto"/>
        </w:rPr>
        <w:t>There is and has been no failure on the part of the Company or, to the knowledge of the Company, any of the Company’s executive officers or directors, in their capacities as such, to comply with (as and when applicable), and immediately following the Effective Date the Company will be in compliance with, the requirements of IM-5605 of the Nasdaq Marketplace Rules. Further, there is and has been no failure on the part of the Company or, to the knowledge of the Company, any of the Company’s executive officers or directors, in their capacities as such, to comply with (as and when applicable), and immediately following the Effective Date the Company will be in compliance with, the phase-in requirements and all other provisions of the Nasdaq Capital Market corporate governance requirements set forth in the Nasdaq Marketplace Rules.</w:t>
      </w:r>
    </w:p>
    <w:p>
      <w:pPr>
        <w:spacing w:after="0" w:line="5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(42) Emerging Growth Company.</w:t>
      </w:r>
    </w:p>
    <w:p>
      <w:pPr>
        <w:spacing w:after="0" w:line="117" w:lineRule="exact"/>
        <w:rPr>
          <w:sz w:val="20"/>
          <w:szCs w:val="20"/>
          <w:color w:val="auto"/>
        </w:rPr>
      </w:pPr>
    </w:p>
    <w:p>
      <w:pPr>
        <w:jc w:val="both"/>
        <w:ind w:left="4" w:right="140" w:firstLine="991"/>
        <w:spacing w:after="0" w:line="287" w:lineRule="auto"/>
        <w:rPr>
          <w:sz w:val="20"/>
          <w:szCs w:val="20"/>
          <w:color w:val="auto"/>
        </w:rPr>
      </w:pPr>
      <w:r>
        <w:rPr>
          <w:rFonts w:ascii="Arial" w:cs="Arial" w:eastAsia="Arial" w:hAnsi="Arial"/>
          <w:sz w:val="16"/>
          <w:szCs w:val="16"/>
          <w:color w:val="auto"/>
        </w:rPr>
        <w:t>From the time of the initial confidential submission of the Registration Statement to the Commission (or, if earlier, the first date on which the Company engaged directly or through any person authorized to act on its behalf in any Testing-the-Waters Communication) through the Execution Time, the Company has been and is an “emerging growth company,” as defined in Section 2(a) of the Act (an “</w:t>
      </w:r>
      <w:r>
        <w:rPr>
          <w:rFonts w:ascii="Arial" w:cs="Arial" w:eastAsia="Arial" w:hAnsi="Arial"/>
          <w:sz w:val="16"/>
          <w:szCs w:val="16"/>
          <w:u w:val="single" w:color="auto"/>
          <w:color w:val="auto"/>
        </w:rPr>
        <w:t>Emerging Growth Company</w:t>
      </w:r>
      <w:r>
        <w:rPr>
          <w:rFonts w:ascii="Arial" w:cs="Arial" w:eastAsia="Arial" w:hAnsi="Arial"/>
          <w:sz w:val="16"/>
          <w:szCs w:val="16"/>
          <w:color w:val="auto"/>
        </w:rPr>
        <w:t>”).</w:t>
      </w:r>
    </w:p>
    <w:p>
      <w:pPr>
        <w:spacing w:after="0" w:line="2" w:lineRule="exact"/>
        <w:rPr>
          <w:sz w:val="20"/>
          <w:szCs w:val="20"/>
          <w:color w:val="auto"/>
        </w:rPr>
      </w:pPr>
    </w:p>
    <w:p>
      <w:pPr>
        <w:jc w:val="both"/>
        <w:ind w:left="4" w:right="140"/>
        <w:spacing w:after="0" w:line="260" w:lineRule="auto"/>
        <w:rPr>
          <w:sz w:val="20"/>
          <w:szCs w:val="20"/>
          <w:color w:val="auto"/>
        </w:rPr>
      </w:pPr>
      <w:r>
        <w:rPr>
          <w:rFonts w:ascii="Arial" w:cs="Arial" w:eastAsia="Arial" w:hAnsi="Arial"/>
          <w:sz w:val="18"/>
          <w:szCs w:val="18"/>
          <w:color w:val="auto"/>
        </w:rPr>
        <w:t>“Testing-the-Waters Communication” means any oral or written communication with potential investors undertaken in reliance on Section 5(d) or Rule 163B of the Act.</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(43) Testing-the-Waters.</w:t>
      </w:r>
    </w:p>
    <w:p>
      <w:pPr>
        <w:spacing w:after="0" w:line="117" w:lineRule="exact"/>
        <w:rPr>
          <w:sz w:val="20"/>
          <w:szCs w:val="20"/>
          <w:color w:val="auto"/>
        </w:rPr>
      </w:pPr>
    </w:p>
    <w:p>
      <w:pPr>
        <w:ind w:left="4" w:firstLine="991"/>
        <w:spacing w:after="0" w:line="253" w:lineRule="auto"/>
        <w:rPr>
          <w:sz w:val="20"/>
          <w:szCs w:val="20"/>
          <w:color w:val="auto"/>
        </w:rPr>
      </w:pPr>
      <w:r>
        <w:rPr>
          <w:rFonts w:ascii="Arial" w:cs="Arial" w:eastAsia="Arial" w:hAnsi="Arial"/>
          <w:sz w:val="18"/>
          <w:szCs w:val="18"/>
          <w:color w:val="auto"/>
        </w:rPr>
        <w:t>The Company (i) has not alone engaged in any Testing-the-Waters Communication other than Testing-the-Waters Communications with the consent of the Underwriters with entities that are qualified institutional buyers within the meaning of Rule 144A under the Act or institutions that are accredited investors within the meaning of Rule 501 under the Act and (ii) has not authorized anyone other than the Underwriters to engage in Testing-the-Waters Communications. The Company reconfirms that the Underwriters have been authorized to act on its behalf in undertaking Testing-the-Waters Communications. The Company has not distributed any Written Testing-the-Waters Communications other than those listed on Schedule III hereto. “Written Testing-the-Waters Communication” means any Testing-the-Waters Communication that is a written communication within the meaning of Rule 405 under the Act. Any certificate signed by any officer of the Company and delivered to the Underwriters or counsel for the Underwriters in connection with the Offering shall be deemed a representation and warranty by the Company, as to matters covered thereby, to each Underwriter.</w:t>
      </w:r>
    </w:p>
    <w:p>
      <w:pPr>
        <w:spacing w:after="0" w:line="300" w:lineRule="exact"/>
        <w:rPr>
          <w:sz w:val="20"/>
          <w:szCs w:val="20"/>
          <w:color w:val="auto"/>
        </w:rPr>
      </w:pPr>
    </w:p>
    <w:p>
      <w:pPr>
        <w:ind w:left="184" w:hanging="184"/>
        <w:spacing w:after="0"/>
        <w:tabs>
          <w:tab w:leader="none" w:pos="184"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w:t>
      </w:r>
    </w:p>
    <w:p>
      <w:pPr>
        <w:spacing w:after="0" w:line="121" w:lineRule="exact"/>
        <w:rPr>
          <w:rFonts w:ascii="Arial" w:cs="Arial" w:eastAsia="Arial" w:hAnsi="Arial"/>
          <w:sz w:val="18"/>
          <w:szCs w:val="18"/>
          <w:b w:val="1"/>
          <w:bCs w:val="1"/>
          <w:color w:val="auto"/>
        </w:rPr>
      </w:pPr>
    </w:p>
    <w:p>
      <w:pPr>
        <w:ind w:left="4" w:right="80" w:firstLine="987"/>
        <w:spacing w:after="0" w:line="286" w:lineRule="auto"/>
        <w:tabs>
          <w:tab w:leader="none" w:pos="124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$9.80 per Unit, the amount of the Underwritten Securities set forth opposite such Underwriter’s name in Schedule I hereto.</w:t>
      </w:r>
    </w:p>
    <w:p>
      <w:pPr>
        <w:spacing w:after="0" w:line="57" w:lineRule="exact"/>
        <w:rPr>
          <w:rFonts w:ascii="Arial" w:cs="Arial" w:eastAsia="Arial" w:hAnsi="Arial"/>
          <w:sz w:val="17"/>
          <w:szCs w:val="17"/>
          <w:color w:val="auto"/>
        </w:rPr>
      </w:pPr>
    </w:p>
    <w:p>
      <w:pPr>
        <w:ind w:left="4" w:right="20" w:firstLine="987"/>
        <w:spacing w:after="0" w:line="255" w:lineRule="auto"/>
        <w:tabs>
          <w:tab w:leader="none" w:pos="125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Subject to the terms and conditions and in reliance upon the representations and warranties set forth herein, the Company hereby grants an option to the several Underwriters to purchase, severally and not jointly, up to 3,750,000 Option Securities at the same purchase price per Unit as the Underwriters shall pay for the Underwritten Securities. This option may be exercised only to cover over-allotments in the sale of the Underwritten Securities by the Underwriters. This option may be exercised in whole or in part at any time on or before the 45th day after the date of the Prospectus upon written or telegraphic notice by the Underwriters to the Company setting forth the number of Option Securities as to which the several Underwriters are exercising the option and the settlement date.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214" w:name="page215"/>
    <w:bookmarkEnd w:id="214"/>
    <w:p>
      <w:pPr>
        <w:jc w:val="both"/>
        <w:ind w:left="4" w:right="4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Underwriter shall purchase the same percentage of the total number of Option Securities to be purchased by the several Underwriters as such Underwriter is purchasing of the Underwritten Securities, subject to such adjustments as the Underwriters in their absolute discretion shall make to eliminate any fractional shares.</w:t>
      </w:r>
    </w:p>
    <w:p>
      <w:pPr>
        <w:spacing w:after="0" w:line="76" w:lineRule="exact"/>
        <w:rPr>
          <w:sz w:val="20"/>
          <w:szCs w:val="20"/>
          <w:color w:val="auto"/>
        </w:rPr>
      </w:pPr>
    </w:p>
    <w:p>
      <w:pPr>
        <w:ind w:left="4" w:firstLine="987"/>
        <w:spacing w:after="0" w:line="290" w:lineRule="auto"/>
        <w:tabs>
          <w:tab w:leader="none" w:pos="12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In addition to the discount from the public offering price represented by the purchase price set forth in the first sentence of Section 2(a) of this Agreement, the Company hereby agrees to pay to the Underwriters a deferred discount of $0.35 per Unit (for both Underwritten Securities and Option Securities) purchased hereunder (the “</w:t>
      </w:r>
      <w:r>
        <w:rPr>
          <w:rFonts w:ascii="Arial" w:cs="Arial" w:eastAsia="Arial" w:hAnsi="Arial"/>
          <w:sz w:val="16"/>
          <w:szCs w:val="16"/>
          <w:u w:val="single" w:color="auto"/>
          <w:color w:val="auto"/>
        </w:rPr>
        <w:t>Deferred Discount</w:t>
      </w:r>
      <w:r>
        <w:rPr>
          <w:rFonts w:ascii="Arial" w:cs="Arial" w:eastAsia="Arial" w:hAnsi="Arial"/>
          <w:sz w:val="16"/>
          <w:szCs w:val="16"/>
          <w:color w:val="auto"/>
        </w:rPr>
        <w:t>”). The Deferred Discount will be paid directly to the Underwriters, on behalf of the Underwriters, by the Trustee from amounts on deposit in the Trust Account by wire transfer if and when the Company consummates an Initial Business Combination. The Underwriters hereby agree that if no Initial Business Combination is consummated within the time period provided in the Trust Agreement and the funds held under the Trust Agreement are distributed to the holders of the Ordinary Shares included in the Securities sold pursuant to this Agreement (the “</w:t>
      </w:r>
      <w:r>
        <w:rPr>
          <w:rFonts w:ascii="Arial" w:cs="Arial" w:eastAsia="Arial" w:hAnsi="Arial"/>
          <w:sz w:val="16"/>
          <w:szCs w:val="16"/>
          <w:u w:val="single" w:color="auto"/>
          <w:color w:val="auto"/>
        </w:rPr>
        <w:t>Public Shareholders</w:t>
      </w:r>
      <w:r>
        <w:rPr>
          <w:rFonts w:ascii="Arial" w:cs="Arial" w:eastAsia="Arial" w:hAnsi="Arial"/>
          <w:sz w:val="16"/>
          <w:szCs w:val="16"/>
          <w:color w:val="auto"/>
        </w:rPr>
        <w:t>”), (i) the Underwriters will forfeit any rights or claims to the Deferred Discount and (ii) the Trustee under the Trust Agreement is authorized to distribute the Deferred Discount to the Public Shareholders on a pro rata basis.</w:t>
      </w:r>
    </w:p>
    <w:p>
      <w:pPr>
        <w:spacing w:after="0" w:line="269" w:lineRule="exact"/>
        <w:rPr>
          <w:rFonts w:ascii="Arial" w:cs="Arial" w:eastAsia="Arial" w:hAnsi="Arial"/>
          <w:sz w:val="16"/>
          <w:szCs w:val="16"/>
          <w:color w:val="auto"/>
        </w:rPr>
      </w:pPr>
    </w:p>
    <w:p>
      <w:pPr>
        <w:ind w:left="184" w:hanging="184"/>
        <w:spacing w:after="0"/>
        <w:tabs>
          <w:tab w:leader="none" w:pos="184"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Payment.</w:t>
      </w:r>
    </w:p>
    <w:p>
      <w:pPr>
        <w:spacing w:after="0" w:line="121" w:lineRule="exact"/>
        <w:rPr>
          <w:rFonts w:ascii="Arial" w:cs="Arial" w:eastAsia="Arial" w:hAnsi="Arial"/>
          <w:sz w:val="18"/>
          <w:szCs w:val="18"/>
          <w:b w:val="1"/>
          <w:bCs w:val="1"/>
          <w:color w:val="auto"/>
        </w:rPr>
      </w:pPr>
    </w:p>
    <w:p>
      <w:pPr>
        <w:ind w:left="4" w:right="20" w:firstLine="987"/>
        <w:spacing w:after="0" w:line="253" w:lineRule="auto"/>
        <w:tabs>
          <w:tab w:leader="none" w:pos="12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Delivery of and payment for the Underwritten Securities and the Option Securities (if the option provided for in Section 2(b) hereof shall have been exercised on or before the second (2</w:t>
      </w:r>
      <w:r>
        <w:rPr>
          <w:rFonts w:ascii="Arial" w:cs="Arial" w:eastAsia="Arial" w:hAnsi="Arial"/>
          <w:sz w:val="15"/>
          <w:szCs w:val="15"/>
          <w:color w:val="auto"/>
        </w:rPr>
        <w:t>nd</w:t>
      </w:r>
      <w:r>
        <w:rPr>
          <w:rFonts w:ascii="Arial" w:cs="Arial" w:eastAsia="Arial" w:hAnsi="Arial"/>
          <w:sz w:val="18"/>
          <w:szCs w:val="18"/>
          <w:color w:val="auto"/>
        </w:rPr>
        <w:t>) Business Day prior to the Closing Date) shall be made at 10:00 a.m., New York City time, on [●], 2021, or at such time on such later date at least two (2) Business Days after the foregoing date as the Underwriters shall designate, which date and time may be postponed by agreement between the Underwriters and the Company or as provided in Section 9 hereof (such date and time of delivery and payment for the Securities being herein called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Delivery of the Securities shall be made to the Underwriters for the respective accounts of the several Underwriters against payment by the several Underwriters through the Underwriters of the purchase price thereof by wire transfer payable in same-day funds to an account specified by the Company and to the Trust Account as described below in this </w:t>
      </w:r>
      <w:r>
        <w:rPr>
          <w:rFonts w:ascii="Arial" w:cs="Arial" w:eastAsia="Arial" w:hAnsi="Arial"/>
          <w:sz w:val="18"/>
          <w:szCs w:val="18"/>
          <w:u w:val="single" w:color="auto"/>
          <w:color w:val="auto"/>
        </w:rPr>
        <w:t>Section 3</w:t>
      </w:r>
      <w:r>
        <w:rPr>
          <w:rFonts w:ascii="Arial" w:cs="Arial" w:eastAsia="Arial" w:hAnsi="Arial"/>
          <w:sz w:val="18"/>
          <w:szCs w:val="18"/>
          <w:color w:val="auto"/>
        </w:rPr>
        <w:t>. Delivery of the Underwritten Securities and the Option Securities shall be made through the facilities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unless the Underwriters shall otherwise instruct.</w:t>
      </w:r>
    </w:p>
    <w:p>
      <w:pPr>
        <w:spacing w:after="0" w:line="88" w:lineRule="exact"/>
        <w:rPr>
          <w:rFonts w:ascii="Arial" w:cs="Arial" w:eastAsia="Arial" w:hAnsi="Arial"/>
          <w:sz w:val="18"/>
          <w:szCs w:val="18"/>
          <w:color w:val="auto"/>
        </w:rPr>
      </w:pPr>
    </w:p>
    <w:p>
      <w:pPr>
        <w:ind w:left="4" w:right="60" w:firstLine="987"/>
        <w:spacing w:after="0" w:line="269" w:lineRule="auto"/>
        <w:tabs>
          <w:tab w:leader="none" w:pos="125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Payment for the Underwritten Securities shall be made as follows: $250,000,000 of the proceeds received by the Company for the Underwritten Securities, including $8,750,000 of the Deferred Discount, shall be deposited in the Trust Account pursuant to the terms of the Trust Agreement along with such portion of the gross proceeds of the Private Placement Warrants in order for the Trust Account to equal the product of the number of Units sold and the public offering price per Unit as set forth on the cover of the Prospectus upon delivery to the Underwriters of the Underwritten Securities through the facilities of DTC or, if the Underwriters have otherwise instructed, upon delivery to the Underwriters of certificates (in form and substance satisfactory to the Underwriters) representing the Underwritten Securities, in each case for the account of the Underwriters. The Underwritten Securities shall be registered in such name or names and in such authorized denominations as the Underwriters may request in writing at least two (2) Business Days prior to the Closing Date. If delivery is not made through the facilities of DTC, the Company will permit the Underwriters to examine and package the Underwritten Securities for delivery, at least one (1) Business Day prior to the Closing Date. The Company shall not be obligated to sell or deliver the Underwritten Securities except upon tender of payment by the Underwriters for all the Underwritten Securities. Payment by the Underwriters for the Underwritten Securities is contingent on the payment by the Sponsor to the Trust Account for the Private Placement Warrants at least one (1) Business Day prior to the Closing Date.</w:t>
      </w:r>
    </w:p>
    <w:p>
      <w:pPr>
        <w:spacing w:after="0" w:line="70" w:lineRule="exact"/>
        <w:rPr>
          <w:rFonts w:ascii="Arial" w:cs="Arial" w:eastAsia="Arial" w:hAnsi="Arial"/>
          <w:sz w:val="17"/>
          <w:szCs w:val="17"/>
          <w:color w:val="auto"/>
        </w:rPr>
      </w:pPr>
    </w:p>
    <w:p>
      <w:pPr>
        <w:ind w:left="4" w:right="20" w:firstLine="987"/>
        <w:spacing w:after="0" w:line="291" w:lineRule="auto"/>
        <w:tabs>
          <w:tab w:leader="none" w:pos="124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Payment for the Option Securities shall be made as follows: $9.80 per Option Security (including any Deferred Discount attributable to the Option Securities), shall be deposited in the Trust Account pursuant to the terms of the Trust Agreement along with such portion of the gross proceeds of the Private Placement Warrants in order for the Trust Account to equal the product of the number of Units sold and the public offering price per Unit as set forth on the cover of the Prospectus upon delivery to the Underwriters of the Option Securities through the facilities of DTC or, if the Underwriters have otherwise instructed, upon delivery to the Underwriters of certificates (in form and substance satisfactory to the Underwriters) representing the Option Securities (or through the facilities of DTC) for the account of the Underwriters. The Option Securities shall be registered in such name or names and in such authorized denominations as the Underwriters may request in writing at least two (2) Business Days prior to the</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15" w:name="page216"/>
    <w:bookmarkEnd w:id="215"/>
    <w:p>
      <w:pPr>
        <w:ind w:left="4"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Closing Date. If delivery is not made through the facilities of DTC, the Company will permit the Underwriters to examine and package the Option Securities for delivery, at least one (1) Business Day prior to the Closing Date. The Company shall not be obligated to sell or deliver the Option Securities except upon tender of payment by the Underwriters for all the Option Securities. Payment by the Underwriters for the Option Securities is contingent on the payment by the Sponsor to the Trust Account for the Private Placement Warrants at least one (1) Business Day prior to the applicable settlement date.</w:t>
      </w:r>
    </w:p>
    <w:p>
      <w:pPr>
        <w:spacing w:after="0" w:line="80" w:lineRule="exact"/>
        <w:rPr>
          <w:sz w:val="20"/>
          <w:szCs w:val="20"/>
          <w:color w:val="auto"/>
        </w:rPr>
      </w:pPr>
    </w:p>
    <w:p>
      <w:pPr>
        <w:ind w:left="4" w:right="120" w:firstLine="987"/>
        <w:spacing w:after="0" w:line="254" w:lineRule="auto"/>
        <w:tabs>
          <w:tab w:leader="none" w:pos="125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the option provided for in Section 2(b) hereof is exercised after the second (2</w:t>
      </w:r>
      <w:r>
        <w:rPr>
          <w:rFonts w:ascii="Arial" w:cs="Arial" w:eastAsia="Arial" w:hAnsi="Arial"/>
          <w:sz w:val="15"/>
          <w:szCs w:val="15"/>
          <w:color w:val="auto"/>
        </w:rPr>
        <w:t>nd</w:t>
      </w:r>
      <w:r>
        <w:rPr>
          <w:rFonts w:ascii="Arial" w:cs="Arial" w:eastAsia="Arial" w:hAnsi="Arial"/>
          <w:sz w:val="18"/>
          <w:szCs w:val="18"/>
          <w:color w:val="auto"/>
        </w:rPr>
        <w:t>) Business Day prior to the Closing Date, the Company will deliver the Option Securities (at the expense of the Company) to the Underwriters, at c/o Citigroup Global Markets Inc., at 388 Greenwich Street, New York, New York, on the date specified by the Underwriters (which shall be within three (3) Business Days after exercise of said option) for the respective accounts of the several Underwriters, against payment by the several Underwriters of the purchase price thereof to the Trust Account as described above in Section 3(c). If settlement for the Option Securities occurs after the Closing Date, the Company will deliver to the Underwriters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295" w:lineRule="exact"/>
        <w:rPr>
          <w:rFonts w:ascii="Arial" w:cs="Arial" w:eastAsia="Arial" w:hAnsi="Arial"/>
          <w:sz w:val="18"/>
          <w:szCs w:val="18"/>
          <w:color w:val="auto"/>
        </w:rPr>
      </w:pPr>
    </w:p>
    <w:p>
      <w:pPr>
        <w:ind w:left="184" w:hanging="184"/>
        <w:spacing w:after="0"/>
        <w:tabs>
          <w:tab w:leader="none" w:pos="184"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Offering by Underwriters.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It is understood that the several Underwriters propose to offer the Securities for sale to the public as set forth in the Prospectus.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 Agreements.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agrees with the several Underwriters that:</w:t>
      </w:r>
    </w:p>
    <w:p>
      <w:pPr>
        <w:spacing w:after="0" w:line="117" w:lineRule="exact"/>
        <w:rPr>
          <w:sz w:val="20"/>
          <w:szCs w:val="20"/>
          <w:color w:val="auto"/>
        </w:rPr>
      </w:pPr>
    </w:p>
    <w:p>
      <w:pPr>
        <w:ind w:left="4" w:firstLine="987"/>
        <w:spacing w:after="0" w:line="267" w:lineRule="auto"/>
        <w:tabs>
          <w:tab w:leader="none" w:pos="1240"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Filing of Prospectus; Notice to Underwriters; Stop Orders</w:t>
      </w:r>
      <w:r>
        <w:rPr>
          <w:rFonts w:ascii="Arial" w:cs="Arial" w:eastAsia="Arial" w:hAnsi="Arial"/>
          <w:sz w:val="17"/>
          <w:szCs w:val="17"/>
          <w:color w:val="auto"/>
        </w:rPr>
        <w:t>. Prior to the termination of the Offering, the Company will not file any amendment to the Registration Statement or supplement to the Prospectus or any Rule 462(b) Registration Statement unless the Company has furnished you a copy for your review prior to filing and will not file any such proposed amendment or supplement to which the Underwriters reasonably objects. The Company will cause the Prospectus, properly completed, and any supplement thereto to be filed in a form approved by the Underwriters with the Commission pursuant to the applicable paragraph of Rule 424(b) within the time period prescribed and will provide evidence satisfactory to the Underwriters of such timely filing. The Company will promptly advise the Underwriters: (i) when the Prospectus, and any supplement thereto, shall have been filed (if required) with the Commission pursuant to Rule 424(b) or when any Rule 462(b) Registration Statement or any Written Testing-the-Waters Communication shall have been filed with the Commission; (ii) when, prior to termination of the Offering, any amendment to the Registration Statement shall have been filed or become effective; (iii) of any request by the Commission or its staff for any amendment of the Registration Statement, or any Rule 462(b) Registration Statement, or any Written Testing-the-Waters Communications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of the Act;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spacing w:after="0" w:line="81" w:lineRule="exact"/>
        <w:rPr>
          <w:rFonts w:ascii="Arial" w:cs="Arial" w:eastAsia="Arial" w:hAnsi="Arial"/>
          <w:sz w:val="17"/>
          <w:szCs w:val="17"/>
          <w:color w:val="auto"/>
        </w:rPr>
      </w:pPr>
    </w:p>
    <w:p>
      <w:pPr>
        <w:ind w:left="4" w:right="20" w:firstLine="987"/>
        <w:spacing w:after="0" w:line="293" w:lineRule="auto"/>
        <w:tabs>
          <w:tab w:leader="none" w:pos="125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Statutory Prospectus</w:t>
      </w:r>
      <w:r>
        <w:rPr>
          <w:rFonts w:ascii="Arial" w:cs="Arial" w:eastAsia="Arial" w:hAnsi="Arial"/>
          <w:sz w:val="16"/>
          <w:szCs w:val="16"/>
          <w:color w:val="auto"/>
        </w:rPr>
        <w:t>. If, at any time prior to the filing of the Prospectus pursuant to Rule 424(b), any event occurs as a result of which the Statutory Prospectus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or supplement the Statutory Prospectus to comply with the Act or the rules thereunder, the Company will (i) notify promptly the Underwriters so that any use of the Statutory Prospectus may cease until it is amended or supplemented; (ii) amend or supplement the Statutory Prospectus to correct such statement or omission; and (iii) supply any amendment or supplement to you in such quantities as you may reasonably request.</w:t>
      </w:r>
    </w:p>
    <w:p>
      <w:pPr>
        <w:spacing w:after="0" w:line="2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74" w:right="439" w:bottom="1440" w:gutter="0" w:footer="0" w:header="0"/>
        </w:sectPr>
      </w:pPr>
    </w:p>
    <w:bookmarkStart w:id="216" w:name="page217"/>
    <w:bookmarkEnd w:id="216"/>
    <w:p>
      <w:pPr>
        <w:ind w:left="4" w:right="40" w:firstLine="987"/>
        <w:spacing w:after="0" w:line="285" w:lineRule="auto"/>
        <w:tabs>
          <w:tab w:leader="none" w:pos="1240"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Amendment to Prospectus</w:t>
      </w:r>
      <w:r>
        <w:rPr>
          <w:rFonts w:ascii="Arial" w:cs="Arial" w:eastAsia="Arial" w:hAnsi="Arial"/>
          <w:sz w:val="16"/>
          <w:szCs w:val="16"/>
          <w:color w:val="auto"/>
        </w:rPr>
        <w:t>. If, at any time when a prospectus relating to the Securities is required to be delivered under the Act (including in circumstances where such requirement may be satisfied pursuant to Rule 172),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or supplement the Prospectus to comply with the Act or the rules thereunder, the Company promptly will (i) notify the Underwriters of any such event;</w:t>
      </w:r>
    </w:p>
    <w:p>
      <w:pPr>
        <w:spacing w:after="0" w:line="1" w:lineRule="exact"/>
        <w:rPr>
          <w:rFonts w:ascii="Arial" w:cs="Arial" w:eastAsia="Arial" w:hAnsi="Arial"/>
          <w:sz w:val="16"/>
          <w:szCs w:val="16"/>
          <w:color w:val="auto"/>
        </w:rPr>
      </w:pPr>
    </w:p>
    <w:p>
      <w:pPr>
        <w:ind w:left="4" w:right="320" w:hanging="4"/>
        <w:spacing w:after="0" w:line="255" w:lineRule="auto"/>
        <w:tabs>
          <w:tab w:leader="none" w:pos="26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prepare and file with the Commission, subject to the second sentence of paragraph (a) of this Section 5, an amendment or supplement which will correct such statement or omission or effect such compliance; and (iii) supply any supplemented Prospectus to you in such quantities as you may reasonably request.</w:t>
      </w:r>
    </w:p>
    <w:p>
      <w:pPr>
        <w:spacing w:after="0" w:line="81" w:lineRule="exact"/>
        <w:rPr>
          <w:rFonts w:ascii="Arial" w:cs="Arial" w:eastAsia="Arial" w:hAnsi="Arial"/>
          <w:sz w:val="18"/>
          <w:szCs w:val="18"/>
          <w:color w:val="auto"/>
        </w:rPr>
      </w:pPr>
    </w:p>
    <w:p>
      <w:pPr>
        <w:jc w:val="both"/>
        <w:ind w:left="4" w:right="140" w:firstLine="987"/>
        <w:spacing w:after="0" w:line="263" w:lineRule="auto"/>
        <w:tabs>
          <w:tab w:leader="none" w:pos="1250"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Delivery of Earnings Statements</w:t>
      </w:r>
      <w:r>
        <w:rPr>
          <w:rFonts w:ascii="Arial" w:cs="Arial" w:eastAsia="Arial" w:hAnsi="Arial"/>
          <w:sz w:val="18"/>
          <w:szCs w:val="18"/>
          <w:color w:val="auto"/>
        </w:rPr>
        <w:t>. As soon as practicable, the Company will make generally available to its security holders and to the Underwriters an earnings statement or statements of the Company and its subsidiaries which will satisfy the provisions of Section 11(a) of the Act and Rule 158.</w:t>
      </w:r>
    </w:p>
    <w:p>
      <w:pPr>
        <w:spacing w:after="0" w:line="75" w:lineRule="exact"/>
        <w:rPr>
          <w:rFonts w:ascii="Arial" w:cs="Arial" w:eastAsia="Arial" w:hAnsi="Arial"/>
          <w:sz w:val="18"/>
          <w:szCs w:val="18"/>
          <w:color w:val="auto"/>
        </w:rPr>
      </w:pPr>
    </w:p>
    <w:p>
      <w:pPr>
        <w:ind w:left="4" w:firstLine="987"/>
        <w:spacing w:after="0" w:line="296" w:lineRule="auto"/>
        <w:tabs>
          <w:tab w:leader="none" w:pos="1240"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Delivery of Documents</w:t>
      </w:r>
      <w:r>
        <w:rPr>
          <w:rFonts w:ascii="Arial" w:cs="Arial" w:eastAsia="Arial" w:hAnsi="Arial"/>
          <w:sz w:val="16"/>
          <w:szCs w:val="16"/>
          <w:color w:val="auto"/>
        </w:rPr>
        <w:t>. The Company will furnish to the Underwriters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Prospectus and any supplement thereto as the Underwriters may reasonably request. The Company will pay the expenses of printing or other production of all documents s relating to the Offering.</w:t>
      </w:r>
    </w:p>
    <w:p>
      <w:pPr>
        <w:spacing w:after="0" w:line="53" w:lineRule="exact"/>
        <w:rPr>
          <w:rFonts w:ascii="Arial" w:cs="Arial" w:eastAsia="Arial" w:hAnsi="Arial"/>
          <w:sz w:val="16"/>
          <w:szCs w:val="16"/>
          <w:color w:val="auto"/>
        </w:rPr>
      </w:pPr>
    </w:p>
    <w:p>
      <w:pPr>
        <w:ind w:left="4" w:right="60" w:firstLine="987"/>
        <w:spacing w:after="0" w:line="257" w:lineRule="auto"/>
        <w:tabs>
          <w:tab w:leader="none" w:pos="1220"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Qualification of Securities</w:t>
      </w:r>
      <w:r>
        <w:rPr>
          <w:rFonts w:ascii="Arial" w:cs="Arial" w:eastAsia="Arial" w:hAnsi="Arial"/>
          <w:sz w:val="18"/>
          <w:szCs w:val="18"/>
          <w:color w:val="auto"/>
        </w:rPr>
        <w:t xml:space="preserve">. The Company will arrange, if necessary, for the qualification of the Securities for sale under the laws of such jurisdictions as the Underwriters may designate and will maintain such qualifications in effect so long as required for the distribution of the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79" w:lineRule="exact"/>
        <w:rPr>
          <w:rFonts w:ascii="Arial" w:cs="Arial" w:eastAsia="Arial" w:hAnsi="Arial"/>
          <w:sz w:val="18"/>
          <w:szCs w:val="18"/>
          <w:color w:val="auto"/>
        </w:rPr>
      </w:pPr>
    </w:p>
    <w:p>
      <w:pPr>
        <w:ind w:left="4" w:firstLine="987"/>
        <w:spacing w:after="0" w:line="283" w:lineRule="auto"/>
        <w:tabs>
          <w:tab w:leader="none" w:pos="1250"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Lock-Up</w:t>
      </w:r>
      <w:r>
        <w:rPr>
          <w:rFonts w:ascii="Arial" w:cs="Arial" w:eastAsia="Arial" w:hAnsi="Arial"/>
          <w:sz w:val="16"/>
          <w:szCs w:val="16"/>
          <w:color w:val="auto"/>
        </w:rPr>
        <w:t xml:space="preserve">. The Company will not, without the prior written consent of the Underwriters, (x) offer, sell, contract to sell, pledge, hedge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or the confidential submission of a registration statement to the Commission in respect of, or establish or increase a put equivalent position or liquidate or decrease a call equivalent position within the meaning of Section 16 of the Exchange Act with respect to, any other Units, Ordinary Shares, Warrants or any securities convertible into, or exercisable, or exchangeable for, Ordinary Shares or publicly announce an intention to effect any such transaction during the period commencing on the date hereof and ending 180 days after the date of this Agreement; provided, however, that the Company may (1) issue and sell the Private Placement Warrants, (2) issue and sell the Option Securities on exercise of the option provided for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(3) issue Ordinary Shares or any securities convertible into, or exchangeable for, Ordinary Shares in connection with a Business Combination, and (4) register with the Commission pursuant to the Registration Rights Agreement, in accordance with the terms of the Registration Rights Agreement, the resale of the Founder Shares, the Private Placement Warrants and the Ordinary Shares issuable upon exercise thereof,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release the Sponsor or any officer, director or director nominee from the 180-day lock-up contained in the Insider Letter.</w:t>
      </w:r>
    </w:p>
    <w:p>
      <w:pPr>
        <w:spacing w:after="0" w:line="102" w:lineRule="exact"/>
        <w:rPr>
          <w:rFonts w:ascii="Arial" w:cs="Arial" w:eastAsia="Arial" w:hAnsi="Arial"/>
          <w:sz w:val="18"/>
          <w:szCs w:val="18"/>
          <w:color w:val="auto"/>
        </w:rPr>
      </w:pPr>
    </w:p>
    <w:p>
      <w:pPr>
        <w:ind w:left="4" w:firstLine="987"/>
        <w:spacing w:after="0" w:line="263" w:lineRule="auto"/>
        <w:tabs>
          <w:tab w:leader="none" w:pos="125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No Stabilization or Manipulation</w:t>
      </w:r>
      <w:r>
        <w:rPr>
          <w:rFonts w:ascii="Arial" w:cs="Arial" w:eastAsia="Arial" w:hAnsi="Arial"/>
          <w:sz w:val="18"/>
          <w:szCs w:val="18"/>
          <w:color w:val="auto"/>
        </w:rPr>
        <w:t>. 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35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17" w:name="page218"/>
    <w:bookmarkEnd w:id="217"/>
    <w:p>
      <w:pPr>
        <w:ind w:firstLine="987"/>
        <w:spacing w:after="0" w:line="268" w:lineRule="auto"/>
        <w:tabs>
          <w:tab w:leader="none" w:pos="1206"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Payment of Expenses</w:t>
      </w:r>
      <w:r>
        <w:rPr>
          <w:rFonts w:ascii="Arial" w:cs="Arial" w:eastAsia="Arial" w:hAnsi="Arial"/>
          <w:sz w:val="17"/>
          <w:szCs w:val="17"/>
          <w:color w:val="auto"/>
        </w:rPr>
        <w:t>. 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amendment or supplement to any of them; (ii) the printing (or reproduction) and delivery (including postage, air freight charges and charges for counting and packaging) of such copies of the Registration Statement, each Preliminary Prospectus, the Prospectus and all amendments or supplements to any of them, as may, in each case, be reasonably requested for use in connection with the offering and sale of the Securities; (iii) the preparation, printing, authentication, issuance and delivery of certificates, if any, for the Securities, including any stamp or transfer taxes in connection with the original issuance and sale of the Securities; (iv) the printing (or reproduction) and delivery of this Agreement, and all other agreements or documents printed (or reproduced) and delivered in connection with the Offering; (v) the registration of the Securities under the Exchange Act and the listing of the Securities on the Nasdaq Capital Market; (vi) the printing and delivery of a preliminary blue sky memorandum, any registration or qualification of the Securities for offer and sale under the securities or blue sky laws of the several U.S. States (including filing fees and the reasonable and documented fees and expenses of counsel for the Underwriters relating to such registration and qualification); (vii) any filings required to be made with FINRA (including filing fees and up to $20,000 for the reasonable and documented fees and expenses of counsel for the Underwriters relating to such filings); (viii) the transportation and other expenses incurred by the Company and its executive officers (and not the Underwriters) in connection with presentations to prospective purchasers of the Securities; (ix) the fees and expenses of the Company’s accountants and the fees and expenses of counsel (including local and special counsel) for the Company; and (x) all other costs and expenses incident to the performance by the Company of its obligations hereunder.</w:t>
      </w:r>
    </w:p>
    <w:p>
      <w:pPr>
        <w:spacing w:after="0" w:line="71" w:lineRule="exact"/>
        <w:rPr>
          <w:rFonts w:ascii="Arial" w:cs="Arial" w:eastAsia="Arial" w:hAnsi="Arial"/>
          <w:sz w:val="17"/>
          <w:szCs w:val="17"/>
          <w:color w:val="auto"/>
        </w:rPr>
      </w:pPr>
    </w:p>
    <w:p>
      <w:pPr>
        <w:ind w:right="160" w:firstLine="987"/>
        <w:spacing w:after="0" w:line="263" w:lineRule="auto"/>
        <w:tabs>
          <w:tab w:leader="none" w:pos="1206"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The Company agrees that it will not make any offer relating to the Securities that would constitute an Issuer Free Writing Prospectus or that would otherwise constitute a “free writing prospectus” (as defined in Rule 405) required to be filed by the Company with the Commission or retained by the Company under Rule 433.</w:t>
      </w:r>
    </w:p>
    <w:p>
      <w:pPr>
        <w:spacing w:after="0" w:line="75" w:lineRule="exact"/>
        <w:rPr>
          <w:rFonts w:ascii="Arial" w:cs="Arial" w:eastAsia="Arial" w:hAnsi="Arial"/>
          <w:sz w:val="18"/>
          <w:szCs w:val="18"/>
          <w:color w:val="auto"/>
        </w:rPr>
      </w:pPr>
    </w:p>
    <w:p>
      <w:pPr>
        <w:ind w:firstLine="987"/>
        <w:spacing w:after="0" w:line="275" w:lineRule="auto"/>
        <w:tabs>
          <w:tab w:leader="none" w:pos="1246"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Maintenance of Registration</w:t>
      </w:r>
      <w:r>
        <w:rPr>
          <w:rFonts w:ascii="Arial" w:cs="Arial" w:eastAsia="Arial" w:hAnsi="Arial"/>
          <w:sz w:val="17"/>
          <w:szCs w:val="17"/>
          <w:color w:val="auto"/>
        </w:rPr>
        <w:t>. For a period of at least five (5) years from the Effective Date, or until such earlier time upon which the Company is required to be liquidated, the Company will use its best efforts to maintain the registration of the Units, Ordinary Shares and Warrants under the provisions of the Exchange Act, except after giving effect to a going private transaction after the completion of an Initial Business Combination. The Company will not deregister the Units, Ordinary Shares or Warrants under the Exchange Act (except in connection with a going private transaction after the completion of an Initial Business Combination) without the prior consent of the Underwriters.</w:t>
      </w:r>
    </w:p>
    <w:p>
      <w:pPr>
        <w:spacing w:after="0" w:line="68" w:lineRule="exact"/>
        <w:rPr>
          <w:rFonts w:ascii="Arial" w:cs="Arial" w:eastAsia="Arial" w:hAnsi="Arial"/>
          <w:sz w:val="17"/>
          <w:szCs w:val="17"/>
          <w:color w:val="auto"/>
        </w:rPr>
      </w:pPr>
    </w:p>
    <w:p>
      <w:pPr>
        <w:ind w:right="40" w:firstLine="987"/>
        <w:spacing w:after="0" w:line="291" w:lineRule="auto"/>
        <w:tabs>
          <w:tab w:leader="none" w:pos="1206"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Form 8-K</w:t>
      </w:r>
      <w:r>
        <w:rPr>
          <w:rFonts w:ascii="Arial" w:cs="Arial" w:eastAsia="Arial" w:hAnsi="Arial"/>
          <w:sz w:val="16"/>
          <w:szCs w:val="16"/>
          <w:color w:val="auto"/>
        </w:rPr>
        <w:t>. The Company shall, on the date hereof, retain its independent registered public accounting firm to audit the balance sheet of the Company as of the Closing Date (the “</w:t>
      </w:r>
      <w:r>
        <w:rPr>
          <w:rFonts w:ascii="Arial" w:cs="Arial" w:eastAsia="Arial" w:hAnsi="Arial"/>
          <w:sz w:val="16"/>
          <w:szCs w:val="16"/>
          <w:u w:val="single" w:color="auto"/>
          <w:color w:val="auto"/>
        </w:rPr>
        <w:t>Audited Balance Sheet</w:t>
      </w:r>
      <w:r>
        <w:rPr>
          <w:rFonts w:ascii="Arial" w:cs="Arial" w:eastAsia="Arial" w:hAnsi="Arial"/>
          <w:sz w:val="16"/>
          <w:szCs w:val="16"/>
          <w:color w:val="auto"/>
        </w:rPr>
        <w:t xml:space="preserve">”) reflecting the receipt by the Company of the proceeds of the Offering on the Closing Date. As soon as the Audited Balance Sheet becomes available, the Company shall promptly, but not later than four (4) Business Days after the Closing Date, file the Closing Form 8-K with the Commission, which shall contain the Company’s Audited Balance Sheet. Additionally, if not disclosed on the Closing Form 8-K, upon the Company’s receipt of the proceeds from the exercise of all or any portion of the option provided for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the Company shall promptly, but not later than four (4) Business Days after the receipt of such proceeds, file a Current Report on Form 8-K with the Commission, which report shall disclose the Company’s sale of the Option Securities and its receipt of the proceeds therefrom.</w:t>
      </w:r>
    </w:p>
    <w:p>
      <w:pPr>
        <w:spacing w:after="0" w:line="58" w:lineRule="exact"/>
        <w:rPr>
          <w:rFonts w:ascii="Arial" w:cs="Arial" w:eastAsia="Arial" w:hAnsi="Arial"/>
          <w:sz w:val="16"/>
          <w:szCs w:val="16"/>
          <w:color w:val="auto"/>
        </w:rPr>
      </w:pPr>
    </w:p>
    <w:p>
      <w:pPr>
        <w:ind w:right="20" w:firstLine="987"/>
        <w:spacing w:after="0" w:line="296" w:lineRule="auto"/>
        <w:tabs>
          <w:tab w:leader="none" w:pos="1296"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Review of Financial Statements</w:t>
      </w:r>
      <w:r>
        <w:rPr>
          <w:rFonts w:ascii="Arial" w:cs="Arial" w:eastAsia="Arial" w:hAnsi="Arial"/>
          <w:sz w:val="16"/>
          <w:szCs w:val="16"/>
          <w:color w:val="auto"/>
        </w:rPr>
        <w:t>. For a period commencing on the Effective Date and ending at least five (5) years from the date of the consummation of the Initial Business Combination or until such earlier time at which the Company is required to be liquidated or the Ordinary Shares and Warrants cease to be publicly traded, the Company, at its expense, shall cause its regularly engaged independent registered public accounting firm to review (but not audit) the Company’s financial statements for each of the first three (3) fiscal quarters prior to the announcement of quarterly financial information, the filing of the Company’s Form 10-Q quarterly report and the mailing, if any, of quarterly financial information to shareholders.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18" w:name="page219"/>
    <w:bookmarkEnd w:id="218"/>
    <w:p>
      <w:pPr>
        <w:ind w:right="160" w:firstLine="987"/>
        <w:spacing w:after="0" w:line="255" w:lineRule="auto"/>
        <w:tabs>
          <w:tab w:leader="none" w:pos="1246"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Publicly Available Statements and Reports</w:t>
      </w:r>
      <w:r>
        <w:rPr>
          <w:rFonts w:ascii="Arial" w:cs="Arial" w:eastAsia="Arial" w:hAnsi="Arial"/>
          <w:sz w:val="18"/>
          <w:szCs w:val="18"/>
          <w:color w:val="auto"/>
        </w:rPr>
        <w:t>. For a period of five (5) years from the Effective Date or until such earlier time that the Company is required to be liquidated or the Ordinary Shares and Warrants cease to be publicly traded, the Company will furnish to the Underwriters such copies of financial statements and other periodic and special reports as the Company from time to time furnishes generally to holders of any class of its securities and such additional documents and information with respect to the Company as the Underwriters may from time to time reasonably request. Any financial statements and reports filed on the Commission’s EDGAR website or otherwise available on the Company’s website will be considered furnished for purposes of this section.</w:t>
      </w:r>
    </w:p>
    <w:p>
      <w:pPr>
        <w:spacing w:after="0" w:line="84" w:lineRule="exact"/>
        <w:rPr>
          <w:rFonts w:ascii="Arial" w:cs="Arial" w:eastAsia="Arial" w:hAnsi="Arial"/>
          <w:sz w:val="18"/>
          <w:szCs w:val="18"/>
          <w:color w:val="auto"/>
        </w:rPr>
      </w:pPr>
    </w:p>
    <w:p>
      <w:pPr>
        <w:ind w:right="20" w:firstLine="987"/>
        <w:spacing w:after="0" w:line="296" w:lineRule="auto"/>
        <w:tabs>
          <w:tab w:leader="none" w:pos="1246"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Affiliate Transactions</w:t>
      </w:r>
      <w:r>
        <w:rPr>
          <w:rFonts w:ascii="Arial" w:cs="Arial" w:eastAsia="Arial" w:hAnsi="Arial"/>
          <w:sz w:val="16"/>
          <w:szCs w:val="16"/>
          <w:color w:val="auto"/>
        </w:rPr>
        <w:t>. Except as disclosed in the Registration Statement, the Company shall not pay the Sponsor, any of the Company’s directors or executive officers, any special advisor, or any of the Company’s or their respective affiliates any fees or compensation of any kind (including finder’s and consulting fees reimbursement, monies in respect of any payment of a loan or other compensation paid by the Company to the Sponsor, the Company’s executive officers, directors or any of their respective affiliates, except as otherwise disclosed in the Registration Statement) for services rendered to the Company prior to, or in connection with, the consummation of the Initial Business Combination.</w:t>
      </w:r>
    </w:p>
    <w:p>
      <w:pPr>
        <w:spacing w:after="0" w:line="53" w:lineRule="exact"/>
        <w:rPr>
          <w:rFonts w:ascii="Arial" w:cs="Arial" w:eastAsia="Arial" w:hAnsi="Arial"/>
          <w:sz w:val="16"/>
          <w:szCs w:val="16"/>
          <w:color w:val="auto"/>
        </w:rPr>
      </w:pPr>
    </w:p>
    <w:p>
      <w:pPr>
        <w:ind w:right="120" w:firstLine="987"/>
        <w:spacing w:after="0" w:line="342" w:lineRule="auto"/>
        <w:tabs>
          <w:tab w:leader="none" w:pos="1246"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Net Proceeds</w:t>
      </w:r>
      <w:r>
        <w:rPr>
          <w:rFonts w:ascii="Arial" w:cs="Arial" w:eastAsia="Arial" w:hAnsi="Arial"/>
          <w:sz w:val="16"/>
          <w:szCs w:val="16"/>
          <w:color w:val="auto"/>
        </w:rPr>
        <w:t>. The Company will apply the net proceeds from the Offering and the sale of the Private Placement Warrants received by it in a manner consistent with the applications described under the caption “Use of Proceeds” in the Statutory Prospectus and the Prospectus.</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Notice to FINRA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948"/>
        <w:spacing w:after="0" w:line="269" w:lineRule="auto"/>
        <w:tabs>
          <w:tab w:leader="none" w:pos="1647" w:val="left"/>
        </w:tabs>
        <w:numPr>
          <w:ilvl w:val="1"/>
          <w:numId w:val="134"/>
        </w:numPr>
        <w:rPr>
          <w:rFonts w:ascii="Arial" w:cs="Arial" w:eastAsia="Arial" w:hAnsi="Arial"/>
          <w:sz w:val="17"/>
          <w:szCs w:val="17"/>
          <w:color w:val="auto"/>
        </w:rPr>
      </w:pPr>
      <w:r>
        <w:rPr>
          <w:rFonts w:ascii="Arial" w:cs="Arial" w:eastAsia="Arial" w:hAnsi="Arial"/>
          <w:sz w:val="17"/>
          <w:szCs w:val="17"/>
          <w:color w:val="auto"/>
        </w:rPr>
        <w:t>For a period of 60 days following the Effective Date, in 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FINRA (via a FINRA submission), the Underwriters and their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Initial Business Combination for purposes of offering redemption of shares held by its shareholders or for soliciting shareholder approval, as applicable.</w:t>
      </w:r>
    </w:p>
    <w:p>
      <w:pPr>
        <w:spacing w:after="0" w:line="77" w:lineRule="exact"/>
        <w:rPr>
          <w:rFonts w:ascii="Arial" w:cs="Arial" w:eastAsia="Arial" w:hAnsi="Arial"/>
          <w:sz w:val="17"/>
          <w:szCs w:val="17"/>
          <w:color w:val="auto"/>
        </w:rPr>
      </w:pPr>
    </w:p>
    <w:p>
      <w:pPr>
        <w:ind w:left="440" w:right="360" w:firstLine="948"/>
        <w:spacing w:after="0" w:line="308" w:lineRule="auto"/>
        <w:tabs>
          <w:tab w:leader="none" w:pos="1647"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 Company shall advise FINRA, the Underwriters and their counsel if it is aware that any 5% or greater shareholder of the Company becomes an affiliate or associated person of a Member participating in the distribution of the Company’s Securities.</w:t>
      </w:r>
    </w:p>
    <w:p>
      <w:pPr>
        <w:spacing w:after="0" w:line="38" w:lineRule="exact"/>
        <w:rPr>
          <w:rFonts w:ascii="Arial" w:cs="Arial" w:eastAsia="Arial" w:hAnsi="Arial"/>
          <w:sz w:val="17"/>
          <w:szCs w:val="17"/>
          <w:color w:val="auto"/>
        </w:rPr>
      </w:pPr>
    </w:p>
    <w:p>
      <w:pPr>
        <w:ind w:right="120" w:firstLine="987"/>
        <w:spacing w:after="0" w:line="272" w:lineRule="auto"/>
        <w:tabs>
          <w:tab w:leader="none" w:pos="1216"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shall cause the proceeds of the Offering and the sale of Private Placement Warrants to be held in the Trust Account to be invested only in United States “government securities” within the meaning of Section 2(a)(16) of the Investment Company Act of 1940 having a maturity of 185 days or less or in money market funds meeting certain conditions under Rule 2a-7 promulgated under the Investment Company Act which invest only in direct U.S. government treasury obligations, as set forth in the Trust Agreement and disclosed in the Statutory Prospectus and the Prospectus. The Company will otherwise conduct its business in a manner so that it will not become subject to the Investment Company Act. Furthermore, once the Company consummates the Initial Business Combination, it will be engaged in a business other than that of investing, reinvesting, owning, holding or trading securities.</w:t>
      </w:r>
    </w:p>
    <w:p>
      <w:pPr>
        <w:spacing w:after="0" w:line="69" w:lineRule="exact"/>
        <w:rPr>
          <w:rFonts w:ascii="Arial" w:cs="Arial" w:eastAsia="Arial" w:hAnsi="Arial"/>
          <w:sz w:val="17"/>
          <w:szCs w:val="17"/>
          <w:color w:val="auto"/>
        </w:rPr>
      </w:pPr>
    </w:p>
    <w:p>
      <w:pPr>
        <w:ind w:right="60" w:firstLine="987"/>
        <w:spacing w:after="0" w:line="263" w:lineRule="auto"/>
        <w:tabs>
          <w:tab w:leader="none" w:pos="1226"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upon the exercise of any of the Warrants and the Private Placement Warrants outstanding from time to time and the conversion of the Founder Shares.</w:t>
      </w:r>
    </w:p>
    <w:p>
      <w:pPr>
        <w:spacing w:after="0" w:line="75" w:lineRule="exact"/>
        <w:rPr>
          <w:rFonts w:ascii="Arial" w:cs="Arial" w:eastAsia="Arial" w:hAnsi="Arial"/>
          <w:sz w:val="18"/>
          <w:szCs w:val="18"/>
          <w:color w:val="auto"/>
        </w:rPr>
      </w:pPr>
    </w:p>
    <w:p>
      <w:pPr>
        <w:ind w:right="100" w:firstLine="987"/>
        <w:spacing w:after="0" w:line="311" w:lineRule="auto"/>
        <w:tabs>
          <w:tab w:leader="none" w:pos="1206"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Prior to the consummation of the Initial Business Combination or the liquidation of the Trust Account, the Company shall not issue any Ordinary Shares, Warrants or any options or other securities convertible into Ordinary Shares, or any preference shares, in each case, which participate in any manner in the Trust Account or which vote as a class with the Ordinary Shares on an Initial Business Combination.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19" w:name="page220"/>
    <w:bookmarkEnd w:id="219"/>
    <w:p>
      <w:pPr>
        <w:ind w:right="160" w:firstLine="987"/>
        <w:spacing w:after="0" w:line="259" w:lineRule="auto"/>
        <w:tabs>
          <w:tab w:leader="none" w:pos="1246"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Independent Director Review of Expenses</w:t>
      </w:r>
      <w:r>
        <w:rPr>
          <w:rFonts w:ascii="Arial" w:cs="Arial" w:eastAsia="Arial" w:hAnsi="Arial"/>
          <w:sz w:val="18"/>
          <w:szCs w:val="18"/>
          <w:color w:val="auto"/>
        </w:rPr>
        <w:t>. Prior to the consummation of the Initial Business Combination or the liquidation of the Trust, the Company shall cause its Board of Directors to review and approve all payments made to the Sponsor, any of the Company’s directors or executive officers, any special advisor, or any of the Company’s or their respective affiliates, with any interested directors abstaining from such review and approval.</w:t>
      </w:r>
    </w:p>
    <w:p>
      <w:pPr>
        <w:spacing w:after="0" w:line="78" w:lineRule="exact"/>
        <w:rPr>
          <w:rFonts w:ascii="Arial" w:cs="Arial" w:eastAsia="Arial" w:hAnsi="Arial"/>
          <w:sz w:val="18"/>
          <w:szCs w:val="18"/>
          <w:color w:val="auto"/>
        </w:rPr>
      </w:pPr>
    </w:p>
    <w:p>
      <w:pPr>
        <w:ind w:right="140" w:firstLine="987"/>
        <w:spacing w:after="0" w:line="311" w:lineRule="auto"/>
        <w:tabs>
          <w:tab w:leader="none" w:pos="1246"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Rule 419</w:t>
      </w:r>
      <w:r>
        <w:rPr>
          <w:rFonts w:ascii="Arial" w:cs="Arial" w:eastAsia="Arial" w:hAnsi="Arial"/>
          <w:sz w:val="16"/>
          <w:szCs w:val="16"/>
          <w:color w:val="auto"/>
        </w:rPr>
        <w:t>. The Company agrees that it will use its best efforts to prevent the Company from becoming subject to Rule 419 under the Act prior to the consummation of the Initial Business Combination, including, but not limited to, using its best efforts to prevent any of the Company’s outstanding securities from being deemed to be a “penny stock” as defined in Rule 3a-51-1 under the Exchange Act during such period.</w:t>
      </w:r>
    </w:p>
    <w:p>
      <w:pPr>
        <w:spacing w:after="0" w:line="40" w:lineRule="exact"/>
        <w:rPr>
          <w:rFonts w:ascii="Arial" w:cs="Arial" w:eastAsia="Arial" w:hAnsi="Arial"/>
          <w:sz w:val="16"/>
          <w:szCs w:val="16"/>
          <w:color w:val="auto"/>
        </w:rPr>
      </w:pPr>
    </w:p>
    <w:p>
      <w:pPr>
        <w:ind w:right="60" w:firstLine="987"/>
        <w:spacing w:after="0" w:line="255" w:lineRule="auto"/>
        <w:tabs>
          <w:tab w:leader="none" w:pos="1286"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Internal Controls</w:t>
      </w:r>
      <w:r>
        <w:rPr>
          <w:rFonts w:ascii="Arial" w:cs="Arial" w:eastAsia="Arial" w:hAnsi="Arial"/>
          <w:sz w:val="18"/>
          <w:szCs w:val="18"/>
          <w:color w:val="auto"/>
        </w:rPr>
        <w:t>. The Company will maintain “disclosure controls and procedures” (as defined under Rule 13a-15(e) under the Exchange Act) and a system of internal accounting controls sufficient to provide reasonable assurances that: (1) transactions are executed in accordance with management’s general or specific authorization; (2) transactions are recorded as necessary in order to permit preparation of financial statements in accordance with GAAP and to maintain accountability for assets; (3) access to assets is permitted only in accordance with management’s general or specific authorization; and (4) the recorded accountability for assets is compared with existing assets at reasonable intervals and appropriate action is taken with respect to any differences.</w:t>
      </w:r>
    </w:p>
    <w:p>
      <w:pPr>
        <w:spacing w:after="0" w:line="84" w:lineRule="exact"/>
        <w:rPr>
          <w:rFonts w:ascii="Arial" w:cs="Arial" w:eastAsia="Arial" w:hAnsi="Arial"/>
          <w:sz w:val="18"/>
          <w:szCs w:val="18"/>
          <w:color w:val="auto"/>
        </w:rPr>
      </w:pPr>
    </w:p>
    <w:p>
      <w:pPr>
        <w:ind w:right="160" w:firstLine="987"/>
        <w:spacing w:after="0" w:line="259" w:lineRule="auto"/>
        <w:tabs>
          <w:tab w:leader="none" w:pos="1246"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Sarbanes-Oxley, Nasdaq Capital Market Marketplace Rules</w:t>
      </w:r>
      <w:r>
        <w:rPr>
          <w:rFonts w:ascii="Arial" w:cs="Arial" w:eastAsia="Arial" w:hAnsi="Arial"/>
          <w:sz w:val="18"/>
          <w:szCs w:val="18"/>
          <w:color w:val="auto"/>
        </w:rPr>
        <w:t>. As soon as legally required to do so, the Company and its directors and executive officers, in their capacities as such, shall take all actions necessary to comply with any applicable provision of the Sarbanes-Oxley Act, including Section 402 related to loans and Sections 302 and 906 related to certifications, and to comply with the Nasdaq Capital Market’s Marketplace Rules.</w:t>
      </w:r>
    </w:p>
    <w:p>
      <w:pPr>
        <w:spacing w:after="0" w:line="78" w:lineRule="exact"/>
        <w:rPr>
          <w:rFonts w:ascii="Arial" w:cs="Arial" w:eastAsia="Arial" w:hAnsi="Arial"/>
          <w:sz w:val="18"/>
          <w:szCs w:val="18"/>
          <w:color w:val="auto"/>
        </w:rPr>
      </w:pPr>
    </w:p>
    <w:p>
      <w:pPr>
        <w:ind w:right="180" w:firstLine="987"/>
        <w:spacing w:after="0" w:line="342" w:lineRule="auto"/>
        <w:tabs>
          <w:tab w:leader="none" w:pos="1246"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No Violation of Amended and Restated Memorandum and Articles of Association</w:t>
      </w:r>
      <w:r>
        <w:rPr>
          <w:rFonts w:ascii="Arial" w:cs="Arial" w:eastAsia="Arial" w:hAnsi="Arial"/>
          <w:sz w:val="16"/>
          <w:szCs w:val="16"/>
          <w:color w:val="auto"/>
        </w:rPr>
        <w:t>. The Company shall not take any action or omit to take any action that would cause the Company to be in breach or violation of its Amended and Restated Memorandum and Articles of Association.</w:t>
      </w:r>
    </w:p>
    <w:p>
      <w:pPr>
        <w:spacing w:after="0" w:line="15" w:lineRule="exact"/>
        <w:rPr>
          <w:rFonts w:ascii="Arial" w:cs="Arial" w:eastAsia="Arial" w:hAnsi="Arial"/>
          <w:sz w:val="16"/>
          <w:szCs w:val="16"/>
          <w:color w:val="auto"/>
        </w:rPr>
      </w:pPr>
    </w:p>
    <w:p>
      <w:pPr>
        <w:ind w:right="260" w:firstLine="987"/>
        <w:spacing w:after="0" w:line="263" w:lineRule="auto"/>
        <w:tabs>
          <w:tab w:leader="none" w:pos="1236"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Transfer and Warrant Agent.</w:t>
      </w:r>
      <w:r>
        <w:rPr>
          <w:rFonts w:ascii="Arial" w:cs="Arial" w:eastAsia="Arial" w:hAnsi="Arial"/>
          <w:sz w:val="18"/>
          <w:szCs w:val="18"/>
          <w:color w:val="auto"/>
        </w:rPr>
        <w:t xml:space="preserve"> For a period commencing on the Effective Date and ending at least five (5) years from the date of the consummation of the initial Business Combination or until such earlier time at which the company is required to be liquidated or the Ordinary Shares and Warrants cease to be publicly traded, the Company shall retain a transfer and warrant agent.</w:t>
      </w:r>
    </w:p>
    <w:p>
      <w:pPr>
        <w:spacing w:after="0" w:line="76" w:lineRule="exact"/>
        <w:rPr>
          <w:sz w:val="20"/>
          <w:szCs w:val="20"/>
          <w:color w:val="auto"/>
        </w:rPr>
      </w:pPr>
    </w:p>
    <w:p>
      <w:pPr>
        <w:ind w:left="1320" w:hanging="333"/>
        <w:spacing w:after="0"/>
        <w:tabs>
          <w:tab w:leader="none" w:pos="132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Initial Business Combination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60" w:firstLine="948"/>
        <w:spacing w:after="0" w:line="273" w:lineRule="auto"/>
        <w:tabs>
          <w:tab w:leader="none" w:pos="1646"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Trust Account Waiver Acknowledgment</w:t>
      </w:r>
      <w:r>
        <w:rPr>
          <w:rFonts w:ascii="Arial" w:cs="Arial" w:eastAsia="Arial" w:hAnsi="Arial"/>
          <w:sz w:val="17"/>
          <w:szCs w:val="17"/>
          <w:color w:val="auto"/>
        </w:rPr>
        <w:t>. The Company will seek to have all vendors, service providers (other than independent accountants), prospective target businesses or other entities with which it does business enter into agreements waiving any right, title, interest or claim of any kind in or to any monies held in the Trust Account for the benefit of the Public Shareholders. If a prospective target business or vendors, service providers or third party were to refuse to enter into such a waiver, management will perform an analysis of the alternatives available to it and will only enter into an agreement with a third party that has not executed a waiver if management believes that such third party’s engagement would be significantly more beneficial than any alternative.</w:t>
      </w:r>
    </w:p>
    <w:p>
      <w:pPr>
        <w:spacing w:after="0" w:line="69" w:lineRule="exact"/>
        <w:rPr>
          <w:rFonts w:ascii="Arial" w:cs="Arial" w:eastAsia="Arial" w:hAnsi="Arial"/>
          <w:sz w:val="17"/>
          <w:szCs w:val="17"/>
          <w:color w:val="auto"/>
        </w:rPr>
      </w:pPr>
    </w:p>
    <w:p>
      <w:pPr>
        <w:ind w:left="440" w:firstLine="948"/>
        <w:spacing w:after="0" w:line="271" w:lineRule="auto"/>
        <w:tabs>
          <w:tab w:leader="none" w:pos="1646"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Initial Business Combination/Distribution Procedure</w:t>
      </w:r>
      <w:r>
        <w:rPr>
          <w:rFonts w:ascii="Arial" w:cs="Arial" w:eastAsia="Arial" w:hAnsi="Arial"/>
          <w:sz w:val="17"/>
          <w:szCs w:val="17"/>
          <w:color w:val="auto"/>
        </w:rPr>
        <w:t>. The Company may consummate the Initial Business Combination and conduct redemptions of Ordinary Shares for cash upon consummation of such Initial Business Combination without a shareholder vote pursuant to Rule 13e-4 and Regulation 14E of the Exchange Act, including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shareholder of the Company with the opportunity prior to the consummation of the Initial Business Combination to redeem the Ordinary Shares held by such shareholder for an amount of cash equal to (A) the aggregate amount then on deposit in the Trust Account as of two (2) Business Days prior to the consummation of the Initial Business Combination representing (x) the proceeds held in the Trust Account from the Offering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20" w:name="page221"/>
    <w:bookmarkEnd w:id="220"/>
    <w:p>
      <w:pPr>
        <w:ind w:left="4"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the sale of the Private Placement Warrants and (y) any interest income earned on the funds held in the Trust Account not previously to the Company to pay income taxes, if any (less up to $100,000 of interest to pay dissolution expenses), divided by (B) the total number of Public Shares then outstanding. In the event the Company conducts redemptions pursuant to the tender offer rules, the Company’s offer to redeem will remain open for at least twenty (20) Business Days, in accordance with Rule 14e-1(a) under the Exchange Act, and the Company will not be permitted to complete the Initial Business Combination until the expiration of the tender offer period. If, however, the Company elects not to file such tender offer documents, a shareholder vote is required by law or stock exchange listing requirement in connection with the Initial Business Combination, or the Company decides to hold a shareholder vote for business or other legal reasons, the Company will submit such Initial Business Combination to the Company’s shareholders for their approval (“</w:t>
      </w:r>
      <w:r>
        <w:rPr>
          <w:rFonts w:ascii="Arial" w:cs="Arial" w:eastAsia="Arial" w:hAnsi="Arial"/>
          <w:sz w:val="16"/>
          <w:szCs w:val="16"/>
          <w:u w:val="single" w:color="auto"/>
          <w:color w:val="auto"/>
        </w:rPr>
        <w:t>Business Combination Vote</w:t>
      </w:r>
      <w:r>
        <w:rPr>
          <w:rFonts w:ascii="Arial" w:cs="Arial" w:eastAsia="Arial" w:hAnsi="Arial"/>
          <w:sz w:val="16"/>
          <w:szCs w:val="16"/>
          <w:color w:val="auto"/>
        </w:rPr>
        <w:t>”). The company will give not less than ten</w:t>
      </w:r>
    </w:p>
    <w:p>
      <w:pPr>
        <w:spacing w:after="0" w:line="1" w:lineRule="exact"/>
        <w:rPr>
          <w:sz w:val="20"/>
          <w:szCs w:val="20"/>
          <w:color w:val="auto"/>
        </w:rPr>
      </w:pPr>
    </w:p>
    <w:p>
      <w:pPr>
        <w:ind w:left="4" w:right="40" w:hanging="4"/>
        <w:spacing w:after="0" w:line="281" w:lineRule="auto"/>
        <w:tabs>
          <w:tab w:leader="none" w:pos="34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days nor more than 60 days prior written notice of any such meeting, if required, at which a Business Combination Vote shall be taken. With respect to the Business Combination Vote, the Sponsor and the Company’s initial shareholders, executive officers and directors have agreed to vote all of their Founder Shares and Public Shares in favor of the Company’s initial Business Combination. If the Company seeks shareholder approval of the Initial Business Combination, the Company will offer to each Public Shareholder holding Ordinary Shares the right to have its shares redeemed in conjunction with a proxy solicitation pursuant to the proxy rules of the Commission at a per share redemption price (the “</w:t>
      </w:r>
      <w:r>
        <w:rPr>
          <w:rFonts w:ascii="Arial" w:cs="Arial" w:eastAsia="Arial" w:hAnsi="Arial"/>
          <w:sz w:val="16"/>
          <w:szCs w:val="16"/>
          <w:u w:val="single" w:color="auto"/>
          <w:color w:val="auto"/>
        </w:rPr>
        <w:t>Redemption Price</w:t>
      </w:r>
      <w:r>
        <w:rPr>
          <w:rFonts w:ascii="Arial" w:cs="Arial" w:eastAsia="Arial" w:hAnsi="Arial"/>
          <w:sz w:val="16"/>
          <w:szCs w:val="16"/>
          <w:color w:val="auto"/>
        </w:rPr>
        <w:t>”) equal to (I) the aggregate amount then on deposit in the Trust Account as of two (2) Business Days prior to the consummation of the Initial Business Combination representing (1) the proceeds held in the Trust Account from the Offering and the sale of the Private Placement Warrants and (2) any interest, divided by (II) the total number of Public Shares then outstanding. The Company may proceed with such Initial Business Combination only if a majority of the shares voted are voted to approve such Initial Business Combination. If, after seeking and receiving such shareholder approval, the Company elects to so proceed, it will redeem shares, at the Redemption Price, from those Public Shareholders who affirmatively requested such redemption. Only Public Shareholders holding Ordinary Shares who properly exercise their redemption rights, in accordance with the applicable tender offer or proxy materials related to such Initial Business Combination, shall be entitled to receive distributions from the Trust Account in connection with an Initial Business Combination, and the Company shall pay no distributions with respect to any other holders or shares of the Company in connection therewith. In the event that the Company does not effect an Initial Business Combination within the time period set forth in the Amended and Restated Memorandum and Articles of Association, the Company will</w:t>
      </w:r>
    </w:p>
    <w:p>
      <w:pPr>
        <w:spacing w:after="0" w:line="8" w:lineRule="exact"/>
        <w:rPr>
          <w:rFonts w:ascii="Arial" w:cs="Arial" w:eastAsia="Arial" w:hAnsi="Arial"/>
          <w:sz w:val="16"/>
          <w:szCs w:val="16"/>
          <w:color w:val="auto"/>
        </w:rPr>
      </w:pPr>
    </w:p>
    <w:p>
      <w:pPr>
        <w:ind w:left="4"/>
        <w:spacing w:after="0" w:line="284" w:lineRule="auto"/>
        <w:rPr>
          <w:rFonts w:ascii="Arial" w:cs="Arial" w:eastAsia="Arial" w:hAnsi="Arial"/>
          <w:sz w:val="16"/>
          <w:szCs w:val="16"/>
          <w:color w:val="auto"/>
        </w:rPr>
      </w:pPr>
      <w:r>
        <w:rPr>
          <w:rFonts w:ascii="Arial" w:cs="Arial" w:eastAsia="Arial" w:hAnsi="Arial"/>
          <w:sz w:val="16"/>
          <w:szCs w:val="16"/>
          <w:color w:val="auto"/>
        </w:rPr>
        <w:t>(i) cease all operations except for the purpose of winding up; (ii) as promptly as reasonably possible but not more than ten (10) Business Days thereafter, redeem 100% of the Public Shares, at a per-share price, payable in cash, equal to the aggregate amount then on deposit in the Trust Account and not previously released to the Company to pay income taxes, if any (less up to $100,000 of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the Company’s remaining shareholders and the Company’s board of directors, dissolve and liquidate, subject in each case to the Company’s obligations under Cayman Islands law to provide for claims of creditors and the requirements of other applicable law. Only Public Shareholders holding Ordinary Shares included in the Securities shall be entitled to receive such redemption amounts and the Company shall pay no such redemption amounts or any distributions in liquidation with respect to any other shares of the Company. The Company will not propose any amendment to the Amended and Restated Memorandum and Articles of Association to modify the substance or timing of the Company’s obligation to provide for the redemption of the Public Shares in connection with an Initial Business Combination or to redeem 100% of its Public Shares if it does not complete its initial business combination within the time period set forth in the Amended and Restated Memorandum and Articles of Association, unless it provides its public shareholders with the opportunity to redeem their Class A ordinary shares upon approval of any such amendment, as described in the Statutory Prospectus and Prospectus.</w:t>
      </w:r>
    </w:p>
    <w:p>
      <w:pPr>
        <w:spacing w:after="0" w:line="69" w:lineRule="exact"/>
        <w:rPr>
          <w:rFonts w:ascii="Arial" w:cs="Arial" w:eastAsia="Arial" w:hAnsi="Arial"/>
          <w:sz w:val="16"/>
          <w:szCs w:val="16"/>
          <w:color w:val="auto"/>
        </w:rPr>
      </w:pPr>
    </w:p>
    <w:p>
      <w:pPr>
        <w:ind w:left="4" w:right="140" w:firstLine="948"/>
        <w:spacing w:after="0" w:line="254" w:lineRule="auto"/>
        <w:tabs>
          <w:tab w:leader="none" w:pos="121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 the event that the Company desires or is required by an applicable law or regulation to cause an announcement (“Business Combination Announcement”) to be placed in The Wall Street Journal, The New York Times or any other news or media publication or outlet or to be made via a public filing with the Commission announcing the consummation of the Initial Business Combination that indicates that the Underwriters were the underwriters in the Offering, the Company shall supply the Underwriters with a draft of the Business Combination Announcement and provide the Underwriters with a reasonable advance opportunity to comment thereon, subject to the agreement of the Underwriters to keep confidential such draft announcement in accordance with the Underwriters’ standard policies regarding confidential information.</w:t>
      </w:r>
    </w:p>
    <w:p>
      <w:pPr>
        <w:spacing w:after="0" w:line="37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4"/>
          </w:cols>
          <w:pgMar w:left="876" w:top="274" w:right="459" w:bottom="1440" w:gutter="0" w:footer="0" w:header="0"/>
        </w:sectPr>
      </w:pPr>
    </w:p>
    <w:bookmarkStart w:id="221" w:name="page222"/>
    <w:bookmarkEnd w:id="221"/>
    <w:p>
      <w:pPr>
        <w:ind w:left="-20" w:right="40" w:firstLine="987"/>
        <w:spacing w:after="0" w:line="272" w:lineRule="auto"/>
        <w:tabs>
          <w:tab w:leader="none" w:pos="1316"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Deferred Compensation</w:t>
      </w:r>
      <w:r>
        <w:rPr>
          <w:rFonts w:ascii="Arial" w:cs="Arial" w:eastAsia="Arial" w:hAnsi="Arial"/>
          <w:sz w:val="17"/>
          <w:szCs w:val="17"/>
          <w:color w:val="auto"/>
        </w:rPr>
        <w:t>. Upon the consummation of the Initial Business Combination, the Company will cause the Trustee to pay to the Underwriters, on behalf of the Underwriters, the Deferred Discount. Payment of the Deferred Discount will be made out of the proceeds of the Offering held in the Trust Account. The Underwriters shall have no claim to payment of any interest earned on the portion of the proceeds held in the Trust Account representing the Deferred Discount. If the Company fails to consummate its Initial Business Combination within the time period prescribed in the Amended and Restated Memorandum and Articles of Association, the Deferred Discount will not be paid to the Underwriters and will, instead, be included in the liquidation distribution of the proceeds held in the Trust Account made to the Public Shareholders. In connection with any such liquidation distribution, the Underwriters will forfeit any rights or claims to the Deferred Discount.</w:t>
      </w:r>
    </w:p>
    <w:p>
      <w:pPr>
        <w:spacing w:after="0" w:line="69" w:lineRule="exact"/>
        <w:rPr>
          <w:rFonts w:ascii="Arial" w:cs="Arial" w:eastAsia="Arial" w:hAnsi="Arial"/>
          <w:sz w:val="17"/>
          <w:szCs w:val="17"/>
          <w:color w:val="auto"/>
        </w:rPr>
      </w:pPr>
    </w:p>
    <w:p>
      <w:pPr>
        <w:jc w:val="both"/>
        <w:ind w:left="-20" w:right="20" w:firstLine="987"/>
        <w:spacing w:after="0" w:line="259" w:lineRule="auto"/>
        <w:tabs>
          <w:tab w:leader="none" w:pos="129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will use commercially reasonable efforts to effect and, for a period commencing on the Effective Date and ending at least five (5) years from the date of the consummation of the Initial Business Combination or until such earlier time at which the liquidation occurs or the Ordinary Shares and Warrants cease to be publicly traded, maintain the listing of the Securities, Ordinary Shares and Warrants on the Nasdaq Capital Market (or another national securities exchange).</w:t>
      </w:r>
    </w:p>
    <w:p>
      <w:pPr>
        <w:spacing w:after="0" w:line="78" w:lineRule="exact"/>
        <w:rPr>
          <w:rFonts w:ascii="Arial" w:cs="Arial" w:eastAsia="Arial" w:hAnsi="Arial"/>
          <w:sz w:val="18"/>
          <w:szCs w:val="18"/>
          <w:color w:val="auto"/>
        </w:rPr>
      </w:pPr>
    </w:p>
    <w:p>
      <w:pPr>
        <w:ind w:left="-20" w:firstLine="987"/>
        <w:spacing w:after="0" w:line="255" w:lineRule="auto"/>
        <w:tabs>
          <w:tab w:leader="none" w:pos="131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at any time following the distribution of any Written Testing-the-Waters Communication, any event occurs as a result of which such Written Testing-the-Waters Communication would include any untrue statement of a material fact or omit to state any material fact necessary to make the statements therein in the light of the circumstances under which they were made at such time not misleading, the Company will (i) notify promptly the Underwriters so that use of the Written Testing-the-Waters Communication may cease until it is amended or supplemented; (ii) amend or supplement the Written Testing-the-Waters Communication to correct such statement or omission; and (iii) supply any amendment or supplement to the Underwriters in such quantities as may be reasonably requested.</w:t>
      </w:r>
    </w:p>
    <w:p>
      <w:pPr>
        <w:spacing w:after="0" w:line="84" w:lineRule="exact"/>
        <w:rPr>
          <w:rFonts w:ascii="Arial" w:cs="Arial" w:eastAsia="Arial" w:hAnsi="Arial"/>
          <w:sz w:val="18"/>
          <w:szCs w:val="18"/>
          <w:color w:val="auto"/>
        </w:rPr>
      </w:pPr>
    </w:p>
    <w:p>
      <w:pPr>
        <w:ind w:left="-20" w:right="40" w:firstLine="987"/>
        <w:spacing w:after="0" w:line="263" w:lineRule="auto"/>
        <w:tabs>
          <w:tab w:leader="none" w:pos="129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will promptly notify the Underwriters if the Company ceases to be an Emerging Growth Company at any time prior to the later of (a) completion of the distribution of the Securities within the meaning of the Act and (b) completion of the 180-day restricted period referred to in Section 5(g) hereof.</w:t>
      </w:r>
    </w:p>
    <w:p>
      <w:pPr>
        <w:spacing w:after="0" w:line="75" w:lineRule="exact"/>
        <w:rPr>
          <w:rFonts w:ascii="Arial" w:cs="Arial" w:eastAsia="Arial" w:hAnsi="Arial"/>
          <w:sz w:val="18"/>
          <w:szCs w:val="18"/>
          <w:color w:val="auto"/>
        </w:rPr>
      </w:pPr>
    </w:p>
    <w:p>
      <w:pPr>
        <w:ind w:left="1240" w:hanging="273"/>
        <w:spacing w:after="0"/>
        <w:tabs>
          <w:tab w:leader="none" w:pos="12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20" w:firstLine="987"/>
        <w:spacing w:after="0" w:line="296" w:lineRule="auto"/>
        <w:tabs>
          <w:tab w:leader="none" w:pos="131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Upon the earlier to occur of the expiration or termination of the Underwriters’ over-allotment option, the Company shall cancel or otherwise effect the forfeiture of Founder Shares from the Sponsor, in an aggregate amount equal to the number of Founder Shares determined by multiplying (a) 937,500 by (b) a fraction, (i) the numerator of which is 3,750,000 minus the number of Ordinary Shares purchased by the Underwriters upon the exercise of their over-allotment option, and (ii) the denominator of which is 3,750,000. For the avoidance of doubt, if the Underwriters exercise their over-allotment option in full, the Company shall not cancel or otherwise effect the forfeiture of the Founder Shares pursuant to this subsection.</w:t>
      </w:r>
    </w:p>
    <w:p>
      <w:pPr>
        <w:spacing w:after="0" w:line="53" w:lineRule="exact"/>
        <w:rPr>
          <w:rFonts w:ascii="Arial" w:cs="Arial" w:eastAsia="Arial" w:hAnsi="Arial"/>
          <w:sz w:val="16"/>
          <w:szCs w:val="16"/>
          <w:color w:val="auto"/>
        </w:rPr>
      </w:pPr>
    </w:p>
    <w:p>
      <w:pPr>
        <w:ind w:left="-20" w:right="580" w:firstLine="987"/>
        <w:spacing w:after="0" w:line="263" w:lineRule="auto"/>
        <w:tabs>
          <w:tab w:leader="none" w:pos="131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will deliver to the Underwriters executed copies of the Trust Agreement, the Warrant Agreement, the Securities Subscription Agreement, the Private Placement Warrants Purchase Agreement, the Administrative Services Agreement, the Registration Rights Agreement and the Insider Letter.</w:t>
      </w:r>
    </w:p>
    <w:p>
      <w:pPr>
        <w:spacing w:after="0" w:line="75" w:lineRule="exact"/>
        <w:rPr>
          <w:rFonts w:ascii="Arial" w:cs="Arial" w:eastAsia="Arial" w:hAnsi="Arial"/>
          <w:sz w:val="18"/>
          <w:szCs w:val="18"/>
          <w:color w:val="auto"/>
        </w:rPr>
      </w:pPr>
    </w:p>
    <w:p>
      <w:pPr>
        <w:jc w:val="both"/>
        <w:ind w:left="-20" w:right="120" w:firstLine="987"/>
        <w:spacing w:after="0" w:line="263" w:lineRule="auto"/>
        <w:tabs>
          <w:tab w:leader="none" w:pos="12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no event will the amounts payable by the Company under the Administrative Services Agreement be more than $10,000 per month in the aggregate for office space, utilities, secretarial and administrative support until the earlier of the date of the consummation of the Initial Business Combination or until the time that the Company is required to liquidate.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60" w:top="274" w:right="4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 Conditions to the Obligations of the Underwriters.</w:t>
      </w:r>
    </w:p>
    <w:p>
      <w:pPr>
        <w:spacing w:after="0" w:line="121"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The obligations of the Underwriters to purchase the Underwritten Securities and the Option Securities, as the case may be, shall be subject to the accuracy of the representations and warranties on the part of the Company contained herein as of the Execution Time, the Closing Date and any settlement date pursuant to Section 3 hereof, to the accuracy of the statements of the Company made in any certificates pursuant to the provisions hereof, to the performance by the Company of its obligations hereunder and to the following additional conditions:</w:t>
      </w:r>
    </w:p>
    <w:p>
      <w:pPr>
        <w:spacing w:after="0" w:line="63" w:lineRule="exact"/>
        <w:rPr>
          <w:sz w:val="20"/>
          <w:szCs w:val="20"/>
          <w:color w:val="auto"/>
        </w:rPr>
      </w:pPr>
    </w:p>
    <w:p>
      <w:pPr>
        <w:ind w:right="40" w:firstLine="987"/>
        <w:spacing w:after="0" w:line="257" w:lineRule="auto"/>
        <w:tabs>
          <w:tab w:leader="none" w:pos="1236"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Filing of Prospectus; No Stop Order</w:t>
      </w:r>
      <w:r>
        <w:rPr>
          <w:rFonts w:ascii="Arial" w:cs="Arial" w:eastAsia="Arial" w:hAnsi="Arial"/>
          <w:sz w:val="18"/>
          <w:szCs w:val="18"/>
          <w:color w:val="auto"/>
        </w:rPr>
        <w:t>. The Prospectus, and any supplement thereto, have been filed in the manner and within the time period required by Rule 424(b);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of the Act shall have been instituted or threatened.</w:t>
      </w:r>
    </w:p>
    <w:p>
      <w:pPr>
        <w:spacing w:after="0" w:line="79" w:lineRule="exact"/>
        <w:rPr>
          <w:rFonts w:ascii="Arial" w:cs="Arial" w:eastAsia="Arial" w:hAnsi="Arial"/>
          <w:sz w:val="18"/>
          <w:szCs w:val="18"/>
          <w:color w:val="auto"/>
        </w:rPr>
      </w:pPr>
    </w:p>
    <w:p>
      <w:pPr>
        <w:ind w:right="20" w:firstLine="987"/>
        <w:spacing w:after="0" w:line="263" w:lineRule="auto"/>
        <w:tabs>
          <w:tab w:leader="none" w:pos="1246"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Opinion of U.S. Counsel for the Company</w:t>
      </w:r>
      <w:r>
        <w:rPr>
          <w:rFonts w:ascii="Arial" w:cs="Arial" w:eastAsia="Arial" w:hAnsi="Arial"/>
          <w:sz w:val="18"/>
          <w:szCs w:val="18"/>
          <w:color w:val="auto"/>
        </w:rPr>
        <w:t>. The Company shall have requested and caused Kirkland &amp; Ellis LLP, counsel for the Company, to have furnished to the Underwriters its opinions dated the Closing Date and addressed to the Underwriters in form and substance acceptable to the Underwriters.</w:t>
      </w:r>
    </w:p>
    <w:p>
      <w:pPr>
        <w:spacing w:after="0" w:line="75" w:lineRule="exact"/>
        <w:rPr>
          <w:rFonts w:ascii="Arial" w:cs="Arial" w:eastAsia="Arial" w:hAnsi="Arial"/>
          <w:sz w:val="18"/>
          <w:szCs w:val="18"/>
          <w:color w:val="auto"/>
        </w:rPr>
      </w:pPr>
    </w:p>
    <w:p>
      <w:pPr>
        <w:jc w:val="both"/>
        <w:ind w:right="260" w:firstLine="987"/>
        <w:spacing w:after="0" w:line="263" w:lineRule="auto"/>
        <w:tabs>
          <w:tab w:leader="none" w:pos="1236"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Opinion of Cayman Islands Counsel for the Company</w:t>
      </w:r>
      <w:r>
        <w:rPr>
          <w:rFonts w:ascii="Arial" w:cs="Arial" w:eastAsia="Arial" w:hAnsi="Arial"/>
          <w:sz w:val="18"/>
          <w:szCs w:val="18"/>
          <w:color w:val="auto"/>
        </w:rPr>
        <w:t>. The Company shall have requested and caused Maples and Calder (Cayman) LLP, Cayman Islands counsel for the Company, to have furnished to the Underwriters its opinions dated the Closing Date and any settlement date, as applicable, and addressed to the Underwriters, in a form reasonably acceptable to the Underwriters.</w:t>
      </w:r>
    </w:p>
    <w:p>
      <w:pPr>
        <w:spacing w:after="0" w:line="75" w:lineRule="exact"/>
        <w:rPr>
          <w:rFonts w:ascii="Arial" w:cs="Arial" w:eastAsia="Arial" w:hAnsi="Arial"/>
          <w:sz w:val="18"/>
          <w:szCs w:val="18"/>
          <w:color w:val="auto"/>
        </w:rPr>
      </w:pPr>
    </w:p>
    <w:p>
      <w:pPr>
        <w:ind w:right="40" w:firstLine="987"/>
        <w:spacing w:after="0" w:line="257" w:lineRule="auto"/>
        <w:tabs>
          <w:tab w:leader="none" w:pos="1246"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Opinion of Counsel for the Underwriters</w:t>
      </w:r>
      <w:r>
        <w:rPr>
          <w:rFonts w:ascii="Arial" w:cs="Arial" w:eastAsia="Arial" w:hAnsi="Arial"/>
          <w:sz w:val="18"/>
          <w:szCs w:val="18"/>
          <w:color w:val="auto"/>
        </w:rPr>
        <w:t>. The Underwriters shall have received from White &amp; Case LLP, counsel for the Underwriters, such opinion or opinions, dated the Closing Date and addressed to the Underwriters, with respect to the issuance and sale of the Securities, the Registration Statement, the Statutory Prospectus, the Prospectus (together with any supplement thereto) and other related matters as the Underwriters may reasonably require, and the Company shall have furnished to such counsel such documents as they request for the purpose of enabling them to pass upon such matters.</w:t>
      </w:r>
    </w:p>
    <w:p>
      <w:pPr>
        <w:spacing w:after="0" w:line="79" w:lineRule="exact"/>
        <w:rPr>
          <w:rFonts w:ascii="Arial" w:cs="Arial" w:eastAsia="Arial" w:hAnsi="Arial"/>
          <w:sz w:val="18"/>
          <w:szCs w:val="18"/>
          <w:color w:val="auto"/>
        </w:rPr>
      </w:pPr>
    </w:p>
    <w:p>
      <w:pPr>
        <w:jc w:val="both"/>
        <w:ind w:right="100" w:firstLine="987"/>
        <w:spacing w:after="0" w:line="279" w:lineRule="auto"/>
        <w:tabs>
          <w:tab w:leader="none" w:pos="1236"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Officer’s Certificate</w:t>
      </w:r>
      <w:r>
        <w:rPr>
          <w:rFonts w:ascii="Arial" w:cs="Arial" w:eastAsia="Arial" w:hAnsi="Arial"/>
          <w:sz w:val="17"/>
          <w:szCs w:val="17"/>
          <w:color w:val="auto"/>
        </w:rPr>
        <w:t>. The Company shall have furnished to the Underwriters a certificate of the Company, signed by the Chief Executive Officer and the principal financial or accounting officer of the Company, dated the Closing Date, to the effect that the signers of such certificate have carefully examined the Registration Statement, each Preliminary Prospectus, the Prospectus and any amendment or supplement thereto, as well as each electronic road show used in connection with the Offering, and this Agreement and that:</w:t>
      </w:r>
    </w:p>
    <w:p>
      <w:pPr>
        <w:spacing w:after="0" w:line="63" w:lineRule="exact"/>
        <w:rPr>
          <w:rFonts w:ascii="Arial" w:cs="Arial" w:eastAsia="Arial" w:hAnsi="Arial"/>
          <w:sz w:val="17"/>
          <w:szCs w:val="17"/>
          <w:color w:val="auto"/>
        </w:rPr>
      </w:pPr>
    </w:p>
    <w:p>
      <w:pPr>
        <w:ind w:left="440" w:right="40" w:firstLine="948"/>
        <w:spacing w:after="0" w:line="263" w:lineRule="auto"/>
        <w:tabs>
          <w:tab w:leader="none" w:pos="164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75" w:lineRule="exact"/>
        <w:rPr>
          <w:rFonts w:ascii="Arial" w:cs="Arial" w:eastAsia="Arial" w:hAnsi="Arial"/>
          <w:sz w:val="18"/>
          <w:szCs w:val="18"/>
          <w:color w:val="auto"/>
        </w:rPr>
      </w:pPr>
    </w:p>
    <w:p>
      <w:pPr>
        <w:ind w:left="440" w:right="80" w:firstLine="948"/>
        <w:spacing w:after="0" w:line="277" w:lineRule="auto"/>
        <w:tabs>
          <w:tab w:leader="none" w:pos="164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62" w:lineRule="exact"/>
        <w:rPr>
          <w:rFonts w:ascii="Arial" w:cs="Arial" w:eastAsia="Arial" w:hAnsi="Arial"/>
          <w:sz w:val="18"/>
          <w:szCs w:val="18"/>
          <w:color w:val="auto"/>
        </w:rPr>
      </w:pPr>
    </w:p>
    <w:p>
      <w:pPr>
        <w:ind w:left="440" w:firstLine="948"/>
        <w:spacing w:after="0" w:line="286" w:lineRule="auto"/>
        <w:tabs>
          <w:tab w:leader="none" w:pos="1647" w:val="left"/>
        </w:tabs>
        <w:numPr>
          <w:ilvl w:val="1"/>
          <w:numId w:val="139"/>
        </w:numPr>
        <w:rPr>
          <w:rFonts w:ascii="Arial" w:cs="Arial" w:eastAsia="Arial" w:hAnsi="Arial"/>
          <w:sz w:val="17"/>
          <w:szCs w:val="17"/>
          <w:color w:val="auto"/>
        </w:rPr>
      </w:pPr>
      <w:r>
        <w:rPr>
          <w:rFonts w:ascii="Arial" w:cs="Arial" w:eastAsia="Arial" w:hAnsi="Arial"/>
          <w:sz w:val="17"/>
          <w:szCs w:val="17"/>
          <w:color w:val="auto"/>
        </w:rPr>
        <w:t>since the date of the most recent financial statements included in the Statutory Prospectus and the Prospectus (exclusive of any supplement thereto), there has been no Material Adverse Effect, whether or not arising from transactions in the ordinary course of business, except as set forth in or contemplated in the Statutory Prospectus and the Prospectus (exclusive of any supplement thereto).</w:t>
      </w:r>
    </w:p>
    <w:p>
      <w:pPr>
        <w:spacing w:after="0" w:line="57" w:lineRule="exact"/>
        <w:rPr>
          <w:rFonts w:ascii="Arial" w:cs="Arial" w:eastAsia="Arial" w:hAnsi="Arial"/>
          <w:sz w:val="17"/>
          <w:szCs w:val="17"/>
          <w:color w:val="auto"/>
        </w:rPr>
      </w:pPr>
    </w:p>
    <w:p>
      <w:pPr>
        <w:ind w:right="40" w:firstLine="987"/>
        <w:spacing w:after="0" w:line="296" w:lineRule="auto"/>
        <w:tabs>
          <w:tab w:leader="none" w:pos="1216"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Secretary’s Certificate</w:t>
      </w:r>
      <w:r>
        <w:rPr>
          <w:rFonts w:ascii="Arial" w:cs="Arial" w:eastAsia="Arial" w:hAnsi="Arial"/>
          <w:sz w:val="16"/>
          <w:szCs w:val="16"/>
          <w:color w:val="auto"/>
        </w:rPr>
        <w:t>. The Company shall have furnished to the Underwriters a certificate signed by the Secretary or Assistant Secretary of the Company, dated the Closing Date, certifying (i) that the Amended and Restated Memorandum and Articles of Association is true and complete, has not been modified and is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executive officers of the Company. The documents referred to in such certificate shall be attached to such certificate.</w:t>
      </w:r>
    </w:p>
    <w:p>
      <w:pPr>
        <w:spacing w:after="0" w:line="53" w:lineRule="exact"/>
        <w:rPr>
          <w:rFonts w:ascii="Arial" w:cs="Arial" w:eastAsia="Arial" w:hAnsi="Arial"/>
          <w:sz w:val="16"/>
          <w:szCs w:val="16"/>
          <w:color w:val="auto"/>
        </w:rPr>
      </w:pPr>
    </w:p>
    <w:p>
      <w:pPr>
        <w:ind w:right="80" w:firstLine="987"/>
        <w:spacing w:after="0" w:line="259" w:lineRule="auto"/>
        <w:tabs>
          <w:tab w:leader="none" w:pos="1246"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Comfort Letters</w:t>
      </w:r>
      <w:r>
        <w:rPr>
          <w:rFonts w:ascii="Arial" w:cs="Arial" w:eastAsia="Arial" w:hAnsi="Arial"/>
          <w:sz w:val="18"/>
          <w:szCs w:val="18"/>
          <w:color w:val="auto"/>
        </w:rPr>
        <w:t>. The Company shall have requested and caused Marcum to have furnished to the Underwriters, at the Execution Time and at the Closing Date, letters, dated respectively as of the Execution Time and as of the Closing Date, in form and substance satisfactory to the Underwriters, confirming that they are a registered public accounting firm that is independent with respect to the Company within the meaning of the Act and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223" w:name="page224"/>
    <w:bookmarkEnd w:id="223"/>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Exchange Act and the applicable rules and regulations adopted by the Commission thereunder and that they have performed a review of the audited financial statements of the Company for the period January 13, 2021 (the date of inception) through January 20, 2021, provided that the cutoff date shall not be more than two (2) Business Days prior to such Execution Time or Closing Date, as applicable, and stating in effect that:</w:t>
      </w:r>
    </w:p>
    <w:p>
      <w:pPr>
        <w:spacing w:after="0" w:line="57" w:lineRule="exact"/>
        <w:rPr>
          <w:sz w:val="20"/>
          <w:szCs w:val="20"/>
          <w:color w:val="auto"/>
        </w:rPr>
      </w:pPr>
    </w:p>
    <w:p>
      <w:pPr>
        <w:ind w:left="980" w:right="140" w:firstLine="910"/>
        <w:spacing w:after="0" w:line="263" w:lineRule="auto"/>
        <w:tabs>
          <w:tab w:leader="none" w:pos="209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their opinion the audited financial statements and financial statement schedules included in the Registration Statement, the Statutory Prospectus and the Prospectus and reported on by them comply as to form in all material respects with the applicable accounting requirements of the Act and the related rules and regulations adopted by the Commission;</w:t>
      </w:r>
    </w:p>
    <w:p>
      <w:pPr>
        <w:spacing w:after="0" w:line="75" w:lineRule="exact"/>
        <w:rPr>
          <w:rFonts w:ascii="Arial" w:cs="Arial" w:eastAsia="Arial" w:hAnsi="Arial"/>
          <w:sz w:val="18"/>
          <w:szCs w:val="18"/>
          <w:color w:val="auto"/>
        </w:rPr>
      </w:pPr>
    </w:p>
    <w:p>
      <w:pPr>
        <w:ind w:left="980" w:right="60" w:firstLine="910"/>
        <w:spacing w:after="0" w:line="275" w:lineRule="auto"/>
        <w:tabs>
          <w:tab w:leader="none" w:pos="214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set forth in the Registration Statement, the Statutory Prospectus and the Prospectus, including the information set forth under the captions “Dilution” and “Capitalization” in the Statutory Prospectus and the Prospectus, agrees with the accounting records of the Company, excluding any questions of legal interpretation; and</w:t>
      </w:r>
    </w:p>
    <w:p>
      <w:pPr>
        <w:spacing w:after="0" w:line="68" w:lineRule="exact"/>
        <w:rPr>
          <w:rFonts w:ascii="Arial" w:cs="Arial" w:eastAsia="Arial" w:hAnsi="Arial"/>
          <w:sz w:val="17"/>
          <w:szCs w:val="17"/>
          <w:color w:val="auto"/>
        </w:rPr>
      </w:pPr>
    </w:p>
    <w:p>
      <w:pPr>
        <w:ind w:left="2200" w:hanging="310"/>
        <w:spacing w:after="0"/>
        <w:tabs>
          <w:tab w:leader="none" w:pos="22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statements as to such other matters incident to the transaction contemplated hereby as the Underwriters may reasonably</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10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References to the Prospectus in this paragraph (f) include any supplement thereto at the date of the letter.</w:t>
      </w:r>
    </w:p>
    <w:p>
      <w:pPr>
        <w:spacing w:after="0" w:line="117" w:lineRule="exact"/>
        <w:rPr>
          <w:sz w:val="20"/>
          <w:szCs w:val="20"/>
          <w:color w:val="auto"/>
        </w:rPr>
      </w:pPr>
    </w:p>
    <w:p>
      <w:pPr>
        <w:ind w:right="60" w:firstLine="987"/>
        <w:spacing w:after="0" w:line="270" w:lineRule="auto"/>
        <w:tabs>
          <w:tab w:leader="none" w:pos="1246"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Material Change</w:t>
      </w:r>
      <w:r>
        <w:rPr>
          <w:rFonts w:ascii="Arial" w:cs="Arial" w:eastAsia="Arial" w:hAnsi="Arial"/>
          <w:sz w:val="17"/>
          <w:szCs w:val="17"/>
          <w:color w:val="auto"/>
        </w:rPr>
        <w:t>. Subsequent to the Execution Time or, if earlier, the dates as of which information is given in the Registration Statement (exclusive of any amendment thereof), the Statutory Prospectus and the Prospectus (exclusive of any amendment or supplement thereto), there shall not have been (1) any change or decrease specified in the letter or letters referred to in paragraph (f) of this Section 6 or (2) any change, or any development involving a prospective change, in or affecting the condition (financial or otherwise), prospects, management, earnings, business or properties of the Company, whether or not arising from transactions in the ordinary course of business, except as set forth in or contemplated in the Statutory Prospectus and the Prospectus (exclusive of any supplement thereto) the effect of which, in any case referred to in clause (1) or (2) above, is, in the sole judgment of the Underwriters, so material and adverse as to make it impractical or inadvisable to proceed with the offering or delivery of the Securities as contemplated by the Registration Statement (exclusive of any amendment thereof), the Statutory Prospectus and the Prospectus (exclusive of any amendment or supplement thereto).</w:t>
      </w:r>
    </w:p>
    <w:p>
      <w:pPr>
        <w:spacing w:after="0" w:line="72" w:lineRule="exact"/>
        <w:rPr>
          <w:rFonts w:ascii="Arial" w:cs="Arial" w:eastAsia="Arial" w:hAnsi="Arial"/>
          <w:sz w:val="17"/>
          <w:szCs w:val="17"/>
          <w:color w:val="auto"/>
        </w:rPr>
      </w:pPr>
    </w:p>
    <w:p>
      <w:pPr>
        <w:ind w:right="620" w:firstLine="987"/>
        <w:spacing w:after="0" w:line="277" w:lineRule="auto"/>
        <w:tabs>
          <w:tab w:leader="none" w:pos="120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Further Information</w:t>
      </w:r>
      <w:r>
        <w:rPr>
          <w:rFonts w:ascii="Arial" w:cs="Arial" w:eastAsia="Arial" w:hAnsi="Arial"/>
          <w:sz w:val="18"/>
          <w:szCs w:val="18"/>
          <w:color w:val="auto"/>
        </w:rPr>
        <w:t>. Prior to the Closing Date, the Company shall have furnished to the Underwriters such further information, certificates and documents as the Underwriters may reasonably request.</w:t>
      </w:r>
    </w:p>
    <w:p>
      <w:pPr>
        <w:spacing w:after="0" w:line="62" w:lineRule="exact"/>
        <w:rPr>
          <w:rFonts w:ascii="Arial" w:cs="Arial" w:eastAsia="Arial" w:hAnsi="Arial"/>
          <w:sz w:val="18"/>
          <w:szCs w:val="18"/>
          <w:color w:val="auto"/>
        </w:rPr>
      </w:pPr>
    </w:p>
    <w:p>
      <w:pPr>
        <w:ind w:right="740" w:firstLine="987"/>
        <w:spacing w:after="0" w:line="277" w:lineRule="auto"/>
        <w:tabs>
          <w:tab w:leader="none" w:pos="120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FINRA shall not have raised any objection with respect to the fairness or reasonableness of the underwriting or other arrangements of the transactions contemplated hereby.</w:t>
      </w:r>
    </w:p>
    <w:p>
      <w:pPr>
        <w:spacing w:after="0" w:line="62" w:lineRule="exact"/>
        <w:rPr>
          <w:rFonts w:ascii="Arial" w:cs="Arial" w:eastAsia="Arial" w:hAnsi="Arial"/>
          <w:sz w:val="18"/>
          <w:szCs w:val="18"/>
          <w:color w:val="auto"/>
        </w:rPr>
      </w:pPr>
    </w:p>
    <w:p>
      <w:pPr>
        <w:ind w:right="260" w:firstLine="987"/>
        <w:spacing w:after="0" w:line="277" w:lineRule="auto"/>
        <w:tabs>
          <w:tab w:leader="none" w:pos="124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Nasdaq Capital Market</w:t>
      </w:r>
      <w:r>
        <w:rPr>
          <w:rFonts w:ascii="Arial" w:cs="Arial" w:eastAsia="Arial" w:hAnsi="Arial"/>
          <w:sz w:val="18"/>
          <w:szCs w:val="18"/>
          <w:color w:val="auto"/>
        </w:rPr>
        <w:t>. The Securities shall be duly listed, subject to notice of issuance, on the Nasdaq Capital Market, satisfactory evidence of which shall have been provided to the Underwriters.</w:t>
      </w:r>
    </w:p>
    <w:p>
      <w:pPr>
        <w:spacing w:after="0" w:line="62" w:lineRule="exact"/>
        <w:rPr>
          <w:rFonts w:ascii="Arial" w:cs="Arial" w:eastAsia="Arial" w:hAnsi="Arial"/>
          <w:sz w:val="18"/>
          <w:szCs w:val="18"/>
          <w:color w:val="auto"/>
        </w:rPr>
      </w:pPr>
    </w:p>
    <w:p>
      <w:pPr>
        <w:ind w:right="220" w:firstLine="987"/>
        <w:spacing w:after="0" w:line="263" w:lineRule="auto"/>
        <w:tabs>
          <w:tab w:leader="none" w:pos="120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Delivery of Agreements</w:t>
      </w:r>
      <w:r>
        <w:rPr>
          <w:rFonts w:ascii="Arial" w:cs="Arial" w:eastAsia="Arial" w:hAnsi="Arial"/>
          <w:sz w:val="18"/>
          <w:szCs w:val="18"/>
          <w:color w:val="auto"/>
        </w:rPr>
        <w:t>. On the Effective Date, the Company shall have delivered to the Underwriters executed copies of the Trust Agreement, the Warrant Agreement, the Securities Subscription Agreement, the Private Placement Warrants Purchase Agreement, the Administrative Services Agreement, the Registration Rights Agreement and the Insider Letter.</w:t>
      </w:r>
    </w:p>
    <w:p>
      <w:pPr>
        <w:spacing w:after="0" w:line="75" w:lineRule="exact"/>
        <w:rPr>
          <w:rFonts w:ascii="Arial" w:cs="Arial" w:eastAsia="Arial" w:hAnsi="Arial"/>
          <w:sz w:val="18"/>
          <w:szCs w:val="18"/>
          <w:color w:val="auto"/>
        </w:rPr>
      </w:pPr>
    </w:p>
    <w:p>
      <w:pPr>
        <w:ind w:right="60" w:firstLine="987"/>
        <w:spacing w:after="0" w:line="284" w:lineRule="auto"/>
        <w:tabs>
          <w:tab w:leader="none" w:pos="1296"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No Brokers</w:t>
      </w:r>
      <w:r>
        <w:rPr>
          <w:rFonts w:ascii="Arial" w:cs="Arial" w:eastAsia="Arial" w:hAnsi="Arial"/>
          <w:sz w:val="16"/>
          <w:szCs w:val="16"/>
          <w:color w:val="auto"/>
        </w:rPr>
        <w:t>. On the Closing Date, the Company shall have requested and caused the Sponsor and the Company’s directors and executive officers to have executed and furnished to the Underwriters a certificate, dated the Closing Date and addressed to the Underwriters, to the effect that, except as described in the Registration Statement, the Statutory Prospectus and the Prospectus, there are no claims, payments, arrangements, contracts, agreements or understandings relating to the payment of a brokerage commission or finder’s, consulting, origination or similar fee by the Sponsor or the Company’s directors or executive officers with respect to the sale of the Securities hereunder or any other arrangements, agreements or understandings by the Sponsor or the Company’s directors or executive officers that may affect the Underwriters’ compensation, as determined by</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FINRA.</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224" w:name="page225"/>
    <w:bookmarkEnd w:id="224"/>
    <w:p>
      <w:pPr>
        <w:ind w:left="4" w:right="480" w:firstLine="987"/>
        <w:spacing w:after="0" w:line="308" w:lineRule="auto"/>
        <w:tabs>
          <w:tab w:leader="none" w:pos="1250"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Trust Account</w:t>
      </w:r>
      <w:r>
        <w:rPr>
          <w:rFonts w:ascii="Arial" w:cs="Arial" w:eastAsia="Arial" w:hAnsi="Arial"/>
          <w:sz w:val="17"/>
          <w:szCs w:val="17"/>
          <w:color w:val="auto"/>
        </w:rPr>
        <w:t>. On the Closing Date, the Company shall have furnished to the Underwriters one or more certificates signed by an authorized officer of the Trustee to the effect of certifying that $250,000,000 shall have been deposited in the Trust Account.</w:t>
      </w:r>
    </w:p>
    <w:p>
      <w:pPr>
        <w:spacing w:after="0" w:line="38" w:lineRule="exact"/>
        <w:rPr>
          <w:rFonts w:ascii="Arial" w:cs="Arial" w:eastAsia="Arial" w:hAnsi="Arial"/>
          <w:sz w:val="17"/>
          <w:szCs w:val="17"/>
          <w:color w:val="auto"/>
        </w:rPr>
      </w:pPr>
    </w:p>
    <w:p>
      <w:pPr>
        <w:ind w:left="4" w:right="200" w:firstLine="987"/>
        <w:spacing w:after="0" w:line="308" w:lineRule="auto"/>
        <w:tabs>
          <w:tab w:leader="none" w:pos="1250"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No stop orders</w:t>
      </w:r>
      <w:r>
        <w:rPr>
          <w:rFonts w:ascii="Arial" w:cs="Arial" w:eastAsia="Arial" w:hAnsi="Arial"/>
          <w:sz w:val="17"/>
          <w:szCs w:val="17"/>
          <w:color w:val="auto"/>
        </w:rPr>
        <w:t>. No order preventing or suspending the sale of the Units in any jurisdiction designated by the Underwriters shall have been issued as of the Closing Date, and no proceedings for that purpose shall have been instituted or shall have been threatened.</w:t>
      </w:r>
    </w:p>
    <w:p>
      <w:pPr>
        <w:spacing w:after="0" w:line="38" w:lineRule="exact"/>
        <w:rPr>
          <w:rFonts w:ascii="Arial" w:cs="Arial" w:eastAsia="Arial" w:hAnsi="Arial"/>
          <w:sz w:val="17"/>
          <w:szCs w:val="17"/>
          <w:color w:val="auto"/>
        </w:rPr>
      </w:pPr>
    </w:p>
    <w:p>
      <w:pPr>
        <w:ind w:left="4" w:firstLine="987"/>
        <w:spacing w:after="0" w:line="277" w:lineRule="auto"/>
        <w:tabs>
          <w:tab w:leader="none" w:pos="125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Deposit</w:t>
      </w:r>
      <w:r>
        <w:rPr>
          <w:rFonts w:ascii="Arial" w:cs="Arial" w:eastAsia="Arial" w:hAnsi="Arial"/>
          <w:sz w:val="18"/>
          <w:szCs w:val="18"/>
          <w:color w:val="auto"/>
        </w:rPr>
        <w:t>. At least one (1) Business Day prior to the Closing Date, the Sponsor shall have paid to the Company the purchase price for the Private Placement Warrants, including the deposit of the net proceeds thereof into the Trust Account.</w:t>
      </w:r>
    </w:p>
    <w:p>
      <w:pPr>
        <w:spacing w:after="0" w:line="170" w:lineRule="exact"/>
        <w:rPr>
          <w:sz w:val="20"/>
          <w:szCs w:val="20"/>
          <w:color w:val="auto"/>
        </w:rPr>
      </w:pPr>
    </w:p>
    <w:p>
      <w:pPr>
        <w:ind w:left="4" w:right="100" w:firstLine="440"/>
        <w:spacing w:after="0" w:line="301" w:lineRule="auto"/>
        <w:rPr>
          <w:sz w:val="20"/>
          <w:szCs w:val="20"/>
          <w:color w:val="auto"/>
        </w:rPr>
      </w:pPr>
      <w:r>
        <w:rPr>
          <w:rFonts w:ascii="Arial" w:cs="Arial" w:eastAsia="Arial" w:hAnsi="Arial"/>
          <w:sz w:val="16"/>
          <w:szCs w:val="16"/>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Underwriters and counsel for the Underwriters, this Agreement and all obligations of the Underwriters hereunder may be cancelled at, or at any time prior to, the Closing Date by the Underwriters. Notice of such cancellation shall be given to the Company in writing or by telephone or facsimile confirmed in writing.</w:t>
      </w:r>
    </w:p>
    <w:p>
      <w:pPr>
        <w:spacing w:after="0" w:line="157"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The documents required to be delivered by this Section 6 shall be delivered at the office of White &amp; Case LLP, counsel for the Underwriters, at 1221 Avenue of the Americas, New York, New York 10020, on the Closing Date.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 Reimbursement of Underwriters’ Expenses.</w:t>
      </w:r>
    </w:p>
    <w:p>
      <w:pPr>
        <w:spacing w:after="0" w:line="121"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Company to perform any agreement herein or comply with any provision hereof other than by reason of a default by any of the Underwriters, the Company will reimburse the Underwriters severally through the Underwriters on demand for all reasonable and documented out-of-pocket expenses (including reasonable and documented fees and disbursements of counsel) that shall have been incurred by them in connection with the proposed purchase and sale of the Securities.</w:t>
      </w:r>
    </w:p>
    <w:p>
      <w:pPr>
        <w:spacing w:after="0" w:line="296" w:lineRule="exact"/>
        <w:rPr>
          <w:sz w:val="20"/>
          <w:szCs w:val="20"/>
          <w:color w:val="auto"/>
        </w:rPr>
      </w:pPr>
    </w:p>
    <w:p>
      <w:pPr>
        <w:ind w:left="184" w:hanging="184"/>
        <w:spacing w:after="0"/>
        <w:tabs>
          <w:tab w:leader="none" w:pos="18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Contribution.</w:t>
      </w:r>
    </w:p>
    <w:p>
      <w:pPr>
        <w:spacing w:after="0" w:line="121" w:lineRule="exact"/>
        <w:rPr>
          <w:rFonts w:ascii="Arial" w:cs="Arial" w:eastAsia="Arial" w:hAnsi="Arial"/>
          <w:sz w:val="18"/>
          <w:szCs w:val="18"/>
          <w:b w:val="1"/>
          <w:bCs w:val="1"/>
          <w:color w:val="auto"/>
        </w:rPr>
      </w:pPr>
    </w:p>
    <w:p>
      <w:pPr>
        <w:ind w:left="4" w:firstLine="987"/>
        <w:spacing w:after="0" w:line="286" w:lineRule="auto"/>
        <w:tabs>
          <w:tab w:leader="none" w:pos="124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the directors, officers, employees, affiliates and agents of each Underwriter, each person who controls any Underwriter within the meaning of either the Act or the Exchange Act and each affiliate of each Underwriter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any Preliminary Prospectus, the Prospectus, any “road show” as defined in Section 433(h) of the Act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Underwriters specifically for inclusion therein, it being understood and agreed that only such information furnished by any Underwriter consists of the information described in the last sentence of Section 8(b) hereof. This indemnity agreement will be in addition to any liability which the Company may otherwise have.</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225" w:name="page226"/>
    <w:bookmarkEnd w:id="225"/>
    <w:p>
      <w:pPr>
        <w:ind w:right="20" w:firstLine="987"/>
        <w:spacing w:after="0" w:line="253" w:lineRule="auto"/>
        <w:tabs>
          <w:tab w:leader="none" w:pos="12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Underwriter severally and not jointly agrees to indemnify and hold harmless the Company, each of its directors, each of its executive officers who signs the Registration Statement, and each person who controls the Company within the meaning of either the Act or the Exchange Act, to the same extent as the foregoing indemnity from the Company to each Underwriter, but only with reference to written information relating to such Underwriter furnished to the Company by or on behalf of such Underwriter through the Underwriters specifically for inclusion in the documents referred to in the foregoing indemnity. This indemnity agreement will be in addition to any liability which any Underwriter may otherwise have. The Company acknowledges that the statements set forth (i) in the last paragraph of the cover page regarding delivery of Securities and (ii) in the section entitled “Underwriting” of the Statutory Prospectus and Prospectus, the [seventh (7th)] paragraph concerning sales to discretionary accounts and the [16]th and [17]th paragraphs concerning the purchase and sale of Units in the open market and other stabilizing transactions by the underwriters and penalty bids, constitute the only information furnished in writing by or on behalf of the several Underwriters for inclusion in any Preliminary Prospectus and the Prospectus.</w:t>
      </w:r>
    </w:p>
    <w:p>
      <w:pPr>
        <w:spacing w:after="0" w:line="86" w:lineRule="exact"/>
        <w:rPr>
          <w:rFonts w:ascii="Arial" w:cs="Arial" w:eastAsia="Arial" w:hAnsi="Arial"/>
          <w:sz w:val="18"/>
          <w:szCs w:val="18"/>
          <w:color w:val="auto"/>
        </w:rPr>
      </w:pPr>
    </w:p>
    <w:p>
      <w:pPr>
        <w:ind w:firstLine="987"/>
        <w:spacing w:after="0" w:line="284" w:lineRule="auto"/>
        <w:tabs>
          <w:tab w:leader="none" w:pos="123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287" w:lineRule="exact"/>
        <w:rPr>
          <w:rFonts w:ascii="Arial" w:cs="Arial" w:eastAsia="Arial" w:hAnsi="Arial"/>
          <w:sz w:val="16"/>
          <w:szCs w:val="16"/>
          <w:color w:val="auto"/>
        </w:rPr>
      </w:pPr>
    </w:p>
    <w:p>
      <w:pPr>
        <w:ind w:right="40" w:firstLine="987"/>
        <w:spacing w:after="0" w:line="270" w:lineRule="auto"/>
        <w:tabs>
          <w:tab w:leader="none" w:pos="1246"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 the event that the indemnity provided in paragraph (a) or (b)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to which the Company and one or more of the Underwriters may be subject in such proportion as is appropriate to reflect the relative benefits received by the Company on the one hand and by the Underwriters on the other from the Offering.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26" w:name="page227"/>
    <w:bookmarkEnd w:id="226"/>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expenses) received by it, and benefits received by the Underwriters shall be deemed to be equal to the total underwriting discounts and commissions actually received by the Underwriters,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 Underwriter be required to contribute any amount in excess of the amount by which the total underwriting discounts and commissions received by such Underwriter with respect to the Offering exceeds the amount of any damages that such Underwriter has otherwise been required to pay by reason of such untrue or alleged untrue statement or omission or alleged omission. Notwithstanding the provisions of this paragraph (d), no person guilty of fraudulent misrepresentation (within the meaning of Section 11(f) of the Securities Act) shall be entitled to contribution from any person who was not guilty of such fraudulent misrepresentation. For purposes of this Section 8, each person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 The Underwriters’ obligations to contribute pursuant to this Section 8 are several in proportion to their respective purchase obligations hereunder and are not joint.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9. Default by an Underwriter.</w:t>
      </w:r>
    </w:p>
    <w:p>
      <w:pPr>
        <w:spacing w:after="0" w:line="121" w:lineRule="exact"/>
        <w:rPr>
          <w:sz w:val="20"/>
          <w:szCs w:val="20"/>
          <w:color w:val="auto"/>
        </w:rPr>
      </w:pPr>
    </w:p>
    <w:p>
      <w:pPr>
        <w:ind w:left="4" w:right="100" w:firstLine="440"/>
        <w:spacing w:after="0" w:line="284" w:lineRule="auto"/>
        <w:rPr>
          <w:sz w:val="20"/>
          <w:szCs w:val="20"/>
          <w:color w:val="auto"/>
        </w:rPr>
      </w:pPr>
      <w:r>
        <w:rPr>
          <w:rFonts w:ascii="Arial" w:cs="Arial" w:eastAsia="Arial" w:hAnsi="Arial"/>
          <w:sz w:val="16"/>
          <w:szCs w:val="16"/>
          <w:color w:val="auto"/>
        </w:rPr>
        <w:t>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that the amount of Securities set forth opposite their names in Schedule I hereto bears to the aggregate amount of Securities set forth opposite the names of all the remaining Underwriters) the Securities that the defaulting Underwriter or Underwriters agreed but failed to purchase; provided, however, that in the event that the aggregate amount of Securities that the defaulting Underwriter or Underwriters agreed but failed to purchase shall exceed 10% of the Underwritten Securities, the remaining Underwriters shall have the right to purchase all, but shall not be under any obligation to purchase any, of the Securities. If within one</w:t>
      </w:r>
    </w:p>
    <w:p>
      <w:pPr>
        <w:spacing w:after="0" w:line="2" w:lineRule="exact"/>
        <w:rPr>
          <w:sz w:val="20"/>
          <w:szCs w:val="20"/>
          <w:color w:val="auto"/>
        </w:rPr>
      </w:pPr>
    </w:p>
    <w:p>
      <w:pPr>
        <w:ind w:left="4" w:right="20" w:hanging="4"/>
        <w:spacing w:after="0" w:line="251" w:lineRule="auto"/>
        <w:tabs>
          <w:tab w:leader="none" w:pos="25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Business Day after such default relating to more than 10% of the Underwritten Securities the remaining Underwriters do not arrange for the purchase of such Underwritten Securities, then the Company shall be entitled to a further period of one Business Day within which to procure another party or parties reasonably satisfactory to you to purchase said Underwritten Securities. In the event that neither the remaining Underwriters nor the Company purchase or arrange for the purchase of all of the Underwritten Securities to which a default relates as provided in this Section 9, this Agreement will terminate without liability to any non-defaulting Underwriter or the Company. In the event of a default by any Underwriter as set forth in this Section 9, the Closing Date shall be postponed for such period, not exceeding five (5) Business Days, as the Underwriters shall determine in order that the required changes in the Registration Statement and the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30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 Termination.</w:t>
      </w:r>
    </w:p>
    <w:p>
      <w:pPr>
        <w:spacing w:after="0" w:line="121"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This Agreement shall be subject to termination in the absolute discretion of the Underwriters, by notice given to the Company prior to delivery of and payment for the Securities, if at any time prior to such delivery and payment (i) trading in the Company’s Units, Ordinary Shares or Warrants shall have been suspended by the Commission or the Nasdaq Capital Market (or successor trading market) or trading in securities generally on the Nasdaq Capital Market or The New York Stock Exchange (or successor trading market) shall have been suspended or limited or minimum prices shall have been established on such exchange or trading market; (ii) the Company shall not have obtained authorization for quotation of the Ordinary Shares, Warrants or Units on the Nasdaq Capital Market (or successor trading market); (iii) a banking moratorium shall have been declared either by U.S. federal or New York State authorities; (iv) there shall have occurred a material disruption in commercial banking or securities settlement or</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4"/>
          </w:cols>
          <w:pgMar w:left="436" w:top="274" w:right="439" w:bottom="1440" w:gutter="0" w:footer="0" w:header="0"/>
        </w:sectPr>
      </w:pPr>
    </w:p>
    <w:bookmarkStart w:id="227" w:name="page228"/>
    <w:bookmarkEnd w:id="227"/>
    <w:p>
      <w:pPr>
        <w:ind w:left="4"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clearance services; or (v) there shall have occurred any outbreak or escalation of hostilities, declaration by the United States of a national emergency or war, or other national or international calamity or crisis the effect of which on financial markets is such as to make it, in the sole judgment of the Underwriters, impractical or inadvisable to proceed with the offering or delivery of the Securities as contemplated by the Statutory Prospectus or the Prospectus (exclusive of any supplement thereto).</w:t>
      </w:r>
    </w:p>
    <w:p>
      <w:pPr>
        <w:spacing w:after="0" w:line="291" w:lineRule="exact"/>
        <w:rPr>
          <w:sz w:val="20"/>
          <w:szCs w:val="20"/>
          <w:color w:val="auto"/>
        </w:rPr>
      </w:pPr>
    </w:p>
    <w:p>
      <w:pPr>
        <w:ind w:left="264" w:hanging="264"/>
        <w:spacing w:after="0"/>
        <w:tabs>
          <w:tab w:leader="none" w:pos="264"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Recognition of the U.S. Special Resolution Regimes.</w:t>
      </w:r>
    </w:p>
    <w:p>
      <w:pPr>
        <w:spacing w:after="0" w:line="121" w:lineRule="exact"/>
        <w:rPr>
          <w:rFonts w:ascii="Arial" w:cs="Arial" w:eastAsia="Arial" w:hAnsi="Arial"/>
          <w:sz w:val="18"/>
          <w:szCs w:val="18"/>
          <w:b w:val="1"/>
          <w:bCs w:val="1"/>
          <w:color w:val="auto"/>
        </w:rPr>
      </w:pPr>
    </w:p>
    <w:p>
      <w:pPr>
        <w:ind w:left="4" w:firstLine="987"/>
        <w:spacing w:after="0" w:line="259" w:lineRule="auto"/>
        <w:tabs>
          <w:tab w:leader="none" w:pos="12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4" w:right="80" w:firstLine="987"/>
        <w:spacing w:after="0" w:line="259" w:lineRule="auto"/>
        <w:tabs>
          <w:tab w:leader="none" w:pos="125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90" w:lineRule="exact"/>
        <w:rPr>
          <w:rFonts w:ascii="Arial" w:cs="Arial" w:eastAsia="Arial" w:hAnsi="Arial"/>
          <w:sz w:val="18"/>
          <w:szCs w:val="18"/>
          <w:color w:val="auto"/>
        </w:rPr>
      </w:pPr>
    </w:p>
    <w:p>
      <w:pPr>
        <w:ind w:left="264" w:hanging="264"/>
        <w:spacing w:after="0"/>
        <w:tabs>
          <w:tab w:leader="none" w:pos="264"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Indemnities to Survive.</w:t>
      </w:r>
    </w:p>
    <w:p>
      <w:pPr>
        <w:spacing w:after="0" w:line="121"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The respective agreements, representations, warranties, indemnities and other statements of the Company or its executive officers and of the Underwriters set forth in or made pursuant to this Agreement will remain in full force and effect, regardless of any investigation made by or on behalf of any Underwriter or the Company or any of the executive officers, directors, employees, agents, affiliates or controlling persons referred to in Section 8 hereof, and will survive delivery of and payment for the Securities. The provisions of Sections 7 and 8 hereof shall survive the termination or cancellation of this Agreement.</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13. Notices.</w:t>
      </w:r>
    </w:p>
    <w:p>
      <w:pPr>
        <w:spacing w:after="0" w:line="121" w:lineRule="exact"/>
        <w:rPr>
          <w:sz w:val="20"/>
          <w:szCs w:val="20"/>
          <w:color w:val="auto"/>
        </w:rPr>
      </w:pPr>
    </w:p>
    <w:p>
      <w:pPr>
        <w:ind w:left="4" w:right="560" w:firstLine="440"/>
        <w:spacing w:after="0" w:line="291" w:lineRule="auto"/>
        <w:rPr>
          <w:sz w:val="20"/>
          <w:szCs w:val="20"/>
          <w:color w:val="auto"/>
        </w:rPr>
      </w:pPr>
      <w:r>
        <w:rPr>
          <w:rFonts w:ascii="Arial" w:cs="Arial" w:eastAsia="Arial" w:hAnsi="Arial"/>
          <w:sz w:val="16"/>
          <w:szCs w:val="16"/>
          <w:color w:val="auto"/>
        </w:rPr>
        <w:t>All communications hereunder will be in writing and effective only on receipt, and, if sent to the Underwriters, will be mailed, delivered or telefaxed to (i) Citigroup Global Markets Inc., 388 Greenwich Street, New York, New York, 10013, Attention: General Counsel (fax no.: (646)</w:t>
      </w:r>
    </w:p>
    <w:p>
      <w:pPr>
        <w:ind w:left="4"/>
        <w:spacing w:after="0"/>
        <w:rPr>
          <w:sz w:val="20"/>
          <w:szCs w:val="20"/>
          <w:color w:val="auto"/>
        </w:rPr>
      </w:pPr>
      <w:r>
        <w:rPr>
          <w:rFonts w:ascii="Arial" w:cs="Arial" w:eastAsia="Arial" w:hAnsi="Arial"/>
          <w:sz w:val="17"/>
          <w:szCs w:val="17"/>
          <w:color w:val="auto"/>
        </w:rPr>
        <w:t>291-1469), and (ii) Barclays Capital Inc., 745 Seventh Avenue, New York, New York 10019, Attention: Syndicate Registration (fax no.: (646)</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834-8133), and confirmed to White &amp; Case LLP, 1221 Avenue of the Americas, New York, NY 10020, Attention: Joel L. Rubinstein (fax no.: (212)</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354-8113); or, if sent to the Company, will be mailed, delivered or telefaxed to ArcLight Clean Transition Corp. II, Attention: Christine M. Miller (fax</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(617) 867-4698), and confirmed to Kirkland &amp; Ellis LLP, Attention: Christian O. Nagler (fax no.: (212) 466-6460).</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14. Successors.</w:t>
      </w:r>
    </w:p>
    <w:p>
      <w:pPr>
        <w:spacing w:after="0" w:line="121" w:lineRule="exact"/>
        <w:rPr>
          <w:sz w:val="20"/>
          <w:szCs w:val="20"/>
          <w:color w:val="auto"/>
        </w:rPr>
      </w:pPr>
    </w:p>
    <w:p>
      <w:pPr>
        <w:ind w:left="4" w:right="480" w:firstLine="440"/>
        <w:spacing w:after="0" w:line="263" w:lineRule="auto"/>
        <w:rPr>
          <w:sz w:val="20"/>
          <w:szCs w:val="20"/>
          <w:color w:val="auto"/>
        </w:rPr>
      </w:pPr>
      <w:r>
        <w:rPr>
          <w:rFonts w:ascii="Arial" w:cs="Arial" w:eastAsia="Arial" w:hAnsi="Arial"/>
          <w:sz w:val="18"/>
          <w:szCs w:val="18"/>
          <w:color w:val="auto"/>
        </w:rPr>
        <w:t>This Agreement will inure to the benefit of and be binding upon the parties hereto and their respective successors and the executive officers, directors, employees, agents and controlling persons and their affiliates referred to in Section 8 hereof, and no other person will have any right or obligation hereunder.</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15. No Fiduciary Duty.</w:t>
      </w:r>
    </w:p>
    <w:p>
      <w:pPr>
        <w:spacing w:after="0" w:line="121" w:lineRule="exact"/>
        <w:rPr>
          <w:sz w:val="20"/>
          <w:szCs w:val="20"/>
          <w:color w:val="auto"/>
        </w:rPr>
      </w:pPr>
    </w:p>
    <w:p>
      <w:pPr>
        <w:ind w:left="4" w:right="400" w:firstLine="440"/>
        <w:spacing w:after="0" w:line="291" w:lineRule="auto"/>
        <w:rPr>
          <w:sz w:val="20"/>
          <w:szCs w:val="20"/>
          <w:color w:val="auto"/>
        </w:rPr>
      </w:pPr>
      <w:r>
        <w:rPr>
          <w:rFonts w:ascii="Arial" w:cs="Arial" w:eastAsia="Arial" w:hAnsi="Arial"/>
          <w:sz w:val="16"/>
          <w:szCs w:val="16"/>
          <w:color w:val="auto"/>
        </w:rPr>
        <w:t>The Company hereby acknowledges and agrees that (a) the purchase and sale of the Securities pursuant to this Agreement is an arm’s-length commercial transaction between the Company, on the one hand, and the Underwriters and any affiliate through which it may be acting, on the other</w:t>
      </w:r>
    </w:p>
    <w:p>
      <w:pPr>
        <w:ind w:left="4" w:right="20" w:hanging="4"/>
        <w:spacing w:after="0" w:line="252" w:lineRule="auto"/>
        <w:tabs>
          <w:tab w:leader="none" w:pos="25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Underwriters are acting as principal and not as an agent, financial advisor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4"/>
          </w:cols>
          <w:pgMar w:left="436" w:top="274" w:right="4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 Integration.</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Applicable Law.</w:t>
      </w:r>
    </w:p>
    <w:p>
      <w:pPr>
        <w:spacing w:after="0" w:line="12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This Agreement will be governed by and construed in accordance with the laws of the State of New York applicable to contracts made and to be performed within the State of New York.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Jurisdiction.</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Company agrees that any suit, action or proceeding against the Company brought by any Underwriter, the directors, officers, employees, affiliates and agents of any Underwriter, or by any person who controls any Underwriter, arising out of or based upon this Agreement or the transactions contemplated hereby must be instituted in any State or U.S. federal court in the City of New York and County of New York, and waives any objection which it may now or hereafter have to the laying of venue of any such proceeding, and irrevocably submits to the exclusive jurisdiction of such courts in any suit, action or proceeding.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Waiver of Jury Trial.</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COMPANY HEREBY IRREVOCABLY WAIVES, TO THE FULLEST EXTENT PERMITTED BY APPLICABLE LAW, ANY AND ALL RIGHT TO TRIAL BY JURY IN ANY LEGAL PROCEEDING ARISING OUT OF OR RELATING TO THIS AGREEMENT OR THE TRANSACTIONS CONTEMPLATED HEREBY.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Patriot Act</w:t>
      </w:r>
    </w:p>
    <w:p>
      <w:pPr>
        <w:spacing w:after="0" w:line="121"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Counterparts.</w:t>
      </w:r>
    </w:p>
    <w:p>
      <w:pPr>
        <w:spacing w:after="0" w:line="12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This Agreement may be signed in one or more counterparts, each of which shall constitute an original and all of which together shall constitute one and the same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Headings.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section headings used herein are for convenience only and shall not affect the construction hereof.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terms which follow, when used in this Agreement, shall have the meanings indicated.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shall mean “affiliate” as defined in, and shall be interpreted in accordance with, 12 U.S.C. § 1841(k).</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0" w:right="439" w:bottom="1440" w:gutter="0" w:footer="0" w:header="0"/>
        </w:sectPr>
      </w:pPr>
    </w:p>
    <w:bookmarkStart w:id="229" w:name="page230"/>
    <w:bookmarkEnd w:id="229"/>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Default Right</w:t>
      </w:r>
      <w:r>
        <w:rPr>
          <w:rFonts w:ascii="Arial" w:cs="Arial" w:eastAsia="Arial" w:hAnsi="Arial"/>
          <w:sz w:val="17"/>
          <w:szCs w:val="17"/>
          <w:color w:val="auto"/>
        </w:rPr>
        <w:t>” shall mean default right as defined and interpreted in accordance with, 12 C.F.R. §§ 252.81, 47.2 or 382.1, as applicable.</w:t>
      </w:r>
    </w:p>
    <w:p>
      <w:pPr>
        <w:spacing w:after="0" w:line="23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any post-effective amendment or amendments thereto and any Rule 462(b) Registration Statement became or becomes effective.</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 2021, at [●] pm, New York City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Rule 433.</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shall mean the preliminary prospectus referred to in paragraph 1(a) above and any preliminary prospectus included in the Registration Statement at the Effective Date that omits Rule 430A Information.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prospectus relating to the Securities that is first filed pursuant to Rule 424(b) after the Execution Time.</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shall mean the registration statement referred to in paragraph 1(a) above, including exhibits and financial statements and any information deemed part of such registration statement pursuant to Rule 430A, as amended or supplemented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17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158</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419</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430A</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w:t>
      </w:r>
      <w:r>
        <w:rPr>
          <w:rFonts w:ascii="Arial" w:cs="Arial" w:eastAsia="Arial" w:hAnsi="Arial"/>
          <w:sz w:val="18"/>
          <w:szCs w:val="18"/>
          <w:u w:val="single" w:color="auto"/>
          <w:color w:val="auto"/>
        </w:rPr>
        <w:t>Rule 433</w:t>
      </w:r>
      <w:r>
        <w:rPr>
          <w:rFonts w:ascii="Arial" w:cs="Arial" w:eastAsia="Arial" w:hAnsi="Arial"/>
          <w:sz w:val="18"/>
          <w:szCs w:val="18"/>
          <w:color w:val="auto"/>
        </w:rPr>
        <w:t>” and “</w:t>
      </w:r>
      <w:r>
        <w:rPr>
          <w:rFonts w:ascii="Arial" w:cs="Arial" w:eastAsia="Arial" w:hAnsi="Arial"/>
          <w:sz w:val="18"/>
          <w:szCs w:val="18"/>
          <w:u w:val="single" w:color="auto"/>
          <w:color w:val="auto"/>
        </w:rPr>
        <w:t>Rule 462</w:t>
      </w:r>
      <w:r>
        <w:rPr>
          <w:rFonts w:ascii="Arial" w:cs="Arial" w:eastAsia="Arial" w:hAnsi="Arial"/>
          <w:sz w:val="18"/>
          <w:szCs w:val="18"/>
          <w:color w:val="auto"/>
        </w:rPr>
        <w:t>” refer to such rules under the Act.</w:t>
      </w:r>
    </w:p>
    <w:p>
      <w:pPr>
        <w:spacing w:after="0" w:line="170"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430A Information</w:t>
      </w:r>
      <w:r>
        <w:rPr>
          <w:rFonts w:ascii="Arial" w:cs="Arial" w:eastAsia="Arial" w:hAnsi="Arial"/>
          <w:sz w:val="18"/>
          <w:szCs w:val="18"/>
          <w:color w:val="auto"/>
        </w:rPr>
        <w:t>” shall mean information with respect to the Securities and the Offering thereof permitted to be omitted from the Registration Statement when it becomes effective pursuant to Rule 430A.</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shall mean a registration statement and any amendments thereto filed pursuant to Rule 462(b) relating to the Offering covered by the registration statement referred to in Section 1(a) hereof.</w:t>
      </w:r>
    </w:p>
    <w:p>
      <w:pPr>
        <w:spacing w:after="0" w:line="170"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Prospectus</w:t>
      </w:r>
      <w:r>
        <w:rPr>
          <w:rFonts w:ascii="Arial" w:cs="Arial" w:eastAsia="Arial" w:hAnsi="Arial"/>
          <w:sz w:val="18"/>
          <w:szCs w:val="18"/>
          <w:color w:val="auto"/>
        </w:rPr>
        <w:t>” shall mean the (i) Preliminary Prospectus dated [●], 2021, relating to the Securities and (ii) the Time of Delivery Information, if any, set forth on Schedule II hereto.</w:t>
      </w:r>
    </w:p>
    <w:p>
      <w:pPr>
        <w:spacing w:after="0" w:line="170" w:lineRule="exact"/>
        <w:rPr>
          <w:sz w:val="20"/>
          <w:szCs w:val="20"/>
          <w:color w:val="auto"/>
        </w:rPr>
      </w:pPr>
    </w:p>
    <w:p>
      <w:pPr>
        <w:ind w:right="4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Special Resolution Regime</w:t>
      </w:r>
      <w:r>
        <w:rPr>
          <w:rFonts w:ascii="Arial" w:cs="Arial" w:eastAsia="Arial" w:hAnsi="Arial"/>
          <w:sz w:val="17"/>
          <w:szCs w:val="17"/>
          <w:color w:val="auto"/>
        </w:rPr>
        <w:t>” shall mean each of (i) the Federal Deposit Insurance Act and the regulations promulgated thereunder and (ii) Title II of the Dodd-Frank Wall Street Reform and Consumer Protection Act and the regulations promulgated thereunder.</w:t>
      </w:r>
    </w:p>
    <w:p>
      <w:pPr>
        <w:spacing w:after="0" w:line="146"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230" w:name="page231"/>
    <w:bookmarkEnd w:id="23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ARCLIGHT CLEAN TRANSITION CORP. II</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President and Chief Executive Officer</w:t>
      </w: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[Signature Page to Underwriting Agreement]</w:t>
      </w:r>
    </w:p>
    <w:p>
      <w:pPr>
        <w:sectPr>
          <w:pgSz w:w="11900" w:h="16838" w:orient="portrait"/>
          <w:cols w:equalWidth="0" w:num="1">
            <w:col w:w="9140"/>
          </w:cols>
          <w:pgMar w:left="1440" w:top="274" w:right="131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Agreement is hereby confirmed and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[Signature Page to Underwriting Agreement]</w:t>
      </w:r>
    </w:p>
    <w:p>
      <w:pPr>
        <w:sectPr>
          <w:pgSz w:w="11900" w:h="16838" w:orient="portrait"/>
          <w:cols w:equalWidth="0" w:num="1">
            <w:col w:w="10019"/>
          </w:cols>
          <w:pgMar w:left="440" w:top="274" w:right="1440"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6040" w:type="dxa"/>
            <w:vAlign w:val="bottom"/>
            <w:gridSpan w:val="4"/>
          </w:tcPr>
          <w:p>
            <w:pPr>
              <w:spacing w:after="0"/>
              <w:rPr>
                <w:sz w:val="20"/>
                <w:szCs w:val="20"/>
                <w:color w:val="auto"/>
              </w:rPr>
            </w:pPr>
            <w:r>
              <w:rPr>
                <w:rFonts w:ascii="Arial" w:cs="Arial" w:eastAsia="Arial" w:hAnsi="Arial"/>
                <w:sz w:val="18"/>
                <w:szCs w:val="18"/>
                <w:color w:val="auto"/>
              </w:rPr>
              <w:t>SCHEDULE I</w:t>
            </w:r>
          </w:p>
        </w:tc>
        <w:tc>
          <w:tcPr>
            <w:tcW w:w="0" w:type="dxa"/>
            <w:vAlign w:val="bottom"/>
          </w:tcPr>
          <w:p>
            <w:pPr>
              <w:spacing w:after="0"/>
              <w:rPr>
                <w:sz w:val="1"/>
                <w:szCs w:val="1"/>
                <w:color w:val="auto"/>
              </w:rPr>
            </w:pPr>
          </w:p>
        </w:tc>
      </w:tr>
      <w:tr>
        <w:trPr>
          <w:trHeight w:val="389"/>
        </w:trPr>
        <w:tc>
          <w:tcPr>
            <w:tcW w:w="8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960" w:type="dxa"/>
            <w:vAlign w:val="bottom"/>
          </w:tcPr>
          <w:p>
            <w:pPr>
              <w:spacing w:after="0"/>
              <w:rPr>
                <w:sz w:val="24"/>
                <w:szCs w:val="2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Underwritten</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4140" w:type="dxa"/>
            <w:vAlign w:val="bottom"/>
            <w:vMerge w:val="restart"/>
          </w:tcPr>
          <w:p>
            <w:pPr>
              <w:spacing w:after="0"/>
              <w:rPr>
                <w:sz w:val="12"/>
                <w:szCs w:val="12"/>
                <w:color w:val="auto"/>
              </w:rPr>
            </w:pPr>
          </w:p>
        </w:tc>
        <w:tc>
          <w:tcPr>
            <w:tcW w:w="10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0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to be Purchased</w:t>
            </w: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Citigroup Global Markets Inc.</w:t>
            </w:r>
          </w:p>
        </w:tc>
        <w:tc>
          <w:tcPr>
            <w:tcW w:w="1040" w:type="dxa"/>
            <w:vAlign w:val="bottom"/>
            <w:tcBorders>
              <w:top w:val="single" w:sz="8" w:color="CCEEFF"/>
            </w:tcBorders>
            <w:shd w:val="clear" w:color="auto" w:fill="CCEEFF"/>
          </w:tcPr>
          <w:p>
            <w:pPr>
              <w:spacing w:after="0"/>
              <w:rPr>
                <w:sz w:val="17"/>
                <w:szCs w:val="17"/>
                <w:color w:val="auto"/>
              </w:rPr>
            </w:pPr>
          </w:p>
        </w:tc>
        <w:tc>
          <w:tcPr>
            <w:tcW w:w="39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0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000" w:type="dxa"/>
            <w:vAlign w:val="bottom"/>
            <w:gridSpan w:val="2"/>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33" w:name="page234"/>
    <w:bookmarkEnd w:id="233"/>
    <w:p>
      <w:pPr>
        <w:jc w:val="right"/>
        <w:ind w:right="39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Time of Delivery Information</w:t>
      </w:r>
    </w:p>
    <w:p>
      <w:pPr>
        <w:spacing w:after="0" w:line="131" w:lineRule="exact"/>
        <w:rPr>
          <w:sz w:val="20"/>
          <w:szCs w:val="20"/>
          <w:color w:val="auto"/>
        </w:rPr>
      </w:pPr>
    </w:p>
    <w:p>
      <w:pPr>
        <w:ind w:left="344" w:hanging="344"/>
        <w:spacing w:after="0"/>
        <w:tabs>
          <w:tab w:leader="none" w:pos="34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initial price to the public of the Securities: $10.00 per Unit.</w:t>
      </w:r>
    </w:p>
    <w:p>
      <w:pPr>
        <w:spacing w:after="0" w:line="117" w:lineRule="exact"/>
        <w:rPr>
          <w:rFonts w:ascii="Arial" w:cs="Arial" w:eastAsia="Arial" w:hAnsi="Arial"/>
          <w:sz w:val="18"/>
          <w:szCs w:val="18"/>
          <w:color w:val="auto"/>
        </w:rPr>
      </w:pPr>
    </w:p>
    <w:p>
      <w:pPr>
        <w:ind w:left="344" w:right="5639" w:hanging="344"/>
        <w:spacing w:after="0" w:line="402" w:lineRule="auto"/>
        <w:tabs>
          <w:tab w:leader="none" w:pos="34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Number of Underwritten Securities offered: 25,000,000. [●]</w:t>
      </w:r>
    </w:p>
    <w:p>
      <w:pPr>
        <w:sectPr>
          <w:pgSz w:w="11900" w:h="16838" w:orient="portrait"/>
          <w:cols w:equalWidth="0" w:num="1">
            <w:col w:w="10023"/>
          </w:cols>
          <w:pgMar w:left="436" w:top="274" w:right="1440" w:bottom="1440" w:gutter="0" w:footer="0" w:header="0"/>
        </w:sectPr>
      </w:pPr>
    </w:p>
    <w:bookmarkStart w:id="234" w:name="page235"/>
    <w:bookmarkEnd w:id="234"/>
    <w:p>
      <w:pPr>
        <w:jc w:val="right"/>
        <w:ind w:right="39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of 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4" w:right="1440"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171450</wp:posOffset>
            </wp:positionV>
            <wp:extent cx="1157605" cy="1431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115760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COMPANIES ACT (2020 REVISION)</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COMPANY LIMITED BY SHARES</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ARCLIGHT CLEAN TRANSITION CORP. II</w:t>
      </w:r>
    </w:p>
    <w:p>
      <w:pPr>
        <w:sectPr>
          <w:pgSz w:w="11900" w:h="16838" w:orient="portrait"/>
          <w:cols w:equalWidth="0" w:num="1">
            <w:col w:w="10020"/>
          </w:cols>
          <w:pgMar w:left="1440" w:top="121" w:right="439" w:bottom="1440" w:gutter="0" w:footer="0" w:header="0"/>
        </w:sectPr>
      </w:pPr>
    </w:p>
    <w:bookmarkStart w:id="236" w:name="page237"/>
    <w:bookmarkEnd w:id="2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THE COMPANIES ACT (2020 REVISION)</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COMPANY LIMITED BY SHARES</w:t>
      </w:r>
    </w:p>
    <w:p>
      <w:pPr>
        <w:spacing w:after="0" w:line="20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MEMORANDUM OF ASSOCIATION</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ARCLIGHT CLEAN TRANSITION CORP. II</w:t>
      </w:r>
    </w:p>
    <w:p>
      <w:pPr>
        <w:spacing w:after="0" w:line="234" w:lineRule="exact"/>
        <w:rPr>
          <w:sz w:val="20"/>
          <w:szCs w:val="20"/>
          <w:color w:val="auto"/>
        </w:rPr>
      </w:pPr>
    </w:p>
    <w:p>
      <w:pPr>
        <w:ind w:left="544" w:hanging="544"/>
        <w:spacing w:after="0"/>
        <w:tabs>
          <w:tab w:leader="none" w:pos="54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ArcLight Clean Transition Corp. II</w:t>
      </w:r>
    </w:p>
    <w:p>
      <w:pPr>
        <w:spacing w:after="0" w:line="135" w:lineRule="exact"/>
        <w:rPr>
          <w:sz w:val="20"/>
          <w:szCs w:val="20"/>
          <w:color w:val="auto"/>
        </w:rPr>
      </w:pPr>
    </w:p>
    <w:p>
      <w:pPr>
        <w:ind w:left="544" w:right="600" w:hanging="544"/>
        <w:spacing w:after="0" w:line="308" w:lineRule="auto"/>
        <w:tabs>
          <w:tab w:leader="none" w:pos="54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52" w:lineRule="exact"/>
        <w:rPr>
          <w:sz w:val="20"/>
          <w:szCs w:val="20"/>
          <w:color w:val="auto"/>
        </w:rPr>
      </w:pPr>
    </w:p>
    <w:p>
      <w:pPr>
        <w:ind w:left="544" w:right="140" w:hanging="544"/>
        <w:spacing w:after="0" w:line="277" w:lineRule="auto"/>
        <w:tabs>
          <w:tab w:leader="none" w:pos="54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laws of the Cayman Islands.</w:t>
      </w:r>
    </w:p>
    <w:p>
      <w:pPr>
        <w:spacing w:after="0" w:line="76" w:lineRule="exact"/>
        <w:rPr>
          <w:sz w:val="20"/>
          <w:szCs w:val="20"/>
          <w:color w:val="auto"/>
        </w:rPr>
      </w:pPr>
    </w:p>
    <w:p>
      <w:pPr>
        <w:ind w:left="544" w:hanging="544"/>
        <w:spacing w:after="0"/>
        <w:tabs>
          <w:tab w:leader="none" w:pos="54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unpaid on such Member’s shares.</w:t>
      </w:r>
    </w:p>
    <w:p>
      <w:pPr>
        <w:spacing w:after="0" w:line="131" w:lineRule="exact"/>
        <w:rPr>
          <w:sz w:val="20"/>
          <w:szCs w:val="20"/>
          <w:color w:val="auto"/>
        </w:rPr>
      </w:pPr>
    </w:p>
    <w:p>
      <w:pPr>
        <w:ind w:left="544" w:hanging="544"/>
        <w:spacing w:after="0" w:line="342" w:lineRule="auto"/>
        <w:tabs>
          <w:tab w:leader="none" w:pos="54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share capital of the Company is US$55,500 divided into 500,000,000 Class A ordinary shares of a par value of US$0.0001 each, 50,000,000 Class B ordinary shares of a par value of US$0.0001 each and 5,000,000 preference shares of a par value of US$0.0001 each.</w:t>
      </w:r>
    </w:p>
    <w:p>
      <w:pPr>
        <w:spacing w:after="0" w:line="29" w:lineRule="exact"/>
        <w:rPr>
          <w:sz w:val="20"/>
          <w:szCs w:val="20"/>
          <w:color w:val="auto"/>
        </w:rPr>
      </w:pPr>
    </w:p>
    <w:p>
      <w:pPr>
        <w:ind w:left="544" w:right="140" w:hanging="544"/>
        <w:spacing w:after="0" w:line="277" w:lineRule="auto"/>
        <w:tabs>
          <w:tab w:leader="none" w:pos="54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76" w:lineRule="exact"/>
        <w:rPr>
          <w:sz w:val="20"/>
          <w:szCs w:val="20"/>
          <w:color w:val="auto"/>
        </w:rPr>
      </w:pPr>
    </w:p>
    <w:p>
      <w:pPr>
        <w:ind w:left="544" w:right="660" w:hanging="544"/>
        <w:spacing w:after="0" w:line="277" w:lineRule="auto"/>
        <w:tabs>
          <w:tab w:leader="none" w:pos="54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Capitalised terms that are not defined in this Memorandum of Association bear the respective meanings given to them in the Articles of Association of the Company.</w:t>
      </w:r>
    </w:p>
    <w:p>
      <w:pPr>
        <w:sectPr>
          <w:pgSz w:w="11900" w:h="16838" w:orient="portrait"/>
          <w:cols w:equalWidth="0" w:num="1">
            <w:col w:w="10964"/>
          </w:cols>
          <w:pgMar w:left="436" w:top="1440" w:right="499" w:bottom="1440" w:gutter="0" w:footer="0" w:header="0"/>
        </w:sectPr>
      </w:pPr>
    </w:p>
    <w:bookmarkStart w:id="237" w:name="page238"/>
    <w:bookmarkEnd w:id="2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the subscriber to this Memorandum of Association, wish to form a company pursuant to this Memorandum of Association, and we agree to take the number of shares shown opposite our name. Dated this 13th day of January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Signature and Address of Subscriber</w:t>
            </w:r>
          </w:p>
        </w:tc>
        <w:tc>
          <w:tcPr>
            <w:tcW w:w="2660" w:type="dxa"/>
            <w:vAlign w:val="bottom"/>
            <w:gridSpan w:val="2"/>
          </w:tcPr>
          <w:p>
            <w:pPr>
              <w:ind w:left="680"/>
              <w:spacing w:after="0"/>
              <w:rPr>
                <w:sz w:val="20"/>
                <w:szCs w:val="20"/>
                <w:color w:val="auto"/>
              </w:rPr>
            </w:pPr>
            <w:r>
              <w:rPr>
                <w:rFonts w:ascii="Arial" w:cs="Arial" w:eastAsia="Arial" w:hAnsi="Arial"/>
                <w:sz w:val="18"/>
                <w:szCs w:val="18"/>
                <w:b w:val="1"/>
                <w:bCs w:val="1"/>
                <w:color w:val="auto"/>
                <w:w w:val="92"/>
              </w:rPr>
              <w:t>Number of Shares Taken</w:t>
            </w:r>
          </w:p>
        </w:tc>
      </w:tr>
      <w:tr>
        <w:trPr>
          <w:trHeight w:val="418"/>
        </w:trPr>
        <w:tc>
          <w:tcPr>
            <w:tcW w:w="3520" w:type="dxa"/>
            <w:vAlign w:val="bottom"/>
          </w:tcPr>
          <w:p>
            <w:pPr>
              <w:spacing w:after="0"/>
              <w:rPr>
                <w:sz w:val="20"/>
                <w:szCs w:val="20"/>
                <w:color w:val="auto"/>
              </w:rPr>
            </w:pPr>
            <w:r>
              <w:rPr>
                <w:rFonts w:ascii="Arial" w:cs="Arial" w:eastAsia="Arial" w:hAnsi="Arial"/>
                <w:sz w:val="18"/>
                <w:szCs w:val="18"/>
                <w:color w:val="auto"/>
              </w:rPr>
              <w:t>Maples Corporate Services Limited</w:t>
            </w:r>
          </w:p>
        </w:tc>
        <w:tc>
          <w:tcPr>
            <w:tcW w:w="2660" w:type="dxa"/>
            <w:vAlign w:val="bottom"/>
            <w:gridSpan w:val="2"/>
          </w:tcPr>
          <w:p>
            <w:pPr>
              <w:ind w:left="680"/>
              <w:spacing w:after="0"/>
              <w:rPr>
                <w:sz w:val="20"/>
                <w:szCs w:val="20"/>
                <w:color w:val="auto"/>
              </w:rPr>
            </w:pPr>
            <w:r>
              <w:rPr>
                <w:rFonts w:ascii="Arial" w:cs="Arial" w:eastAsia="Arial" w:hAnsi="Arial"/>
                <w:sz w:val="18"/>
                <w:szCs w:val="18"/>
                <w:color w:val="auto"/>
                <w:w w:val="88"/>
              </w:rPr>
              <w:t>One Class B ordinary share</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of PO Box 309, Ugland House</w:t>
            </w:r>
          </w:p>
        </w:tc>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Grand Cayman</w:t>
            </w:r>
          </w:p>
        </w:tc>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KY1-1104</w:t>
            </w:r>
          </w:p>
        </w:tc>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Cayman Islands</w:t>
            </w:r>
          </w:p>
        </w:tc>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acting by:</w:t>
            </w: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80"/>
        </w:trPr>
        <w:tc>
          <w:tcPr>
            <w:tcW w:w="3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80" w:type="dxa"/>
            <w:vAlign w:val="bottom"/>
          </w:tcPr>
          <w:p>
            <w:pPr>
              <w:spacing w:after="0"/>
              <w:rPr>
                <w:sz w:val="24"/>
                <w:szCs w:val="24"/>
                <w:color w:val="auto"/>
              </w:rPr>
            </w:pP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Salome Laidlaw</w:t>
            </w:r>
          </w:p>
        </w:tc>
        <w:tc>
          <w:tcPr>
            <w:tcW w:w="88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934085" cy="1968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934085" cy="1968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1285875" cy="4286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Ella Ebanks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Witness to the above signature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1440" w:right="479" w:bottom="1440" w:gutter="0" w:footer="0" w:header="0"/>
        </w:sectPr>
      </w:pPr>
    </w:p>
    <w:bookmarkStart w:id="238" w:name="page239"/>
    <w:bookmarkEnd w:id="2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THE COMPANIES ACT (2020 REVISION)</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COMPANY LIMITED BY SHARES</w:t>
      </w:r>
    </w:p>
    <w:p>
      <w:pPr>
        <w:spacing w:after="0" w:line="20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ARTICLES OF ASSOCIATION</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ARCLIGHT CLEAN TRANSITION CORP. II</w:t>
      </w:r>
    </w:p>
    <w:p>
      <w:pPr>
        <w:spacing w:after="0" w:line="234" w:lineRule="exact"/>
        <w:rPr>
          <w:sz w:val="20"/>
          <w:szCs w:val="20"/>
          <w:color w:val="auto"/>
        </w:rPr>
      </w:pPr>
    </w:p>
    <w:p>
      <w:pPr>
        <w:ind w:left="544" w:hanging="544"/>
        <w:spacing w:after="0"/>
        <w:tabs>
          <w:tab w:leader="none" w:pos="544"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ind w:left="544" w:right="300" w:hanging="539"/>
        <w:spacing w:after="0" w:line="277"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the Articles Table A in the First Schedule to the Statute does not apply and, unless there is something in the subject or context inconsistent therewith:</w:t>
      </w:r>
    </w:p>
    <w:p>
      <w:pPr>
        <w:sectPr>
          <w:pgSz w:w="11900" w:h="16838" w:orient="portrait"/>
          <w:cols w:equalWidth="0" w:num="1">
            <w:col w:w="10984"/>
          </w:cols>
          <w:pgMar w:left="436" w:top="1440" w:right="479" w:bottom="1440" w:gutter="0" w:footer="0" w:header="0"/>
        </w:sectPr>
      </w:pPr>
    </w:p>
    <w:p>
      <w:pPr>
        <w:spacing w:after="0" w:line="193" w:lineRule="exact"/>
        <w:rPr>
          <w:sz w:val="20"/>
          <w:szCs w:val="20"/>
          <w:color w:val="auto"/>
        </w:rPr>
      </w:pPr>
    </w:p>
    <w:p>
      <w:pPr>
        <w:ind w:left="544"/>
        <w:spacing w:after="0"/>
        <w:rPr>
          <w:sz w:val="20"/>
          <w:szCs w:val="20"/>
          <w:color w:val="auto"/>
        </w:rPr>
      </w:pPr>
      <w:r>
        <w:rPr>
          <w:rFonts w:ascii="Arial" w:cs="Arial" w:eastAsia="Arial" w:hAnsi="Arial"/>
          <w:sz w:val="16"/>
          <w:szCs w:val="16"/>
          <w:b w:val="1"/>
          <w:bCs w:val="1"/>
          <w:color w:val="auto"/>
        </w:rPr>
        <w:t>“Articles”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means these articles of association of the Company.</w:t>
      </w:r>
    </w:p>
    <w:p>
      <w:pPr>
        <w:spacing w:after="0" w:line="136" w:lineRule="exact"/>
        <w:rPr>
          <w:sz w:val="20"/>
          <w:szCs w:val="20"/>
          <w:color w:val="auto"/>
        </w:rPr>
      </w:pPr>
    </w:p>
    <w:p>
      <w:pPr>
        <w:sectPr>
          <w:pgSz w:w="11900" w:h="16838" w:orient="portrait"/>
          <w:cols w:equalWidth="0" w:num="2">
            <w:col w:w="2444" w:space="720"/>
            <w:col w:w="7820"/>
          </w:cols>
          <w:pgMar w:left="436" w:top="1440" w:right="479" w:bottom="1440" w:gutter="0" w:footer="0" w:header="0"/>
          <w:type w:val="continuous"/>
        </w:sectPr>
      </w:pPr>
    </w:p>
    <w:p>
      <w:pPr>
        <w:ind w:left="544"/>
        <w:spacing w:after="0"/>
        <w:rPr>
          <w:sz w:val="20"/>
          <w:szCs w:val="20"/>
          <w:color w:val="auto"/>
        </w:rPr>
      </w:pPr>
      <w:r>
        <w:rPr>
          <w:rFonts w:ascii="Arial" w:cs="Arial" w:eastAsia="Arial" w:hAnsi="Arial"/>
          <w:sz w:val="17"/>
          <w:szCs w:val="17"/>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person for the time being performing the duties of auditor of the Company (if any).</w:t>
      </w:r>
    </w:p>
    <w:p>
      <w:pPr>
        <w:spacing w:after="0" w:line="136" w:lineRule="exact"/>
        <w:rPr>
          <w:sz w:val="20"/>
          <w:szCs w:val="20"/>
          <w:color w:val="auto"/>
        </w:rPr>
      </w:pPr>
    </w:p>
    <w:p>
      <w:pPr>
        <w:sectPr>
          <w:pgSz w:w="11900" w:h="16838" w:orient="portrait"/>
          <w:cols w:equalWidth="0" w:num="2">
            <w:col w:w="2444" w:space="720"/>
            <w:col w:w="7820"/>
          </w:cols>
          <w:pgMar w:left="436" w:top="1440" w:right="47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“Business Combination”</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means a merger, amalgamation, share exchange, asset acquisition, share purchase, reorganisation or similar business combination involving the Company, with one or more businesses or entities (the “</w:t>
      </w:r>
      <w:r>
        <w:rPr>
          <w:rFonts w:ascii="Arial" w:cs="Arial" w:eastAsia="Arial" w:hAnsi="Arial"/>
          <w:sz w:val="17"/>
          <w:szCs w:val="17"/>
          <w:b w:val="1"/>
          <w:bCs w:val="1"/>
          <w:color w:val="auto"/>
        </w:rPr>
        <w:t>target</w:t>
      </w:r>
      <w:r>
        <w:rPr>
          <w:rFonts w:ascii="Arial" w:cs="Arial" w:eastAsia="Arial" w:hAnsi="Arial"/>
          <w:sz w:val="17"/>
          <w:szCs w:val="17"/>
          <w:color w:val="auto"/>
        </w:rPr>
        <w:t xml:space="preserve"> </w:t>
      </w:r>
      <w:r>
        <w:rPr>
          <w:rFonts w:ascii="Arial" w:cs="Arial" w:eastAsia="Arial" w:hAnsi="Arial"/>
          <w:sz w:val="17"/>
          <w:szCs w:val="17"/>
          <w:b w:val="1"/>
          <w:bCs w:val="1"/>
          <w:color w:val="auto"/>
        </w:rPr>
        <w:t>business</w:t>
      </w:r>
      <w:r>
        <w:rPr>
          <w:rFonts w:ascii="Arial" w:cs="Arial" w:eastAsia="Arial" w:hAnsi="Arial"/>
          <w:sz w:val="17"/>
          <w:szCs w:val="17"/>
          <w:color w:val="auto"/>
        </w:rPr>
        <w:t>”), which Business Combination: (a) must occur with one or more target businesses that together</w:t>
      </w:r>
      <w:r>
        <w:rPr>
          <w:rFonts w:ascii="Arial" w:cs="Arial" w:eastAsia="Arial" w:hAnsi="Arial"/>
          <w:sz w:val="17"/>
          <w:szCs w:val="17"/>
          <w:b w:val="1"/>
          <w:bCs w:val="1"/>
          <w:color w:val="auto"/>
        </w:rPr>
        <w:t xml:space="preserve"> </w:t>
      </w:r>
      <w:r>
        <w:rPr>
          <w:rFonts w:ascii="Arial" w:cs="Arial" w:eastAsia="Arial" w:hAnsi="Arial"/>
          <w:sz w:val="17"/>
          <w:szCs w:val="17"/>
          <w:color w:val="auto"/>
        </w:rPr>
        <w:t>have an aggregate fair market value of at least 80 per cent of the assets held in the Trust Account (excluding the deferred underwriting commissions and taxes payable on the income earned on the Trust Account) at the time of the agreement to enter into such Business Combination; and (b) must not be effectuated with another blank cheque company or a similar company with nominal operations.</w:t>
      </w:r>
    </w:p>
    <w:p>
      <w:pPr>
        <w:spacing w:after="0" w:line="65" w:lineRule="exact"/>
        <w:rPr>
          <w:sz w:val="20"/>
          <w:szCs w:val="20"/>
          <w:color w:val="auto"/>
        </w:rPr>
      </w:pPr>
    </w:p>
    <w:p>
      <w:pPr>
        <w:sectPr>
          <w:pgSz w:w="11900" w:h="16838" w:orient="portrait"/>
          <w:cols w:equalWidth="0" w:num="2">
            <w:col w:w="2444" w:space="720"/>
            <w:col w:w="7820"/>
          </w:cols>
          <w:pgMar w:left="436" w:top="1440" w:right="47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“Class A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Class A ordinary share of a par value of US$0.0001 in the share capital of the Company.</w:t>
      </w:r>
    </w:p>
    <w:p>
      <w:pPr>
        <w:spacing w:after="0" w:line="136" w:lineRule="exact"/>
        <w:rPr>
          <w:sz w:val="20"/>
          <w:szCs w:val="20"/>
          <w:color w:val="auto"/>
        </w:rPr>
      </w:pPr>
    </w:p>
    <w:p>
      <w:pPr>
        <w:sectPr>
          <w:pgSz w:w="11900" w:h="16838" w:orient="portrait"/>
          <w:cols w:equalWidth="0" w:num="2">
            <w:col w:w="2444" w:space="720"/>
            <w:col w:w="7820"/>
          </w:cols>
          <w:pgMar w:left="436" w:top="1440" w:right="47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“Class B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Class B ordinary share of a par value of US$0.0001 in the share capital of the Company.</w:t>
      </w:r>
    </w:p>
    <w:p>
      <w:pPr>
        <w:spacing w:after="0" w:line="136" w:lineRule="exact"/>
        <w:rPr>
          <w:sz w:val="20"/>
          <w:szCs w:val="20"/>
          <w:color w:val="auto"/>
        </w:rPr>
      </w:pPr>
    </w:p>
    <w:p>
      <w:pPr>
        <w:sectPr>
          <w:pgSz w:w="11900" w:h="16838" w:orient="portrait"/>
          <w:cols w:equalWidth="0" w:num="2">
            <w:col w:w="2444" w:space="720"/>
            <w:col w:w="7820"/>
          </w:cols>
          <w:pgMar w:left="436" w:top="1440" w:right="47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above named company.</w:t>
      </w:r>
    </w:p>
    <w:p>
      <w:pPr>
        <w:spacing w:after="0" w:line="147" w:lineRule="exact"/>
        <w:rPr>
          <w:sz w:val="20"/>
          <w:szCs w:val="20"/>
          <w:color w:val="auto"/>
        </w:rPr>
      </w:pPr>
    </w:p>
    <w:p>
      <w:pPr>
        <w:sectPr>
          <w:pgSz w:w="11900" w:h="16838" w:orient="portrait"/>
          <w:cols w:equalWidth="0" w:num="2">
            <w:col w:w="2444" w:space="720"/>
            <w:col w:w="7820"/>
          </w:cols>
          <w:pgMar w:left="436" w:top="1440" w:right="47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directors for the time being of the Company.</w:t>
      </w:r>
    </w:p>
    <w:p>
      <w:pPr>
        <w:sectPr>
          <w:pgSz w:w="11900" w:h="16838" w:orient="portrait"/>
          <w:cols w:equalWidth="0" w:num="2">
            <w:col w:w="2444" w:space="720"/>
            <w:col w:w="7820"/>
          </w:cols>
          <w:pgMar w:left="436" w:top="1440" w:right="479" w:bottom="1440" w:gutter="0" w:footer="0" w:header="0"/>
          <w:type w:val="continuous"/>
        </w:sectPr>
      </w:pPr>
    </w:p>
    <w:bookmarkStart w:id="239" w:name="page240"/>
    <w:bookmarkEnd w:id="2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means any dividend (whether interim or final) resolved to be paid on Shares pursuant to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-1727200</wp:posOffset>
            </wp:positionV>
            <wp:extent cx="7149465" cy="1525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1900" w:space="720"/>
            <w:col w:w="7820"/>
          </w:cols>
          <w:pgMar w:left="980" w:top="1440" w:right="479" w:bottom="1440" w:gutter="0" w:footer="0" w:header="0"/>
        </w:sectPr>
      </w:pPr>
    </w:p>
    <w:p>
      <w:pPr>
        <w:spacing w:after="0"/>
        <w:rPr>
          <w:sz w:val="20"/>
          <w:szCs w:val="20"/>
          <w:color w:val="auto"/>
        </w:rPr>
      </w:pPr>
      <w:r>
        <w:rPr>
          <w:rFonts w:ascii="Arial" w:cs="Arial" w:eastAsia="Arial" w:hAnsi="Arial"/>
          <w:sz w:val="16"/>
          <w:szCs w:val="16"/>
          <w:b w:val="1"/>
          <w:bCs w:val="1"/>
          <w:color w:val="auto"/>
        </w:rPr>
        <w:t>“Electronic Record”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same meaning as in the Electronic Transactions Act.</w:t>
      </w:r>
    </w:p>
    <w:p>
      <w:pPr>
        <w:spacing w:after="0" w:line="136" w:lineRule="exact"/>
        <w:rPr>
          <w:sz w:val="20"/>
          <w:szCs w:val="20"/>
          <w:color w:val="auto"/>
        </w:rPr>
      </w:pPr>
    </w:p>
    <w:p>
      <w:pPr>
        <w:sectPr>
          <w:pgSz w:w="11900" w:h="16838" w:orient="portrait"/>
          <w:cols w:equalWidth="0" w:num="2">
            <w:col w:w="1900" w:space="720"/>
            <w:col w:w="7820"/>
          </w:cols>
          <w:pgMar w:left="980" w:top="144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“Electronic Transactions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Electronic Transactions Act (2003 Revision) of the Cayman Islands.</w:t>
      </w:r>
    </w:p>
    <w:p>
      <w:pPr>
        <w:spacing w:after="0" w:line="136" w:lineRule="exact"/>
        <w:rPr>
          <w:sz w:val="20"/>
          <w:szCs w:val="20"/>
          <w:color w:val="auto"/>
        </w:rPr>
      </w:pPr>
    </w:p>
    <w:p>
      <w:pPr>
        <w:sectPr>
          <w:pgSz w:w="11900" w:h="16838" w:orient="portrait"/>
          <w:cols w:equalWidth="0" w:num="2">
            <w:col w:w="2320" w:space="300"/>
            <w:col w:w="7820"/>
          </w:cols>
          <w:pgMar w:left="980" w:top="144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“Equity-linked Securities”</w:t>
      </w:r>
    </w:p>
    <w:p>
      <w:pPr>
        <w:spacing w:after="0" w:line="20" w:lineRule="exact"/>
        <w:rPr>
          <w:sz w:val="20"/>
          <w:szCs w:val="20"/>
          <w:color w:val="auto"/>
        </w:rPr>
      </w:pPr>
      <w:r>
        <w:rPr>
          <w:sz w:val="20"/>
          <w:szCs w:val="20"/>
          <w:color w:val="auto"/>
        </w:rPr>
        <w:br w:type="column"/>
      </w:r>
    </w:p>
    <w:p>
      <w:pPr>
        <w:ind w:right="140"/>
        <w:spacing w:after="0" w:line="263" w:lineRule="auto"/>
        <w:rPr>
          <w:sz w:val="20"/>
          <w:szCs w:val="20"/>
          <w:color w:val="auto"/>
        </w:rPr>
      </w:pPr>
      <w:r>
        <w:rPr>
          <w:rFonts w:ascii="Arial" w:cs="Arial" w:eastAsia="Arial" w:hAnsi="Arial"/>
          <w:sz w:val="18"/>
          <w:szCs w:val="18"/>
          <w:color w:val="auto"/>
        </w:rPr>
        <w:t>means any debt or equity securities that are convertible, exercisable or exchangeable for Class A Shares issued in a financing transaction in connection with a Business Combination, including but not limited to a private placement of equity or debt.</w:t>
      </w:r>
    </w:p>
    <w:p>
      <w:pPr>
        <w:spacing w:after="0" w:line="72" w:lineRule="exact"/>
        <w:rPr>
          <w:sz w:val="20"/>
          <w:szCs w:val="20"/>
          <w:color w:val="auto"/>
        </w:rPr>
      </w:pPr>
    </w:p>
    <w:p>
      <w:pPr>
        <w:sectPr>
          <w:pgSz w:w="11900" w:h="16838" w:orient="portrait"/>
          <w:cols w:equalWidth="0" w:num="2">
            <w:col w:w="2040" w:space="580"/>
            <w:col w:w="7820"/>
          </w:cols>
          <w:pgMar w:left="980" w:top="1440" w:right="4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“IPO”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Company’s initial public offering of securities.</w:t>
      </w:r>
    </w:p>
    <w:p>
      <w:pPr>
        <w:spacing w:after="0" w:line="135" w:lineRule="exact"/>
        <w:rPr>
          <w:sz w:val="20"/>
          <w:szCs w:val="20"/>
          <w:color w:val="auto"/>
        </w:rPr>
      </w:pPr>
    </w:p>
    <w:p>
      <w:pPr>
        <w:sectPr>
          <w:pgSz w:w="11900" w:h="16838" w:orient="portrait"/>
          <w:cols w:equalWidth="0" w:num="2">
            <w:col w:w="1900" w:space="720"/>
            <w:col w:w="7820"/>
          </w:cols>
          <w:pgMar w:left="980" w:top="1440" w:right="4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same meaning as in the Statute.</w:t>
      </w:r>
    </w:p>
    <w:p>
      <w:pPr>
        <w:spacing w:after="0" w:line="147" w:lineRule="exact"/>
        <w:rPr>
          <w:sz w:val="20"/>
          <w:szCs w:val="20"/>
          <w:color w:val="auto"/>
        </w:rPr>
      </w:pPr>
    </w:p>
    <w:p>
      <w:pPr>
        <w:sectPr>
          <w:pgSz w:w="11900" w:h="16838" w:orient="portrait"/>
          <w:cols w:equalWidth="0" w:num="2">
            <w:col w:w="1900" w:space="720"/>
            <w:col w:w="7820"/>
          </w:cols>
          <w:pgMar w:left="980" w:top="1440" w:right="4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“Memorandum”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memorandum of association of the Company.</w:t>
      </w:r>
    </w:p>
    <w:p>
      <w:pPr>
        <w:spacing w:after="0" w:line="136" w:lineRule="exact"/>
        <w:rPr>
          <w:sz w:val="20"/>
          <w:szCs w:val="20"/>
          <w:color w:val="auto"/>
        </w:rPr>
      </w:pPr>
    </w:p>
    <w:p>
      <w:pPr>
        <w:sectPr>
          <w:pgSz w:w="11900" w:h="16838" w:orient="portrait"/>
          <w:cols w:equalWidth="0" w:num="2">
            <w:col w:w="1900" w:space="720"/>
            <w:col w:w="7820"/>
          </w:cols>
          <w:pgMar w:left="980" w:top="144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“Ordinary Resolution”</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p>
      <w:pPr>
        <w:spacing w:after="0" w:line="75" w:lineRule="exact"/>
        <w:rPr>
          <w:sz w:val="20"/>
          <w:szCs w:val="20"/>
          <w:color w:val="auto"/>
        </w:rPr>
      </w:pPr>
    </w:p>
    <w:p>
      <w:pPr>
        <w:sectPr>
          <w:pgSz w:w="11900" w:h="16838" w:orient="portrait"/>
          <w:cols w:equalWidth="0" w:num="2">
            <w:col w:w="1900" w:space="720"/>
            <w:col w:w="7820"/>
          </w:cols>
          <w:pgMar w:left="980" w:top="144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“Preference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preference share of a par value of US$0.0001 in the share capital of the Company.</w:t>
      </w:r>
    </w:p>
    <w:p>
      <w:pPr>
        <w:spacing w:after="0" w:line="136" w:lineRule="exact"/>
        <w:rPr>
          <w:sz w:val="20"/>
          <w:szCs w:val="20"/>
          <w:color w:val="auto"/>
        </w:rPr>
      </w:pPr>
    </w:p>
    <w:p>
      <w:pPr>
        <w:sectPr>
          <w:pgSz w:w="11900" w:h="16838" w:orient="portrait"/>
          <w:cols w:equalWidth="0" w:num="2">
            <w:col w:w="1900" w:space="720"/>
            <w:col w:w="7820"/>
          </w:cols>
          <w:pgMar w:left="980" w:top="144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“Register of Members”</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means the register of Members maintained in accordance with the Statute and includes (except where otherwise stated) any branch or duplicate register of Members.</w:t>
      </w:r>
    </w:p>
    <w:p>
      <w:pPr>
        <w:spacing w:after="0" w:line="58" w:lineRule="exact"/>
        <w:rPr>
          <w:sz w:val="20"/>
          <w:szCs w:val="20"/>
          <w:color w:val="auto"/>
        </w:rPr>
      </w:pPr>
    </w:p>
    <w:p>
      <w:pPr>
        <w:sectPr>
          <w:pgSz w:w="11900" w:h="16838" w:orient="portrait"/>
          <w:cols w:equalWidth="0" w:num="2">
            <w:col w:w="1900" w:space="720"/>
            <w:col w:w="7820"/>
          </w:cols>
          <w:pgMar w:left="980" w:top="144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registered office for the time being of the Company.</w:t>
      </w:r>
    </w:p>
    <w:p>
      <w:pPr>
        <w:spacing w:after="0" w:line="136" w:lineRule="exact"/>
        <w:rPr>
          <w:sz w:val="20"/>
          <w:szCs w:val="20"/>
          <w:color w:val="auto"/>
        </w:rPr>
      </w:pPr>
    </w:p>
    <w:p>
      <w:pPr>
        <w:sectPr>
          <w:pgSz w:w="11900" w:h="16838" w:orient="portrait"/>
          <w:cols w:equalWidth="0" w:num="2">
            <w:col w:w="1900" w:space="720"/>
            <w:col w:w="7820"/>
          </w:cols>
          <w:pgMar w:left="980" w:top="144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common seal of the Company and includes every duplicate seal.</w:t>
      </w:r>
    </w:p>
    <w:p>
      <w:pPr>
        <w:spacing w:after="0" w:line="136" w:lineRule="exact"/>
        <w:rPr>
          <w:sz w:val="20"/>
          <w:szCs w:val="20"/>
          <w:color w:val="auto"/>
        </w:rPr>
      </w:pPr>
    </w:p>
    <w:p>
      <w:pPr>
        <w:sectPr>
          <w:pgSz w:w="11900" w:h="16838" w:orient="portrait"/>
          <w:cols w:equalWidth="0" w:num="2">
            <w:col w:w="1900" w:space="720"/>
            <w:col w:w="7820"/>
          </w:cols>
          <w:pgMar w:left="980" w:top="144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“Share”</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means a Class A Share, a Class B Share or a Preference Share and includes a fraction of a share in the Company.</w:t>
      </w:r>
    </w:p>
    <w:p>
      <w:pPr>
        <w:spacing w:after="0" w:line="58" w:lineRule="exact"/>
        <w:rPr>
          <w:sz w:val="20"/>
          <w:szCs w:val="20"/>
          <w:color w:val="auto"/>
        </w:rPr>
      </w:pPr>
    </w:p>
    <w:p>
      <w:pPr>
        <w:sectPr>
          <w:pgSz w:w="11900" w:h="16838" w:orient="portrait"/>
          <w:cols w:equalWidth="0" w:num="2">
            <w:col w:w="1900" w:space="720"/>
            <w:col w:w="7820"/>
          </w:cols>
          <w:pgMar w:left="980" w:top="144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“Special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same meaning as in the Statute, and includes a unanimous written resolution.</w:t>
      </w:r>
    </w:p>
    <w:p>
      <w:pPr>
        <w:spacing w:after="0" w:line="181" w:lineRule="exact"/>
        <w:rPr>
          <w:sz w:val="20"/>
          <w:szCs w:val="20"/>
          <w:color w:val="auto"/>
        </w:rPr>
      </w:pPr>
    </w:p>
    <w:p>
      <w:pPr>
        <w:sectPr>
          <w:pgSz w:w="11900" w:h="16838" w:orient="portrait"/>
          <w:cols w:equalWidth="0" w:num="2">
            <w:col w:w="1900" w:space="720"/>
            <w:col w:w="7820"/>
          </w:cols>
          <w:pgMar w:left="980" w:top="1440" w:right="479" w:bottom="1440" w:gutter="0" w:footer="0" w:header="0"/>
          <w:type w:val="continuous"/>
        </w:sectPr>
      </w:pPr>
    </w:p>
    <w:p>
      <w:pPr>
        <w:jc w:val="center"/>
        <w:ind w:right="5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440"/>
          </w:cols>
          <w:pgMar w:left="980" w:top="1440" w:right="479" w:bottom="1440" w:gutter="0" w:footer="0" w:header="0"/>
          <w:type w:val="continuous"/>
        </w:sectPr>
      </w:pPr>
    </w:p>
    <w:bookmarkStart w:id="240" w:name="page241"/>
    <w:bookmarkEnd w:id="2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“Statute”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means the Companies Act (2020 Revision) of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-1727200</wp:posOffset>
            </wp:positionV>
            <wp:extent cx="7149465" cy="15259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440" w:space="720"/>
            <w:col w:w="7860"/>
          </w:cols>
          <w:pgMar w:left="440" w:top="1440" w:right="439" w:bottom="1440" w:gutter="0" w:footer="0" w:header="0"/>
        </w:sectPr>
      </w:pPr>
    </w:p>
    <w:p>
      <w:pPr>
        <w:ind w:left="540"/>
        <w:spacing w:after="0"/>
        <w:rPr>
          <w:sz w:val="20"/>
          <w:szCs w:val="20"/>
          <w:color w:val="auto"/>
        </w:rPr>
      </w:pPr>
      <w:r>
        <w:rPr>
          <w:rFonts w:ascii="Arial" w:cs="Arial" w:eastAsia="Arial" w:hAnsi="Arial"/>
          <w:sz w:val="16"/>
          <w:szCs w:val="16"/>
          <w:b w:val="1"/>
          <w:bCs w:val="1"/>
          <w:color w:val="auto"/>
        </w:rPr>
        <w:t>“Subscriber”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subscriber to the Memorandum.</w:t>
      </w:r>
    </w:p>
    <w:p>
      <w:pPr>
        <w:spacing w:after="0" w:line="136" w:lineRule="exact"/>
        <w:rPr>
          <w:sz w:val="20"/>
          <w:szCs w:val="20"/>
          <w:color w:val="auto"/>
        </w:rPr>
      </w:pPr>
    </w:p>
    <w:p>
      <w:pPr>
        <w:sectPr>
          <w:pgSz w:w="11900" w:h="16838" w:orient="portrait"/>
          <w:cols w:equalWidth="0" w:num="2">
            <w:col w:w="2440" w:space="720"/>
            <w:col w:w="7860"/>
          </w:cols>
          <w:pgMar w:left="440" w:top="1440" w:right="43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“Treasury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a Share held in the name of the Company as a treasury</w:t>
      </w:r>
    </w:p>
    <w:p>
      <w:pPr>
        <w:spacing w:after="0" w:line="151" w:lineRule="exact"/>
        <w:rPr>
          <w:sz w:val="20"/>
          <w:szCs w:val="20"/>
          <w:color w:val="auto"/>
        </w:rPr>
      </w:pPr>
    </w:p>
    <w:p>
      <w:pPr>
        <w:sectPr>
          <w:pgSz w:w="11900" w:h="16838" w:orient="portrait"/>
          <w:cols w:equalWidth="0" w:num="2">
            <w:col w:w="2440" w:space="720"/>
            <w:col w:w="7860"/>
          </w:cols>
          <w:pgMar w:left="440" w:top="1440" w:right="439" w:bottom="1440" w:gutter="0" w:footer="0" w:header="0"/>
          <w:type w:val="continuous"/>
        </w:sectPr>
      </w:pPr>
    </w:p>
    <w:p>
      <w:pPr>
        <w:ind w:left="3160"/>
        <w:spacing w:after="0"/>
        <w:rPr>
          <w:sz w:val="20"/>
          <w:szCs w:val="20"/>
          <w:color w:val="auto"/>
        </w:rPr>
      </w:pPr>
      <w:r>
        <w:rPr>
          <w:rFonts w:ascii="Arial" w:cs="Arial" w:eastAsia="Arial" w:hAnsi="Arial"/>
          <w:sz w:val="16"/>
          <w:szCs w:val="16"/>
          <w:color w:val="auto"/>
        </w:rPr>
        <w:t>share in accordance with the Statute.</w:t>
      </w:r>
    </w:p>
    <w:p>
      <w:pPr>
        <w:sectPr>
          <w:pgSz w:w="11900" w:h="16838" w:orient="portrait"/>
          <w:cols w:equalWidth="0" w:num="1">
            <w:col w:w="11020"/>
          </w:cols>
          <w:pgMar w:left="440" w:top="1440" w:right="439" w:bottom="1440" w:gutter="0" w:footer="0" w:header="0"/>
          <w:type w:val="continuous"/>
        </w:sectPr>
      </w:pPr>
    </w:p>
    <w:p>
      <w:pPr>
        <w:spacing w:after="0" w:line="13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“Trust Account”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means the trust account established by the Company upon the consummation of its IPO and into which a certain amount of the net proceeds of the IPO, together with a certain amount of the proceeds of a private placement of warrants simultaneously with the closing date of the IPO, will be deposited.</w:t>
      </w:r>
    </w:p>
    <w:p>
      <w:pPr>
        <w:spacing w:after="0" w:line="200" w:lineRule="exact"/>
        <w:rPr>
          <w:sz w:val="20"/>
          <w:szCs w:val="20"/>
          <w:color w:val="auto"/>
        </w:rPr>
      </w:pPr>
    </w:p>
    <w:p>
      <w:pPr>
        <w:sectPr>
          <w:pgSz w:w="11900" w:h="16838" w:orient="portrait"/>
          <w:cols w:equalWidth="0" w:num="2">
            <w:col w:w="2440" w:space="720"/>
            <w:col w:w="7860"/>
          </w:cols>
          <w:pgMar w:left="440" w:top="1440" w:right="439" w:bottom="1440" w:gutter="0" w:footer="0" w:header="0"/>
          <w:type w:val="continuous"/>
        </w:sectPr>
      </w:pPr>
    </w:p>
    <w:p>
      <w:pPr>
        <w:spacing w:after="0" w:line="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 the Articles:</w:t>
      </w:r>
    </w:p>
    <w:p>
      <w:pPr>
        <w:spacing w:after="0" w:line="131" w:lineRule="exact"/>
        <w:rPr>
          <w:sz w:val="20"/>
          <w:szCs w:val="20"/>
          <w:color w:val="auto"/>
        </w:rPr>
      </w:pPr>
    </w:p>
    <w:p>
      <w:pPr>
        <w:ind w:left="1180" w:hanging="644"/>
        <w:spacing w:after="0"/>
        <w:tabs>
          <w:tab w:leader="none" w:pos="1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words importing the singular number include the plural number and vice versa;</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words importing the masculine gender include the feminine gender;</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words importing persons include corporations as well as any other legal or natural person;</w:t>
      </w:r>
    </w:p>
    <w:p>
      <w:pPr>
        <w:spacing w:after="0" w:line="130" w:lineRule="exact"/>
        <w:rPr>
          <w:rFonts w:ascii="Arial" w:cs="Arial" w:eastAsia="Arial" w:hAnsi="Arial"/>
          <w:sz w:val="18"/>
          <w:szCs w:val="18"/>
          <w:color w:val="auto"/>
        </w:rPr>
      </w:pPr>
    </w:p>
    <w:p>
      <w:pPr>
        <w:ind w:left="1180" w:right="780" w:hanging="644"/>
        <w:spacing w:after="0" w:line="277" w:lineRule="auto"/>
        <w:tabs>
          <w:tab w:leader="none" w:pos="1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“written” and “in writing” include all modes of representing or reproducing words in visible form, including in the form of an Electronic Record;</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“shall” shall be construed as imperative and “may” shall be construed as permissive;</w:t>
      </w:r>
    </w:p>
    <w:p>
      <w:pPr>
        <w:spacing w:after="0" w:line="130" w:lineRule="exact"/>
        <w:rPr>
          <w:rFonts w:ascii="Arial" w:cs="Arial" w:eastAsia="Arial" w:hAnsi="Arial"/>
          <w:sz w:val="18"/>
          <w:szCs w:val="18"/>
          <w:color w:val="auto"/>
        </w:rPr>
      </w:pPr>
    </w:p>
    <w:p>
      <w:pPr>
        <w:ind w:left="1180" w:right="140" w:hanging="644"/>
        <w:spacing w:after="0" w:line="277" w:lineRule="auto"/>
        <w:tabs>
          <w:tab w:leader="none" w:pos="1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references to provisions of any law or regulation shall be construed as references to those provisions as amended, modified, re-enacted or replaced;</w:t>
      </w:r>
    </w:p>
    <w:p>
      <w:pPr>
        <w:spacing w:after="0" w:line="75" w:lineRule="exact"/>
        <w:rPr>
          <w:rFonts w:ascii="Arial" w:cs="Arial" w:eastAsia="Arial" w:hAnsi="Arial"/>
          <w:sz w:val="18"/>
          <w:szCs w:val="18"/>
          <w:color w:val="auto"/>
        </w:rPr>
      </w:pPr>
    </w:p>
    <w:p>
      <w:pPr>
        <w:ind w:left="1180" w:hanging="644"/>
        <w:spacing w:after="0" w:line="277" w:lineRule="auto"/>
        <w:tabs>
          <w:tab w:leader="none" w:pos="1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75" w:lineRule="exact"/>
        <w:rPr>
          <w:rFonts w:ascii="Arial" w:cs="Arial" w:eastAsia="Arial" w:hAnsi="Arial"/>
          <w:sz w:val="18"/>
          <w:szCs w:val="18"/>
          <w:color w:val="auto"/>
        </w:rPr>
      </w:pPr>
    </w:p>
    <w:p>
      <w:pPr>
        <w:ind w:left="1180" w:right="80" w:hanging="644"/>
        <w:spacing w:after="0" w:line="263" w:lineRule="auto"/>
        <w:tabs>
          <w:tab w:leader="none" w:pos="1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89" w:lineRule="exact"/>
        <w:rPr>
          <w:rFonts w:ascii="Arial" w:cs="Arial" w:eastAsia="Arial" w:hAnsi="Arial"/>
          <w:sz w:val="18"/>
          <w:szCs w:val="18"/>
          <w:color w:val="auto"/>
        </w:rPr>
      </w:pPr>
    </w:p>
    <w:p>
      <w:pPr>
        <w:ind w:left="1180" w:hanging="644"/>
        <w:spacing w:after="0"/>
        <w:tabs>
          <w:tab w:leader="none" w:pos="1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headings are inserted for reference only and shall be ignored in construing the Articles;</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requirements as to delivery under the Articles include delivery in the form of an Electronic Record;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1440" w:right="439" w:bottom="1440" w:gutter="0" w:footer="0" w:header="0"/>
          <w:type w:val="continuous"/>
        </w:sectPr>
      </w:pPr>
    </w:p>
    <w:bookmarkStart w:id="241" w:name="page242"/>
    <w:bookmarkEnd w:id="2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84" w:right="220" w:hanging="644"/>
        <w:spacing w:after="0" w:line="277" w:lineRule="auto"/>
        <w:tabs>
          <w:tab w:leader="none" w:pos="118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requirements as to execution or signature under the Articles including the execution of the Articles themselves can be satisfied in the form of an electronic signature as defined in the Electronic Transactions Act;</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sections 8 and 19(3) of the Electronic Transactions Act shall not apply;</w:t>
      </w:r>
    </w:p>
    <w:p>
      <w:pPr>
        <w:spacing w:after="0" w:line="130" w:lineRule="exact"/>
        <w:rPr>
          <w:rFonts w:ascii="Arial" w:cs="Arial" w:eastAsia="Arial" w:hAnsi="Arial"/>
          <w:sz w:val="18"/>
          <w:szCs w:val="18"/>
          <w:color w:val="auto"/>
        </w:rPr>
      </w:pPr>
    </w:p>
    <w:p>
      <w:pPr>
        <w:ind w:left="1184" w:right="120" w:hanging="644"/>
        <w:spacing w:after="0" w:line="277" w:lineRule="auto"/>
        <w:tabs>
          <w:tab w:leader="none" w:pos="118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term “holder” in relation to a Share means a person whose name is entered in the Register of Members as the holder of such Share.</w:t>
      </w:r>
    </w:p>
    <w:p>
      <w:pPr>
        <w:spacing w:after="0" w:line="393" w:lineRule="exact"/>
        <w:rPr>
          <w:sz w:val="20"/>
          <w:szCs w:val="20"/>
          <w:color w:val="auto"/>
        </w:rPr>
      </w:pPr>
    </w:p>
    <w:p>
      <w:pPr>
        <w:ind w:left="544" w:hanging="544"/>
        <w:spacing w:after="0"/>
        <w:tabs>
          <w:tab w:leader="none" w:pos="544"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business of the Company may be commenced as soon after incorporation of the Company as the Directors shall see fit.</w:t>
      </w:r>
    </w:p>
    <w:p>
      <w:pPr>
        <w:spacing w:after="0" w:line="131"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315" w:lineRule="exact"/>
        <w:rPr>
          <w:sz w:val="20"/>
          <w:szCs w:val="20"/>
          <w:color w:val="auto"/>
        </w:rPr>
      </w:pPr>
    </w:p>
    <w:p>
      <w:pPr>
        <w:ind w:left="544" w:hanging="544"/>
        <w:spacing w:after="0"/>
        <w:tabs>
          <w:tab w:leader="none" w:pos="544"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 and other Securities</w:t>
      </w:r>
    </w:p>
    <w:p>
      <w:pPr>
        <w:spacing w:after="0" w:line="135" w:lineRule="exact"/>
        <w:rPr>
          <w:sz w:val="20"/>
          <w:szCs w:val="20"/>
          <w:color w:val="auto"/>
        </w:rPr>
      </w:pPr>
    </w:p>
    <w:p>
      <w:pPr>
        <w:jc w:val="center"/>
        <w:ind w:right="176"/>
        <w:spacing w:after="0"/>
        <w:tabs>
          <w:tab w:leader="none" w:pos="3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Subject to the provisions, if any, in the Memorandum (and to any direction that may be given by the Company in general meeting) and without</w:t>
      </w:r>
    </w:p>
    <w:p>
      <w:pPr>
        <w:spacing w:after="0" w:line="23" w:lineRule="exact"/>
        <w:rPr>
          <w:sz w:val="20"/>
          <w:szCs w:val="20"/>
          <w:color w:val="auto"/>
        </w:rPr>
      </w:pPr>
    </w:p>
    <w:p>
      <w:pPr>
        <w:ind w:left="544" w:right="60"/>
        <w:spacing w:after="0" w:line="252" w:lineRule="auto"/>
        <w:rPr>
          <w:sz w:val="20"/>
          <w:szCs w:val="20"/>
          <w:color w:val="auto"/>
        </w:rPr>
      </w:pPr>
      <w:r>
        <w:rPr>
          <w:rFonts w:ascii="Arial" w:cs="Arial" w:eastAsia="Arial" w:hAnsi="Arial"/>
          <w:sz w:val="18"/>
          <w:szCs w:val="18"/>
          <w:color w:val="auto"/>
        </w:rPr>
        <w:t>prejudice to any rights attached to any existing Shares, the Directors may allot, issue, grant options over or otherwise dispose of Shares (including fractions of a Share) with or without preferred, deferred or other rights or restrictions, whether in regard to Dividend or other distribution,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Share Conversion set out in the Articles.</w:t>
      </w:r>
    </w:p>
    <w:p>
      <w:pPr>
        <w:spacing w:after="0" w:line="99"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89" w:lineRule="exact"/>
        <w:rPr>
          <w:sz w:val="20"/>
          <w:szCs w:val="20"/>
          <w:color w:val="auto"/>
        </w:rPr>
      </w:pPr>
    </w:p>
    <w:p>
      <w:pPr>
        <w:ind w:left="544" w:hanging="539"/>
        <w:spacing w:after="0" w:line="286" w:lineRule="auto"/>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1440" w:right="459" w:bottom="1440" w:gutter="0" w:footer="0" w:header="0"/>
        </w:sectPr>
      </w:pPr>
    </w:p>
    <w:bookmarkStart w:id="242" w:name="page243"/>
    <w:bookmarkEnd w:id="2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The Company shall not issue Shares to bearer.</w:t>
      </w:r>
    </w:p>
    <w:p>
      <w:pPr>
        <w:spacing w:after="0" w:line="370" w:lineRule="exact"/>
        <w:rPr>
          <w:sz w:val="20"/>
          <w:szCs w:val="20"/>
          <w:color w:val="auto"/>
        </w:rPr>
      </w:pPr>
    </w:p>
    <w:p>
      <w:pPr>
        <w:ind w:left="544" w:hanging="544"/>
        <w:spacing w:after="0"/>
        <w:tabs>
          <w:tab w:leader="none" w:pos="544"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shall maintain or cause to be maintained the Register of Members in accordance with the Statute.</w:t>
      </w:r>
    </w:p>
    <w:p>
      <w:pPr>
        <w:spacing w:after="0" w:line="131" w:lineRule="exact"/>
        <w:rPr>
          <w:sz w:val="20"/>
          <w:szCs w:val="20"/>
          <w:color w:val="auto"/>
        </w:rPr>
      </w:pPr>
    </w:p>
    <w:p>
      <w:pPr>
        <w:ind w:left="544" w:right="200" w:hanging="539"/>
        <w:spacing w:after="0" w:line="263"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328" w:lineRule="exact"/>
        <w:rPr>
          <w:sz w:val="20"/>
          <w:szCs w:val="20"/>
          <w:color w:val="auto"/>
        </w:rPr>
      </w:pPr>
    </w:p>
    <w:p>
      <w:pPr>
        <w:ind w:left="544" w:hanging="544"/>
        <w:spacing w:after="0"/>
        <w:tabs>
          <w:tab w:leader="none" w:pos="54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Closing Register of Members or Fixing Record Date</w:t>
      </w:r>
    </w:p>
    <w:p>
      <w:pPr>
        <w:spacing w:after="0" w:line="135" w:lineRule="exact"/>
        <w:rPr>
          <w:sz w:val="20"/>
          <w:szCs w:val="20"/>
          <w:color w:val="auto"/>
        </w:rPr>
      </w:pPr>
    </w:p>
    <w:p>
      <w:pPr>
        <w:ind w:left="544" w:right="280" w:hanging="539"/>
        <w:spacing w:after="0" w:line="259"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provide that the Register of Members shall be closed for transfers for a stated period which shall not in any case exceed forty days.</w:t>
      </w:r>
    </w:p>
    <w:p>
      <w:pPr>
        <w:spacing w:after="0" w:line="92" w:lineRule="exact"/>
        <w:rPr>
          <w:sz w:val="20"/>
          <w:szCs w:val="20"/>
          <w:color w:val="auto"/>
        </w:rPr>
      </w:pPr>
    </w:p>
    <w:p>
      <w:pPr>
        <w:ind w:left="544" w:right="100" w:hanging="539"/>
        <w:spacing w:after="0" w:line="259" w:lineRule="auto"/>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92" w:lineRule="exact"/>
        <w:rPr>
          <w:sz w:val="20"/>
          <w:szCs w:val="20"/>
          <w:color w:val="auto"/>
        </w:rPr>
      </w:pPr>
    </w:p>
    <w:p>
      <w:pPr>
        <w:ind w:left="544" w:right="100" w:hanging="539"/>
        <w:spacing w:after="0" w:line="275" w:lineRule="auto"/>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321" w:lineRule="exact"/>
        <w:rPr>
          <w:sz w:val="20"/>
          <w:szCs w:val="20"/>
          <w:color w:val="auto"/>
        </w:rPr>
      </w:pPr>
    </w:p>
    <w:p>
      <w:pPr>
        <w:ind w:left="544" w:hanging="544"/>
        <w:spacing w:after="0"/>
        <w:tabs>
          <w:tab w:leader="none" w:pos="544"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for Shares</w:t>
      </w:r>
    </w:p>
    <w:p>
      <w:pPr>
        <w:spacing w:after="0" w:line="135" w:lineRule="exact"/>
        <w:rPr>
          <w:sz w:val="20"/>
          <w:szCs w:val="20"/>
          <w:color w:val="auto"/>
        </w:rPr>
      </w:pPr>
    </w:p>
    <w:p>
      <w:pPr>
        <w:ind w:left="544" w:hanging="539"/>
        <w:spacing w:after="0" w:line="293"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1440" w:right="459" w:bottom="1440" w:gutter="0" w:footer="0" w:header="0"/>
        </w:sectPr>
      </w:pPr>
    </w:p>
    <w:bookmarkStart w:id="243" w:name="page244"/>
    <w:bookmarkEnd w:id="2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4" w:right="120" w:hanging="539"/>
        <w:spacing w:after="0" w:line="277" w:lineRule="auto"/>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76" w:lineRule="exact"/>
        <w:rPr>
          <w:sz w:val="20"/>
          <w:szCs w:val="20"/>
          <w:color w:val="auto"/>
        </w:rPr>
      </w:pPr>
    </w:p>
    <w:p>
      <w:pPr>
        <w:jc w:val="both"/>
        <w:ind w:left="544" w:right="240" w:hanging="539"/>
        <w:spacing w:after="0" w:line="263" w:lineRule="auto"/>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89"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315" w:lineRule="exact"/>
        <w:rPr>
          <w:sz w:val="20"/>
          <w:szCs w:val="20"/>
          <w:color w:val="auto"/>
        </w:rPr>
      </w:pPr>
    </w:p>
    <w:p>
      <w:pPr>
        <w:ind w:left="544" w:hanging="544"/>
        <w:spacing w:after="0"/>
        <w:tabs>
          <w:tab w:leader="none" w:pos="544"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135"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Subject to Article 3.1, Shares are transferable subject to the approval of the Directors by resolution who may, in their absolute discretion, decline to register any transfer of Shares without giving any reason. If the Directors refuse to register a transfer they shall notify the transferee within two months of such refusal.</w:t>
      </w:r>
    </w:p>
    <w:p>
      <w:pPr>
        <w:spacing w:after="0" w:line="89"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instrument of transfer of any Share shall be in writing and shall be executed by or on behalf of the transferor (and if the Directors so require, signed by or on behalf of the transferee). The transferor shall be deemed to remain the holder of a Share until the name of the transferee is entered in the Register of Members.</w:t>
      </w:r>
    </w:p>
    <w:p>
      <w:pPr>
        <w:spacing w:after="0" w:line="328" w:lineRule="exact"/>
        <w:rPr>
          <w:sz w:val="20"/>
          <w:szCs w:val="20"/>
          <w:color w:val="auto"/>
        </w:rPr>
      </w:pPr>
    </w:p>
    <w:p>
      <w:pPr>
        <w:ind w:left="544" w:hanging="544"/>
        <w:spacing w:after="0"/>
        <w:tabs>
          <w:tab w:leader="none" w:pos="544"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Repurchase and Surrender of Shares</w:t>
      </w:r>
    </w:p>
    <w:p>
      <w:pPr>
        <w:spacing w:after="0" w:line="135" w:lineRule="exact"/>
        <w:rPr>
          <w:sz w:val="20"/>
          <w:szCs w:val="20"/>
          <w:color w:val="auto"/>
        </w:rPr>
      </w:pPr>
    </w:p>
    <w:p>
      <w:pPr>
        <w:jc w:val="both"/>
        <w:ind w:left="544" w:right="180" w:hanging="539"/>
        <w:spacing w:after="0" w:line="263"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Subject to the provisions of the Statute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the Shares.</w:t>
      </w:r>
    </w:p>
    <w:p>
      <w:pPr>
        <w:spacing w:after="0" w:line="89"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Subject to the provisions of the Statute, the Company may purchase its own Shares (including any redeemable Shares) in such manner and on such other terms as the Directors may agree with the relevant Member.</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may make a payment in respect of the redemption or purchase of its own Shares in any manner permitted by the Statute, including out of capital.</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Directors may accept the surrender for no consideration of any fully paid Share.</w:t>
      </w:r>
    </w:p>
    <w:p>
      <w:pPr>
        <w:spacing w:after="0" w:line="370" w:lineRule="exact"/>
        <w:rPr>
          <w:sz w:val="20"/>
          <w:szCs w:val="20"/>
          <w:color w:val="auto"/>
        </w:rPr>
      </w:pPr>
    </w:p>
    <w:p>
      <w:pPr>
        <w:ind w:left="544" w:hanging="544"/>
        <w:spacing w:after="0"/>
        <w:tabs>
          <w:tab w:leader="none" w:pos="544"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Shares</w:t>
      </w:r>
    </w:p>
    <w:p>
      <w:pPr>
        <w:spacing w:after="0" w:line="135" w:lineRule="exact"/>
        <w:rPr>
          <w:sz w:val="20"/>
          <w:szCs w:val="20"/>
          <w:color w:val="auto"/>
        </w:rPr>
      </w:pPr>
    </w:p>
    <w:p>
      <w:pPr>
        <w:jc w:val="center"/>
        <w:ind w:right="336"/>
        <w:spacing w:after="0"/>
        <w:tabs>
          <w:tab w:leader="none" w:pos="3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Directors may, prior to the purchase, redemption or surrender of any Share, determine that such Share shall be held as a Treasury Share.</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1440" w:right="479" w:bottom="1440" w:gutter="0" w:footer="0" w:header="0"/>
        </w:sectPr>
      </w:pPr>
    </w:p>
    <w:bookmarkStart w:id="244" w:name="page245"/>
    <w:bookmarkEnd w:id="2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4" w:right="400" w:hanging="539"/>
        <w:spacing w:after="0" w:line="277"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Variation of Rights of Shares</w:t>
      </w:r>
    </w:p>
    <w:p>
      <w:pPr>
        <w:spacing w:after="0" w:line="135" w:lineRule="exact"/>
        <w:rPr>
          <w:sz w:val="20"/>
          <w:szCs w:val="20"/>
          <w:color w:val="auto"/>
        </w:rPr>
      </w:pPr>
    </w:p>
    <w:p>
      <w:pPr>
        <w:ind w:left="544" w:right="60" w:hanging="539"/>
        <w:spacing w:after="0" w:line="269" w:lineRule="auto"/>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 xml:space="preserve">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91"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10.2</w:t>
        <w:tab/>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89" w:lineRule="exact"/>
        <w:rPr>
          <w:sz w:val="20"/>
          <w:szCs w:val="20"/>
          <w:color w:val="auto"/>
        </w:rPr>
      </w:pPr>
    </w:p>
    <w:p>
      <w:pPr>
        <w:ind w:left="544" w:right="320" w:hanging="539"/>
        <w:spacing w:after="0" w:line="263" w:lineRule="auto"/>
        <w:tabs>
          <w:tab w:leader="none" w:pos="524" w:val="left"/>
        </w:tabs>
        <w:rPr>
          <w:sz w:val="20"/>
          <w:szCs w:val="20"/>
          <w:color w:val="auto"/>
        </w:rPr>
      </w:pPr>
      <w:r>
        <w:rPr>
          <w:rFonts w:ascii="Arial" w:cs="Arial" w:eastAsia="Arial" w:hAnsi="Arial"/>
          <w:sz w:val="18"/>
          <w:szCs w:val="18"/>
          <w:color w:val="auto"/>
        </w:rPr>
        <w:t>10.3</w:t>
        <w:tab/>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w:t>
      </w:r>
    </w:p>
    <w:p>
      <w:pPr>
        <w:spacing w:after="0" w:line="328" w:lineRule="exact"/>
        <w:rPr>
          <w:sz w:val="20"/>
          <w:szCs w:val="20"/>
          <w:color w:val="auto"/>
        </w:rPr>
      </w:pPr>
    </w:p>
    <w:p>
      <w:pPr>
        <w:ind w:left="544" w:hanging="544"/>
        <w:spacing w:after="0"/>
        <w:tabs>
          <w:tab w:leader="none" w:pos="544"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Commission on Sale of Shares</w:t>
      </w:r>
    </w:p>
    <w:p>
      <w:pPr>
        <w:spacing w:after="0" w:line="121" w:lineRule="exact"/>
        <w:rPr>
          <w:rFonts w:ascii="Arial" w:cs="Arial" w:eastAsia="Arial" w:hAnsi="Arial"/>
          <w:sz w:val="18"/>
          <w:szCs w:val="18"/>
          <w:b w:val="1"/>
          <w:bCs w:val="1"/>
          <w:color w:val="auto"/>
        </w:rPr>
      </w:pPr>
    </w:p>
    <w:p>
      <w:pPr>
        <w:ind w:left="544"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331" w:lineRule="exact"/>
        <w:rPr>
          <w:rFonts w:ascii="Arial" w:cs="Arial" w:eastAsia="Arial" w:hAnsi="Arial"/>
          <w:sz w:val="18"/>
          <w:szCs w:val="18"/>
          <w:b w:val="1"/>
          <w:bCs w:val="1"/>
          <w:color w:val="auto"/>
        </w:rPr>
      </w:pPr>
    </w:p>
    <w:p>
      <w:pPr>
        <w:ind w:left="544" w:hanging="544"/>
        <w:spacing w:after="0"/>
        <w:tabs>
          <w:tab w:leader="none" w:pos="544"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Non Recognition of Trusts</w:t>
      </w:r>
    </w:p>
    <w:p>
      <w:pPr>
        <w:spacing w:after="0" w:line="121" w:lineRule="exact"/>
        <w:rPr>
          <w:rFonts w:ascii="Arial" w:cs="Arial" w:eastAsia="Arial" w:hAnsi="Arial"/>
          <w:sz w:val="18"/>
          <w:szCs w:val="18"/>
          <w:b w:val="1"/>
          <w:bCs w:val="1"/>
          <w:color w:val="auto"/>
        </w:rPr>
      </w:pPr>
    </w:p>
    <w:p>
      <w:pPr>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1440" w:right="459" w:bottom="1440" w:gutter="0" w:footer="0" w:header="0"/>
        </w:sectPr>
      </w:pPr>
    </w:p>
    <w:bookmarkStart w:id="245" w:name="page246"/>
    <w:bookmarkEnd w:id="2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Lien on Shares</w:t>
      </w:r>
    </w:p>
    <w:p>
      <w:pPr>
        <w:spacing w:after="0" w:line="135" w:lineRule="exact"/>
        <w:rPr>
          <w:sz w:val="20"/>
          <w:szCs w:val="20"/>
          <w:color w:val="auto"/>
        </w:rPr>
      </w:pPr>
    </w:p>
    <w:p>
      <w:pPr>
        <w:ind w:left="540" w:right="60" w:hanging="539"/>
        <w:spacing w:after="0" w:line="296" w:lineRule="auto"/>
        <w:tabs>
          <w:tab w:leader="none" w:pos="5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67"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13.2</w:t>
        <w:tab/>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92" w:lineRule="exact"/>
        <w:rPr>
          <w:sz w:val="20"/>
          <w:szCs w:val="20"/>
          <w:color w:val="auto"/>
        </w:rPr>
      </w:pPr>
    </w:p>
    <w:p>
      <w:pPr>
        <w:ind w:left="540" w:right="40" w:hanging="539"/>
        <w:spacing w:after="0" w:line="279" w:lineRule="auto"/>
        <w:tabs>
          <w:tab w:leader="none" w:pos="5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77" w:lineRule="exact"/>
        <w:rPr>
          <w:sz w:val="20"/>
          <w:szCs w:val="20"/>
          <w:color w:val="auto"/>
        </w:rPr>
      </w:pPr>
    </w:p>
    <w:p>
      <w:pPr>
        <w:ind w:left="540" w:right="60" w:hanging="539"/>
        <w:spacing w:after="0" w:line="263" w:lineRule="auto"/>
        <w:tabs>
          <w:tab w:leader="none" w:pos="520" w:val="left"/>
        </w:tabs>
        <w:rPr>
          <w:sz w:val="20"/>
          <w:szCs w:val="20"/>
          <w:color w:val="auto"/>
        </w:rPr>
      </w:pPr>
      <w:r>
        <w:rPr>
          <w:rFonts w:ascii="Arial" w:cs="Arial" w:eastAsia="Arial" w:hAnsi="Arial"/>
          <w:sz w:val="18"/>
          <w:szCs w:val="18"/>
          <w:color w:val="auto"/>
        </w:rPr>
        <w:t>13.4</w:t>
        <w:tab/>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Call on Shares</w:t>
      </w:r>
    </w:p>
    <w:p>
      <w:pPr>
        <w:spacing w:after="0" w:line="135" w:lineRule="exact"/>
        <w:rPr>
          <w:sz w:val="20"/>
          <w:szCs w:val="20"/>
          <w:color w:val="auto"/>
        </w:rPr>
      </w:pPr>
    </w:p>
    <w:p>
      <w:pPr>
        <w:ind w:left="540" w:right="220" w:hanging="539"/>
        <w:spacing w:after="0" w:line="255" w:lineRule="auto"/>
        <w:tabs>
          <w:tab w:leader="none" w:pos="520" w:val="left"/>
        </w:tabs>
        <w:rPr>
          <w:sz w:val="20"/>
          <w:szCs w:val="20"/>
          <w:color w:val="auto"/>
        </w:rPr>
      </w:pPr>
      <w:r>
        <w:rPr>
          <w:rFonts w:ascii="Arial" w:cs="Arial" w:eastAsia="Arial" w:hAnsi="Arial"/>
          <w:sz w:val="18"/>
          <w:szCs w:val="18"/>
          <w:color w:val="auto"/>
        </w:rPr>
        <w:t>14.1</w:t>
        <w:tab/>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A call shall be deemed to have been made at the time when the resolution of the Directors authorising such call was passed.</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joint holders of a Share shall be jointly and severally liable to pay all calls in respect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1440" w:right="439" w:bottom="1440" w:gutter="0" w:footer="0" w:header="0"/>
        </w:sectPr>
      </w:pPr>
    </w:p>
    <w:bookmarkStart w:id="246" w:name="page247"/>
    <w:bookmarkEnd w:id="2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hanging="539"/>
        <w:spacing w:after="0" w:line="311" w:lineRule="auto"/>
        <w:tabs>
          <w:tab w:leader="none" w:pos="5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54" w:lineRule="exact"/>
        <w:rPr>
          <w:sz w:val="20"/>
          <w:szCs w:val="20"/>
          <w:color w:val="auto"/>
        </w:rPr>
      </w:pPr>
    </w:p>
    <w:p>
      <w:pPr>
        <w:jc w:val="both"/>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t>14.5</w:t>
        <w:tab/>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The Directors may issue Shares with different terms as to the amount and times of payment of calls, or the interest to be paid.</w:t>
      </w:r>
    </w:p>
    <w:p>
      <w:pPr>
        <w:spacing w:after="0" w:line="131" w:lineRule="exact"/>
        <w:rPr>
          <w:sz w:val="20"/>
          <w:szCs w:val="20"/>
          <w:color w:val="auto"/>
        </w:rPr>
      </w:pPr>
    </w:p>
    <w:p>
      <w:pPr>
        <w:ind w:left="540" w:right="240" w:hanging="539"/>
        <w:spacing w:after="0" w:line="263" w:lineRule="auto"/>
        <w:tabs>
          <w:tab w:leader="none" w:pos="520" w:val="left"/>
        </w:tabs>
        <w:rPr>
          <w:sz w:val="20"/>
          <w:szCs w:val="20"/>
          <w:color w:val="auto"/>
        </w:rPr>
      </w:pPr>
      <w:r>
        <w:rPr>
          <w:rFonts w:ascii="Arial" w:cs="Arial" w:eastAsia="Arial" w:hAnsi="Arial"/>
          <w:sz w:val="18"/>
          <w:szCs w:val="18"/>
          <w:color w:val="auto"/>
        </w:rPr>
        <w:t>14.7</w:t>
        <w:tab/>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89" w:lineRule="exact"/>
        <w:rPr>
          <w:sz w:val="20"/>
          <w:szCs w:val="20"/>
          <w:color w:val="auto"/>
        </w:rPr>
      </w:pPr>
    </w:p>
    <w:p>
      <w:pPr>
        <w:ind w:left="540" w:right="80" w:hanging="539"/>
        <w:spacing w:after="0" w:line="308" w:lineRule="auto"/>
        <w:tabs>
          <w:tab w:leader="none" w:pos="52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7"/>
          <w:szCs w:val="17"/>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2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Forfeiture of Shares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If a call or instalment of a call remains unpaid after it has become due and payable the Directors may give to the person from whom it is due not</w:t>
      </w:r>
    </w:p>
    <w:p>
      <w:pPr>
        <w:spacing w:after="0" w:line="23" w:lineRule="exact"/>
        <w:rPr>
          <w:sz w:val="20"/>
          <w:szCs w:val="20"/>
          <w:color w:val="auto"/>
        </w:rPr>
      </w:pPr>
    </w:p>
    <w:p>
      <w:pPr>
        <w:ind w:left="540" w:right="140"/>
        <w:spacing w:after="0" w:line="277" w:lineRule="auto"/>
        <w:rPr>
          <w:sz w:val="20"/>
          <w:szCs w:val="20"/>
          <w:color w:val="auto"/>
        </w:rPr>
      </w:pPr>
      <w:r>
        <w:rPr>
          <w:rFonts w:ascii="Arial" w:cs="Arial" w:eastAsia="Arial" w:hAnsi="Arial"/>
          <w:sz w:val="17"/>
          <w:szCs w:val="17"/>
          <w:color w:val="auto"/>
        </w:rPr>
        <w:t>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78" w:lineRule="exact"/>
        <w:rPr>
          <w:sz w:val="20"/>
          <w:szCs w:val="20"/>
          <w:color w:val="auto"/>
        </w:rPr>
      </w:pPr>
    </w:p>
    <w:p>
      <w:pPr>
        <w:ind w:left="540" w:right="40" w:hanging="539"/>
        <w:spacing w:after="0" w:line="263" w:lineRule="auto"/>
        <w:tabs>
          <w:tab w:leader="none" w:pos="520" w:val="left"/>
        </w:tabs>
        <w:rPr>
          <w:sz w:val="20"/>
          <w:szCs w:val="20"/>
          <w:color w:val="auto"/>
        </w:rPr>
      </w:pPr>
      <w:r>
        <w:rPr>
          <w:rFonts w:ascii="Arial" w:cs="Arial" w:eastAsia="Arial" w:hAnsi="Arial"/>
          <w:sz w:val="18"/>
          <w:szCs w:val="18"/>
          <w:color w:val="auto"/>
        </w:rPr>
        <w:t>15.2</w:t>
        <w:tab/>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89" w:lineRule="exact"/>
        <w:rPr>
          <w:sz w:val="20"/>
          <w:szCs w:val="20"/>
          <w:color w:val="auto"/>
        </w:rPr>
      </w:pPr>
    </w:p>
    <w:p>
      <w:pPr>
        <w:jc w:val="both"/>
        <w:ind w:left="540" w:right="180" w:hanging="539"/>
        <w:spacing w:after="0" w:line="259" w:lineRule="auto"/>
        <w:tabs>
          <w:tab w:leader="none" w:pos="520" w:val="left"/>
        </w:tabs>
        <w:rPr>
          <w:sz w:val="20"/>
          <w:szCs w:val="20"/>
          <w:color w:val="auto"/>
        </w:rPr>
      </w:pPr>
      <w:r>
        <w:rPr>
          <w:rFonts w:ascii="Arial" w:cs="Arial" w:eastAsia="Arial" w:hAnsi="Arial"/>
          <w:sz w:val="18"/>
          <w:szCs w:val="18"/>
          <w:color w:val="auto"/>
        </w:rPr>
        <w:t>15.3</w:t>
        <w:tab/>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1440" w:right="459" w:bottom="1440" w:gutter="0" w:footer="0" w:header="0"/>
        </w:sectPr>
      </w:pPr>
    </w:p>
    <w:bookmarkStart w:id="247" w:name="page248"/>
    <w:bookmarkEnd w:id="2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right="120" w:hanging="539"/>
        <w:spacing w:after="0" w:line="301" w:lineRule="auto"/>
        <w:tabs>
          <w:tab w:leader="none" w:pos="5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63"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15.5</w:t>
        <w:tab/>
        <w:t>A certificate in writing under the hand of one Director or officer of the Company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93"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15.6</w:t>
        <w:tab/>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Transmission of Shares</w:t>
      </w:r>
    </w:p>
    <w:p>
      <w:pPr>
        <w:spacing w:after="0" w:line="135" w:lineRule="exact"/>
        <w:rPr>
          <w:sz w:val="20"/>
          <w:szCs w:val="20"/>
          <w:color w:val="auto"/>
        </w:rPr>
      </w:pPr>
    </w:p>
    <w:p>
      <w:pPr>
        <w:jc w:val="both"/>
        <w:ind w:left="540" w:right="100" w:hanging="539"/>
        <w:spacing w:after="0" w:line="263" w:lineRule="auto"/>
        <w:tabs>
          <w:tab w:leader="none" w:pos="520" w:val="left"/>
        </w:tabs>
        <w:rPr>
          <w:sz w:val="20"/>
          <w:szCs w:val="20"/>
          <w:color w:val="auto"/>
        </w:rPr>
      </w:pPr>
      <w:r>
        <w:rPr>
          <w:rFonts w:ascii="Arial" w:cs="Arial" w:eastAsia="Arial" w:hAnsi="Arial"/>
          <w:sz w:val="18"/>
          <w:szCs w:val="18"/>
          <w:color w:val="auto"/>
        </w:rPr>
        <w:t>16.1</w:t>
        <w:tab/>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89" w:lineRule="exact"/>
        <w:rPr>
          <w:sz w:val="20"/>
          <w:szCs w:val="20"/>
          <w:color w:val="auto"/>
        </w:rPr>
      </w:pPr>
    </w:p>
    <w:p>
      <w:pPr>
        <w:ind w:left="540" w:right="80" w:hanging="539"/>
        <w:spacing w:after="0" w:line="293" w:lineRule="auto"/>
        <w:tabs>
          <w:tab w:leader="none" w:pos="5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70" w:lineRule="exact"/>
        <w:rPr>
          <w:sz w:val="20"/>
          <w:szCs w:val="20"/>
          <w:color w:val="auto"/>
        </w:rPr>
      </w:pPr>
    </w:p>
    <w:p>
      <w:pPr>
        <w:ind w:left="540" w:right="20" w:hanging="539"/>
        <w:spacing w:after="0" w:line="291" w:lineRule="auto"/>
        <w:tabs>
          <w:tab w:leader="none" w:pos="5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1440" w:right="459" w:bottom="1440" w:gutter="0" w:footer="0" w:header="0"/>
        </w:sectPr>
      </w:pPr>
    </w:p>
    <w:bookmarkStart w:id="248" w:name="page249"/>
    <w:bookmarkEnd w:id="2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0" w:right="140"/>
        <w:spacing w:after="0" w:line="263" w:lineRule="auto"/>
        <w:rPr>
          <w:sz w:val="20"/>
          <w:szCs w:val="20"/>
          <w:color w:val="auto"/>
        </w:rPr>
      </w:pPr>
      <w:r>
        <w:rPr>
          <w:rFonts w:ascii="Arial" w:cs="Arial" w:eastAsia="Arial" w:hAnsi="Arial"/>
          <w:sz w:val="18"/>
          <w:szCs w:val="18"/>
          <w:color w:val="auto"/>
        </w:rPr>
        <w:t>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Class B Ordinary Share Conversion</w:t>
      </w:r>
    </w:p>
    <w:p>
      <w:pPr>
        <w:spacing w:after="0" w:line="135" w:lineRule="exact"/>
        <w:rPr>
          <w:sz w:val="20"/>
          <w:szCs w:val="20"/>
          <w:color w:val="auto"/>
        </w:rPr>
      </w:pPr>
    </w:p>
    <w:p>
      <w:pPr>
        <w:jc w:val="both"/>
        <w:ind w:left="540" w:right="260" w:hanging="539"/>
        <w:spacing w:after="0" w:line="263" w:lineRule="auto"/>
        <w:tabs>
          <w:tab w:leader="none" w:pos="520" w:val="left"/>
        </w:tabs>
        <w:rPr>
          <w:sz w:val="20"/>
          <w:szCs w:val="20"/>
          <w:color w:val="auto"/>
        </w:rPr>
      </w:pPr>
      <w:r>
        <w:rPr>
          <w:rFonts w:ascii="Arial" w:cs="Arial" w:eastAsia="Arial" w:hAnsi="Arial"/>
          <w:sz w:val="18"/>
          <w:szCs w:val="18"/>
          <w:color w:val="auto"/>
        </w:rPr>
        <w:t>17.1</w:t>
        <w:tab/>
        <w:t xml:space="preserve">The rights attaching to the Class A Shares and Class B Shares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and the Class A Shares and Class B Shares shall vote together as a single class on all matters (subject to the Variation of Rights of Shares Article) with the exception that the holder of a Class B Share shall have the conversion rights referred to in this Article.</w:t>
      </w:r>
    </w:p>
    <w:p>
      <w:pPr>
        <w:spacing w:after="0" w:line="85" w:lineRule="exact"/>
        <w:rPr>
          <w:sz w:val="20"/>
          <w:szCs w:val="20"/>
          <w:color w:val="auto"/>
        </w:rPr>
      </w:pPr>
    </w:p>
    <w:p>
      <w:pPr>
        <w:ind w:left="540" w:hanging="539"/>
        <w:spacing w:after="0" w:line="312" w:lineRule="auto"/>
        <w:tabs>
          <w:tab w:leader="none" w:pos="5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Class B Shares shall automatically convert into Class A Shares on a one-for-one basis (the “</w:t>
      </w:r>
      <w:r>
        <w:rPr>
          <w:rFonts w:ascii="Arial" w:cs="Arial" w:eastAsia="Arial" w:hAnsi="Arial"/>
          <w:sz w:val="17"/>
          <w:szCs w:val="17"/>
          <w:b w:val="1"/>
          <w:bCs w:val="1"/>
          <w:color w:val="auto"/>
        </w:rPr>
        <w:t>Initial Conversion Ratio</w:t>
      </w:r>
      <w:r>
        <w:rPr>
          <w:rFonts w:ascii="Arial" w:cs="Arial" w:eastAsia="Arial" w:hAnsi="Arial"/>
          <w:sz w:val="17"/>
          <w:szCs w:val="17"/>
          <w:color w:val="auto"/>
        </w:rPr>
        <w:t>”): (a) at any time and from time to time at the option of the holders thereof; and (b) automatically on the day of the closing of a Business Combination.</w:t>
      </w:r>
    </w:p>
    <w:p>
      <w:pPr>
        <w:spacing w:after="0" w:line="49" w:lineRule="exact"/>
        <w:rPr>
          <w:sz w:val="20"/>
          <w:szCs w:val="20"/>
          <w:color w:val="auto"/>
        </w:rPr>
      </w:pPr>
    </w:p>
    <w:p>
      <w:pPr>
        <w:ind w:left="540" w:right="40" w:hanging="539"/>
        <w:spacing w:after="0" w:line="289" w:lineRule="auto"/>
        <w:tabs>
          <w:tab w:leader="none" w:pos="5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Notwithstanding the Initial Conversion Ratio, in the case that additional Class A Shares or any other Equity-linked Securities, are issued, or deemed issued, by the Company in excess of the amounts offered in the IPO and related to the closing of a Business Combination, all Class B Shares in issue shall automatically convert into Class A Shares at the time of the closing of a Business Combination at a ratio for which the Class B Shares shall convert into Class A Shares will be adjusted (unless the holders of a majority of the Class B Shares in issue agree to waive such anti-dilution adjustment with respect to any such issuance or deemed issuance) so that the number of Class A Shares issuable upon conversion of all Class B Shares will equal, on an as-converted basis, in the aggregate, 20 per cent of the sum of all Class A Shares and Class B Shares in issue upon completion of the IPO plus all Class A Shares and Equity-linked Securities issued or deemed issued in connection with a Business Combination, excluding any Shares or Equity-linked Securities issued, or to be issued, to any seller in a Business Combination and any private placement warrants issued to the Sponsor or its Affiliates upon conversion of working capital loans made to the Company.</w:t>
      </w:r>
    </w:p>
    <w:p>
      <w:pPr>
        <w:spacing w:after="0" w:line="72"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17.4</w:t>
        <w:tab/>
        <w:t>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the Variation of Rights of Shares Article hereof.</w:t>
      </w:r>
    </w:p>
    <w:p>
      <w:pPr>
        <w:spacing w:after="0" w:line="92"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17.5</w:t>
        <w:tab/>
        <w:t>The foregoing conversion ratio shall also be adjusted to account for any subdivision (by share subdivision, exchange, capitalisation, rights issue, reclassification, recapitalisation or otherwise) or combination (by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1440" w:right="459" w:bottom="1440" w:gutter="0" w:footer="0" w:header="0"/>
        </w:sectPr>
      </w:pPr>
    </w:p>
    <w:bookmarkStart w:id="249" w:name="page250"/>
    <w:bookmarkEnd w:id="2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hanging="539"/>
        <w:spacing w:after="0" w:line="301" w:lineRule="auto"/>
        <w:tabs>
          <w:tab w:leader="none" w:pos="5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rPr>
        <w:t>Each Class B Share shall convert into its pro rata number of Class A Shares pursuant to this Article.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w:t>
      </w:r>
    </w:p>
    <w:p>
      <w:pPr>
        <w:spacing w:after="0" w:line="59" w:lineRule="exact"/>
        <w:rPr>
          <w:sz w:val="20"/>
          <w:szCs w:val="20"/>
          <w:color w:val="auto"/>
        </w:rPr>
      </w:pPr>
    </w:p>
    <w:p>
      <w:pPr>
        <w:ind w:left="540" w:right="60" w:hanging="539"/>
        <w:spacing w:after="0" w:line="298" w:lineRule="auto"/>
        <w:tabs>
          <w:tab w:leader="none" w:pos="5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References in this Article to “</w:t>
      </w:r>
      <w:r>
        <w:rPr>
          <w:rFonts w:ascii="Arial" w:cs="Arial" w:eastAsia="Arial" w:hAnsi="Arial"/>
          <w:sz w:val="16"/>
          <w:szCs w:val="16"/>
          <w:b w:val="1"/>
          <w:bCs w:val="1"/>
          <w:color w:val="auto"/>
        </w:rPr>
        <w:t>converted</w:t>
      </w:r>
      <w:r>
        <w:rPr>
          <w:rFonts w:ascii="Arial" w:cs="Arial" w:eastAsia="Arial" w:hAnsi="Arial"/>
          <w:sz w:val="16"/>
          <w:szCs w:val="16"/>
          <w:color w:val="auto"/>
        </w:rPr>
        <w:t>”, “</w:t>
      </w:r>
      <w:r>
        <w:rPr>
          <w:rFonts w:ascii="Arial" w:cs="Arial" w:eastAsia="Arial" w:hAnsi="Arial"/>
          <w:sz w:val="16"/>
          <w:szCs w:val="16"/>
          <w:b w:val="1"/>
          <w:bCs w:val="1"/>
          <w:color w:val="auto"/>
        </w:rPr>
        <w:t>conversion</w:t>
      </w:r>
      <w:r>
        <w:rPr>
          <w:rFonts w:ascii="Arial" w:cs="Arial" w:eastAsia="Arial" w:hAnsi="Arial"/>
          <w:sz w:val="16"/>
          <w:szCs w:val="16"/>
          <w:color w:val="auto"/>
        </w:rPr>
        <w:t>” or “</w:t>
      </w:r>
      <w:r>
        <w:rPr>
          <w:rFonts w:ascii="Arial" w:cs="Arial" w:eastAsia="Arial" w:hAnsi="Arial"/>
          <w:sz w:val="16"/>
          <w:szCs w:val="16"/>
          <w:b w:val="1"/>
          <w:bCs w:val="1"/>
          <w:color w:val="auto"/>
        </w:rPr>
        <w:t>exchange</w:t>
      </w:r>
      <w:r>
        <w:rPr>
          <w:rFonts w:ascii="Arial" w:cs="Arial" w:eastAsia="Arial" w:hAnsi="Arial"/>
          <w:sz w:val="16"/>
          <w:szCs w:val="16"/>
          <w:color w:val="auto"/>
        </w:rPr>
        <w:t>”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63"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17.8</w:t>
        <w:tab/>
        <w:t>Notwithstanding anything to the contrary in this Article, in no event may any Class B Share convert into Class A Shares at a ratio that is less than one-for-one.</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Amendments of Memorandum and Articles of Association and Alteration of Capital</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The Company may by Ordinary Resolution:</w:t>
      </w:r>
    </w:p>
    <w:p>
      <w:pPr>
        <w:spacing w:after="0" w:line="131" w:lineRule="exact"/>
        <w:rPr>
          <w:sz w:val="20"/>
          <w:szCs w:val="20"/>
          <w:color w:val="auto"/>
        </w:rPr>
      </w:pPr>
    </w:p>
    <w:p>
      <w:pPr>
        <w:ind w:left="1180" w:right="100" w:hanging="644"/>
        <w:spacing w:after="0" w:line="277" w:lineRule="auto"/>
        <w:tabs>
          <w:tab w:leader="none" w:pos="1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increase its share capital by such sum as the Ordinary Resolution shall prescribe and with such rights, priorities and privileges annexed thereto, as the Company in general meeting may determine;</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convert all or any of its paid-up Shares into stock, and reconvert that stock into paid-up Shares of any denomination;</w:t>
      </w:r>
    </w:p>
    <w:p>
      <w:pPr>
        <w:spacing w:after="0" w:line="130" w:lineRule="exact"/>
        <w:rPr>
          <w:rFonts w:ascii="Arial" w:cs="Arial" w:eastAsia="Arial" w:hAnsi="Arial"/>
          <w:sz w:val="18"/>
          <w:szCs w:val="18"/>
          <w:color w:val="auto"/>
        </w:rPr>
      </w:pPr>
    </w:p>
    <w:p>
      <w:pPr>
        <w:ind w:left="1180" w:right="120" w:hanging="644"/>
        <w:spacing w:after="0" w:line="277" w:lineRule="auto"/>
        <w:tabs>
          <w:tab w:leader="none" w:pos="1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75" w:lineRule="exact"/>
        <w:rPr>
          <w:rFonts w:ascii="Arial" w:cs="Arial" w:eastAsia="Arial" w:hAnsi="Arial"/>
          <w:sz w:val="18"/>
          <w:szCs w:val="18"/>
          <w:color w:val="auto"/>
        </w:rPr>
      </w:pPr>
    </w:p>
    <w:p>
      <w:pPr>
        <w:ind w:left="1180" w:right="20" w:hanging="644"/>
        <w:spacing w:after="0" w:line="277" w:lineRule="auto"/>
        <w:tabs>
          <w:tab w:leader="none" w:pos="1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76" w:lineRule="exact"/>
        <w:rPr>
          <w:sz w:val="20"/>
          <w:szCs w:val="20"/>
          <w:color w:val="auto"/>
        </w:rPr>
      </w:pPr>
    </w:p>
    <w:p>
      <w:pPr>
        <w:ind w:left="540" w:right="320" w:hanging="539"/>
        <w:spacing w:after="0" w:line="308" w:lineRule="auto"/>
        <w:tabs>
          <w:tab w:leader="none" w:pos="5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1440" w:right="459" w:bottom="1440" w:gutter="0" w:footer="0" w:header="0"/>
        </w:sectPr>
      </w:pPr>
    </w:p>
    <w:bookmarkStart w:id="250" w:name="page251"/>
    <w:bookmarkEnd w:id="2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Subject to the provisions of the Statute and the provisions of the Articles as regards the matters to be dealt with by Ordinary Resolution, the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Company may by Special Resolution:</w:t>
      </w:r>
    </w:p>
    <w:p>
      <w:pPr>
        <w:spacing w:after="0" w:line="116" w:lineRule="exact"/>
        <w:rPr>
          <w:sz w:val="20"/>
          <w:szCs w:val="20"/>
          <w:color w:val="auto"/>
        </w:rPr>
      </w:pPr>
    </w:p>
    <w:p>
      <w:pPr>
        <w:ind w:left="1184" w:hanging="644"/>
        <w:spacing w:after="0"/>
        <w:tabs>
          <w:tab w:leader="none" w:pos="118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change its name;</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alter or add to the Articles;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alter or add to the Memorandum with respect to any objects, powers or other matters specified therein;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reduce its share capital or any capital redemption reserve fund.</w:t>
      </w:r>
    </w:p>
    <w:p>
      <w:pPr>
        <w:spacing w:after="0" w:line="370" w:lineRule="exact"/>
        <w:rPr>
          <w:sz w:val="20"/>
          <w:szCs w:val="20"/>
          <w:color w:val="auto"/>
        </w:rPr>
      </w:pPr>
    </w:p>
    <w:p>
      <w:pPr>
        <w:ind w:left="544" w:hanging="544"/>
        <w:spacing w:after="0"/>
        <w:tabs>
          <w:tab w:leader="none" w:pos="544"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Offices and Places of Business</w:t>
      </w:r>
    </w:p>
    <w:p>
      <w:pPr>
        <w:spacing w:after="0" w:line="121" w:lineRule="exact"/>
        <w:rPr>
          <w:rFonts w:ascii="Arial" w:cs="Arial" w:eastAsia="Arial" w:hAnsi="Arial"/>
          <w:sz w:val="18"/>
          <w:szCs w:val="18"/>
          <w:b w:val="1"/>
          <w:bCs w:val="1"/>
          <w:color w:val="auto"/>
        </w:rPr>
      </w:pPr>
    </w:p>
    <w:p>
      <w:pPr>
        <w:ind w:left="544" w:right="5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268" w:lineRule="exact"/>
        <w:rPr>
          <w:rFonts w:ascii="Arial" w:cs="Arial" w:eastAsia="Arial" w:hAnsi="Arial"/>
          <w:sz w:val="18"/>
          <w:szCs w:val="18"/>
          <w:b w:val="1"/>
          <w:bCs w:val="1"/>
          <w:color w:val="auto"/>
        </w:rPr>
      </w:pPr>
    </w:p>
    <w:p>
      <w:pPr>
        <w:ind w:left="544" w:hanging="544"/>
        <w:spacing w:after="0"/>
        <w:tabs>
          <w:tab w:leader="none" w:pos="544"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All general meetings other than annual general meetings shall be called extraordinary general meetings.</w:t>
      </w:r>
    </w:p>
    <w:p>
      <w:pPr>
        <w:spacing w:after="0" w:line="131" w:lineRule="exact"/>
        <w:rPr>
          <w:sz w:val="20"/>
          <w:szCs w:val="20"/>
          <w:color w:val="auto"/>
        </w:rPr>
      </w:pPr>
    </w:p>
    <w:p>
      <w:pPr>
        <w:ind w:left="544" w:hanging="539"/>
        <w:spacing w:after="0" w:line="301" w:lineRule="auto"/>
        <w:tabs>
          <w:tab w:leader="none" w:pos="524"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and if no other time and place is prescribed by them, it shall be held at the Registered Office on the second Wednesday in December of each year at ten o’clock in the morning. At these meetings the report of the Directors (if any) shall be presented.</w:t>
      </w:r>
    </w:p>
    <w:p>
      <w:pPr>
        <w:spacing w:after="0" w:line="63" w:lineRule="exact"/>
        <w:rPr>
          <w:sz w:val="20"/>
          <w:szCs w:val="20"/>
          <w:color w:val="auto"/>
        </w:rPr>
      </w:pPr>
    </w:p>
    <w:p>
      <w:pPr>
        <w:ind w:left="544" w:right="520" w:hanging="539"/>
        <w:spacing w:after="0" w:line="277" w:lineRule="auto"/>
        <w:tabs>
          <w:tab w:leader="none" w:pos="524" w:val="left"/>
        </w:tabs>
        <w:rPr>
          <w:sz w:val="20"/>
          <w:szCs w:val="20"/>
          <w:color w:val="auto"/>
        </w:rPr>
      </w:pPr>
      <w:r>
        <w:rPr>
          <w:rFonts w:ascii="Arial" w:cs="Arial" w:eastAsia="Arial" w:hAnsi="Arial"/>
          <w:sz w:val="18"/>
          <w:szCs w:val="18"/>
          <w:color w:val="auto"/>
        </w:rPr>
        <w:t>20.3</w:t>
        <w:tab/>
        <w:t>The Directors may call general meetings, and they shall on a Members’ requisition forthwith proceed to convene an extraordinary general meeting of the Company.</w:t>
      </w:r>
    </w:p>
    <w:p>
      <w:pPr>
        <w:spacing w:after="0" w:line="76"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20.4</w:t>
        <w:tab/>
        <w:t>A Members’ requisition is a requisition of Members holding at the date of deposit of the requisition not less than ten per cent. in par value of the issued Shares which as at that date carry the right to vote at general meetings of the Company.</w:t>
      </w:r>
    </w:p>
    <w:p>
      <w:pPr>
        <w:spacing w:after="0" w:line="76"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20.5</w:t>
        <w:tab/>
        <w:t>The Members’ requisition must state the objects of the meeting and must be signed by the requisitionists and deposited at the Registered Office, and may consist of several documents in like form each signed by one or more requisitionists.</w:t>
      </w:r>
    </w:p>
    <w:p>
      <w:pPr>
        <w:spacing w:after="0" w:line="76" w:lineRule="exact"/>
        <w:rPr>
          <w:sz w:val="20"/>
          <w:szCs w:val="20"/>
          <w:color w:val="auto"/>
        </w:rPr>
      </w:pPr>
    </w:p>
    <w:p>
      <w:pPr>
        <w:ind w:left="544" w:right="80" w:hanging="539"/>
        <w:spacing w:after="0" w:line="257" w:lineRule="auto"/>
        <w:tabs>
          <w:tab w:leader="none" w:pos="524" w:val="left"/>
        </w:tabs>
        <w:rPr>
          <w:sz w:val="20"/>
          <w:szCs w:val="20"/>
          <w:color w:val="auto"/>
        </w:rPr>
      </w:pPr>
      <w:r>
        <w:rPr>
          <w:rFonts w:ascii="Arial" w:cs="Arial" w:eastAsia="Arial" w:hAnsi="Arial"/>
          <w:sz w:val="18"/>
          <w:szCs w:val="18"/>
          <w:color w:val="auto"/>
        </w:rPr>
        <w:t>20.6</w:t>
        <w:tab/>
        <w:t>If there are no Directors as at the date of the deposit of the Members’ requisition or if the Directors do not within twenty-one days from the date of the deposit of the Members’ requisition duly proceed to convene a general meeting to be held within a further twenty-one days, the requisitionists, or any of them representing more than one-half of the total voting rights of all of the requisitionists, may themselves convene a general meeting, but any meeting so convened shall be held no later than the day which falls three months after the expiration of the said twenty-one day period.</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1440" w:right="479" w:bottom="1440" w:gutter="0" w:footer="0" w:header="0"/>
        </w:sectPr>
      </w:pPr>
    </w:p>
    <w:bookmarkStart w:id="251" w:name="page252"/>
    <w:bookmarkEnd w:id="2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right="160" w:hanging="539"/>
        <w:spacing w:after="0" w:line="277" w:lineRule="auto"/>
        <w:tabs>
          <w:tab w:leader="none" w:pos="520" w:val="left"/>
        </w:tabs>
        <w:rPr>
          <w:sz w:val="20"/>
          <w:szCs w:val="20"/>
          <w:color w:val="auto"/>
        </w:rPr>
      </w:pPr>
      <w:r>
        <w:rPr>
          <w:rFonts w:ascii="Arial" w:cs="Arial" w:eastAsia="Arial" w:hAnsi="Arial"/>
          <w:sz w:val="18"/>
          <w:szCs w:val="18"/>
          <w:color w:val="auto"/>
        </w:rPr>
        <w:t>20.7</w:t>
        <w:tab/>
        <w:t>A general meeting convened as aforesaid by requisitionists shall be convened in the same manner as nearly as possible as that in which general meetings are to be convened by Directors.</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Notice of General Meetings</w:t>
      </w:r>
    </w:p>
    <w:p>
      <w:pPr>
        <w:spacing w:after="0" w:line="135" w:lineRule="exact"/>
        <w:rPr>
          <w:sz w:val="20"/>
          <w:szCs w:val="20"/>
          <w:color w:val="auto"/>
        </w:rPr>
      </w:pPr>
    </w:p>
    <w:p>
      <w:pPr>
        <w:ind w:left="540" w:right="20" w:hanging="539"/>
        <w:spacing w:after="0" w:line="257" w:lineRule="auto"/>
        <w:tabs>
          <w:tab w:leader="none" w:pos="520" w:val="left"/>
        </w:tabs>
        <w:rPr>
          <w:sz w:val="20"/>
          <w:szCs w:val="20"/>
          <w:color w:val="auto"/>
        </w:rPr>
      </w:pPr>
      <w:r>
        <w:rPr>
          <w:rFonts w:ascii="Arial" w:cs="Arial" w:eastAsia="Arial" w:hAnsi="Arial"/>
          <w:sz w:val="18"/>
          <w:szCs w:val="18"/>
          <w:color w:val="auto"/>
        </w:rPr>
        <w:t>21.1</w:t>
        <w:tab/>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93" w:lineRule="exact"/>
        <w:rPr>
          <w:sz w:val="20"/>
          <w:szCs w:val="20"/>
          <w:color w:val="auto"/>
        </w:rPr>
      </w:pPr>
    </w:p>
    <w:p>
      <w:pPr>
        <w:ind w:left="1180" w:hanging="644"/>
        <w:spacing w:after="0"/>
        <w:tabs>
          <w:tab w:leader="none" w:pos="11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130" w:lineRule="exact"/>
        <w:rPr>
          <w:rFonts w:ascii="Arial" w:cs="Arial" w:eastAsia="Arial" w:hAnsi="Arial"/>
          <w:sz w:val="18"/>
          <w:szCs w:val="18"/>
          <w:color w:val="auto"/>
        </w:rPr>
      </w:pPr>
    </w:p>
    <w:p>
      <w:pPr>
        <w:ind w:left="1180" w:right="600" w:hanging="644"/>
        <w:spacing w:after="0" w:line="308" w:lineRule="auto"/>
        <w:tabs>
          <w:tab w:leader="none" w:pos="11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in the case of an extraordinary general meeting, by a majority in number of the Members having a right to attend and vote at the meeting, together holding not less than ninety five per cent. in par value of the Shares giving that right.</w:t>
      </w:r>
    </w:p>
    <w:p>
      <w:pPr>
        <w:spacing w:after="0" w:line="52" w:lineRule="exact"/>
        <w:rPr>
          <w:sz w:val="20"/>
          <w:szCs w:val="20"/>
          <w:color w:val="auto"/>
        </w:rPr>
      </w:pPr>
    </w:p>
    <w:p>
      <w:pPr>
        <w:jc w:val="both"/>
        <w:ind w:left="540" w:right="20" w:hanging="539"/>
        <w:spacing w:after="0" w:line="277" w:lineRule="auto"/>
        <w:tabs>
          <w:tab w:leader="none" w:pos="520" w:val="left"/>
        </w:tabs>
        <w:rPr>
          <w:sz w:val="20"/>
          <w:szCs w:val="20"/>
          <w:color w:val="auto"/>
        </w:rPr>
      </w:pPr>
      <w:r>
        <w:rPr>
          <w:rFonts w:ascii="Arial" w:cs="Arial" w:eastAsia="Arial" w:hAnsi="Arial"/>
          <w:sz w:val="18"/>
          <w:szCs w:val="18"/>
          <w:color w:val="auto"/>
        </w:rPr>
        <w:t>21.2</w:t>
        <w:tab/>
        <w:t>The accidental omission to give notice of a general meeting to, or the non receipt of notice of a general meeting by, any person entitled to receive such notice shall not invalidate the proceedings of that general meeting.</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Proceedings at General Meetings</w:t>
      </w:r>
    </w:p>
    <w:p>
      <w:pPr>
        <w:spacing w:after="0" w:line="135" w:lineRule="exact"/>
        <w:rPr>
          <w:sz w:val="20"/>
          <w:szCs w:val="20"/>
          <w:color w:val="auto"/>
        </w:rPr>
      </w:pPr>
    </w:p>
    <w:p>
      <w:pPr>
        <w:jc w:val="both"/>
        <w:ind w:left="540" w:hanging="539"/>
        <w:spacing w:after="0" w:line="279" w:lineRule="auto"/>
        <w:tabs>
          <w:tab w:leader="none" w:pos="5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7"/>
          <w:szCs w:val="17"/>
          <w:color w:val="auto"/>
        </w:rPr>
        <w:t>No business shall be transacted at any general meeting unless a quorum is present. Two Members being individuals present in person or by proxy or if a corporation or other non-natural person by its duly authorised representative or proxy shall be a quorum unless the Company has only one Member entitled to vote at such general meeting in which case the quorum shall be that one Member present in person or by proxy or (in the case of a corporation or other non-natural person) by its duly authorised representative or proxy.</w:t>
      </w:r>
    </w:p>
    <w:p>
      <w:pPr>
        <w:spacing w:after="0" w:line="77"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22.2</w:t>
        <w:tab/>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89" w:lineRule="exact"/>
        <w:rPr>
          <w:sz w:val="20"/>
          <w:szCs w:val="20"/>
          <w:color w:val="auto"/>
        </w:rPr>
      </w:pPr>
    </w:p>
    <w:p>
      <w:pPr>
        <w:ind w:left="540" w:right="60" w:hanging="539"/>
        <w:spacing w:after="0" w:line="259" w:lineRule="auto"/>
        <w:tabs>
          <w:tab w:leader="none" w:pos="520" w:val="left"/>
        </w:tabs>
        <w:rPr>
          <w:sz w:val="20"/>
          <w:szCs w:val="20"/>
          <w:color w:val="auto"/>
        </w:rPr>
      </w:pPr>
      <w:r>
        <w:rPr>
          <w:rFonts w:ascii="Arial" w:cs="Arial" w:eastAsia="Arial" w:hAnsi="Arial"/>
          <w:sz w:val="18"/>
          <w:szCs w:val="18"/>
          <w:color w:val="auto"/>
        </w:rPr>
        <w:t>22.3</w:t>
        <w:tab/>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1440" w:right="459" w:bottom="1440" w:gutter="0" w:footer="0" w:header="0"/>
        </w:sectPr>
      </w:pPr>
    </w:p>
    <w:bookmarkStart w:id="252" w:name="page253"/>
    <w:bookmarkEnd w:id="2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right="20" w:hanging="539"/>
        <w:spacing w:after="0" w:line="257" w:lineRule="auto"/>
        <w:tabs>
          <w:tab w:leader="none" w:pos="520" w:val="left"/>
        </w:tabs>
        <w:rPr>
          <w:sz w:val="20"/>
          <w:szCs w:val="20"/>
          <w:color w:val="auto"/>
        </w:rPr>
      </w:pPr>
      <w:r>
        <w:rPr>
          <w:rFonts w:ascii="Arial" w:cs="Arial" w:eastAsia="Arial" w:hAnsi="Arial"/>
          <w:sz w:val="18"/>
          <w:szCs w:val="18"/>
          <w:color w:val="auto"/>
        </w:rPr>
        <w:t>22.4</w:t>
        <w:tab/>
        <w:t>If a quorum is not present within half an hour from the time appointed for the meeting to commence or if during such a meeting a quorum ceases to be present, the meeting, if convened upon a Members’ requisition, shall be dissolved and in any other case it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93" w:lineRule="exact"/>
        <w:rPr>
          <w:sz w:val="20"/>
          <w:szCs w:val="20"/>
          <w:color w:val="auto"/>
        </w:rPr>
      </w:pPr>
    </w:p>
    <w:p>
      <w:pPr>
        <w:ind w:left="540" w:hanging="539"/>
        <w:spacing w:after="0" w:line="301" w:lineRule="auto"/>
        <w:tabs>
          <w:tab w:leader="none" w:pos="52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63" w:lineRule="exact"/>
        <w:rPr>
          <w:sz w:val="20"/>
          <w:szCs w:val="20"/>
          <w:color w:val="auto"/>
        </w:rPr>
      </w:pPr>
    </w:p>
    <w:p>
      <w:pPr>
        <w:ind w:left="540" w:right="740" w:hanging="539"/>
        <w:spacing w:after="0" w:line="277" w:lineRule="auto"/>
        <w:tabs>
          <w:tab w:leader="none" w:pos="520" w:val="left"/>
        </w:tabs>
        <w:rPr>
          <w:sz w:val="20"/>
          <w:szCs w:val="20"/>
          <w:color w:val="auto"/>
        </w:rPr>
      </w:pPr>
      <w:r>
        <w:rPr>
          <w:rFonts w:ascii="Arial" w:cs="Arial" w:eastAsia="Arial" w:hAnsi="Arial"/>
          <w:sz w:val="18"/>
          <w:szCs w:val="18"/>
          <w:color w:val="auto"/>
        </w:rPr>
        <w:t>22.6</w:t>
        <w:tab/>
        <w:t>If no Director is willing to act as chairman or if no Director is present within fifteen minutes after the time appointed for the meeting to commence, the Members present shall choose one of their number to be chairman of the meeting.</w:t>
      </w:r>
    </w:p>
    <w:p>
      <w:pPr>
        <w:spacing w:after="0" w:line="76"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22.7</w:t>
        <w:tab/>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When a general meeting is adjourned for thirty days or more, notice of the adjourned meeting shall be given as in the case of an original meeting.</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Otherwise it shall not be necessary to give any such notice of an adjourned meeting.</w:t>
      </w:r>
    </w:p>
    <w:p>
      <w:pPr>
        <w:spacing w:after="0" w:line="116" w:lineRule="exact"/>
        <w:rPr>
          <w:sz w:val="20"/>
          <w:szCs w:val="20"/>
          <w:color w:val="auto"/>
        </w:rPr>
      </w:pPr>
    </w:p>
    <w:p>
      <w:pPr>
        <w:ind w:left="540" w:right="60" w:hanging="539"/>
        <w:spacing w:after="0" w:line="259" w:lineRule="auto"/>
        <w:tabs>
          <w:tab w:leader="none" w:pos="520" w:val="left"/>
        </w:tabs>
        <w:rPr>
          <w:sz w:val="20"/>
          <w:szCs w:val="20"/>
          <w:color w:val="auto"/>
        </w:rPr>
      </w:pPr>
      <w:r>
        <w:rPr>
          <w:rFonts w:ascii="Arial" w:cs="Arial" w:eastAsia="Arial" w:hAnsi="Arial"/>
          <w:sz w:val="18"/>
          <w:szCs w:val="18"/>
          <w:color w:val="auto"/>
        </w:rPr>
        <w:t>22.9</w:t>
        <w:tab/>
        <w:t>A resolution put to the vote of the meeting shall be decided on a show of hands unless before, or on the declaration of the result of, the show of hands, the chairman demands a poll, or any other Member or Members collectively present in person or by proxy (or in the case of a corporation or other non-natural person, by its duly authorised representative or proxy) and holding at least ten per cent. in par value of the Shares giving a right to attend and vote at the meeting demand a poll.</w:t>
      </w:r>
    </w:p>
    <w:p>
      <w:pPr>
        <w:spacing w:after="0" w:line="92" w:lineRule="exact"/>
        <w:rPr>
          <w:sz w:val="20"/>
          <w:szCs w:val="20"/>
          <w:color w:val="auto"/>
        </w:rPr>
      </w:pPr>
    </w:p>
    <w:p>
      <w:pPr>
        <w:ind w:left="540" w:right="40" w:hanging="539"/>
        <w:spacing w:after="0" w:line="259" w:lineRule="auto"/>
        <w:rPr>
          <w:sz w:val="20"/>
          <w:szCs w:val="20"/>
          <w:color w:val="auto"/>
        </w:rPr>
      </w:pPr>
      <w:r>
        <w:rPr>
          <w:rFonts w:ascii="Arial" w:cs="Arial" w:eastAsia="Arial" w:hAnsi="Arial"/>
          <w:sz w:val="18"/>
          <w:szCs w:val="18"/>
          <w:color w:val="auto"/>
        </w:rPr>
        <w:t>22.10 Unless a poll is duly demanded and the demand is not withdrawn a declaration by the chairman that a resolution has been carried or carried unanimously, or by a particular majority, or lost or not carried by a particular majority, an entry to that effect in the minutes of the proceedings of the meeting shall be conclusive evidence of that fact without proof of the number or proportion of the votes recorded in favour of or against such resolution.</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The demand for a poll may be withdrawn.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1440" w:right="459" w:bottom="1440" w:gutter="0" w:footer="0" w:header="0"/>
        </w:sectPr>
      </w:pPr>
    </w:p>
    <w:bookmarkStart w:id="253" w:name="page254"/>
    <w:bookmarkEnd w:id="2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right="160" w:hanging="539"/>
        <w:spacing w:after="0" w:line="277" w:lineRule="auto"/>
        <w:rPr>
          <w:sz w:val="20"/>
          <w:szCs w:val="20"/>
          <w:color w:val="auto"/>
        </w:rPr>
      </w:pPr>
      <w:r>
        <w:rPr>
          <w:rFonts w:ascii="Arial" w:cs="Arial" w:eastAsia="Arial" w:hAnsi="Arial"/>
          <w:sz w:val="18"/>
          <w:szCs w:val="18"/>
          <w:color w:val="auto"/>
        </w:rPr>
        <w:t>22.12 Except on a poll demanded on the election of a chairman or on a question of adjournment, a poll shall be taken as the chairman directs, and the result of the poll shall be deemed to be the resolution of the general meeting at which the poll was demanded.</w:t>
      </w:r>
    </w:p>
    <w:p>
      <w:pPr>
        <w:spacing w:after="0" w:line="76" w:lineRule="exact"/>
        <w:rPr>
          <w:sz w:val="20"/>
          <w:szCs w:val="20"/>
          <w:color w:val="auto"/>
        </w:rPr>
      </w:pPr>
    </w:p>
    <w:p>
      <w:pPr>
        <w:jc w:val="both"/>
        <w:ind w:left="540" w:right="40" w:hanging="539"/>
        <w:spacing w:after="0" w:line="263" w:lineRule="auto"/>
        <w:rPr>
          <w:sz w:val="20"/>
          <w:szCs w:val="20"/>
          <w:color w:val="auto"/>
        </w:rPr>
      </w:pPr>
      <w:r>
        <w:rPr>
          <w:rFonts w:ascii="Arial" w:cs="Arial" w:eastAsia="Arial" w:hAnsi="Arial"/>
          <w:sz w:val="18"/>
          <w:szCs w:val="18"/>
          <w:color w:val="auto"/>
        </w:rPr>
        <w:t>22.13 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22.14  In the case of an equality of votes, whether on a show of hands or on a poll, the chairman shall be entitled to a second or casting vote.</w:t>
      </w:r>
    </w:p>
    <w:p>
      <w:pPr>
        <w:spacing w:after="0" w:line="3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Votes of Members</w:t>
      </w:r>
    </w:p>
    <w:p>
      <w:pPr>
        <w:spacing w:after="0" w:line="135" w:lineRule="exact"/>
        <w:rPr>
          <w:sz w:val="20"/>
          <w:szCs w:val="20"/>
          <w:color w:val="auto"/>
        </w:rPr>
      </w:pPr>
    </w:p>
    <w:p>
      <w:pPr>
        <w:ind w:left="540" w:right="20" w:hanging="539"/>
        <w:spacing w:after="0" w:line="286" w:lineRule="auto"/>
        <w:tabs>
          <w:tab w:leader="none" w:pos="5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Subject to any rights or restrictions attached to any Shares, on a show of hands every Member who (being an individual) is present in person or by proxy or, if a corporation or other non-natural person is present by its duly authorised representative or by proxy, shall have one vote and on a poll every Member present in any such manner shall have one vote for every Share of which he is the holder.</w:t>
      </w:r>
    </w:p>
    <w:p>
      <w:pPr>
        <w:spacing w:after="0" w:line="71" w:lineRule="exact"/>
        <w:rPr>
          <w:sz w:val="20"/>
          <w:szCs w:val="20"/>
          <w:color w:val="auto"/>
        </w:rPr>
      </w:pPr>
    </w:p>
    <w:p>
      <w:pPr>
        <w:ind w:left="540" w:hanging="539"/>
        <w:spacing w:after="0" w:line="286" w:lineRule="auto"/>
        <w:tabs>
          <w:tab w:leader="none" w:pos="5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71" w:lineRule="exact"/>
        <w:rPr>
          <w:sz w:val="20"/>
          <w:szCs w:val="20"/>
          <w:color w:val="auto"/>
        </w:rPr>
      </w:pPr>
    </w:p>
    <w:p>
      <w:pPr>
        <w:jc w:val="both"/>
        <w:ind w:left="540" w:right="100" w:hanging="539"/>
        <w:spacing w:after="0" w:line="263" w:lineRule="auto"/>
        <w:tabs>
          <w:tab w:leader="none" w:pos="520" w:val="left"/>
        </w:tabs>
        <w:rPr>
          <w:sz w:val="20"/>
          <w:szCs w:val="20"/>
          <w:color w:val="auto"/>
        </w:rPr>
      </w:pPr>
      <w:r>
        <w:rPr>
          <w:rFonts w:ascii="Arial" w:cs="Arial" w:eastAsia="Arial" w:hAnsi="Arial"/>
          <w:sz w:val="18"/>
          <w:szCs w:val="18"/>
          <w:color w:val="auto"/>
        </w:rPr>
        <w:t>23.3</w:t>
        <w:tab/>
        <w:t>A Member of unsound mind, or in respect of whom an order has been made by any court, having jurisdiction in lunacy, may vote, whether on a show of hands or on a poll, by his committee, receiver, curator bonis, or other person on such Member’s behalf appointed by that court, and any such committee, receiver, curator bonis or other person may vote by proxy.</w:t>
      </w:r>
    </w:p>
    <w:p>
      <w:pPr>
        <w:spacing w:after="0" w:line="89" w:lineRule="exact"/>
        <w:rPr>
          <w:sz w:val="20"/>
          <w:szCs w:val="20"/>
          <w:color w:val="auto"/>
        </w:rPr>
      </w:pPr>
    </w:p>
    <w:p>
      <w:pPr>
        <w:jc w:val="both"/>
        <w:ind w:left="540" w:right="100" w:hanging="539"/>
        <w:spacing w:after="0" w:line="277" w:lineRule="auto"/>
        <w:tabs>
          <w:tab w:leader="none" w:pos="520" w:val="left"/>
        </w:tabs>
        <w:rPr>
          <w:sz w:val="20"/>
          <w:szCs w:val="20"/>
          <w:color w:val="auto"/>
        </w:rPr>
      </w:pPr>
      <w:r>
        <w:rPr>
          <w:rFonts w:ascii="Arial" w:cs="Arial" w:eastAsia="Arial" w:hAnsi="Arial"/>
          <w:sz w:val="18"/>
          <w:szCs w:val="18"/>
          <w:color w:val="auto"/>
        </w:rPr>
        <w:t>23.4</w:t>
        <w:tab/>
        <w:t>No person shall be entitled to vote at any general meeting unless he is registered as a Member on the record date for such meeting nor unless all calls or other monies then payable by him in respect of Shares have been paid.</w:t>
      </w:r>
    </w:p>
    <w:p>
      <w:pPr>
        <w:spacing w:after="0" w:line="76" w:lineRule="exact"/>
        <w:rPr>
          <w:sz w:val="20"/>
          <w:szCs w:val="20"/>
          <w:color w:val="auto"/>
        </w:rPr>
      </w:pPr>
    </w:p>
    <w:p>
      <w:pPr>
        <w:ind w:left="540" w:right="100" w:hanging="539"/>
        <w:spacing w:after="0" w:line="263" w:lineRule="auto"/>
        <w:tabs>
          <w:tab w:leader="none" w:pos="520" w:val="left"/>
        </w:tabs>
        <w:rPr>
          <w:sz w:val="20"/>
          <w:szCs w:val="20"/>
          <w:color w:val="auto"/>
        </w:rPr>
      </w:pPr>
      <w:r>
        <w:rPr>
          <w:rFonts w:ascii="Arial" w:cs="Arial" w:eastAsia="Arial" w:hAnsi="Arial"/>
          <w:sz w:val="18"/>
          <w:szCs w:val="18"/>
          <w:color w:val="auto"/>
        </w:rPr>
        <w:t>23.5</w:t>
        <w:tab/>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89" w:lineRule="exact"/>
        <w:rPr>
          <w:sz w:val="20"/>
          <w:szCs w:val="20"/>
          <w:color w:val="auto"/>
        </w:rPr>
      </w:pPr>
    </w:p>
    <w:p>
      <w:pPr>
        <w:ind w:left="540" w:hanging="539"/>
        <w:spacing w:after="0" w:line="301" w:lineRule="auto"/>
        <w:tabs>
          <w:tab w:leader="none" w:pos="52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color w:val="auto"/>
        </w:rPr>
        <w:t>On a poll or on a show of hands 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state which proxy is entitled to vote on a show of hands and shall specify the number of Shares in respect of which each proxy is entitled to exercise the related votes.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1440" w:right="479" w:bottom="1440" w:gutter="0" w:footer="0" w:header="0"/>
        </w:sectPr>
      </w:pPr>
    </w:p>
    <w:bookmarkStart w:id="254" w:name="page255"/>
    <w:bookmarkEnd w:id="2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4" w:hanging="539"/>
        <w:spacing w:after="0" w:line="257" w:lineRule="auto"/>
        <w:tabs>
          <w:tab w:leader="none" w:pos="524" w:val="left"/>
        </w:tabs>
        <w:rPr>
          <w:sz w:val="20"/>
          <w:szCs w:val="20"/>
          <w:color w:val="auto"/>
        </w:rPr>
      </w:pPr>
      <w:r>
        <w:rPr>
          <w:rFonts w:ascii="Arial" w:cs="Arial" w:eastAsia="Arial" w:hAnsi="Arial"/>
          <w:sz w:val="18"/>
          <w:szCs w:val="18"/>
          <w:color w:val="auto"/>
        </w:rPr>
        <w:t>23.7</w:t>
        <w:tab/>
        <w:t>On a poll, 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33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Proxies</w:t>
      </w:r>
    </w:p>
    <w:p>
      <w:pPr>
        <w:spacing w:after="0" w:line="135" w:lineRule="exact"/>
        <w:rPr>
          <w:sz w:val="20"/>
          <w:szCs w:val="20"/>
          <w:color w:val="auto"/>
        </w:rPr>
      </w:pPr>
    </w:p>
    <w:p>
      <w:pPr>
        <w:jc w:val="both"/>
        <w:ind w:left="544" w:hanging="539"/>
        <w:spacing w:after="0" w:line="263" w:lineRule="auto"/>
        <w:tabs>
          <w:tab w:leader="none" w:pos="524" w:val="left"/>
        </w:tabs>
        <w:rPr>
          <w:sz w:val="20"/>
          <w:szCs w:val="20"/>
          <w:color w:val="auto"/>
        </w:rPr>
      </w:pPr>
      <w:r>
        <w:rPr>
          <w:rFonts w:ascii="Arial" w:cs="Arial" w:eastAsia="Arial" w:hAnsi="Arial"/>
          <w:sz w:val="18"/>
          <w:szCs w:val="18"/>
          <w:color w:val="auto"/>
        </w:rPr>
        <w:t>24.1</w:t>
        <w:tab/>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89" w:lineRule="exact"/>
        <w:rPr>
          <w:sz w:val="20"/>
          <w:szCs w:val="20"/>
          <w:color w:val="auto"/>
        </w:rPr>
      </w:pPr>
    </w:p>
    <w:p>
      <w:pPr>
        <w:jc w:val="both"/>
        <w:ind w:left="544" w:hanging="539"/>
        <w:spacing w:after="0" w:line="287" w:lineRule="auto"/>
        <w:tabs>
          <w:tab w:leader="none" w:pos="524"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w:t>
      </w:r>
    </w:p>
    <w:p>
      <w:pPr>
        <w:spacing w:after="0" w:line="2" w:lineRule="exact"/>
        <w:rPr>
          <w:sz w:val="20"/>
          <w:szCs w:val="20"/>
          <w:color w:val="auto"/>
        </w:rPr>
      </w:pPr>
    </w:p>
    <w:p>
      <w:pPr>
        <w:jc w:val="both"/>
        <w:ind w:left="544" w:right="140"/>
        <w:spacing w:after="0" w:line="302" w:lineRule="auto"/>
        <w:rPr>
          <w:sz w:val="20"/>
          <w:szCs w:val="20"/>
          <w:color w:val="auto"/>
        </w:rPr>
      </w:pPr>
      <w:r>
        <w:rPr>
          <w:rFonts w:ascii="Arial" w:cs="Arial" w:eastAsia="Arial" w:hAnsi="Arial"/>
          <w:sz w:val="16"/>
          <w:szCs w:val="16"/>
          <w:color w:val="auto"/>
        </w:rPr>
        <w:t>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61"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24.3</w:t>
        <w:tab/>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89" w:lineRule="exact"/>
        <w:rPr>
          <w:sz w:val="20"/>
          <w:szCs w:val="20"/>
          <w:color w:val="auto"/>
        </w:rPr>
      </w:pPr>
    </w:p>
    <w:p>
      <w:pPr>
        <w:ind w:left="544" w:right="560" w:hanging="539"/>
        <w:spacing w:after="0" w:line="263" w:lineRule="auto"/>
        <w:tabs>
          <w:tab w:leader="none" w:pos="524" w:val="left"/>
        </w:tabs>
        <w:rPr>
          <w:sz w:val="20"/>
          <w:szCs w:val="20"/>
          <w:color w:val="auto"/>
        </w:rPr>
      </w:pPr>
      <w:r>
        <w:rPr>
          <w:rFonts w:ascii="Arial" w:cs="Arial" w:eastAsia="Arial" w:hAnsi="Arial"/>
          <w:sz w:val="18"/>
          <w:szCs w:val="18"/>
          <w:color w:val="auto"/>
        </w:rPr>
        <w:t>24.4</w:t>
        <w:tab/>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89" w:lineRule="exact"/>
        <w:rPr>
          <w:sz w:val="20"/>
          <w:szCs w:val="20"/>
          <w:color w:val="auto"/>
        </w:rPr>
      </w:pPr>
    </w:p>
    <w:p>
      <w:pPr>
        <w:ind w:left="544" w:right="80" w:hanging="539"/>
        <w:spacing w:after="0" w:line="279" w:lineRule="auto"/>
        <w:tabs>
          <w:tab w:leader="none" w:pos="524"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7"/>
          <w:szCs w:val="17"/>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316" w:lineRule="exact"/>
        <w:rPr>
          <w:sz w:val="20"/>
          <w:szCs w:val="20"/>
          <w:color w:val="auto"/>
        </w:rPr>
      </w:pPr>
    </w:p>
    <w:p>
      <w:pPr>
        <w:ind w:left="544" w:hanging="544"/>
        <w:spacing w:after="0"/>
        <w:tabs>
          <w:tab w:leader="none" w:pos="544"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Members</w:t>
      </w:r>
    </w:p>
    <w:p>
      <w:pPr>
        <w:spacing w:after="0" w:line="121" w:lineRule="exact"/>
        <w:rPr>
          <w:rFonts w:ascii="Arial" w:cs="Arial" w:eastAsia="Arial" w:hAnsi="Arial"/>
          <w:sz w:val="18"/>
          <w:szCs w:val="18"/>
          <w:b w:val="1"/>
          <w:bCs w:val="1"/>
          <w:color w:val="auto"/>
        </w:rPr>
      </w:pPr>
    </w:p>
    <w:p>
      <w:pPr>
        <w:ind w:left="544"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corporation or other non-natural person which is a Member may in accordance with its constitutional documents, or in the absence of such provision by resolution of its directors or other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1440" w:right="479" w:bottom="1440" w:gutter="0" w:footer="0" w:header="0"/>
        </w:sectPr>
      </w:pPr>
    </w:p>
    <w:bookmarkStart w:id="255" w:name="page256"/>
    <w:bookmarkEnd w:id="2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544" w:right="80"/>
        <w:spacing w:after="0" w:line="263" w:lineRule="auto"/>
        <w:rPr>
          <w:sz w:val="20"/>
          <w:szCs w:val="20"/>
          <w:color w:val="auto"/>
        </w:rPr>
      </w:pPr>
      <w:r>
        <w:rPr>
          <w:rFonts w:ascii="Arial" w:cs="Arial" w:eastAsia="Arial" w:hAnsi="Arial"/>
          <w:sz w:val="18"/>
          <w:szCs w:val="18"/>
          <w:color w:val="auto"/>
        </w:rPr>
        <w:t>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328" w:lineRule="exact"/>
        <w:rPr>
          <w:sz w:val="20"/>
          <w:szCs w:val="20"/>
          <w:color w:val="auto"/>
        </w:rPr>
      </w:pPr>
    </w:p>
    <w:p>
      <w:pPr>
        <w:ind w:left="544" w:hanging="544"/>
        <w:spacing w:after="0"/>
        <w:tabs>
          <w:tab w:leader="none" w:pos="544"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Shares that May Not be Voted</w:t>
      </w:r>
    </w:p>
    <w:p>
      <w:pPr>
        <w:spacing w:after="0" w:line="121" w:lineRule="exact"/>
        <w:rPr>
          <w:rFonts w:ascii="Arial" w:cs="Arial" w:eastAsia="Arial" w:hAnsi="Arial"/>
          <w:sz w:val="18"/>
          <w:szCs w:val="18"/>
          <w:b w:val="1"/>
          <w:bCs w:val="1"/>
          <w:color w:val="auto"/>
        </w:rPr>
      </w:pPr>
    </w:p>
    <w:p>
      <w:pPr>
        <w:ind w:left="544"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121" w:lineRule="exact"/>
        <w:rPr>
          <w:rFonts w:ascii="Arial" w:cs="Arial" w:eastAsia="Arial" w:hAnsi="Arial"/>
          <w:sz w:val="18"/>
          <w:szCs w:val="18"/>
          <w:b w:val="1"/>
          <w:bCs w:val="1"/>
          <w:color w:val="auto"/>
        </w:rPr>
      </w:pPr>
    </w:p>
    <w:p>
      <w:pPr>
        <w:jc w:val="both"/>
        <w:ind w:left="544"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There shall be a board of Directors consisting of not less than one person (exclusive of alternate Directors) provided however that the Company may by Ordinary Resolution increase or reduce the limits in the number of Directors. The first Directors of the Company shall be determined in writing by, or appointed by a resolution of, the Subscriber.</w:t>
      </w:r>
    </w:p>
    <w:p>
      <w:pPr>
        <w:spacing w:after="0" w:line="328" w:lineRule="exact"/>
        <w:rPr>
          <w:rFonts w:ascii="Arial" w:cs="Arial" w:eastAsia="Arial" w:hAnsi="Arial"/>
          <w:sz w:val="18"/>
          <w:szCs w:val="18"/>
          <w:b w:val="1"/>
          <w:bCs w:val="1"/>
          <w:color w:val="auto"/>
        </w:rPr>
      </w:pPr>
    </w:p>
    <w:p>
      <w:pPr>
        <w:ind w:left="544" w:hanging="544"/>
        <w:spacing w:after="0"/>
        <w:tabs>
          <w:tab w:leader="none" w:pos="544"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Directors</w:t>
      </w:r>
    </w:p>
    <w:p>
      <w:pPr>
        <w:spacing w:after="0" w:line="135" w:lineRule="exact"/>
        <w:rPr>
          <w:sz w:val="20"/>
          <w:szCs w:val="20"/>
          <w:color w:val="auto"/>
        </w:rPr>
      </w:pPr>
    </w:p>
    <w:p>
      <w:pPr>
        <w:jc w:val="both"/>
        <w:ind w:left="544" w:hanging="539"/>
        <w:spacing w:after="0" w:line="301" w:lineRule="auto"/>
        <w:tabs>
          <w:tab w:leader="none" w:pos="524"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63" w:lineRule="exact"/>
        <w:rPr>
          <w:sz w:val="20"/>
          <w:szCs w:val="20"/>
          <w:color w:val="auto"/>
        </w:rPr>
      </w:pPr>
    </w:p>
    <w:p>
      <w:pPr>
        <w:jc w:val="both"/>
        <w:ind w:left="544" w:right="180" w:hanging="539"/>
        <w:spacing w:after="0" w:line="263" w:lineRule="auto"/>
        <w:tabs>
          <w:tab w:leader="none" w:pos="524" w:val="left"/>
        </w:tabs>
        <w:rPr>
          <w:sz w:val="20"/>
          <w:szCs w:val="20"/>
          <w:color w:val="auto"/>
        </w:rPr>
      </w:pPr>
      <w:r>
        <w:rPr>
          <w:rFonts w:ascii="Arial" w:cs="Arial" w:eastAsia="Arial" w:hAnsi="Arial"/>
          <w:sz w:val="18"/>
          <w:szCs w:val="18"/>
          <w:color w:val="auto"/>
        </w:rPr>
        <w:t>28.2</w:t>
        <w:tab/>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89"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28.3</w:t>
        <w:tab/>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89" w:lineRule="exact"/>
        <w:rPr>
          <w:sz w:val="20"/>
          <w:szCs w:val="20"/>
          <w:color w:val="auto"/>
        </w:rPr>
      </w:pPr>
    </w:p>
    <w:p>
      <w:pPr>
        <w:ind w:left="544" w:right="60" w:hanging="539"/>
        <w:spacing w:after="0" w:line="286" w:lineRule="auto"/>
        <w:tabs>
          <w:tab w:leader="none" w:pos="524"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7"/>
          <w:szCs w:val="17"/>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1440" w:right="459" w:bottom="1440" w:gutter="0" w:footer="0" w:header="0"/>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Appointment and Removal of Directors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The Company may by Ordinary Resolution appoint any person to be a Director or may by Ordinary Resolution remove any Director.</w:t>
      </w:r>
    </w:p>
    <w:p>
      <w:pPr>
        <w:spacing w:after="0" w:line="131" w:lineRule="exact"/>
        <w:rPr>
          <w:sz w:val="20"/>
          <w:szCs w:val="20"/>
          <w:color w:val="auto"/>
        </w:rPr>
      </w:pPr>
    </w:p>
    <w:p>
      <w:pPr>
        <w:ind w:left="544" w:right="200" w:hanging="539"/>
        <w:spacing w:after="0" w:line="342" w:lineRule="auto"/>
        <w:tabs>
          <w:tab w:leader="none" w:pos="524"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268" w:lineRule="exact"/>
        <w:rPr>
          <w:sz w:val="20"/>
          <w:szCs w:val="20"/>
          <w:color w:val="auto"/>
        </w:rPr>
      </w:pPr>
    </w:p>
    <w:p>
      <w:pPr>
        <w:ind w:left="544" w:hanging="544"/>
        <w:spacing w:after="0"/>
        <w:tabs>
          <w:tab w:leader="none" w:pos="544"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of Office of Director</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 office of a Director shall be vacated if:</w:t>
      </w:r>
    </w:p>
    <w:p>
      <w:pPr>
        <w:spacing w:after="0" w:line="130" w:lineRule="exact"/>
        <w:rPr>
          <w:rFonts w:ascii="Arial" w:cs="Arial" w:eastAsia="Arial" w:hAnsi="Arial"/>
          <w:sz w:val="18"/>
          <w:szCs w:val="18"/>
          <w:b w:val="1"/>
          <w:bCs w:val="1"/>
          <w:color w:val="auto"/>
        </w:rPr>
      </w:pPr>
    </w:p>
    <w:p>
      <w:pPr>
        <w:ind w:left="1184" w:hanging="644"/>
        <w:spacing w:after="0"/>
        <w:tabs>
          <w:tab w:leader="none" w:pos="118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Director gives notice in writing to the Company that he resigns the office of Director; or</w:t>
      </w:r>
    </w:p>
    <w:p>
      <w:pPr>
        <w:spacing w:after="0" w:line="130" w:lineRule="exact"/>
        <w:rPr>
          <w:rFonts w:ascii="Arial" w:cs="Arial" w:eastAsia="Arial" w:hAnsi="Arial"/>
          <w:sz w:val="18"/>
          <w:szCs w:val="18"/>
          <w:color w:val="auto"/>
        </w:rPr>
      </w:pPr>
    </w:p>
    <w:p>
      <w:pPr>
        <w:jc w:val="both"/>
        <w:ind w:left="1184" w:right="20" w:hanging="644"/>
        <w:spacing w:after="0" w:line="263" w:lineRule="auto"/>
        <w:tabs>
          <w:tab w:leader="none" w:pos="118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Director absents himself (for the avoidance of doubt, without being represented by proxy or an alternate Director appointed by him) from three consecutive meetings of the board of Directors without special leave of absence from the Directors, and the Directors pass a resolution that he has by reason of such absence vacated office; or</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Director dies, becomes bankrupt or makes any arrangement or composition with his creditors generally; 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Director is found to be or becomes of unsound mind; or</w:t>
      </w:r>
    </w:p>
    <w:p>
      <w:pPr>
        <w:spacing w:after="0" w:line="130" w:lineRule="exact"/>
        <w:rPr>
          <w:rFonts w:ascii="Arial" w:cs="Arial" w:eastAsia="Arial" w:hAnsi="Arial"/>
          <w:sz w:val="18"/>
          <w:szCs w:val="18"/>
          <w:color w:val="auto"/>
        </w:rPr>
      </w:pPr>
    </w:p>
    <w:p>
      <w:pPr>
        <w:ind w:left="1184" w:right="120" w:hanging="644"/>
        <w:spacing w:after="0" w:line="263" w:lineRule="auto"/>
        <w:tabs>
          <w:tab w:leader="none" w:pos="118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328" w:lineRule="exact"/>
        <w:rPr>
          <w:rFonts w:ascii="Arial" w:cs="Arial" w:eastAsia="Arial" w:hAnsi="Arial"/>
          <w:sz w:val="18"/>
          <w:szCs w:val="18"/>
          <w:color w:val="auto"/>
        </w:rPr>
      </w:pPr>
    </w:p>
    <w:p>
      <w:pPr>
        <w:ind w:left="544" w:hanging="544"/>
        <w:spacing w:after="0"/>
        <w:tabs>
          <w:tab w:leader="none" w:pos="544"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Directors</w:t>
      </w:r>
    </w:p>
    <w:p>
      <w:pPr>
        <w:spacing w:after="0" w:line="135"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31.1</w:t>
        <w:tab/>
        <w:t>The quorum for the transaction of the business of the Directors may be fixed by the Directors, and unless so fixed shall be two if there are two or more Directors, and shall be one if there is only one Director. A person who holds office as an alternate Director shall, if his appointor is not present, be counted in the quorum. A Director who also acts as an alternate Director shall, if his appointor is not present, count twice towards the quorum.</w:t>
      </w:r>
    </w:p>
    <w:p>
      <w:pPr>
        <w:spacing w:after="0" w:line="92" w:lineRule="exact"/>
        <w:rPr>
          <w:sz w:val="20"/>
          <w:szCs w:val="20"/>
          <w:color w:val="auto"/>
        </w:rPr>
      </w:pPr>
    </w:p>
    <w:p>
      <w:pPr>
        <w:ind w:left="544" w:right="60" w:hanging="539"/>
        <w:spacing w:after="0" w:line="311" w:lineRule="auto"/>
        <w:tabs>
          <w:tab w:leader="none" w:pos="524"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 A Director who is also an alternate Director shall be entitled in the absence of his appointor to a separate vote on behalf of his appointor in addition to his own vote.</w:t>
      </w:r>
    </w:p>
    <w:p>
      <w:pPr>
        <w:spacing w:after="0" w:line="54" w:lineRule="exact"/>
        <w:rPr>
          <w:sz w:val="20"/>
          <w:szCs w:val="20"/>
          <w:color w:val="auto"/>
        </w:rPr>
      </w:pPr>
    </w:p>
    <w:p>
      <w:pPr>
        <w:ind w:left="544" w:right="640" w:hanging="539"/>
        <w:spacing w:after="0" w:line="277" w:lineRule="auto"/>
        <w:tabs>
          <w:tab w:leader="none" w:pos="524" w:val="left"/>
        </w:tabs>
        <w:rPr>
          <w:sz w:val="20"/>
          <w:szCs w:val="20"/>
          <w:color w:val="auto"/>
        </w:rPr>
      </w:pPr>
      <w:r>
        <w:rPr>
          <w:rFonts w:ascii="Arial" w:cs="Arial" w:eastAsia="Arial" w:hAnsi="Arial"/>
          <w:sz w:val="18"/>
          <w:szCs w:val="18"/>
          <w:color w:val="auto"/>
        </w:rPr>
        <w:t>31.3</w:t>
        <w:tab/>
        <w:t>A person may participate in a meeting of the Directors or any committee of Directors by conference telephone or other communications equipment by means of which all the persons participating in</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4"/>
          </w:cols>
          <w:pgMar w:left="436" w:top="1440" w:right="499" w:bottom="1440" w:gutter="0" w:footer="0" w:header="0"/>
        </w:sectPr>
      </w:pPr>
    </w:p>
    <w:bookmarkStart w:id="257" w:name="page258"/>
    <w:bookmarkEnd w:id="2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right="140"/>
        <w:spacing w:after="0" w:line="263" w:lineRule="auto"/>
        <w:rPr>
          <w:sz w:val="20"/>
          <w:szCs w:val="20"/>
          <w:color w:val="auto"/>
        </w:rPr>
      </w:pPr>
      <w:r>
        <w:rPr>
          <w:rFonts w:ascii="Arial" w:cs="Arial" w:eastAsia="Arial" w:hAnsi="Arial"/>
          <w:sz w:val="18"/>
          <w:szCs w:val="18"/>
          <w:color w:val="auto"/>
        </w:rPr>
        <w:t>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89" w:lineRule="exact"/>
        <w:rPr>
          <w:sz w:val="20"/>
          <w:szCs w:val="20"/>
          <w:color w:val="auto"/>
        </w:rPr>
      </w:pPr>
    </w:p>
    <w:p>
      <w:pPr>
        <w:ind w:left="540" w:hanging="539"/>
        <w:spacing w:after="0" w:line="255" w:lineRule="auto"/>
        <w:tabs>
          <w:tab w:leader="none" w:pos="520" w:val="left"/>
        </w:tabs>
        <w:rPr>
          <w:sz w:val="20"/>
          <w:szCs w:val="20"/>
          <w:color w:val="auto"/>
        </w:rPr>
      </w:pPr>
      <w:r>
        <w:rPr>
          <w:rFonts w:ascii="Arial" w:cs="Arial" w:eastAsia="Arial" w:hAnsi="Arial"/>
          <w:sz w:val="18"/>
          <w:szCs w:val="18"/>
          <w:color w:val="auto"/>
        </w:rPr>
        <w:t>31.4</w:t>
        <w:tab/>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(an alternate Director being entitled to sign such a resolution on behalf of his appointor and if such alternate Director is also a Director, being entitled to sign such resolution both on behalf of his appointer and in his capacity as a Director) shall be as valid and effectual as if it had been passed at a meeting of the Directors, or committee of Directors as the case may be, duly convened and held.</w:t>
      </w:r>
    </w:p>
    <w:p>
      <w:pPr>
        <w:spacing w:after="0" w:line="98" w:lineRule="exact"/>
        <w:rPr>
          <w:sz w:val="20"/>
          <w:szCs w:val="20"/>
          <w:color w:val="auto"/>
        </w:rPr>
      </w:pPr>
    </w:p>
    <w:p>
      <w:pPr>
        <w:ind w:left="540" w:right="80" w:hanging="539"/>
        <w:spacing w:after="0" w:line="257" w:lineRule="auto"/>
        <w:tabs>
          <w:tab w:leader="none" w:pos="520" w:val="left"/>
        </w:tabs>
        <w:rPr>
          <w:sz w:val="20"/>
          <w:szCs w:val="20"/>
          <w:color w:val="auto"/>
        </w:rPr>
      </w:pPr>
      <w:r>
        <w:rPr>
          <w:rFonts w:ascii="Arial" w:cs="Arial" w:eastAsia="Arial" w:hAnsi="Arial"/>
          <w:sz w:val="18"/>
          <w:szCs w:val="18"/>
          <w:color w:val="auto"/>
        </w:rPr>
        <w:t>31.5</w:t>
        <w:tab/>
        <w:t xml:space="preserve">A Director or alternate Director may, or other officer of the Company on the direction of a Director or alternate Director shall, call a meeting of the Directors by at least two days’ notice in writing to every Director and alternate Director which notice shall set forth the general nature of the business to be considered unless notice is waived by all the Directors (or their alternates) either at, before or after the meeting is held. To any such notice of a meeting of the Directors all the provisions of the Articles relating to the giving of notices by the Company to the Members shall apply </w:t>
      </w:r>
      <w:r>
        <w:rPr>
          <w:rFonts w:ascii="Arial" w:cs="Arial" w:eastAsia="Arial" w:hAnsi="Arial"/>
          <w:sz w:val="18"/>
          <w:szCs w:val="18"/>
          <w:i w:val="1"/>
          <w:iCs w:val="1"/>
          <w:color w:val="auto"/>
        </w:rPr>
        <w:t>mutatis mutandis.</w:t>
      </w:r>
    </w:p>
    <w:p>
      <w:pPr>
        <w:spacing w:after="0" w:line="93"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Arial" w:cs="Arial" w:eastAsia="Arial" w:hAnsi="Arial"/>
          <w:sz w:val="18"/>
          <w:szCs w:val="18"/>
          <w:color w:val="auto"/>
        </w:rPr>
        <w:t>31.6</w:t>
        <w:tab/>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92"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31.7</w:t>
        <w:tab/>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89" w:lineRule="exact"/>
        <w:rPr>
          <w:sz w:val="20"/>
          <w:szCs w:val="20"/>
          <w:color w:val="auto"/>
        </w:rPr>
      </w:pPr>
    </w:p>
    <w:p>
      <w:pPr>
        <w:ind w:left="540" w:right="180" w:hanging="539"/>
        <w:spacing w:after="0" w:line="257" w:lineRule="auto"/>
        <w:tabs>
          <w:tab w:leader="none" w:pos="520" w:val="left"/>
        </w:tabs>
        <w:rPr>
          <w:sz w:val="20"/>
          <w:szCs w:val="20"/>
          <w:color w:val="auto"/>
        </w:rPr>
      </w:pPr>
      <w:r>
        <w:rPr>
          <w:rFonts w:ascii="Arial" w:cs="Arial" w:eastAsia="Arial" w:hAnsi="Arial"/>
          <w:sz w:val="18"/>
          <w:szCs w:val="18"/>
          <w:color w:val="auto"/>
        </w:rPr>
        <w:t>31.8</w:t>
        <w:tab/>
        <w:t>All acts done by any meeting of the Directors or of a committee of the Directors (including any person acting as an alternate Director) shall, notwithstanding that it is afterwards discovered that there was some defect in the appointment of any Director or alternate Director, and/or that they or any of them were disqualified, and/or had vacated their office and/or were not entitled to vote, be as valid as if every such person had been duly appointed and/or not disqualified to be a Director or alternate Director and/or had not vacated their office and/or had been entitled to vote, as the case may be.</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color w:val="auto"/>
        </w:rPr>
        <w:t>A Director but not an alternate Director may be represented at any meetings of the board of Directors by a proxy appointed in writing by him.</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proxy shall count towards the quorum and the vote of the proxy shall for all purposes be deemed to be that of the appointing Director.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1440" w:right="459" w:bottom="1440" w:gutter="0" w:footer="0" w:header="0"/>
        </w:sectPr>
      </w:pPr>
    </w:p>
    <w:bookmarkStart w:id="258" w:name="page259"/>
    <w:bookmarkEnd w:id="2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4" w:hanging="544"/>
        <w:spacing w:after="0"/>
        <w:tabs>
          <w:tab w:leader="none" w:pos="544"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 of Assent</w:t>
      </w:r>
    </w:p>
    <w:p>
      <w:pPr>
        <w:spacing w:after="0" w:line="121" w:lineRule="exact"/>
        <w:rPr>
          <w:rFonts w:ascii="Arial" w:cs="Arial" w:eastAsia="Arial" w:hAnsi="Arial"/>
          <w:sz w:val="18"/>
          <w:szCs w:val="18"/>
          <w:b w:val="1"/>
          <w:bCs w:val="1"/>
          <w:color w:val="auto"/>
        </w:rPr>
      </w:pPr>
    </w:p>
    <w:p>
      <w:pPr>
        <w:ind w:left="544"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Director or alternate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or alternate Director who voted in favour of such action.</w:t>
      </w:r>
    </w:p>
    <w:p>
      <w:pPr>
        <w:spacing w:after="0" w:line="332" w:lineRule="exact"/>
        <w:rPr>
          <w:rFonts w:ascii="Arial" w:cs="Arial" w:eastAsia="Arial" w:hAnsi="Arial"/>
          <w:sz w:val="18"/>
          <w:szCs w:val="18"/>
          <w:b w:val="1"/>
          <w:bCs w:val="1"/>
          <w:color w:val="auto"/>
        </w:rPr>
      </w:pPr>
    </w:p>
    <w:p>
      <w:pPr>
        <w:ind w:left="544" w:hanging="544"/>
        <w:spacing w:after="0"/>
        <w:tabs>
          <w:tab w:leader="none" w:pos="544"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135" w:lineRule="exact"/>
        <w:rPr>
          <w:sz w:val="20"/>
          <w:szCs w:val="20"/>
          <w:color w:val="auto"/>
        </w:rPr>
      </w:pPr>
    </w:p>
    <w:p>
      <w:pPr>
        <w:ind w:left="544" w:right="60" w:hanging="539"/>
        <w:spacing w:after="0" w:line="342" w:lineRule="auto"/>
        <w:tabs>
          <w:tab w:leader="none" w:pos="524"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A Director or alternate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29" w:lineRule="exact"/>
        <w:rPr>
          <w:sz w:val="20"/>
          <w:szCs w:val="20"/>
          <w:color w:val="auto"/>
        </w:rPr>
      </w:pPr>
    </w:p>
    <w:p>
      <w:pPr>
        <w:ind w:left="544" w:right="140" w:hanging="539"/>
        <w:spacing w:after="0" w:line="308" w:lineRule="auto"/>
        <w:tabs>
          <w:tab w:leader="none" w:pos="524"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A Director or alternate Director may act by himself or by, through or on behalf of his firm in a professional capacity for the Company and he or his firm shall be entitled to remuneration for professional services as if he were not a Director or alternate Director.</w:t>
      </w:r>
    </w:p>
    <w:p>
      <w:pPr>
        <w:spacing w:after="0" w:line="52" w:lineRule="exact"/>
        <w:rPr>
          <w:sz w:val="20"/>
          <w:szCs w:val="20"/>
          <w:color w:val="auto"/>
        </w:rPr>
      </w:pPr>
    </w:p>
    <w:p>
      <w:pPr>
        <w:ind w:left="544" w:right="440" w:hanging="539"/>
        <w:spacing w:after="0" w:line="259" w:lineRule="auto"/>
        <w:tabs>
          <w:tab w:leader="none" w:pos="524" w:val="left"/>
        </w:tabs>
        <w:rPr>
          <w:sz w:val="20"/>
          <w:szCs w:val="20"/>
          <w:color w:val="auto"/>
        </w:rPr>
      </w:pPr>
      <w:r>
        <w:rPr>
          <w:rFonts w:ascii="Arial" w:cs="Arial" w:eastAsia="Arial" w:hAnsi="Arial"/>
          <w:sz w:val="18"/>
          <w:szCs w:val="18"/>
          <w:color w:val="auto"/>
        </w:rPr>
        <w:t>33.3</w:t>
        <w:tab/>
        <w:t>A Director or alternate Director may be or become a director or other officer of or otherwise interested in any company promoted by the Company or in which the Company may be interested as a shareholder, a contracting party or otherwise, and no such Director or alternate Director shall be accountable to the Company for any remuneration or other benefits received by him as a director or officer of, or from his interest in, such other company.</w:t>
      </w:r>
    </w:p>
    <w:p>
      <w:pPr>
        <w:spacing w:after="0" w:line="92" w:lineRule="exact"/>
        <w:rPr>
          <w:sz w:val="20"/>
          <w:szCs w:val="20"/>
          <w:color w:val="auto"/>
        </w:rPr>
      </w:pPr>
    </w:p>
    <w:p>
      <w:pPr>
        <w:ind w:left="544" w:hanging="539"/>
        <w:spacing w:after="0" w:line="254" w:lineRule="auto"/>
        <w:tabs>
          <w:tab w:leader="none" w:pos="524" w:val="left"/>
        </w:tabs>
        <w:rPr>
          <w:sz w:val="20"/>
          <w:szCs w:val="20"/>
          <w:color w:val="auto"/>
        </w:rPr>
      </w:pPr>
      <w:r>
        <w:rPr>
          <w:rFonts w:ascii="Arial" w:cs="Arial" w:eastAsia="Arial" w:hAnsi="Arial"/>
          <w:sz w:val="18"/>
          <w:szCs w:val="18"/>
          <w:color w:val="auto"/>
        </w:rPr>
        <w:t>33.4</w:t>
        <w:tab/>
        <w:t>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or arising in connection with any such contract or transaction by reason of such Director or alternate Director holding office or of the fiduciary relationship thereby established. A Director (or his alternate Director in his absence) shall be at liberty to vote in respect of any contract or transaction in which he is interested provided that the nature of the interest of any Director or alternate Director in any such contract or transaction shall be disclosed by him at or prior to its consideration and any vote thereon.</w:t>
      </w:r>
    </w:p>
    <w:p>
      <w:pPr>
        <w:spacing w:after="0" w:line="97" w:lineRule="exact"/>
        <w:rPr>
          <w:sz w:val="20"/>
          <w:szCs w:val="20"/>
          <w:color w:val="auto"/>
        </w:rPr>
      </w:pPr>
    </w:p>
    <w:p>
      <w:pPr>
        <w:ind w:left="544" w:right="60" w:hanging="539"/>
        <w:spacing w:after="0" w:line="259" w:lineRule="auto"/>
        <w:tabs>
          <w:tab w:leader="none" w:pos="524" w:val="left"/>
        </w:tabs>
        <w:rPr>
          <w:sz w:val="20"/>
          <w:szCs w:val="20"/>
          <w:color w:val="auto"/>
        </w:rPr>
      </w:pPr>
      <w:r>
        <w:rPr>
          <w:rFonts w:ascii="Arial" w:cs="Arial" w:eastAsia="Arial" w:hAnsi="Arial"/>
          <w:sz w:val="18"/>
          <w:szCs w:val="18"/>
          <w:color w:val="auto"/>
        </w:rPr>
        <w:t>33.5</w:t>
        <w:tab/>
        <w:t>A general notice that a Director or alternate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1440" w:right="459" w:bottom="1440" w:gutter="0" w:footer="0" w:header="0"/>
        </w:sectPr>
      </w:pPr>
    </w:p>
    <w:bookmarkStart w:id="259" w:name="page260"/>
    <w:bookmarkEnd w:id="2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4" w:hanging="544"/>
        <w:spacing w:after="0"/>
        <w:tabs>
          <w:tab w:leader="none" w:pos="544"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121" w:lineRule="exact"/>
        <w:rPr>
          <w:rFonts w:ascii="Arial" w:cs="Arial" w:eastAsia="Arial" w:hAnsi="Arial"/>
          <w:sz w:val="18"/>
          <w:szCs w:val="18"/>
          <w:b w:val="1"/>
          <w:bCs w:val="1"/>
          <w:color w:val="auto"/>
        </w:rPr>
      </w:pPr>
    </w:p>
    <w:p>
      <w:pPr>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or alternate Directors present at each meeting.</w:t>
      </w:r>
    </w:p>
    <w:p>
      <w:pPr>
        <w:spacing w:after="0" w:line="328" w:lineRule="exact"/>
        <w:rPr>
          <w:rFonts w:ascii="Arial" w:cs="Arial" w:eastAsia="Arial" w:hAnsi="Arial"/>
          <w:sz w:val="18"/>
          <w:szCs w:val="18"/>
          <w:b w:val="1"/>
          <w:bCs w:val="1"/>
          <w:color w:val="auto"/>
        </w:rPr>
      </w:pPr>
    </w:p>
    <w:p>
      <w:pPr>
        <w:ind w:left="544" w:hanging="544"/>
        <w:spacing w:after="0"/>
        <w:tabs>
          <w:tab w:leader="none" w:pos="544"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of Directors’ Powers</w:t>
      </w:r>
    </w:p>
    <w:p>
      <w:pPr>
        <w:spacing w:after="0" w:line="135" w:lineRule="exact"/>
        <w:rPr>
          <w:sz w:val="20"/>
          <w:szCs w:val="20"/>
          <w:color w:val="auto"/>
        </w:rPr>
      </w:pPr>
    </w:p>
    <w:p>
      <w:pPr>
        <w:ind w:left="544" w:hanging="539"/>
        <w:spacing w:after="0" w:line="272" w:lineRule="auto"/>
        <w:tabs>
          <w:tab w:leader="none" w:pos="524"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7"/>
          <w:szCs w:val="17"/>
          <w:color w:val="auto"/>
        </w:rPr>
        <w:t>The Directors may delegate any of their powers, authorities and discretions, including the power to sub-delegate, to any committee consisting of one or more Directors. They may also delegate to any managing director or any Director holding any other executive office such of their powers, authorities and discretions as they consider desirable to be exercised by him provided that an alternate Director may not act as managing director and the appointment of a managing director shall be revoked forthwith if he ceases to be a Director.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83" w:lineRule="exact"/>
        <w:rPr>
          <w:sz w:val="20"/>
          <w:szCs w:val="20"/>
          <w:color w:val="auto"/>
        </w:rPr>
      </w:pPr>
    </w:p>
    <w:p>
      <w:pPr>
        <w:ind w:left="544" w:right="20" w:hanging="539"/>
        <w:spacing w:after="0" w:line="275" w:lineRule="auto"/>
        <w:tabs>
          <w:tab w:leader="none" w:pos="524"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7"/>
          <w:szCs w:val="17"/>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82" w:lineRule="exact"/>
        <w:rPr>
          <w:sz w:val="20"/>
          <w:szCs w:val="20"/>
          <w:color w:val="auto"/>
        </w:rPr>
      </w:pPr>
    </w:p>
    <w:p>
      <w:pPr>
        <w:ind w:left="544" w:right="320" w:hanging="539"/>
        <w:spacing w:after="0" w:line="342" w:lineRule="auto"/>
        <w:tabs>
          <w:tab w:leader="none" w:pos="524"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29" w:lineRule="exact"/>
        <w:rPr>
          <w:sz w:val="20"/>
          <w:szCs w:val="20"/>
          <w:color w:val="auto"/>
        </w:rPr>
      </w:pPr>
    </w:p>
    <w:p>
      <w:pPr>
        <w:ind w:left="544" w:right="140" w:hanging="539"/>
        <w:spacing w:after="0" w:line="293" w:lineRule="auto"/>
        <w:tabs>
          <w:tab w:leader="none" w:pos="524"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6"/>
          <w:szCs w:val="16"/>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70" w:lineRule="exact"/>
        <w:rPr>
          <w:sz w:val="20"/>
          <w:szCs w:val="20"/>
          <w:color w:val="auto"/>
        </w:rPr>
      </w:pPr>
    </w:p>
    <w:p>
      <w:pPr>
        <w:ind w:left="544" w:right="260" w:hanging="539"/>
        <w:spacing w:after="0" w:line="263" w:lineRule="auto"/>
        <w:tabs>
          <w:tab w:leader="none" w:pos="524" w:val="left"/>
        </w:tabs>
        <w:rPr>
          <w:sz w:val="20"/>
          <w:szCs w:val="20"/>
          <w:color w:val="auto"/>
        </w:rPr>
      </w:pPr>
      <w:r>
        <w:rPr>
          <w:rFonts w:ascii="Arial" w:cs="Arial" w:eastAsia="Arial" w:hAnsi="Arial"/>
          <w:sz w:val="18"/>
          <w:szCs w:val="18"/>
          <w:color w:val="auto"/>
        </w:rPr>
        <w:t>35.5</w:t>
        <w:tab/>
        <w:t>The Directors may appoint such officers of the Company (including, for the avoidance of doubt and without limitation, any secretary) as they consider necessary on such terms, at such remuneration and to perform such duties, and subject to such provisions as to disqualification and removal as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1440" w:right="479" w:bottom="1440" w:gutter="0" w:footer="0" w:header="0"/>
        </w:sectPr>
      </w:pPr>
    </w:p>
    <w:bookmarkStart w:id="260" w:name="page261"/>
    <w:bookmarkEnd w:id="2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4" w:right="20"/>
        <w:spacing w:after="0" w:line="263" w:lineRule="auto"/>
        <w:rPr>
          <w:sz w:val="20"/>
          <w:szCs w:val="20"/>
          <w:color w:val="auto"/>
        </w:rPr>
      </w:pPr>
      <w:r>
        <w:rPr>
          <w:rFonts w:ascii="Arial" w:cs="Arial" w:eastAsia="Arial" w:hAnsi="Arial"/>
          <w:sz w:val="18"/>
          <w:szCs w:val="18"/>
          <w:color w:val="auto"/>
        </w:rPr>
        <w:t>the Directors may think fit. Unless otherwise specified in the terms of his appointment an officer of the Company may be removed by resolution of the Directors or Members. An officer of the Company may vacate his office at any time if he gives notice in writing to the Company that he resigns his office.</w:t>
      </w:r>
    </w:p>
    <w:p>
      <w:pPr>
        <w:spacing w:after="0" w:line="32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b w:val="1"/>
          <w:bCs w:val="1"/>
          <w:color w:val="auto"/>
        </w:rPr>
        <w:t>Alternate Directors</w:t>
      </w:r>
    </w:p>
    <w:p>
      <w:pPr>
        <w:spacing w:after="0" w:line="135" w:lineRule="exact"/>
        <w:rPr>
          <w:sz w:val="20"/>
          <w:szCs w:val="20"/>
          <w:color w:val="auto"/>
        </w:rPr>
      </w:pPr>
    </w:p>
    <w:p>
      <w:pPr>
        <w:ind w:left="544" w:right="380" w:hanging="539"/>
        <w:spacing w:after="0" w:line="277" w:lineRule="auto"/>
        <w:tabs>
          <w:tab w:leader="none" w:pos="524" w:val="left"/>
        </w:tabs>
        <w:rPr>
          <w:sz w:val="20"/>
          <w:szCs w:val="20"/>
          <w:color w:val="auto"/>
        </w:rPr>
      </w:pPr>
      <w:r>
        <w:rPr>
          <w:rFonts w:ascii="Arial" w:cs="Arial" w:eastAsia="Arial" w:hAnsi="Arial"/>
          <w:sz w:val="18"/>
          <w:szCs w:val="18"/>
          <w:color w:val="auto"/>
        </w:rPr>
        <w:t>36.1</w:t>
        <w:tab/>
        <w:t>Any Director (but not an alternate Director) may by writing appoint any other Director, or any other person willing to act, to be an alternate Director and by writing may remove from office an alternate Director so appointed by him.</w:t>
      </w:r>
    </w:p>
    <w:p>
      <w:pPr>
        <w:spacing w:after="0" w:line="76" w:lineRule="exact"/>
        <w:rPr>
          <w:sz w:val="20"/>
          <w:szCs w:val="20"/>
          <w:color w:val="auto"/>
        </w:rPr>
      </w:pPr>
    </w:p>
    <w:p>
      <w:pPr>
        <w:ind w:left="544" w:right="120" w:hanging="539"/>
        <w:spacing w:after="0" w:line="286" w:lineRule="auto"/>
        <w:tabs>
          <w:tab w:leader="none" w:pos="524"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7"/>
          <w:szCs w:val="17"/>
          <w:color w:val="auto"/>
        </w:rPr>
        <w:t>An alternate Director shall be entitled to receive notice of all meetings of Directors and of all meetings of committees of Directors of which his appointor is a member, to attend and vote at every such meeting at which the Director appointing him is not personally present, to sign any written resolution of the Directors, and generally to perform all the functions of his appointor as a Director in his absence.</w:t>
      </w:r>
    </w:p>
    <w:p>
      <w:pPr>
        <w:spacing w:after="0" w:line="7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color w:val="auto"/>
        </w:rPr>
        <w:t>An alternate Director shall cease to be an alternate Director if his appointor ceases to be a Director.</w:t>
      </w:r>
    </w:p>
    <w:p>
      <w:pPr>
        <w:spacing w:after="0" w:line="131" w:lineRule="exact"/>
        <w:rPr>
          <w:sz w:val="20"/>
          <w:szCs w:val="20"/>
          <w:color w:val="auto"/>
        </w:rPr>
      </w:pPr>
    </w:p>
    <w:p>
      <w:pPr>
        <w:ind w:left="544" w:right="740" w:hanging="539"/>
        <w:spacing w:after="0" w:line="277" w:lineRule="auto"/>
        <w:tabs>
          <w:tab w:leader="none" w:pos="524" w:val="left"/>
        </w:tabs>
        <w:rPr>
          <w:sz w:val="20"/>
          <w:szCs w:val="20"/>
          <w:color w:val="auto"/>
        </w:rPr>
      </w:pPr>
      <w:r>
        <w:rPr>
          <w:rFonts w:ascii="Arial" w:cs="Arial" w:eastAsia="Arial" w:hAnsi="Arial"/>
          <w:sz w:val="18"/>
          <w:szCs w:val="18"/>
          <w:color w:val="auto"/>
        </w:rPr>
        <w:t>36.4</w:t>
        <w:tab/>
        <w:t>Any appointment or removal of an alternate Director shall be by notice to the Company signed by the Director making or revoking the appointment or in any other manner approved by the Directors.</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36.5</w:t>
        <w:tab/>
        <w:t>Subject to the provisions of the Articles, an alternate Director shall be deemed for all purposes to be a Director and shall alone be responsible for his own acts and defaults and shall not be deemed to be the agent of the Director appointing him.</w:t>
      </w:r>
    </w:p>
    <w:p>
      <w:pPr>
        <w:spacing w:after="0" w:line="315" w:lineRule="exact"/>
        <w:rPr>
          <w:sz w:val="20"/>
          <w:szCs w:val="20"/>
          <w:color w:val="auto"/>
        </w:rPr>
      </w:pPr>
    </w:p>
    <w:p>
      <w:pPr>
        <w:ind w:left="544" w:hanging="544"/>
        <w:spacing w:after="0"/>
        <w:tabs>
          <w:tab w:leader="none" w:pos="544"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No Minimum Shareholding</w:t>
      </w:r>
    </w:p>
    <w:p>
      <w:pPr>
        <w:spacing w:after="0" w:line="121" w:lineRule="exact"/>
        <w:rPr>
          <w:rFonts w:ascii="Arial" w:cs="Arial" w:eastAsia="Arial" w:hAnsi="Arial"/>
          <w:sz w:val="18"/>
          <w:szCs w:val="18"/>
          <w:b w:val="1"/>
          <w:bCs w:val="1"/>
          <w:color w:val="auto"/>
        </w:rPr>
      </w:pPr>
    </w:p>
    <w:p>
      <w:pPr>
        <w:ind w:left="544"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135" w:lineRule="exact"/>
        <w:rPr>
          <w:sz w:val="20"/>
          <w:szCs w:val="20"/>
          <w:color w:val="auto"/>
        </w:rPr>
      </w:pPr>
    </w:p>
    <w:p>
      <w:pPr>
        <w:ind w:left="544" w:right="20" w:hanging="539"/>
        <w:spacing w:after="0" w:line="296" w:lineRule="auto"/>
        <w:tabs>
          <w:tab w:leader="none" w:pos="524"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6"/>
          <w:szCs w:val="16"/>
          <w:color w:val="auto"/>
        </w:rPr>
        <w:t>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67" w:lineRule="exact"/>
        <w:rPr>
          <w:sz w:val="20"/>
          <w:szCs w:val="20"/>
          <w:color w:val="auto"/>
        </w:rPr>
      </w:pPr>
    </w:p>
    <w:p>
      <w:pPr>
        <w:ind w:left="544" w:right="440" w:hanging="539"/>
        <w:spacing w:after="0" w:line="286" w:lineRule="auto"/>
        <w:tabs>
          <w:tab w:leader="none" w:pos="524"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7"/>
          <w:szCs w:val="17"/>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4"/>
          </w:cols>
          <w:pgMar w:left="436" w:top="1440" w:right="499" w:bottom="1440" w:gutter="0" w:footer="0" w:header="0"/>
        </w:sectPr>
      </w:pPr>
    </w:p>
    <w:bookmarkStart w:id="261" w:name="page262"/>
    <w:bookmarkEnd w:id="2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Seal</w:t>
      </w:r>
    </w:p>
    <w:p>
      <w:pPr>
        <w:spacing w:after="0" w:line="135" w:lineRule="exact"/>
        <w:rPr>
          <w:sz w:val="20"/>
          <w:szCs w:val="20"/>
          <w:color w:val="auto"/>
        </w:rPr>
      </w:pPr>
    </w:p>
    <w:p>
      <w:pPr>
        <w:jc w:val="both"/>
        <w:ind w:left="540" w:hanging="539"/>
        <w:spacing w:after="0" w:line="286" w:lineRule="auto"/>
        <w:tabs>
          <w:tab w:leader="none" w:pos="52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7"/>
          <w:szCs w:val="17"/>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of the Company or other person appointed by the Directors for the purpose.</w:t>
      </w:r>
    </w:p>
    <w:p>
      <w:pPr>
        <w:spacing w:after="0" w:line="71" w:lineRule="exact"/>
        <w:rPr>
          <w:sz w:val="20"/>
          <w:szCs w:val="20"/>
          <w:color w:val="auto"/>
        </w:rPr>
      </w:pPr>
    </w:p>
    <w:p>
      <w:pPr>
        <w:ind w:left="540" w:right="20" w:hanging="539"/>
        <w:spacing w:after="0" w:line="263" w:lineRule="auto"/>
        <w:tabs>
          <w:tab w:leader="none" w:pos="520" w:val="left"/>
        </w:tabs>
        <w:rPr>
          <w:sz w:val="20"/>
          <w:szCs w:val="20"/>
          <w:color w:val="auto"/>
        </w:rPr>
      </w:pPr>
      <w:r>
        <w:rPr>
          <w:rFonts w:ascii="Arial" w:cs="Arial" w:eastAsia="Arial" w:hAnsi="Arial"/>
          <w:sz w:val="18"/>
          <w:szCs w:val="18"/>
          <w:color w:val="auto"/>
        </w:rPr>
        <w:t>39.2</w:t>
        <w:tab/>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89" w:lineRule="exact"/>
        <w:rPr>
          <w:sz w:val="20"/>
          <w:szCs w:val="20"/>
          <w:color w:val="auto"/>
        </w:rPr>
      </w:pPr>
    </w:p>
    <w:p>
      <w:pPr>
        <w:ind w:left="540" w:right="160" w:hanging="539"/>
        <w:spacing w:after="0" w:line="263" w:lineRule="auto"/>
        <w:tabs>
          <w:tab w:leader="none" w:pos="520" w:val="left"/>
        </w:tabs>
        <w:rPr>
          <w:sz w:val="20"/>
          <w:szCs w:val="20"/>
          <w:color w:val="auto"/>
        </w:rPr>
      </w:pPr>
      <w:r>
        <w:rPr>
          <w:rFonts w:ascii="Arial" w:cs="Arial" w:eastAsia="Arial" w:hAnsi="Arial"/>
          <w:sz w:val="18"/>
          <w:szCs w:val="18"/>
          <w:color w:val="auto"/>
        </w:rPr>
        <w:t>39.3</w:t>
        <w:tab/>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b w:val="1"/>
          <w:bCs w:val="1"/>
          <w:color w:val="auto"/>
        </w:rPr>
        <w:t>Dividends, Distributions and Reserve</w:t>
      </w:r>
    </w:p>
    <w:p>
      <w:pPr>
        <w:spacing w:after="0" w:line="135" w:lineRule="exact"/>
        <w:rPr>
          <w:sz w:val="20"/>
          <w:szCs w:val="20"/>
          <w:color w:val="auto"/>
        </w:rPr>
      </w:pPr>
    </w:p>
    <w:p>
      <w:pPr>
        <w:ind w:left="540" w:hanging="539"/>
        <w:spacing w:after="0" w:line="296" w:lineRule="auto"/>
        <w:tabs>
          <w:tab w:leader="none" w:pos="52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67" w:lineRule="exact"/>
        <w:rPr>
          <w:sz w:val="20"/>
          <w:szCs w:val="20"/>
          <w:color w:val="auto"/>
        </w:rPr>
      </w:pPr>
    </w:p>
    <w:p>
      <w:pPr>
        <w:jc w:val="both"/>
        <w:ind w:left="540" w:right="140" w:hanging="539"/>
        <w:spacing w:after="0" w:line="263" w:lineRule="auto"/>
        <w:tabs>
          <w:tab w:leader="none" w:pos="520" w:val="left"/>
        </w:tabs>
        <w:rPr>
          <w:sz w:val="20"/>
          <w:szCs w:val="20"/>
          <w:color w:val="auto"/>
        </w:rPr>
      </w:pPr>
      <w:r>
        <w:rPr>
          <w:rFonts w:ascii="Arial" w:cs="Arial" w:eastAsia="Arial" w:hAnsi="Arial"/>
          <w:sz w:val="18"/>
          <w:szCs w:val="18"/>
          <w:color w:val="auto"/>
        </w:rPr>
        <w:t>40.2</w:t>
        <w:tab/>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89" w:lineRule="exact"/>
        <w:rPr>
          <w:sz w:val="20"/>
          <w:szCs w:val="20"/>
          <w:color w:val="auto"/>
        </w:rPr>
      </w:pPr>
    </w:p>
    <w:p>
      <w:pPr>
        <w:ind w:left="540" w:right="20" w:hanging="539"/>
        <w:spacing w:after="0" w:line="277" w:lineRule="auto"/>
        <w:tabs>
          <w:tab w:leader="none" w:pos="520" w:val="left"/>
        </w:tabs>
        <w:rPr>
          <w:sz w:val="20"/>
          <w:szCs w:val="20"/>
          <w:color w:val="auto"/>
        </w:rPr>
      </w:pPr>
      <w:r>
        <w:rPr>
          <w:rFonts w:ascii="Arial" w:cs="Arial" w:eastAsia="Arial" w:hAnsi="Arial"/>
          <w:sz w:val="18"/>
          <w:szCs w:val="18"/>
          <w:color w:val="auto"/>
        </w:rPr>
        <w:t>40.3</w:t>
        <w:tab/>
        <w:t>The Directors may deduct from any Dividend or other distribution payable to any Member all sums of money (if any) then payable by him to the Company on account of calls or otherwise.</w:t>
      </w:r>
    </w:p>
    <w:p>
      <w:pPr>
        <w:spacing w:after="0" w:line="76" w:lineRule="exact"/>
        <w:rPr>
          <w:sz w:val="20"/>
          <w:szCs w:val="20"/>
          <w:color w:val="auto"/>
        </w:rPr>
      </w:pPr>
    </w:p>
    <w:p>
      <w:pPr>
        <w:ind w:left="540" w:right="80" w:hanging="539"/>
        <w:spacing w:after="0" w:line="259" w:lineRule="auto"/>
        <w:tabs>
          <w:tab w:leader="none" w:pos="520" w:val="left"/>
        </w:tabs>
        <w:rPr>
          <w:sz w:val="20"/>
          <w:szCs w:val="20"/>
          <w:color w:val="auto"/>
        </w:rPr>
      </w:pPr>
      <w:r>
        <w:rPr>
          <w:rFonts w:ascii="Arial" w:cs="Arial" w:eastAsia="Arial" w:hAnsi="Arial"/>
          <w:sz w:val="18"/>
          <w:szCs w:val="18"/>
          <w:color w:val="auto"/>
        </w:rPr>
        <w:t>40.4</w:t>
        <w:tab/>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1440" w:right="479" w:bottom="1440" w:gutter="0" w:footer="0" w:header="0"/>
        </w:sectPr>
      </w:pPr>
    </w:p>
    <w:bookmarkStart w:id="262" w:name="page263"/>
    <w:bookmarkEnd w:id="2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4"/>
        <w:spacing w:after="0" w:line="263" w:lineRule="auto"/>
        <w:rPr>
          <w:sz w:val="20"/>
          <w:szCs w:val="20"/>
          <w:color w:val="auto"/>
        </w:rPr>
      </w:pPr>
      <w:r>
        <w:rPr>
          <w:rFonts w:ascii="Arial" w:cs="Arial" w:eastAsia="Arial" w:hAnsi="Arial"/>
          <w:sz w:val="18"/>
          <w:szCs w:val="18"/>
          <w:color w:val="auto"/>
        </w:rPr>
        <w:t>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89" w:lineRule="exact"/>
        <w:rPr>
          <w:sz w:val="20"/>
          <w:szCs w:val="20"/>
          <w:color w:val="auto"/>
        </w:rPr>
      </w:pPr>
    </w:p>
    <w:p>
      <w:pPr>
        <w:ind w:left="544" w:right="60" w:hanging="539"/>
        <w:spacing w:after="0" w:line="342" w:lineRule="auto"/>
        <w:tabs>
          <w:tab w:leader="none" w:pos="524" w:val="left"/>
        </w:tabs>
        <w:rPr>
          <w:sz w:val="20"/>
          <w:szCs w:val="20"/>
          <w:color w:val="auto"/>
        </w:rPr>
      </w:pPr>
      <w:r>
        <w:rPr>
          <w:rFonts w:ascii="Arial" w:cs="Arial" w:eastAsia="Arial" w:hAnsi="Arial"/>
          <w:sz w:val="18"/>
          <w:szCs w:val="18"/>
          <w:color w:val="auto"/>
        </w:rPr>
        <w:t>40.5</w:t>
      </w:r>
      <w:r>
        <w:rPr>
          <w:sz w:val="20"/>
          <w:szCs w:val="20"/>
          <w:color w:val="auto"/>
        </w:rPr>
        <w:tab/>
      </w:r>
      <w:r>
        <w:rPr>
          <w:rFonts w:ascii="Arial" w:cs="Arial" w:eastAsia="Arial" w:hAnsi="Arial"/>
          <w:sz w:val="16"/>
          <w:szCs w:val="16"/>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29"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40.6</w:t>
        <w:tab/>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89"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40.7</w:t>
        <w:tab/>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9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40.8</w:t>
      </w:r>
      <w:r>
        <w:rPr>
          <w:sz w:val="20"/>
          <w:szCs w:val="20"/>
          <w:color w:val="auto"/>
        </w:rPr>
        <w:tab/>
      </w:r>
      <w:r>
        <w:rPr>
          <w:rFonts w:ascii="Arial" w:cs="Arial" w:eastAsia="Arial" w:hAnsi="Arial"/>
          <w:sz w:val="16"/>
          <w:szCs w:val="16"/>
          <w:color w:val="auto"/>
        </w:rPr>
        <w:t>No Dividend or other distribution shall bear interest against the Company.</w:t>
      </w:r>
    </w:p>
    <w:p>
      <w:pPr>
        <w:spacing w:after="0" w:line="131" w:lineRule="exact"/>
        <w:rPr>
          <w:sz w:val="20"/>
          <w:szCs w:val="20"/>
          <w:color w:val="auto"/>
        </w:rPr>
      </w:pPr>
    </w:p>
    <w:p>
      <w:pPr>
        <w:ind w:left="544" w:right="80" w:hanging="539"/>
        <w:spacing w:after="0" w:line="275" w:lineRule="auto"/>
        <w:tabs>
          <w:tab w:leader="none" w:pos="524" w:val="left"/>
        </w:tabs>
        <w:rPr>
          <w:sz w:val="20"/>
          <w:szCs w:val="20"/>
          <w:color w:val="auto"/>
        </w:rPr>
      </w:pPr>
      <w:r>
        <w:rPr>
          <w:rFonts w:ascii="Arial" w:cs="Arial" w:eastAsia="Arial" w:hAnsi="Arial"/>
          <w:sz w:val="18"/>
          <w:szCs w:val="18"/>
          <w:color w:val="auto"/>
        </w:rPr>
        <w:t>40.9</w:t>
      </w:r>
      <w:r>
        <w:rPr>
          <w:sz w:val="20"/>
          <w:szCs w:val="20"/>
          <w:color w:val="auto"/>
        </w:rPr>
        <w:tab/>
      </w:r>
      <w:r>
        <w:rPr>
          <w:rFonts w:ascii="Arial" w:cs="Arial" w:eastAsia="Arial" w:hAnsi="Arial"/>
          <w:sz w:val="17"/>
          <w:szCs w:val="17"/>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321" w:lineRule="exact"/>
        <w:rPr>
          <w:sz w:val="20"/>
          <w:szCs w:val="20"/>
          <w:color w:val="auto"/>
        </w:rPr>
      </w:pPr>
    </w:p>
    <w:p>
      <w:pPr>
        <w:ind w:left="544" w:hanging="544"/>
        <w:spacing w:after="0"/>
        <w:tabs>
          <w:tab w:leader="none" w:pos="544"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w:t>
      </w:r>
    </w:p>
    <w:p>
      <w:pPr>
        <w:spacing w:after="0" w:line="121" w:lineRule="exact"/>
        <w:rPr>
          <w:rFonts w:ascii="Arial" w:cs="Arial" w:eastAsia="Arial" w:hAnsi="Arial"/>
          <w:sz w:val="18"/>
          <w:szCs w:val="18"/>
          <w:b w:val="1"/>
          <w:bCs w:val="1"/>
          <w:color w:val="auto"/>
        </w:rPr>
      </w:pPr>
    </w:p>
    <w:p>
      <w:pPr>
        <w:ind w:left="544" w:right="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1440" w:right="479" w:bottom="1440" w:gutter="0" w:footer="0" w:header="0"/>
        </w:sectPr>
      </w:pPr>
    </w:p>
    <w:bookmarkStart w:id="263" w:name="page264"/>
    <w:bookmarkEnd w:id="2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540" w:right="160"/>
        <w:spacing w:after="0" w:line="263" w:lineRule="auto"/>
        <w:rPr>
          <w:sz w:val="20"/>
          <w:szCs w:val="20"/>
          <w:color w:val="auto"/>
        </w:rPr>
      </w:pPr>
      <w:r>
        <w:rPr>
          <w:rFonts w:ascii="Arial" w:cs="Arial" w:eastAsia="Arial" w:hAnsi="Arial"/>
          <w:sz w:val="18"/>
          <w:szCs w:val="18"/>
          <w:color w:val="auto"/>
        </w:rPr>
        <w:t>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Books of Account</w:t>
      </w:r>
    </w:p>
    <w:p>
      <w:pPr>
        <w:spacing w:after="0" w:line="135" w:lineRule="exact"/>
        <w:rPr>
          <w:sz w:val="20"/>
          <w:szCs w:val="20"/>
          <w:color w:val="auto"/>
        </w:rPr>
      </w:pPr>
    </w:p>
    <w:p>
      <w:pPr>
        <w:ind w:left="540" w:right="100" w:hanging="539"/>
        <w:spacing w:after="0" w:line="255" w:lineRule="auto"/>
        <w:tabs>
          <w:tab w:leader="none" w:pos="520" w:val="left"/>
        </w:tabs>
        <w:rPr>
          <w:sz w:val="20"/>
          <w:szCs w:val="20"/>
          <w:color w:val="auto"/>
        </w:rPr>
      </w:pPr>
      <w:r>
        <w:rPr>
          <w:rFonts w:ascii="Arial" w:cs="Arial" w:eastAsia="Arial" w:hAnsi="Arial"/>
          <w:sz w:val="18"/>
          <w:szCs w:val="18"/>
          <w:color w:val="auto"/>
        </w:rPr>
        <w:t>42.1</w:t>
        <w:tab/>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98"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42.2</w:t>
        <w:tab/>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92" w:lineRule="exact"/>
        <w:rPr>
          <w:sz w:val="20"/>
          <w:szCs w:val="20"/>
          <w:color w:val="auto"/>
        </w:rPr>
      </w:pPr>
    </w:p>
    <w:p>
      <w:pPr>
        <w:ind w:left="540" w:right="300" w:hanging="539"/>
        <w:spacing w:after="0" w:line="277" w:lineRule="auto"/>
        <w:tabs>
          <w:tab w:leader="none" w:pos="520" w:val="left"/>
        </w:tabs>
        <w:rPr>
          <w:sz w:val="20"/>
          <w:szCs w:val="20"/>
          <w:color w:val="auto"/>
        </w:rPr>
      </w:pPr>
      <w:r>
        <w:rPr>
          <w:rFonts w:ascii="Arial" w:cs="Arial" w:eastAsia="Arial" w:hAnsi="Arial"/>
          <w:sz w:val="18"/>
          <w:szCs w:val="18"/>
          <w:color w:val="auto"/>
        </w:rPr>
        <w:t>42.3</w:t>
        <w:tab/>
        <w:t>The Directors may cause to be prepared and to be laid before the Company in general meeting profit and loss accounts, balance sheets, group accounts (if any) and such other reports and accounts as may be required by law.</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Audit</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The Directors may appoint an Auditor of the Company who shall hold office on such terms as the Directors determine.</w:t>
      </w:r>
    </w:p>
    <w:p>
      <w:pPr>
        <w:spacing w:after="0" w:line="131" w:lineRule="exact"/>
        <w:rPr>
          <w:sz w:val="20"/>
          <w:szCs w:val="20"/>
          <w:color w:val="auto"/>
        </w:rPr>
      </w:pPr>
    </w:p>
    <w:p>
      <w:pPr>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t>43.2</w:t>
        <w:tab/>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89" w:lineRule="exact"/>
        <w:rPr>
          <w:sz w:val="20"/>
          <w:szCs w:val="20"/>
          <w:color w:val="auto"/>
        </w:rPr>
      </w:pPr>
    </w:p>
    <w:p>
      <w:pPr>
        <w:ind w:left="540" w:right="120" w:hanging="539"/>
        <w:spacing w:after="0" w:line="257" w:lineRule="auto"/>
        <w:tabs>
          <w:tab w:leader="none" w:pos="520" w:val="left"/>
        </w:tabs>
        <w:rPr>
          <w:sz w:val="20"/>
          <w:szCs w:val="20"/>
          <w:color w:val="auto"/>
        </w:rPr>
      </w:pPr>
      <w:r>
        <w:rPr>
          <w:rFonts w:ascii="Arial" w:cs="Arial" w:eastAsia="Arial" w:hAnsi="Arial"/>
          <w:sz w:val="18"/>
          <w:szCs w:val="18"/>
          <w:color w:val="auto"/>
        </w:rPr>
        <w:t>43.3</w:t>
        <w:tab/>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1440" w:right="459" w:bottom="1440" w:gutter="0" w:footer="0" w:header="0"/>
        </w:sectPr>
      </w:pPr>
    </w:p>
    <w:bookmarkStart w:id="264" w:name="page265"/>
    <w:bookmarkEnd w:id="2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b w:val="1"/>
          <w:bCs w:val="1"/>
          <w:color w:val="auto"/>
        </w:rPr>
        <w:t>Notices</w:t>
      </w:r>
    </w:p>
    <w:p>
      <w:pPr>
        <w:spacing w:after="0" w:line="135" w:lineRule="exact"/>
        <w:rPr>
          <w:sz w:val="20"/>
          <w:szCs w:val="20"/>
          <w:color w:val="auto"/>
        </w:rPr>
      </w:pPr>
    </w:p>
    <w:p>
      <w:pPr>
        <w:jc w:val="both"/>
        <w:ind w:left="540" w:right="20" w:hanging="539"/>
        <w:spacing w:after="0" w:line="286" w:lineRule="auto"/>
        <w:tabs>
          <w:tab w:leader="none" w:pos="52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7"/>
          <w:szCs w:val="17"/>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Any notice, if posted from one country to another, is to be sent by airmail.</w:t>
      </w:r>
    </w:p>
    <w:p>
      <w:pPr>
        <w:spacing w:after="0" w:line="71" w:lineRule="exact"/>
        <w:rPr>
          <w:sz w:val="20"/>
          <w:szCs w:val="20"/>
          <w:color w:val="auto"/>
        </w:rPr>
      </w:pPr>
    </w:p>
    <w:p>
      <w:pPr>
        <w:ind w:left="540" w:hanging="539"/>
        <w:spacing w:after="0" w:line="270" w:lineRule="auto"/>
        <w:tabs>
          <w:tab w:leader="none" w:pos="52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7"/>
          <w:szCs w:val="17"/>
          <w:color w:val="auto"/>
        </w:rPr>
        <w:t>Where a notice is sent by 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 Where a notice is sent by 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 Where a notice is sent by cable, telex or fax, service of the notice shall be deemed to be effected by properly addressing and sending such notice and shall be deemed to have been received on the same day that it was transmitted. Where a notice is given by e-mail service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w:t>
      </w:r>
    </w:p>
    <w:p>
      <w:pPr>
        <w:spacing w:after="0" w:line="86" w:lineRule="exact"/>
        <w:rPr>
          <w:sz w:val="20"/>
          <w:szCs w:val="20"/>
          <w:color w:val="auto"/>
        </w:rPr>
      </w:pPr>
    </w:p>
    <w:p>
      <w:pPr>
        <w:ind w:left="540" w:right="20" w:hanging="539"/>
        <w:spacing w:after="0" w:line="275" w:lineRule="auto"/>
        <w:tabs>
          <w:tab w:leader="none" w:pos="52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7"/>
          <w:szCs w:val="17"/>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82" w:lineRule="exact"/>
        <w:rPr>
          <w:sz w:val="20"/>
          <w:szCs w:val="20"/>
          <w:color w:val="auto"/>
        </w:rPr>
      </w:pPr>
    </w:p>
    <w:p>
      <w:pPr>
        <w:ind w:left="540" w:right="220" w:hanging="539"/>
        <w:spacing w:after="0" w:line="296" w:lineRule="auto"/>
        <w:tabs>
          <w:tab w:leader="none" w:pos="52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6"/>
          <w:szCs w:val="16"/>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30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b w:val="1"/>
          <w:bCs w:val="1"/>
          <w:color w:val="auto"/>
        </w:rPr>
        <w:t>Winding Up</w:t>
      </w:r>
    </w:p>
    <w:p>
      <w:pPr>
        <w:spacing w:after="0" w:line="135" w:lineRule="exact"/>
        <w:rPr>
          <w:sz w:val="20"/>
          <w:szCs w:val="20"/>
          <w:color w:val="auto"/>
        </w:rPr>
      </w:pPr>
    </w:p>
    <w:p>
      <w:pPr>
        <w:ind w:left="540" w:right="260" w:hanging="539"/>
        <w:spacing w:after="0" w:line="277" w:lineRule="auto"/>
        <w:tabs>
          <w:tab w:leader="none" w:pos="520" w:val="left"/>
        </w:tabs>
        <w:rPr>
          <w:sz w:val="20"/>
          <w:szCs w:val="20"/>
          <w:color w:val="auto"/>
        </w:rPr>
      </w:pPr>
      <w:r>
        <w:rPr>
          <w:rFonts w:ascii="Arial" w:cs="Arial" w:eastAsia="Arial" w:hAnsi="Arial"/>
          <w:sz w:val="18"/>
          <w:szCs w:val="18"/>
          <w:color w:val="auto"/>
        </w:rPr>
        <w:t>45.1</w:t>
        <w:tab/>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1440" w:right="459" w:bottom="1440" w:gutter="0" w:footer="0" w:header="0"/>
        </w:sectPr>
      </w:pPr>
    </w:p>
    <w:bookmarkStart w:id="265" w:name="page266"/>
    <w:bookmarkEnd w:id="2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80" w:right="220" w:hanging="644"/>
        <w:spacing w:after="0" w:line="263" w:lineRule="auto"/>
        <w:tabs>
          <w:tab w:leader="none" w:pos="11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89" w:lineRule="exact"/>
        <w:rPr>
          <w:rFonts w:ascii="Arial" w:cs="Arial" w:eastAsia="Arial" w:hAnsi="Arial"/>
          <w:sz w:val="18"/>
          <w:szCs w:val="18"/>
          <w:color w:val="auto"/>
        </w:rPr>
      </w:pPr>
    </w:p>
    <w:p>
      <w:pPr>
        <w:ind w:left="1180" w:right="100" w:hanging="644"/>
        <w:spacing w:after="0" w:line="279" w:lineRule="auto"/>
        <w:tabs>
          <w:tab w:leader="none" w:pos="11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77" w:lineRule="exact"/>
        <w:rPr>
          <w:sz w:val="20"/>
          <w:szCs w:val="20"/>
          <w:color w:val="auto"/>
        </w:rPr>
      </w:pPr>
    </w:p>
    <w:p>
      <w:pPr>
        <w:ind w:left="540" w:right="40" w:hanging="539"/>
        <w:spacing w:after="0" w:line="293" w:lineRule="auto"/>
        <w:tabs>
          <w:tab w:leader="none" w:pos="52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6"/>
          <w:szCs w:val="16"/>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30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8"/>
          <w:szCs w:val="18"/>
          <w:b w:val="1"/>
          <w:bCs w:val="1"/>
          <w:color w:val="auto"/>
        </w:rPr>
        <w:t>Indemnity and Insurance</w:t>
      </w:r>
    </w:p>
    <w:p>
      <w:pPr>
        <w:spacing w:after="0" w:line="135" w:lineRule="exact"/>
        <w:rPr>
          <w:sz w:val="20"/>
          <w:szCs w:val="20"/>
          <w:color w:val="auto"/>
        </w:rPr>
      </w:pPr>
    </w:p>
    <w:p>
      <w:pPr>
        <w:ind w:left="540" w:hanging="539"/>
        <w:spacing w:after="0" w:line="271" w:lineRule="auto"/>
        <w:tabs>
          <w:tab w:leader="none" w:pos="52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7"/>
          <w:szCs w:val="17"/>
          <w:color w:val="auto"/>
        </w:rPr>
        <w:t>Every Director and officer of the Company (which for the avoidance of doubt, shall not include auditors of the Company), together with every former Director and former officer of the Company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or wilful default. No Indemnified Person shall be liable to the Company for any loss or damage incurred by the Company as a result (whether direct or indirect) of the carrying out of their functions unless that liability arises through the actual fraud or wilful default of such Indemnified Person. No person shall be found to have committed actual fraud or wilful default under this Article unless or until a court of competent jurisdiction shall have made a finding to that effect.</w:t>
      </w:r>
    </w:p>
    <w:p>
      <w:pPr>
        <w:spacing w:after="0" w:line="84" w:lineRule="exact"/>
        <w:rPr>
          <w:sz w:val="20"/>
          <w:szCs w:val="20"/>
          <w:color w:val="auto"/>
        </w:rPr>
      </w:pPr>
    </w:p>
    <w:p>
      <w:pPr>
        <w:ind w:left="540" w:right="40" w:hanging="539"/>
        <w:spacing w:after="0" w:line="273" w:lineRule="auto"/>
        <w:tabs>
          <w:tab w:leader="none" w:pos="52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7"/>
          <w:szCs w:val="17"/>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1440" w:right="499" w:bottom="1440" w:gutter="0" w:footer="0" w:header="0"/>
        </w:sectPr>
      </w:pPr>
    </w:p>
    <w:bookmarkStart w:id="266" w:name="page267"/>
    <w:bookmarkEnd w:id="2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4"/>
        <w:spacing w:after="0" w:line="277" w:lineRule="auto"/>
        <w:rPr>
          <w:sz w:val="20"/>
          <w:szCs w:val="20"/>
          <w:color w:val="auto"/>
        </w:rPr>
      </w:pPr>
      <w:r>
        <w:rPr>
          <w:rFonts w:ascii="Arial" w:cs="Arial" w:eastAsia="Arial" w:hAnsi="Arial"/>
          <w:sz w:val="18"/>
          <w:szCs w:val="18"/>
          <w:color w:val="auto"/>
        </w:rPr>
        <w:t>or expenses, then such party shall not be indemnified with respect to such judgment, costs or expenses and any advancement shall be returned to the Company (without interest) by the Indemnified Person.</w:t>
      </w:r>
    </w:p>
    <w:p>
      <w:pPr>
        <w:spacing w:after="0" w:line="76" w:lineRule="exact"/>
        <w:rPr>
          <w:sz w:val="20"/>
          <w:szCs w:val="20"/>
          <w:color w:val="auto"/>
        </w:rPr>
      </w:pPr>
    </w:p>
    <w:p>
      <w:pPr>
        <w:jc w:val="both"/>
        <w:ind w:left="544" w:right="120" w:hanging="539"/>
        <w:spacing w:after="0" w:line="263" w:lineRule="auto"/>
        <w:tabs>
          <w:tab w:leader="none" w:pos="524" w:val="left"/>
        </w:tabs>
        <w:rPr>
          <w:sz w:val="20"/>
          <w:szCs w:val="20"/>
          <w:color w:val="auto"/>
        </w:rPr>
      </w:pPr>
      <w:r>
        <w:rPr>
          <w:rFonts w:ascii="Arial" w:cs="Arial" w:eastAsia="Arial" w:hAnsi="Arial"/>
          <w:sz w:val="18"/>
          <w:szCs w:val="18"/>
          <w:color w:val="auto"/>
        </w:rPr>
        <w:t>46.3</w:t>
        <w:tab/>
        <w:t>The Directors, on behalf of the Company, may purchase and maintain insurance for the benefit of any Director or other officer of the Company against any liability which, by virtue of any rule of law, would otherwise attach to such person in respect of any negligence, default, breach of duty or breach of trust of which such person may be guilty in relation to the Company.</w:t>
      </w:r>
    </w:p>
    <w:p>
      <w:pPr>
        <w:spacing w:after="0" w:line="328" w:lineRule="exact"/>
        <w:rPr>
          <w:sz w:val="20"/>
          <w:szCs w:val="20"/>
          <w:color w:val="auto"/>
        </w:rPr>
      </w:pPr>
    </w:p>
    <w:p>
      <w:pPr>
        <w:ind w:left="544" w:hanging="544"/>
        <w:spacing w:after="0"/>
        <w:tabs>
          <w:tab w:leader="none" w:pos="544"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121" w:lineRule="exact"/>
        <w:rPr>
          <w:rFonts w:ascii="Arial" w:cs="Arial" w:eastAsia="Arial" w:hAnsi="Arial"/>
          <w:sz w:val="18"/>
          <w:szCs w:val="18"/>
          <w:b w:val="1"/>
          <w:bCs w:val="1"/>
          <w:color w:val="auto"/>
        </w:rPr>
      </w:pPr>
    </w:p>
    <w:p>
      <w:pPr>
        <w:ind w:left="544"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Transfer by Way of Continuation</w:t>
      </w:r>
    </w:p>
    <w:p>
      <w:pPr>
        <w:spacing w:after="0" w:line="121" w:lineRule="exact"/>
        <w:rPr>
          <w:rFonts w:ascii="Arial" w:cs="Arial" w:eastAsia="Arial" w:hAnsi="Arial"/>
          <w:sz w:val="18"/>
          <w:szCs w:val="18"/>
          <w:b w:val="1"/>
          <w:bCs w:val="1"/>
          <w:color w:val="auto"/>
        </w:rPr>
      </w:pPr>
    </w:p>
    <w:p>
      <w:pPr>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328" w:lineRule="exact"/>
        <w:rPr>
          <w:rFonts w:ascii="Arial" w:cs="Arial" w:eastAsia="Arial" w:hAnsi="Arial"/>
          <w:sz w:val="18"/>
          <w:szCs w:val="18"/>
          <w:b w:val="1"/>
          <w:bCs w:val="1"/>
          <w:color w:val="auto"/>
        </w:rPr>
      </w:pPr>
    </w:p>
    <w:p>
      <w:pPr>
        <w:ind w:left="544" w:hanging="544"/>
        <w:spacing w:after="0"/>
        <w:tabs>
          <w:tab w:leader="none" w:pos="544"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Consolidations</w:t>
      </w:r>
    </w:p>
    <w:p>
      <w:pPr>
        <w:spacing w:after="0" w:line="121" w:lineRule="exact"/>
        <w:rPr>
          <w:rFonts w:ascii="Arial" w:cs="Arial" w:eastAsia="Arial" w:hAnsi="Arial"/>
          <w:sz w:val="18"/>
          <w:szCs w:val="18"/>
          <w:b w:val="1"/>
          <w:bCs w:val="1"/>
          <w:color w:val="auto"/>
        </w:rPr>
      </w:pPr>
    </w:p>
    <w:p>
      <w:pPr>
        <w:ind w:left="544"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7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4"/>
          </w:cols>
          <w:pgMar w:left="436" w:top="1440" w:right="519" w:bottom="1440" w:gutter="0" w:footer="0" w:header="0"/>
        </w:sectPr>
      </w:pPr>
    </w:p>
    <w:bookmarkStart w:id="267" w:name="page268"/>
    <w:bookmarkEnd w:id="2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259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714946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this 13th day of January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Address of Subscriber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Maples Corporate Services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PO Box 309, Ugland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2794635" cy="2057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2794635" cy="20574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Salome Laidlaw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4368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279463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Ella Ebanks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Witness to the above signature</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019"/>
          </w:cols>
          <w:pgMar w:left="440" w:top="1440" w:right="1440"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COMPANIES ACT (AS REVISED)</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 THE CAYMAN ISLANDS</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AMENDED AND RESTATED</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ARCLIGHT CLEAN TRANSITION CORP. II</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(ADOPTED BY SPECIAL RESOLUTION DATED [DATE] AND EFFECTIVE ON [DATE])</w:t>
      </w:r>
    </w:p>
    <w:p>
      <w:pPr>
        <w:sectPr>
          <w:pgSz w:w="11900" w:h="16838" w:orient="portrait"/>
          <w:cols w:equalWidth="0" w:num="1">
            <w:col w:w="10020"/>
          </w:cols>
          <w:pgMar w:left="1440" w:top="121" w:right="439" w:bottom="1440" w:gutter="0" w:footer="0" w:header="0"/>
        </w:sectPr>
      </w:pPr>
    </w:p>
    <w:bookmarkStart w:id="269" w:name="page270"/>
    <w:bookmarkEnd w:id="269"/>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COMPANIES ACT (AS REVISED)</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OF THE CAYMAN ISLANDS</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AMENDED AND RESTATED</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MEMORANDUM OF ASSOCIATION</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ARCLIGHT CLEAN TRANSITION CORP. 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(ADOPTED BY SPECIAL RESOLUTION DATED [DATE] AND EFFECTIVE ON [DATE])</w:t>
      </w:r>
    </w:p>
    <w:p>
      <w:pPr>
        <w:spacing w:after="0" w:line="252" w:lineRule="exact"/>
        <w:rPr>
          <w:sz w:val="20"/>
          <w:szCs w:val="20"/>
          <w:color w:val="auto"/>
        </w:rPr>
      </w:pPr>
    </w:p>
    <w:p>
      <w:pPr>
        <w:ind w:left="424" w:hanging="424"/>
        <w:spacing w:after="0"/>
        <w:tabs>
          <w:tab w:leader="none" w:pos="42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ArcLight Clean Transition Corp. II</w:t>
      </w:r>
    </w:p>
    <w:p>
      <w:pPr>
        <w:spacing w:after="0" w:line="135" w:lineRule="exact"/>
        <w:rPr>
          <w:sz w:val="20"/>
          <w:szCs w:val="20"/>
          <w:color w:val="auto"/>
        </w:rPr>
      </w:pPr>
    </w:p>
    <w:p>
      <w:pPr>
        <w:ind w:left="424" w:right="60" w:hanging="424"/>
        <w:spacing w:after="0" w:line="277" w:lineRule="auto"/>
        <w:tabs>
          <w:tab w:leader="none" w:pos="4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76" w:lineRule="exact"/>
        <w:rPr>
          <w:sz w:val="20"/>
          <w:szCs w:val="20"/>
          <w:color w:val="auto"/>
        </w:rPr>
      </w:pPr>
    </w:p>
    <w:p>
      <w:pPr>
        <w:ind w:left="424" w:hanging="424"/>
        <w:spacing w:after="0" w:line="277" w:lineRule="auto"/>
        <w:tabs>
          <w:tab w:leader="none" w:pos="42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laws of the Cayman Islands.</w:t>
      </w:r>
    </w:p>
    <w:p>
      <w:pPr>
        <w:spacing w:after="0" w:line="76" w:lineRule="exact"/>
        <w:rPr>
          <w:sz w:val="20"/>
          <w:szCs w:val="20"/>
          <w:color w:val="auto"/>
        </w:rPr>
      </w:pPr>
    </w:p>
    <w:p>
      <w:pPr>
        <w:ind w:left="424" w:hanging="424"/>
        <w:spacing w:after="0"/>
        <w:tabs>
          <w:tab w:leader="none" w:pos="42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unpaid on such Member’s shares.</w:t>
      </w:r>
    </w:p>
    <w:p>
      <w:pPr>
        <w:spacing w:after="0" w:line="131" w:lineRule="exact"/>
        <w:rPr>
          <w:sz w:val="20"/>
          <w:szCs w:val="20"/>
          <w:color w:val="auto"/>
        </w:rPr>
      </w:pPr>
    </w:p>
    <w:p>
      <w:pPr>
        <w:ind w:left="424" w:right="160" w:hanging="424"/>
        <w:spacing w:after="0" w:line="342" w:lineRule="auto"/>
        <w:tabs>
          <w:tab w:leader="none" w:pos="42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share capital of the Company is US$55,500 divided into 500,000,000 Class A ordinary shares of a par value of US$0.0001 each, 50,000,000 Class B ordinary shares of a par value of US$0.0001 each and 5,000,000 preference shares of a par value of US$0.0001 each.</w:t>
      </w:r>
    </w:p>
    <w:p>
      <w:pPr>
        <w:spacing w:after="0" w:line="29" w:lineRule="exact"/>
        <w:rPr>
          <w:sz w:val="20"/>
          <w:szCs w:val="20"/>
          <w:color w:val="auto"/>
        </w:rPr>
      </w:pPr>
    </w:p>
    <w:p>
      <w:pPr>
        <w:ind w:left="424" w:right="280" w:hanging="424"/>
        <w:spacing w:after="0" w:line="277" w:lineRule="auto"/>
        <w:tabs>
          <w:tab w:leader="none" w:pos="42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76" w:lineRule="exact"/>
        <w:rPr>
          <w:sz w:val="20"/>
          <w:szCs w:val="20"/>
          <w:color w:val="auto"/>
        </w:rPr>
      </w:pPr>
    </w:p>
    <w:p>
      <w:pPr>
        <w:ind w:left="424" w:right="180" w:hanging="424"/>
        <w:spacing w:after="0" w:line="277" w:lineRule="auto"/>
        <w:tabs>
          <w:tab w:leader="none" w:pos="42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Capitalised terms that are not defined in this Amended and Restated Memorandum of Association bear the respective meanings given to them in the Amended and Restated Articles of Association of the Company.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270" w:name="page271"/>
    <w:bookmarkEnd w:id="270"/>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COMPANIES ACT (AS REVISED)</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OF THE CAYMAN ISLANDS</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AMENDED AND RESTATED</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ARTICLES OF ASSOCIATION</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ARCLIGHT CLEAN TRANSITION CORP. II</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(ADOPTED BY SPECIAL RESOLUTION DATED [DATE] AND EFFECTIVE ON [DATE])</w:t>
      </w:r>
    </w:p>
    <w:p>
      <w:pPr>
        <w:spacing w:after="0" w:line="374" w:lineRule="exact"/>
        <w:rPr>
          <w:sz w:val="20"/>
          <w:szCs w:val="20"/>
          <w:color w:val="auto"/>
        </w:rPr>
      </w:pPr>
    </w:p>
    <w:p>
      <w:pPr>
        <w:ind w:left="544" w:hanging="544"/>
        <w:spacing w:after="0"/>
        <w:tabs>
          <w:tab w:leader="none" w:pos="544"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ind w:left="544" w:right="260" w:hanging="539"/>
        <w:spacing w:after="0" w:line="277"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the Articles Table A in the First Schedule to the Statute does not apply and, unless there is something in the subject or context inconsistent therewith:</w:t>
      </w:r>
    </w:p>
    <w:p>
      <w:pPr>
        <w:sectPr>
          <w:pgSz w:w="11900" w:h="16838" w:orient="portrait"/>
          <w:cols w:equalWidth="0" w:num="1">
            <w:col w:w="10944"/>
          </w:cols>
          <w:pgMar w:left="436" w:top="270" w:right="519" w:bottom="1440" w:gutter="0" w:footer="0" w:header="0"/>
        </w:sectPr>
      </w:pPr>
    </w:p>
    <w:p>
      <w:pPr>
        <w:spacing w:after="0" w:line="193" w:lineRule="exact"/>
        <w:rPr>
          <w:sz w:val="20"/>
          <w:szCs w:val="20"/>
          <w:color w:val="auto"/>
        </w:rPr>
      </w:pPr>
    </w:p>
    <w:p>
      <w:pPr>
        <w:ind w:left="6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respect of a person, means any other person that, directly or indirectly, through one or more intermediaries, controls, 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w:t>
      </w:r>
    </w:p>
    <w:p>
      <w:pPr>
        <w:spacing w:after="0" w:line="161" w:lineRule="exact"/>
        <w:rPr>
          <w:sz w:val="20"/>
          <w:szCs w:val="20"/>
          <w:color w:val="auto"/>
        </w:rPr>
      </w:pPr>
    </w:p>
    <w:p>
      <w:pPr>
        <w:sectPr>
          <w:pgSz w:w="11900" w:h="16838" w:orient="portrait"/>
          <w:cols w:equalWidth="0" w:num="2">
            <w:col w:w="2324" w:space="720"/>
            <w:col w:w="7900"/>
          </w:cols>
          <w:pgMar w:left="436" w:top="270" w:right="519" w:bottom="1440" w:gutter="0" w:footer="0" w:header="0"/>
          <w:type w:val="continuous"/>
        </w:sectPr>
      </w:pPr>
    </w:p>
    <w:p>
      <w:pPr>
        <w:ind w:left="66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Law</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40"/>
        <w:spacing w:after="0" w:line="342" w:lineRule="auto"/>
        <w:rPr>
          <w:sz w:val="20"/>
          <w:szCs w:val="20"/>
          <w:color w:val="auto"/>
        </w:rPr>
      </w:pPr>
      <w:r>
        <w:rPr>
          <w:rFonts w:ascii="Arial" w:cs="Arial" w:eastAsia="Arial" w:hAnsi="Arial"/>
          <w:sz w:val="16"/>
          <w:szCs w:val="16"/>
          <w:color w:val="auto"/>
        </w:rPr>
        <w:t>means, with respect to any person, all provisions of laws, statutes, ordinances, rules, regulations, permits, certificates, judgments, decisions, decrees or orders of any governmental authority applicable to such person.</w:t>
      </w:r>
    </w:p>
    <w:p>
      <w:pPr>
        <w:spacing w:after="0" w:line="120" w:lineRule="exact"/>
        <w:rPr>
          <w:sz w:val="20"/>
          <w:szCs w:val="20"/>
          <w:color w:val="auto"/>
        </w:rPr>
      </w:pPr>
    </w:p>
    <w:p>
      <w:pPr>
        <w:sectPr>
          <w:pgSz w:w="11900" w:h="16838" w:orient="portrait"/>
          <w:cols w:equalWidth="0" w:num="2">
            <w:col w:w="2324" w:space="720"/>
            <w:col w:w="7900"/>
          </w:cols>
          <w:pgMar w:left="436" w:top="270" w:right="519" w:bottom="1440" w:gutter="0" w:footer="0" w:header="0"/>
          <w:type w:val="continuous"/>
        </w:sectPr>
      </w:pPr>
    </w:p>
    <w:p>
      <w:pPr>
        <w:ind w:left="66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Articles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these amended and restated articles of association of the Company.</w:t>
      </w:r>
    </w:p>
    <w:p>
      <w:pPr>
        <w:spacing w:after="0" w:line="218" w:lineRule="exact"/>
        <w:rPr>
          <w:sz w:val="20"/>
          <w:szCs w:val="20"/>
          <w:color w:val="auto"/>
        </w:rPr>
      </w:pPr>
    </w:p>
    <w:p>
      <w:pPr>
        <w:sectPr>
          <w:pgSz w:w="11900" w:h="16838" w:orient="portrait"/>
          <w:cols w:equalWidth="0" w:num="2">
            <w:col w:w="2324" w:space="720"/>
            <w:col w:w="7900"/>
          </w:cols>
          <w:pgMar w:left="436" w:top="270" w:right="519" w:bottom="1440" w:gutter="0" w:footer="0" w:header="0"/>
          <w:type w:val="continuous"/>
        </w:sectPr>
      </w:pPr>
    </w:p>
    <w:p>
      <w:pPr>
        <w:spacing w:after="0" w:line="37" w:lineRule="exact"/>
        <w:rPr>
          <w:sz w:val="20"/>
          <w:szCs w:val="20"/>
          <w:color w:val="auto"/>
        </w:rPr>
      </w:pPr>
    </w:p>
    <w:p>
      <w:pPr>
        <w:ind w:left="66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Audit Committee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means the audit committee of the board of directors of the Company established pursuant to the Articles, or any successor committee.</w:t>
      </w:r>
    </w:p>
    <w:p>
      <w:pPr>
        <w:spacing w:after="0" w:line="103" w:lineRule="exact"/>
        <w:rPr>
          <w:sz w:val="20"/>
          <w:szCs w:val="20"/>
          <w:color w:val="auto"/>
        </w:rPr>
      </w:pPr>
    </w:p>
    <w:p>
      <w:pPr>
        <w:sectPr>
          <w:pgSz w:w="11900" w:h="16838" w:orient="portrait"/>
          <w:cols w:equalWidth="0" w:num="2">
            <w:col w:w="2324" w:space="720"/>
            <w:col w:w="7900"/>
          </w:cols>
          <w:pgMar w:left="436" w:top="270" w:right="519" w:bottom="1440" w:gutter="0" w:footer="0" w:header="0"/>
          <w:type w:val="continuous"/>
        </w:sectPr>
      </w:pPr>
    </w:p>
    <w:p>
      <w:pPr>
        <w:jc w:val="center"/>
        <w:ind w:right="-63"/>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944"/>
          </w:cols>
          <w:pgMar w:left="436" w:top="270" w:right="519" w:bottom="1440" w:gutter="0" w:footer="0" w:header="0"/>
          <w:type w:val="continuous"/>
        </w:sectPr>
      </w:pPr>
    </w:p>
    <w:bookmarkStart w:id="271" w:name="page272"/>
    <w:bookmarkEnd w:id="27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person for the time being performing the duties of auditor of the Company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-201295</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1660" w:space="720"/>
            <w:col w:w="7980"/>
          </w:cols>
          <w:pgMar w:left="1100" w:top="270" w:right="4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Combination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means a merger, amalgamation, share exchange, asset acquisition, share purchase, reorganisation or similar business combination involving the Company, with one or more businesses or entities (the “</w:t>
      </w:r>
      <w:r>
        <w:rPr>
          <w:rFonts w:ascii="Arial" w:cs="Arial" w:eastAsia="Arial" w:hAnsi="Arial"/>
          <w:sz w:val="17"/>
          <w:szCs w:val="17"/>
          <w:b w:val="1"/>
          <w:bCs w:val="1"/>
          <w:color w:val="auto"/>
        </w:rPr>
        <w:t>target business</w:t>
      </w:r>
      <w:r>
        <w:rPr>
          <w:rFonts w:ascii="Arial" w:cs="Arial" w:eastAsia="Arial" w:hAnsi="Arial"/>
          <w:sz w:val="17"/>
          <w:szCs w:val="17"/>
          <w:color w:val="auto"/>
        </w:rPr>
        <w:t>”), which Business Combination: (a) as long as the securities of the Company are listed on the Nasdaq Capital Market, must occur with one or more target businesses that together have an aggregate fair market value of at least 80 per cent of the assets held in the Trust Account (excluding the deferred underwriting commissions and taxes payable on the income earned on the Trust Account) at the time of the signing of the definitive agreement to enter into such Business Combination; and (b) must not be solely effectuated with another blank cheque company or a similar company with nominal operations.</w:t>
      </w:r>
    </w:p>
    <w:p>
      <w:pPr>
        <w:spacing w:after="0" w:line="174" w:lineRule="exact"/>
        <w:rPr>
          <w:sz w:val="20"/>
          <w:szCs w:val="20"/>
          <w:color w:val="auto"/>
        </w:rPr>
      </w:pPr>
    </w:p>
    <w:p>
      <w:pPr>
        <w:sectPr>
          <w:pgSz w:w="11900" w:h="16838" w:orient="portrait"/>
          <w:cols w:equalWidth="0" w:num="2">
            <w:col w:w="1880" w:space="500"/>
            <w:col w:w="7980"/>
          </w:cols>
          <w:pgMar w:left="110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business day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means any day other than a Saturday, a Sunday or a legal holiday or a day on which banking institutions or trust companies are authorised or obligated by law to close in New York City.</w:t>
      </w:r>
    </w:p>
    <w:p>
      <w:pPr>
        <w:spacing w:after="0" w:line="166" w:lineRule="exact"/>
        <w:rPr>
          <w:sz w:val="20"/>
          <w:szCs w:val="20"/>
          <w:color w:val="auto"/>
        </w:rPr>
      </w:pPr>
    </w:p>
    <w:p>
      <w:pPr>
        <w:sectPr>
          <w:pgSz w:w="11900" w:h="16838" w:orient="portrait"/>
          <w:cols w:equalWidth="0" w:num="2">
            <w:col w:w="1660" w:space="720"/>
            <w:col w:w="7980"/>
          </w:cols>
          <w:pgMar w:left="110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Clearing House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80"/>
        <w:spacing w:after="0" w:line="342" w:lineRule="auto"/>
        <w:rPr>
          <w:sz w:val="20"/>
          <w:szCs w:val="20"/>
          <w:color w:val="auto"/>
        </w:rPr>
      </w:pPr>
      <w:r>
        <w:rPr>
          <w:rFonts w:ascii="Arial" w:cs="Arial" w:eastAsia="Arial" w:hAnsi="Arial"/>
          <w:sz w:val="16"/>
          <w:szCs w:val="16"/>
          <w:color w:val="auto"/>
        </w:rPr>
        <w:t>means a clearing house recognised by the laws of the jurisdiction in which the Shares (or depositary receipts therefor) are listed or quoted on a stock exchange or interdealer quotation system in such jurisdiction.</w:t>
      </w:r>
    </w:p>
    <w:p>
      <w:pPr>
        <w:spacing w:after="0" w:line="120" w:lineRule="exact"/>
        <w:rPr>
          <w:sz w:val="20"/>
          <w:szCs w:val="20"/>
          <w:color w:val="auto"/>
        </w:rPr>
      </w:pPr>
    </w:p>
    <w:p>
      <w:pPr>
        <w:sectPr>
          <w:pgSz w:w="11900" w:h="16838" w:orient="portrait"/>
          <w:cols w:equalWidth="0" w:num="2">
            <w:col w:w="1660" w:space="720"/>
            <w:col w:w="7980"/>
          </w:cols>
          <w:pgMar w:left="110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A Share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Class A ordinary share of a par value of US$0.0001 in the share capital of the Company.</w:t>
      </w:r>
    </w:p>
    <w:p>
      <w:pPr>
        <w:spacing w:after="0" w:line="200" w:lineRule="exact"/>
        <w:rPr>
          <w:sz w:val="20"/>
          <w:szCs w:val="20"/>
          <w:color w:val="auto"/>
        </w:rPr>
      </w:pPr>
    </w:p>
    <w:p>
      <w:pPr>
        <w:sectPr>
          <w:pgSz w:w="11900" w:h="16838" w:orient="portrait"/>
          <w:cols w:equalWidth="0" w:num="2">
            <w:col w:w="1660" w:space="720"/>
            <w:col w:w="7980"/>
          </w:cols>
          <w:pgMar w:left="1100" w:top="270" w:right="4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B Share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means a Class B ordinary share of a par value of US$0.0001 in the share capital of the Company.</w:t>
      </w:r>
    </w:p>
    <w:p>
      <w:pPr>
        <w:spacing w:after="0" w:line="200" w:lineRule="exact"/>
        <w:rPr>
          <w:sz w:val="20"/>
          <w:szCs w:val="20"/>
          <w:color w:val="auto"/>
        </w:rPr>
      </w:pPr>
    </w:p>
    <w:p>
      <w:pPr>
        <w:sectPr>
          <w:pgSz w:w="11900" w:h="16838" w:orient="portrait"/>
          <w:cols w:equalWidth="0" w:num="2">
            <w:col w:w="1660" w:space="720"/>
            <w:col w:w="7980"/>
          </w:cols>
          <w:pgMar w:left="1100" w:top="270" w:right="4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means the above named company.</w:t>
      </w:r>
    </w:p>
    <w:p>
      <w:pPr>
        <w:spacing w:after="0" w:line="218" w:lineRule="exact"/>
        <w:rPr>
          <w:sz w:val="20"/>
          <w:szCs w:val="20"/>
          <w:color w:val="auto"/>
        </w:rPr>
      </w:pPr>
    </w:p>
    <w:p>
      <w:pPr>
        <w:sectPr>
          <w:pgSz w:w="11900" w:h="16838" w:orient="portrait"/>
          <w:cols w:equalWidth="0" w:num="2">
            <w:col w:w="1660" w:space="720"/>
            <w:col w:w="7980"/>
          </w:cols>
          <w:pgMar w:left="1100" w:top="270"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Company’s Website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means the website of the Company and/or its web-address or domain name (if any).</w:t>
      </w:r>
    </w:p>
    <w:p>
      <w:pPr>
        <w:spacing w:after="0" w:line="200" w:lineRule="exact"/>
        <w:rPr>
          <w:sz w:val="20"/>
          <w:szCs w:val="20"/>
          <w:color w:val="auto"/>
        </w:rPr>
      </w:pPr>
    </w:p>
    <w:p>
      <w:pPr>
        <w:sectPr>
          <w:pgSz w:w="11900" w:h="16838" w:orient="portrait"/>
          <w:cols w:equalWidth="0" w:num="2">
            <w:col w:w="1680" w:space="700"/>
            <w:col w:w="7980"/>
          </w:cols>
          <w:pgMar w:left="1100" w:top="270" w:right="4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Compensation Committee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means the compensation committee of the board of directors of the Company established pursuant to the Articles, or any successor committee.</w:t>
      </w:r>
    </w:p>
    <w:p>
      <w:pPr>
        <w:spacing w:after="0" w:line="103" w:lineRule="exact"/>
        <w:rPr>
          <w:sz w:val="20"/>
          <w:szCs w:val="20"/>
          <w:color w:val="auto"/>
        </w:rPr>
      </w:pPr>
    </w:p>
    <w:p>
      <w:pPr>
        <w:sectPr>
          <w:pgSz w:w="11900" w:h="16838" w:orient="portrait"/>
          <w:cols w:equalWidth="0" w:num="2">
            <w:col w:w="2160" w:space="220"/>
            <w:col w:w="7980"/>
          </w:cols>
          <w:pgMar w:left="1100" w:top="270" w:right="439" w:bottom="1440" w:gutter="0" w:footer="0" w:header="0"/>
          <w:type w:val="continuous"/>
        </w:sectPr>
      </w:pPr>
    </w:p>
    <w:p>
      <w:pPr>
        <w:ind w:left="48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360"/>
          </w:cols>
          <w:pgMar w:left="1100" w:top="270" w:right="439" w:bottom="1440" w:gutter="0" w:footer="0" w:header="0"/>
          <w:type w:val="continuous"/>
        </w:sectPr>
      </w:pPr>
    </w:p>
    <w:bookmarkStart w:id="272" w:name="page273"/>
    <w:bookmarkEnd w:id="272"/>
    <w:p>
      <w:pPr>
        <w:ind w:left="2380" w:right="240" w:hanging="2389"/>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Designated Stock Exchange</w:t>
      </w:r>
      <w:r>
        <w:rPr>
          <w:rFonts w:ascii="Arial" w:cs="Arial" w:eastAsia="Arial" w:hAnsi="Arial"/>
          <w:sz w:val="18"/>
          <w:szCs w:val="18"/>
          <w:color w:val="auto"/>
        </w:rPr>
        <w:t>” means any United States national securities exchange on which the securities of the Company are listed for trading, including the Nasdaq Capital Market.</w:t>
      </w:r>
    </w:p>
    <w:p>
      <w:pPr>
        <w:sectPr>
          <w:pgSz w:w="11900" w:h="16838" w:orient="portrait"/>
          <w:cols w:equalWidth="0" w:num="1">
            <w:col w:w="10340"/>
          </w:cols>
          <w:pgMar w:left="1100" w:top="270" w:right="45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Directors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means the directors for the time being of the Company.</w:t>
      </w:r>
    </w:p>
    <w:p>
      <w:pPr>
        <w:spacing w:after="0" w:line="207" w:lineRule="exact"/>
        <w:rPr>
          <w:sz w:val="20"/>
          <w:szCs w:val="20"/>
          <w:color w:val="auto"/>
        </w:rPr>
      </w:pPr>
    </w:p>
    <w:p>
      <w:pPr>
        <w:sectPr>
          <w:pgSz w:w="11900" w:h="16838" w:orient="portrait"/>
          <w:cols w:equalWidth="0" w:num="2">
            <w:col w:w="1660" w:space="720"/>
            <w:col w:w="7960"/>
          </w:cols>
          <w:pgMar w:left="1100" w:top="270" w:right="4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Dividend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means any dividend (whether interim or final) resolved to be paid on Shares pursuant to the Articles.</w:t>
      </w:r>
    </w:p>
    <w:p>
      <w:pPr>
        <w:spacing w:after="0" w:line="207" w:lineRule="exact"/>
        <w:rPr>
          <w:sz w:val="20"/>
          <w:szCs w:val="20"/>
          <w:color w:val="auto"/>
        </w:rPr>
      </w:pPr>
    </w:p>
    <w:p>
      <w:pPr>
        <w:sectPr>
          <w:pgSz w:w="11900" w:h="16838" w:orient="portrait"/>
          <w:cols w:equalWidth="0" w:num="2">
            <w:col w:w="1660" w:space="720"/>
            <w:col w:w="7960"/>
          </w:cols>
          <w:pgMar w:left="1100" w:top="270" w:right="459" w:bottom="1440" w:gutter="0" w:footer="0" w:header="0"/>
          <w:type w:val="continuous"/>
        </w:sectPr>
      </w:pPr>
    </w:p>
    <w:p>
      <w:pPr>
        <w:spacing w:after="0" w:line="37"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Communication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a communication sent by electronic means, including electronic posting to the Company’s Website,</w:t>
      </w:r>
    </w:p>
    <w:p>
      <w:pPr>
        <w:spacing w:after="0" w:line="27" w:lineRule="exact"/>
        <w:rPr>
          <w:sz w:val="20"/>
          <w:szCs w:val="20"/>
          <w:color w:val="auto"/>
        </w:rPr>
      </w:pPr>
    </w:p>
    <w:p>
      <w:pPr>
        <w:ind w:left="2380" w:right="40"/>
        <w:spacing w:after="0" w:line="323" w:lineRule="auto"/>
        <w:rPr>
          <w:sz w:val="20"/>
          <w:szCs w:val="20"/>
          <w:color w:val="auto"/>
        </w:rPr>
      </w:pPr>
      <w:r>
        <w:rPr>
          <w:rFonts w:ascii="Arial" w:cs="Arial" w:eastAsia="Arial" w:hAnsi="Arial"/>
          <w:sz w:val="16"/>
          <w:szCs w:val="16"/>
          <w:color w:val="auto"/>
        </w:rPr>
        <w:t>transmission to any number, address or internet website (including the website of the Securities and Exchange Commission) or other electronic delivery methods as otherwise decided and approved by the Directors.</w:t>
      </w:r>
    </w:p>
    <w:p>
      <w:pPr>
        <w:sectPr>
          <w:pgSz w:w="11900" w:h="16838" w:orient="portrait"/>
          <w:cols w:equalWidth="0" w:num="1">
            <w:col w:w="10340"/>
          </w:cols>
          <w:pgMar w:left="1100" w:top="270" w:right="45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Electronic Record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has the same meaning as in the Electronic Transactions Act.</w:t>
      </w:r>
    </w:p>
    <w:p>
      <w:pPr>
        <w:spacing w:after="0" w:line="200" w:lineRule="exact"/>
        <w:rPr>
          <w:sz w:val="20"/>
          <w:szCs w:val="20"/>
          <w:color w:val="auto"/>
        </w:rPr>
      </w:pPr>
    </w:p>
    <w:p>
      <w:pPr>
        <w:sectPr>
          <w:pgSz w:w="11900" w:h="16838" w:orient="portrait"/>
          <w:cols w:equalWidth="0" w:num="2">
            <w:col w:w="1660" w:space="720"/>
            <w:col w:w="7960"/>
          </w:cols>
          <w:pgMar w:left="1100" w:top="270" w:right="459" w:bottom="1440" w:gutter="0" w:footer="0" w:header="0"/>
          <w:type w:val="continuous"/>
        </w:sectPr>
      </w:pPr>
    </w:p>
    <w:p>
      <w:pPr>
        <w:spacing w:after="0" w:line="4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Transactions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means the Electronic Transactions Act (As Revised) of the Cayman Islands.</w:t>
      </w:r>
    </w:p>
    <w:p>
      <w:pPr>
        <w:spacing w:after="0" w:line="460" w:lineRule="exact"/>
        <w:rPr>
          <w:sz w:val="20"/>
          <w:szCs w:val="20"/>
          <w:color w:val="auto"/>
        </w:rPr>
      </w:pPr>
    </w:p>
    <w:p>
      <w:pPr>
        <w:sectPr>
          <w:pgSz w:w="11900" w:h="16838" w:orient="portrait"/>
          <w:cols w:equalWidth="0" w:num="2">
            <w:col w:w="1900" w:space="480"/>
            <w:col w:w="7960"/>
          </w:cols>
          <w:pgMar w:left="110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Equity-linked Securities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means any debt or equity securities that are convertible, exercisable or exchangeable for Class A Shares issued in a financing transaction in connection with a Business Combination, including but not limited to a private placement of equity or debt.</w:t>
      </w:r>
    </w:p>
    <w:p>
      <w:pPr>
        <w:spacing w:after="0" w:line="180" w:lineRule="exact"/>
        <w:rPr>
          <w:sz w:val="20"/>
          <w:szCs w:val="20"/>
          <w:color w:val="auto"/>
        </w:rPr>
      </w:pPr>
    </w:p>
    <w:p>
      <w:pPr>
        <w:sectPr>
          <w:pgSz w:w="11900" w:h="16838" w:orient="portrait"/>
          <w:cols w:equalWidth="0" w:num="2">
            <w:col w:w="2020" w:space="360"/>
            <w:col w:w="7960"/>
          </w:cols>
          <w:pgMar w:left="110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Arial" w:cs="Arial" w:eastAsia="Arial" w:hAnsi="Arial"/>
          <w:sz w:val="18"/>
          <w:szCs w:val="18"/>
          <w:color w:val="auto"/>
        </w:rPr>
        <w:t>means the United States Securities Exchange Act of 1934, as amended, or any similar U.S. federal statute and the rules and regulations of the Securities and Exchange Commission thereunder, all as the same shall be in effect at the time.</w:t>
      </w:r>
    </w:p>
    <w:p>
      <w:pPr>
        <w:spacing w:after="0" w:line="180" w:lineRule="exact"/>
        <w:rPr>
          <w:sz w:val="20"/>
          <w:szCs w:val="20"/>
          <w:color w:val="auto"/>
        </w:rPr>
      </w:pPr>
    </w:p>
    <w:p>
      <w:pPr>
        <w:sectPr>
          <w:pgSz w:w="11900" w:h="16838" w:orient="portrait"/>
          <w:cols w:equalWidth="0" w:num="2">
            <w:col w:w="1660" w:space="720"/>
            <w:col w:w="7960"/>
          </w:cols>
          <w:pgMar w:left="110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Founders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all Members immediately prior to the consummation of the IPO.</w:t>
      </w:r>
    </w:p>
    <w:p>
      <w:pPr>
        <w:spacing w:after="0" w:line="200" w:lineRule="exact"/>
        <w:rPr>
          <w:sz w:val="20"/>
          <w:szCs w:val="20"/>
          <w:color w:val="auto"/>
        </w:rPr>
      </w:pPr>
    </w:p>
    <w:p>
      <w:pPr>
        <w:sectPr>
          <w:pgSz w:w="11900" w:h="16838" w:orient="portrait"/>
          <w:cols w:equalWidth="0" w:num="2">
            <w:col w:w="1660" w:space="720"/>
            <w:col w:w="7960"/>
          </w:cols>
          <w:pgMar w:left="1100" w:top="270" w:right="4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Director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has the same meaning as in the rules and regulations of the Designated Stock Exchange or in Rule 10A-3 under the Exchange Act, as the case may be.</w:t>
      </w:r>
    </w:p>
    <w:p>
      <w:pPr>
        <w:spacing w:after="0" w:line="166" w:lineRule="exact"/>
        <w:rPr>
          <w:sz w:val="20"/>
          <w:szCs w:val="20"/>
          <w:color w:val="auto"/>
        </w:rPr>
      </w:pPr>
    </w:p>
    <w:p>
      <w:pPr>
        <w:sectPr>
          <w:pgSz w:w="11900" w:h="16838" w:orient="portrait"/>
          <w:cols w:equalWidth="0" w:num="2">
            <w:col w:w="1820" w:space="560"/>
            <w:col w:w="7960"/>
          </w:cols>
          <w:pgMar w:left="1100" w:top="270" w:right="45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Company’s initial public offering of securities.</w:t>
      </w:r>
    </w:p>
    <w:p>
      <w:pPr>
        <w:spacing w:after="0" w:line="218" w:lineRule="exact"/>
        <w:rPr>
          <w:sz w:val="20"/>
          <w:szCs w:val="20"/>
          <w:color w:val="auto"/>
        </w:rPr>
      </w:pPr>
    </w:p>
    <w:p>
      <w:pPr>
        <w:sectPr>
          <w:pgSz w:w="11900" w:h="16838" w:orient="portrait"/>
          <w:cols w:equalWidth="0" w:num="2">
            <w:col w:w="1660" w:space="720"/>
            <w:col w:w="7960"/>
          </w:cols>
          <w:pgMar w:left="1100" w:top="270" w:right="4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has the same meaning as in the Statute.</w:t>
      </w:r>
    </w:p>
    <w:p>
      <w:pPr>
        <w:spacing w:after="0" w:line="230" w:lineRule="exact"/>
        <w:rPr>
          <w:sz w:val="20"/>
          <w:szCs w:val="20"/>
          <w:color w:val="auto"/>
        </w:rPr>
      </w:pPr>
    </w:p>
    <w:p>
      <w:pPr>
        <w:sectPr>
          <w:pgSz w:w="11900" w:h="16838" w:orient="portrait"/>
          <w:cols w:equalWidth="0" w:num="2">
            <w:col w:w="1660" w:space="720"/>
            <w:col w:w="7960"/>
          </w:cols>
          <w:pgMar w:left="1100" w:top="270" w:right="4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Memorandum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means the amended and restated memorandum of association of the Company.</w:t>
      </w:r>
    </w:p>
    <w:p>
      <w:pPr>
        <w:spacing w:after="0" w:line="191" w:lineRule="exact"/>
        <w:rPr>
          <w:sz w:val="20"/>
          <w:szCs w:val="20"/>
          <w:color w:val="auto"/>
        </w:rPr>
      </w:pPr>
    </w:p>
    <w:p>
      <w:pPr>
        <w:sectPr>
          <w:pgSz w:w="11900" w:h="16838" w:orient="portrait"/>
          <w:cols w:equalWidth="0" w:num="2">
            <w:col w:w="1660" w:space="720"/>
            <w:col w:w="7960"/>
          </w:cols>
          <w:pgMar w:left="1100" w:top="270" w:right="459" w:bottom="1440" w:gutter="0" w:footer="0" w:header="0"/>
          <w:type w:val="continuous"/>
        </w:sectPr>
      </w:pPr>
    </w:p>
    <w:p>
      <w:pPr>
        <w:ind w:left="48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340"/>
          </w:cols>
          <w:pgMar w:left="1100" w:top="270" w:right="459" w:bottom="1440" w:gutter="0" w:footer="0" w:header="0"/>
          <w:type w:val="continuous"/>
        </w:sectPr>
      </w:pPr>
    </w:p>
    <w:bookmarkStart w:id="273" w:name="page274"/>
    <w:bookmarkEnd w:id="273"/>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Nominating Committee</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Resolution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Over-Allotment Option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Preference Share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Share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of Members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480"/>
        <w:spacing w:after="0" w:line="5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Office</w:t>
      </w:r>
      <w:r>
        <w:rPr>
          <w:rFonts w:ascii="Arial" w:cs="Arial" w:eastAsia="Arial" w:hAnsi="Arial"/>
          <w:sz w:val="16"/>
          <w:szCs w:val="16"/>
          <w:color w:val="auto"/>
        </w:rPr>
        <w:t>” “</w:t>
      </w:r>
      <w:r>
        <w:rPr>
          <w:rFonts w:ascii="Arial" w:cs="Arial" w:eastAsia="Arial" w:hAnsi="Arial"/>
          <w:sz w:val="16"/>
          <w:szCs w:val="16"/>
          <w:b w:val="1"/>
          <w:bCs w:val="1"/>
          <w:color w:val="auto"/>
        </w:rPr>
        <w:t>Representative</w:t>
      </w:r>
      <w:r>
        <w:rPr>
          <w:rFonts w:ascii="Arial" w:cs="Arial" w:eastAsia="Arial" w:hAnsi="Arial"/>
          <w:sz w:val="16"/>
          <w:szCs w:val="16"/>
          <w:color w:val="auto"/>
        </w:rPr>
        <w:t>” “</w:t>
      </w:r>
      <w:r>
        <w:rPr>
          <w:rFonts w:ascii="Arial" w:cs="Arial" w:eastAsia="Arial" w:hAnsi="Arial"/>
          <w:sz w:val="16"/>
          <w:szCs w:val="16"/>
          <w:b w:val="1"/>
          <w:bCs w:val="1"/>
          <w:color w:val="auto"/>
        </w:rPr>
        <w:t>Seal</w:t>
      </w:r>
      <w:r>
        <w:rPr>
          <w:rFonts w:ascii="Arial" w:cs="Arial" w:eastAsia="Arial" w:hAnsi="Arial"/>
          <w:sz w:val="16"/>
          <w:szCs w:val="16"/>
          <w:color w:val="auto"/>
        </w:rPr>
        <w:t>”</w:t>
      </w:r>
    </w:p>
    <w:p>
      <w:pPr>
        <w:spacing w:after="0" w:line="1"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and Exchange</w:t>
      </w:r>
      <w:r>
        <w:rPr>
          <w:rFonts w:ascii="Arial" w:cs="Arial" w:eastAsia="Arial" w:hAnsi="Arial"/>
          <w:sz w:val="17"/>
          <w:szCs w:val="17"/>
          <w:color w:val="auto"/>
        </w:rPr>
        <w:t xml:space="preserve"> </w:t>
      </w:r>
      <w:r>
        <w:rPr>
          <w:rFonts w:ascii="Arial" w:cs="Arial" w:eastAsia="Arial" w:hAnsi="Arial"/>
          <w:sz w:val="17"/>
          <w:szCs w:val="17"/>
          <w:b w:val="1"/>
          <w:bCs w:val="1"/>
          <w:color w:val="auto"/>
        </w:rPr>
        <w:t>Commission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means the nominating committee of the board of directors of the Company established pursuant to the Articles, or any successor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-387985</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means a person appointed to hold an office in the Company.</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means the option of the Underwriters to purchase up to an additional 15 per cent of the firm units (as described in the Articles) issued in the IPO at a price equal to US$10 per unit, less underwriting discounts and commissions.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means a preference share of a par value of US$0.0001 in the share capital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a Class A Share issued as part of the units (as described in the Articles) issued in the IPO.</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means a notice in a form approved by the Company by which a holder of Public Shares is entitled to require the Company to redeem its Public Shares, subject to any conditions contained therein.</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means the register of Members maintained in accordance with the Statute and includes (except where otherwise stated) any branch or duplicate register of Members.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means the registered office for the time being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a representative of the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common seal of the Company and includes every duplicate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United States Securities and Exchange Commission.</w:t>
      </w:r>
    </w:p>
    <w:p>
      <w:pPr>
        <w:spacing w:after="0" w:line="37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1960" w:space="420"/>
            <w:col w:w="7940"/>
          </w:cols>
          <w:pgMar w:left="1100" w:top="270" w:right="479" w:bottom="1440" w:gutter="0" w:footer="0" w:header="0"/>
        </w:sectPr>
      </w:pPr>
    </w:p>
    <w:bookmarkStart w:id="274" w:name="page275"/>
    <w:bookmarkEnd w:id="274"/>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40"/>
        <w:spacing w:after="0" w:line="277" w:lineRule="auto"/>
        <w:rPr>
          <w:sz w:val="20"/>
          <w:szCs w:val="20"/>
          <w:color w:val="auto"/>
        </w:rPr>
      </w:pPr>
      <w:r>
        <w:rPr>
          <w:rFonts w:ascii="Arial" w:cs="Arial" w:eastAsia="Arial" w:hAnsi="Arial"/>
          <w:sz w:val="18"/>
          <w:szCs w:val="18"/>
          <w:color w:val="auto"/>
        </w:rPr>
        <w:t>means a Class A Share, a Class B Share or a Preference Share and includes a fraction of a share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-387985</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2320" w:space="720"/>
            <w:col w:w="7980"/>
          </w:cols>
          <w:pgMar w:left="440" w:top="270" w:right="439" w:bottom="1440" w:gutter="0" w:footer="0" w:header="0"/>
        </w:sect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Special Resolution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subject to Article 29.4, has the same meaning as in the Statute, and includes a unanimous written resolution.</w:t>
      </w:r>
    </w:p>
    <w:p>
      <w:pPr>
        <w:spacing w:after="0" w:line="200" w:lineRule="exact"/>
        <w:rPr>
          <w:sz w:val="20"/>
          <w:szCs w:val="20"/>
          <w:color w:val="auto"/>
        </w:rPr>
      </w:pPr>
    </w:p>
    <w:p>
      <w:pPr>
        <w:sectPr>
          <w:pgSz w:w="11900" w:h="16838" w:orient="portrait"/>
          <w:cols w:equalWidth="0" w:num="2">
            <w:col w:w="2320" w:space="720"/>
            <w:col w:w="7980"/>
          </w:cols>
          <w:pgMar w:left="440" w:top="270" w:right="439" w:bottom="1440" w:gutter="0" w:footer="0" w:header="0"/>
          <w:type w:val="continuous"/>
        </w:sectPr>
      </w:pPr>
    </w:p>
    <w:p>
      <w:pPr>
        <w:spacing w:after="0" w:line="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Sponsor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means ArcLight CTC Holdings II, L.P., a Delaware limited partnership, and its successors or assigns.</w:t>
      </w:r>
    </w:p>
    <w:p>
      <w:pPr>
        <w:spacing w:after="0" w:line="200" w:lineRule="exact"/>
        <w:rPr>
          <w:sz w:val="20"/>
          <w:szCs w:val="20"/>
          <w:color w:val="auto"/>
        </w:rPr>
      </w:pPr>
    </w:p>
    <w:p>
      <w:pPr>
        <w:sectPr>
          <w:pgSz w:w="11900" w:h="16838" w:orient="portrait"/>
          <w:cols w:equalWidth="0" w:num="2">
            <w:col w:w="2320" w:space="720"/>
            <w:col w:w="7980"/>
          </w:cols>
          <w:pgMar w:left="440" w:top="270" w:right="439" w:bottom="1440" w:gutter="0" w:footer="0" w:header="0"/>
          <w:type w:val="continuous"/>
        </w:sectPr>
      </w:pPr>
    </w:p>
    <w:p>
      <w:pPr>
        <w:spacing w:after="0" w:line="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Statute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means the Companies Act (As Revised) of the Cayman Islands.</w:t>
      </w:r>
    </w:p>
    <w:p>
      <w:pPr>
        <w:spacing w:after="0" w:line="207" w:lineRule="exact"/>
        <w:rPr>
          <w:sz w:val="20"/>
          <w:szCs w:val="20"/>
          <w:color w:val="auto"/>
        </w:rPr>
      </w:pPr>
    </w:p>
    <w:p>
      <w:pPr>
        <w:sectPr>
          <w:pgSz w:w="11900" w:h="16838" w:orient="portrait"/>
          <w:cols w:equalWidth="0" w:num="2">
            <w:col w:w="2320" w:space="720"/>
            <w:col w:w="7980"/>
          </w:cols>
          <w:pgMar w:left="440" w:top="270" w:right="4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Share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means a Share held in the name of the Company as a treasury share in accordance with the Statute.</w:t>
      </w:r>
    </w:p>
    <w:p>
      <w:pPr>
        <w:spacing w:after="0" w:line="207" w:lineRule="exact"/>
        <w:rPr>
          <w:sz w:val="20"/>
          <w:szCs w:val="20"/>
          <w:color w:val="auto"/>
        </w:rPr>
      </w:pPr>
    </w:p>
    <w:p>
      <w:pPr>
        <w:sectPr>
          <w:pgSz w:w="11900" w:h="16838" w:orient="portrait"/>
          <w:cols w:equalWidth="0" w:num="2">
            <w:col w:w="2320" w:space="720"/>
            <w:col w:w="7980"/>
          </w:cols>
          <w:pgMar w:left="440" w:top="270" w:right="4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 Account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means the trust account established by the Company upon the consummation of its IPO and into which a certain amount of the net proceeds of the IPO, together with a certain amount of the proceeds of a private placement of warrants simultaneously with the closing date of the IPO, will be deposited.</w:t>
      </w:r>
    </w:p>
    <w:p>
      <w:pPr>
        <w:spacing w:after="0" w:line="145" w:lineRule="exact"/>
        <w:rPr>
          <w:sz w:val="20"/>
          <w:szCs w:val="20"/>
          <w:color w:val="auto"/>
        </w:rPr>
      </w:pPr>
    </w:p>
    <w:p>
      <w:pPr>
        <w:sectPr>
          <w:pgSz w:w="11900" w:h="16838" w:orient="portrait"/>
          <w:cols w:equalWidth="0" w:num="2">
            <w:col w:w="2320" w:space="720"/>
            <w:col w:w="7980"/>
          </w:cols>
          <w:pgMar w:left="440" w:top="270" w:right="43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Underwriter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an underwriter of the IPO from time to time and any successor underwriter.</w:t>
      </w:r>
    </w:p>
    <w:p>
      <w:pPr>
        <w:spacing w:after="0" w:line="207" w:lineRule="exact"/>
        <w:rPr>
          <w:sz w:val="20"/>
          <w:szCs w:val="20"/>
          <w:color w:val="auto"/>
        </w:rPr>
      </w:pPr>
    </w:p>
    <w:p>
      <w:pPr>
        <w:sectPr>
          <w:pgSz w:w="11900" w:h="16838" w:orient="portrait"/>
          <w:cols w:equalWidth="0" w:num="2">
            <w:col w:w="2320" w:space="720"/>
            <w:col w:w="7980"/>
          </w:cols>
          <w:pgMar w:left="440" w:top="270" w:right="439" w:bottom="1440" w:gutter="0" w:footer="0" w:header="0"/>
          <w:type w:val="continuous"/>
        </w:sectPr>
      </w:pPr>
    </w:p>
    <w:p>
      <w:pPr>
        <w:spacing w:after="0" w:line="6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 the Articles:</w:t>
      </w:r>
    </w:p>
    <w:p>
      <w:pPr>
        <w:spacing w:after="0" w:line="131" w:lineRule="exact"/>
        <w:rPr>
          <w:sz w:val="20"/>
          <w:szCs w:val="20"/>
          <w:color w:val="auto"/>
        </w:rPr>
      </w:pPr>
    </w:p>
    <w:p>
      <w:pPr>
        <w:ind w:left="1180" w:hanging="644"/>
        <w:spacing w:after="0"/>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words importing the singular number include the plural number and vice versa;</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words importing the masculine gender include the feminine gender;</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words importing persons include corporations as well as any other legal or natural person;</w:t>
      </w:r>
    </w:p>
    <w:p>
      <w:pPr>
        <w:spacing w:after="0" w:line="130" w:lineRule="exact"/>
        <w:rPr>
          <w:rFonts w:ascii="Arial" w:cs="Arial" w:eastAsia="Arial" w:hAnsi="Arial"/>
          <w:sz w:val="18"/>
          <w:szCs w:val="18"/>
          <w:color w:val="auto"/>
        </w:rPr>
      </w:pPr>
    </w:p>
    <w:p>
      <w:pPr>
        <w:ind w:left="1180" w:right="780" w:hanging="644"/>
        <w:spacing w:after="0" w:line="277" w:lineRule="auto"/>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“written” and “in writing” include all modes of representing or reproducing words in visible form, including in the form of an Electronic Record;</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“shall” shall be construed as imperative and “may” shall be construed as permissive;</w:t>
      </w:r>
    </w:p>
    <w:p>
      <w:pPr>
        <w:spacing w:after="0" w:line="130" w:lineRule="exact"/>
        <w:rPr>
          <w:rFonts w:ascii="Arial" w:cs="Arial" w:eastAsia="Arial" w:hAnsi="Arial"/>
          <w:sz w:val="18"/>
          <w:szCs w:val="18"/>
          <w:color w:val="auto"/>
        </w:rPr>
      </w:pPr>
    </w:p>
    <w:p>
      <w:pPr>
        <w:ind w:left="1180" w:right="140" w:hanging="644"/>
        <w:spacing w:after="0" w:line="277" w:lineRule="auto"/>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references to provisions of any law or regulation shall be construed as references to those provisions as amended, modified, re-enacted or replaced;</w:t>
      </w:r>
    </w:p>
    <w:p>
      <w:pPr>
        <w:spacing w:after="0" w:line="75" w:lineRule="exact"/>
        <w:rPr>
          <w:rFonts w:ascii="Arial" w:cs="Arial" w:eastAsia="Arial" w:hAnsi="Arial"/>
          <w:sz w:val="18"/>
          <w:szCs w:val="18"/>
          <w:color w:val="auto"/>
        </w:rPr>
      </w:pPr>
    </w:p>
    <w:p>
      <w:pPr>
        <w:ind w:left="1180" w:hanging="644"/>
        <w:spacing w:after="0" w:line="277" w:lineRule="auto"/>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type w:val="continuous"/>
        </w:sectPr>
      </w:pPr>
    </w:p>
    <w:bookmarkStart w:id="275" w:name="page276"/>
    <w:bookmarkEnd w:id="275"/>
    <w:p>
      <w:pPr>
        <w:ind w:left="1184" w:hanging="644"/>
        <w:spacing w:after="0" w:line="263" w:lineRule="auto"/>
        <w:tabs>
          <w:tab w:leader="none" w:pos="1184"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headings are inserted for reference only and shall be ignored in construing the Articles;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requirements as to delivery under the Articles include delivery in the form of an Electronic Record;</w:t>
      </w:r>
    </w:p>
    <w:p>
      <w:pPr>
        <w:spacing w:after="0" w:line="130" w:lineRule="exact"/>
        <w:rPr>
          <w:rFonts w:ascii="Arial" w:cs="Arial" w:eastAsia="Arial" w:hAnsi="Arial"/>
          <w:sz w:val="18"/>
          <w:szCs w:val="18"/>
          <w:color w:val="auto"/>
        </w:rPr>
      </w:pPr>
    </w:p>
    <w:p>
      <w:pPr>
        <w:ind w:left="1184" w:right="160" w:hanging="644"/>
        <w:spacing w:after="0" w:line="277" w:lineRule="auto"/>
        <w:tabs>
          <w:tab w:leader="none" w:pos="118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requirements as to execution or signature under the Articles including the execution of the Articles themselves can be satisfied in the form of an electronic signature as defined in the Electronic Transactions Act;</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sections 8 and 19(3) of the Electronic Transactions Act shall not apply;</w:t>
      </w:r>
    </w:p>
    <w:p>
      <w:pPr>
        <w:spacing w:after="0" w:line="130" w:lineRule="exact"/>
        <w:rPr>
          <w:rFonts w:ascii="Arial" w:cs="Arial" w:eastAsia="Arial" w:hAnsi="Arial"/>
          <w:sz w:val="18"/>
          <w:szCs w:val="18"/>
          <w:color w:val="auto"/>
        </w:rPr>
      </w:pPr>
    </w:p>
    <w:p>
      <w:pPr>
        <w:ind w:left="1184" w:right="60" w:hanging="644"/>
        <w:spacing w:after="0" w:line="277" w:lineRule="auto"/>
        <w:tabs>
          <w:tab w:leader="none" w:pos="118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term “holder” in relation to a Share means a person whose name is entered in the Register of Members as the holder of such Share.</w:t>
      </w:r>
    </w:p>
    <w:p>
      <w:pPr>
        <w:spacing w:after="0" w:line="393" w:lineRule="exact"/>
        <w:rPr>
          <w:sz w:val="20"/>
          <w:szCs w:val="20"/>
          <w:color w:val="auto"/>
        </w:rPr>
      </w:pPr>
    </w:p>
    <w:p>
      <w:pPr>
        <w:ind w:left="544" w:hanging="544"/>
        <w:spacing w:after="0"/>
        <w:tabs>
          <w:tab w:leader="none" w:pos="544"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business of the Company may be commenced as soon after incorporation of the Company as the Directors shall see fit.</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315" w:lineRule="exact"/>
        <w:rPr>
          <w:sz w:val="20"/>
          <w:szCs w:val="20"/>
          <w:color w:val="auto"/>
        </w:rPr>
      </w:pPr>
    </w:p>
    <w:p>
      <w:pPr>
        <w:ind w:left="544" w:hanging="544"/>
        <w:spacing w:after="0"/>
        <w:tabs>
          <w:tab w:leader="none" w:pos="544"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 and other Securities</w:t>
      </w:r>
    </w:p>
    <w:p>
      <w:pPr>
        <w:spacing w:after="0" w:line="135" w:lineRule="exact"/>
        <w:rPr>
          <w:sz w:val="20"/>
          <w:szCs w:val="20"/>
          <w:color w:val="auto"/>
        </w:rPr>
      </w:pPr>
    </w:p>
    <w:p>
      <w:pPr>
        <w:ind w:left="544" w:hanging="539"/>
        <w:spacing w:after="0" w:line="271"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Ordinary Share Conversion set out in the Articles.</w:t>
      </w:r>
    </w:p>
    <w:p>
      <w:pPr>
        <w:spacing w:after="0" w:line="1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4"/>
          </w:cols>
          <w:pgMar w:left="436" w:top="274" w:right="519" w:bottom="1440" w:gutter="0" w:footer="0" w:header="0"/>
        </w:sectPr>
      </w:pPr>
    </w:p>
    <w:bookmarkStart w:id="276" w:name="page277"/>
    <w:bookmarkEnd w:id="276"/>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3.2</w:t>
      </w:r>
      <w:r>
        <w:rPr>
          <w:sz w:val="20"/>
          <w:szCs w:val="20"/>
          <w:color w:val="auto"/>
        </w:rPr>
        <w:tab/>
      </w:r>
      <w:r>
        <w:rPr>
          <w:rFonts w:ascii="Arial" w:cs="Arial" w:eastAsia="Arial" w:hAnsi="Arial"/>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89" w:lineRule="exact"/>
        <w:rPr>
          <w:sz w:val="20"/>
          <w:szCs w:val="20"/>
          <w:color w:val="auto"/>
        </w:rPr>
      </w:pPr>
    </w:p>
    <w:p>
      <w:pPr>
        <w:ind w:left="544" w:hanging="539"/>
        <w:spacing w:after="0" w:line="291" w:lineRule="auto"/>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 The securities comprising any such units which are issued pursuant to the IPO can only be traded separately from one another on the 52nd day following the date of the prospectus relating to the IPO unless the Representative(s) determines that an earlier date is acceptable, subject to the Company having filed a current report on Form 8-K with the Securities and Exchange Commission and a press release announcing when such separate trading will begin. Prior to such date, the units can be traded, but the securities comprising such units cannot be traded separately from one another.</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The Company shall not issue Shares to bearer.</w:t>
      </w:r>
    </w:p>
    <w:p>
      <w:pPr>
        <w:spacing w:after="0" w:line="370" w:lineRule="exact"/>
        <w:rPr>
          <w:sz w:val="20"/>
          <w:szCs w:val="20"/>
          <w:color w:val="auto"/>
        </w:rPr>
      </w:pPr>
    </w:p>
    <w:p>
      <w:pPr>
        <w:ind w:left="544" w:hanging="544"/>
        <w:spacing w:after="0"/>
        <w:tabs>
          <w:tab w:leader="none" w:pos="544"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shall maintain or cause to be maintained the Register of Members in accordance with the Statute.</w:t>
      </w:r>
    </w:p>
    <w:p>
      <w:pPr>
        <w:spacing w:after="0" w:line="131" w:lineRule="exact"/>
        <w:rPr>
          <w:sz w:val="20"/>
          <w:szCs w:val="20"/>
          <w:color w:val="auto"/>
        </w:rPr>
      </w:pPr>
    </w:p>
    <w:p>
      <w:pPr>
        <w:ind w:left="544" w:right="200" w:hanging="539"/>
        <w:spacing w:after="0" w:line="263"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328" w:lineRule="exact"/>
        <w:rPr>
          <w:sz w:val="20"/>
          <w:szCs w:val="20"/>
          <w:color w:val="auto"/>
        </w:rPr>
      </w:pPr>
    </w:p>
    <w:p>
      <w:pPr>
        <w:ind w:left="544" w:hanging="544"/>
        <w:spacing w:after="0"/>
        <w:tabs>
          <w:tab w:leader="none" w:pos="544"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Closing Register of Members or Fixing Record Date</w:t>
      </w:r>
    </w:p>
    <w:p>
      <w:pPr>
        <w:spacing w:after="0" w:line="135" w:lineRule="exact"/>
        <w:rPr>
          <w:sz w:val="20"/>
          <w:szCs w:val="20"/>
          <w:color w:val="auto"/>
        </w:rPr>
      </w:pPr>
    </w:p>
    <w:p>
      <w:pPr>
        <w:ind w:left="544" w:right="20" w:hanging="539"/>
        <w:spacing w:after="0" w:line="255"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77" w:name="page278"/>
    <w:bookmarkEnd w:id="277"/>
    <w:p>
      <w:pPr>
        <w:ind w:left="544" w:right="100" w:hanging="539"/>
        <w:spacing w:after="0" w:line="259"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5.2</w:t>
      </w:r>
      <w:r>
        <w:rPr>
          <w:sz w:val="20"/>
          <w:szCs w:val="20"/>
          <w:color w:val="auto"/>
        </w:rPr>
        <w:tab/>
      </w:r>
      <w:r>
        <w:rPr>
          <w:rFonts w:ascii="Arial" w:cs="Arial" w:eastAsia="Arial" w:hAnsi="Arial"/>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92" w:lineRule="exact"/>
        <w:rPr>
          <w:sz w:val="20"/>
          <w:szCs w:val="20"/>
          <w:color w:val="auto"/>
        </w:rPr>
      </w:pPr>
    </w:p>
    <w:p>
      <w:pPr>
        <w:ind w:left="544" w:right="100" w:hanging="539"/>
        <w:spacing w:after="0" w:line="275" w:lineRule="auto"/>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321" w:lineRule="exact"/>
        <w:rPr>
          <w:sz w:val="20"/>
          <w:szCs w:val="20"/>
          <w:color w:val="auto"/>
        </w:rPr>
      </w:pPr>
    </w:p>
    <w:p>
      <w:pPr>
        <w:ind w:left="544" w:hanging="544"/>
        <w:spacing w:after="0"/>
        <w:tabs>
          <w:tab w:leader="none" w:pos="544"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for Shares</w:t>
      </w:r>
    </w:p>
    <w:p>
      <w:pPr>
        <w:spacing w:after="0" w:line="135" w:lineRule="exact"/>
        <w:rPr>
          <w:sz w:val="20"/>
          <w:szCs w:val="20"/>
          <w:color w:val="auto"/>
        </w:rPr>
      </w:pPr>
    </w:p>
    <w:p>
      <w:pPr>
        <w:ind w:left="544" w:hanging="539"/>
        <w:spacing w:after="0" w:line="293"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70"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76" w:lineRule="exact"/>
        <w:rPr>
          <w:sz w:val="20"/>
          <w:szCs w:val="20"/>
          <w:color w:val="auto"/>
        </w:rPr>
      </w:pPr>
    </w:p>
    <w:p>
      <w:pPr>
        <w:jc w:val="both"/>
        <w:ind w:left="544" w:right="260" w:hanging="539"/>
        <w:spacing w:after="0" w:line="263" w:lineRule="auto"/>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89"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76" w:lineRule="exact"/>
        <w:rPr>
          <w:sz w:val="20"/>
          <w:szCs w:val="20"/>
          <w:color w:val="auto"/>
        </w:rPr>
      </w:pPr>
    </w:p>
    <w:p>
      <w:pPr>
        <w:ind w:left="544" w:right="260" w:hanging="539"/>
        <w:spacing w:after="0" w:line="301" w:lineRule="auto"/>
        <w:tabs>
          <w:tab w:leader="none" w:pos="524"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78" w:name="page279"/>
    <w:bookmarkEnd w:id="278"/>
    <w:p>
      <w:pPr>
        <w:ind w:left="544" w:hanging="544"/>
        <w:spacing w:after="0"/>
        <w:tabs>
          <w:tab w:leader="none" w:pos="544"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 of Shares</w:t>
      </w:r>
    </w:p>
    <w:p>
      <w:pPr>
        <w:spacing w:after="0" w:line="135" w:lineRule="exact"/>
        <w:rPr>
          <w:sz w:val="20"/>
          <w:szCs w:val="20"/>
          <w:color w:val="auto"/>
        </w:rPr>
      </w:pPr>
    </w:p>
    <w:p>
      <w:pPr>
        <w:ind w:left="544" w:hanging="539"/>
        <w:spacing w:after="0" w:line="275"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Subject to the terms of the Articles, any Member may transfer all or any of his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or warrants issued pursuant to the Articles on terms that one cannot be transferred without the other, the Directors shall refuse to register the transfer of any such Share without evidence satisfactory to them of the like transfer of such option or warrant.</w:t>
      </w:r>
    </w:p>
    <w:p>
      <w:pPr>
        <w:spacing w:after="0" w:line="82" w:lineRule="exact"/>
        <w:rPr>
          <w:sz w:val="20"/>
          <w:szCs w:val="20"/>
          <w:color w:val="auto"/>
        </w:rPr>
      </w:pPr>
    </w:p>
    <w:p>
      <w:pPr>
        <w:ind w:left="544" w:right="40" w:hanging="539"/>
        <w:spacing w:after="0" w:line="293"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309" w:lineRule="exact"/>
        <w:rPr>
          <w:sz w:val="20"/>
          <w:szCs w:val="20"/>
          <w:color w:val="auto"/>
        </w:rPr>
      </w:pPr>
    </w:p>
    <w:p>
      <w:pPr>
        <w:ind w:left="544" w:hanging="544"/>
        <w:spacing w:after="0"/>
        <w:tabs>
          <w:tab w:leader="none" w:pos="544"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Repurchase and Surrender of Shares</w:t>
      </w:r>
    </w:p>
    <w:p>
      <w:pPr>
        <w:spacing w:after="0" w:line="135" w:lineRule="exact"/>
        <w:rPr>
          <w:sz w:val="20"/>
          <w:szCs w:val="20"/>
          <w:color w:val="auto"/>
        </w:rPr>
      </w:pPr>
    </w:p>
    <w:p>
      <w:pPr>
        <w:ind w:left="544" w:right="40" w:hanging="539"/>
        <w:spacing w:after="0" w:line="275"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except Public Shares, shall be effected in such manner and upon such other terms as the Company may, by Special Resolution, determine before the issue of such Shares. With respect to redeeming or repurchasing the Shares:</w:t>
      </w:r>
    </w:p>
    <w:p>
      <w:pPr>
        <w:spacing w:after="0" w:line="82" w:lineRule="exact"/>
        <w:rPr>
          <w:sz w:val="20"/>
          <w:szCs w:val="20"/>
          <w:color w:val="auto"/>
        </w:rPr>
      </w:pPr>
    </w:p>
    <w:p>
      <w:pPr>
        <w:ind w:left="1184" w:right="160" w:hanging="644"/>
        <w:spacing w:after="0" w:line="277" w:lineRule="auto"/>
        <w:tabs>
          <w:tab w:leader="none" w:pos="118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Members who hold Public Shares are entitled to request the redemption of such Shares in the circumstances described in the Business Combination Article hereof;</w:t>
      </w:r>
    </w:p>
    <w:p>
      <w:pPr>
        <w:spacing w:after="0" w:line="75" w:lineRule="exact"/>
        <w:rPr>
          <w:rFonts w:ascii="Arial" w:cs="Arial" w:eastAsia="Arial" w:hAnsi="Arial"/>
          <w:sz w:val="18"/>
          <w:szCs w:val="18"/>
          <w:color w:val="auto"/>
        </w:rPr>
      </w:pPr>
    </w:p>
    <w:p>
      <w:pPr>
        <w:ind w:left="1184" w:right="20" w:hanging="644"/>
        <w:spacing w:after="0" w:line="263" w:lineRule="auto"/>
        <w:tabs>
          <w:tab w:leader="none" w:pos="118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Class B Shares held by the Sponsor shall be surrendered by the Sponsor for no consideration to the extent that the Over-Allotment Option is not exercised in full so that the Founders will own 20 per cent of the Company’s issued Shares after the IPO (exclusive of any securities purchased in a private placement simultaneously with the IPO); and</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Public Shares shall be repurchased by way of tender offer in the circumstances set out in the Business Combination Article hereof.</w:t>
      </w:r>
    </w:p>
    <w:p>
      <w:pPr>
        <w:spacing w:after="0" w:line="154"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Subject to the provisions of the Statute, and, where applicable, the rules and regulations of the Designated Stock Exchange, the Securities and Exchange Commission and/or any other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0" w:right="479" w:bottom="1440" w:gutter="0" w:footer="0" w:header="0"/>
        </w:sectPr>
      </w:pPr>
    </w:p>
    <w:bookmarkStart w:id="279" w:name="page280"/>
    <w:bookmarkEnd w:id="279"/>
    <w:p>
      <w:pPr>
        <w:ind w:left="544"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the Article above shall not require further approval of the Members.</w:t>
      </w:r>
    </w:p>
    <w:p>
      <w:pPr>
        <w:spacing w:after="0" w:line="54"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may make a payment in respect of the redemption or purchase of its own Shares in any manner permitted by the Statute, including out of capital.</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Directors may accept the surrender for no consideration of any fully paid Share.</w:t>
      </w:r>
    </w:p>
    <w:p>
      <w:pPr>
        <w:spacing w:after="0" w:line="370" w:lineRule="exact"/>
        <w:rPr>
          <w:sz w:val="20"/>
          <w:szCs w:val="20"/>
          <w:color w:val="auto"/>
        </w:rPr>
      </w:pPr>
    </w:p>
    <w:p>
      <w:pPr>
        <w:ind w:left="544" w:hanging="544"/>
        <w:spacing w:after="0"/>
        <w:tabs>
          <w:tab w:leader="none" w:pos="544"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Directors may, prior to the purchase, redemption or surrender of any Share, determine that such Share shall be held as a Treasury Share.</w:t>
      </w:r>
    </w:p>
    <w:p>
      <w:pPr>
        <w:spacing w:after="0" w:line="131" w:lineRule="exact"/>
        <w:rPr>
          <w:sz w:val="20"/>
          <w:szCs w:val="20"/>
          <w:color w:val="auto"/>
        </w:rPr>
      </w:pPr>
    </w:p>
    <w:p>
      <w:pPr>
        <w:ind w:left="544" w:right="400" w:hanging="539"/>
        <w:spacing w:after="0" w:line="277"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Variation of Rights of Shares</w:t>
      </w:r>
    </w:p>
    <w:p>
      <w:pPr>
        <w:spacing w:after="0" w:line="135" w:lineRule="exact"/>
        <w:rPr>
          <w:sz w:val="20"/>
          <w:szCs w:val="20"/>
          <w:color w:val="auto"/>
        </w:rPr>
      </w:pPr>
    </w:p>
    <w:p>
      <w:pPr>
        <w:ind w:left="544" w:hanging="539"/>
        <w:spacing w:after="0" w:line="287" w:lineRule="auto"/>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 xml:space="preserve">Subject to Article 3.1,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(other than with respect to a waiver of the provisions of the Class B Ordinary Share Conversion Article hereof, which as stated therein shall only require the consent in writing of the holders of a majority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77"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10.2</w:t>
        <w:tab/>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80" w:name="page281"/>
    <w:bookmarkEnd w:id="280"/>
    <w:p>
      <w:pPr>
        <w:ind w:left="544" w:right="340" w:hanging="539"/>
        <w:spacing w:after="0" w:line="26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10.3</w:t>
        <w:tab/>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 or Shares issued with preferred or other rights.</w:t>
      </w:r>
    </w:p>
    <w:p>
      <w:pPr>
        <w:spacing w:after="0" w:line="328" w:lineRule="exact"/>
        <w:rPr>
          <w:sz w:val="20"/>
          <w:szCs w:val="20"/>
          <w:color w:val="auto"/>
        </w:rPr>
      </w:pPr>
    </w:p>
    <w:p>
      <w:pPr>
        <w:ind w:left="544" w:hanging="544"/>
        <w:spacing w:after="0"/>
        <w:tabs>
          <w:tab w:leader="none" w:pos="544"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Commission on Sale of Shares</w:t>
      </w:r>
    </w:p>
    <w:p>
      <w:pPr>
        <w:spacing w:after="0" w:line="121" w:lineRule="exact"/>
        <w:rPr>
          <w:rFonts w:ascii="Arial" w:cs="Arial" w:eastAsia="Arial" w:hAnsi="Arial"/>
          <w:sz w:val="18"/>
          <w:szCs w:val="18"/>
          <w:b w:val="1"/>
          <w:bCs w:val="1"/>
          <w:color w:val="auto"/>
        </w:rPr>
      </w:pPr>
    </w:p>
    <w:p>
      <w:pPr>
        <w:ind w:left="544"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331" w:lineRule="exact"/>
        <w:rPr>
          <w:rFonts w:ascii="Arial" w:cs="Arial" w:eastAsia="Arial" w:hAnsi="Arial"/>
          <w:sz w:val="18"/>
          <w:szCs w:val="18"/>
          <w:b w:val="1"/>
          <w:bCs w:val="1"/>
          <w:color w:val="auto"/>
        </w:rPr>
      </w:pPr>
    </w:p>
    <w:p>
      <w:pPr>
        <w:ind w:left="544" w:hanging="544"/>
        <w:spacing w:after="0"/>
        <w:tabs>
          <w:tab w:leader="none" w:pos="544"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Non Recognition of Trusts</w:t>
      </w:r>
    </w:p>
    <w:p>
      <w:pPr>
        <w:spacing w:after="0" w:line="121" w:lineRule="exact"/>
        <w:rPr>
          <w:rFonts w:ascii="Arial" w:cs="Arial" w:eastAsia="Arial" w:hAnsi="Arial"/>
          <w:sz w:val="18"/>
          <w:szCs w:val="18"/>
          <w:b w:val="1"/>
          <w:bCs w:val="1"/>
          <w:color w:val="auto"/>
        </w:rPr>
      </w:pPr>
    </w:p>
    <w:p>
      <w:pPr>
        <w:ind w:left="544"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328" w:lineRule="exact"/>
        <w:rPr>
          <w:rFonts w:ascii="Arial" w:cs="Arial" w:eastAsia="Arial" w:hAnsi="Arial"/>
          <w:sz w:val="18"/>
          <w:szCs w:val="18"/>
          <w:b w:val="1"/>
          <w:bCs w:val="1"/>
          <w:color w:val="auto"/>
        </w:rPr>
      </w:pPr>
    </w:p>
    <w:p>
      <w:pPr>
        <w:ind w:left="544" w:hanging="544"/>
        <w:spacing w:after="0"/>
        <w:tabs>
          <w:tab w:leader="none" w:pos="544"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Lien on Shares</w:t>
      </w:r>
    </w:p>
    <w:p>
      <w:pPr>
        <w:spacing w:after="0" w:line="135" w:lineRule="exact"/>
        <w:rPr>
          <w:sz w:val="20"/>
          <w:szCs w:val="20"/>
          <w:color w:val="auto"/>
        </w:rPr>
      </w:pPr>
    </w:p>
    <w:p>
      <w:pPr>
        <w:ind w:left="544" w:right="60" w:hanging="539"/>
        <w:spacing w:after="0" w:line="296" w:lineRule="auto"/>
        <w:tabs>
          <w:tab w:leader="none" w:pos="5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67"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13.2</w:t>
        <w:tab/>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92" w:lineRule="exact"/>
        <w:rPr>
          <w:sz w:val="20"/>
          <w:szCs w:val="20"/>
          <w:color w:val="auto"/>
        </w:rPr>
      </w:pPr>
    </w:p>
    <w:p>
      <w:pPr>
        <w:ind w:left="544" w:right="40" w:hanging="539"/>
        <w:spacing w:after="0" w:line="279" w:lineRule="auto"/>
        <w:tabs>
          <w:tab w:leader="none" w:pos="524"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281" w:name="page282"/>
    <w:bookmarkEnd w:id="281"/>
    <w:p>
      <w:pPr>
        <w:ind w:left="540" w:right="40" w:hanging="539"/>
        <w:spacing w:after="0" w:line="263"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13.4</w:t>
        <w:tab/>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Call on Shares</w:t>
      </w:r>
    </w:p>
    <w:p>
      <w:pPr>
        <w:spacing w:after="0" w:line="135" w:lineRule="exact"/>
        <w:rPr>
          <w:sz w:val="20"/>
          <w:szCs w:val="20"/>
          <w:color w:val="auto"/>
        </w:rPr>
      </w:pPr>
    </w:p>
    <w:p>
      <w:pPr>
        <w:ind w:left="540" w:right="200" w:hanging="539"/>
        <w:spacing w:after="0" w:line="255" w:lineRule="auto"/>
        <w:tabs>
          <w:tab w:leader="none" w:pos="520" w:val="left"/>
        </w:tabs>
        <w:rPr>
          <w:sz w:val="20"/>
          <w:szCs w:val="20"/>
          <w:color w:val="auto"/>
        </w:rPr>
      </w:pPr>
      <w:r>
        <w:rPr>
          <w:rFonts w:ascii="Arial" w:cs="Arial" w:eastAsia="Arial" w:hAnsi="Arial"/>
          <w:sz w:val="18"/>
          <w:szCs w:val="18"/>
          <w:color w:val="auto"/>
        </w:rPr>
        <w:t>14.1</w:t>
        <w:tab/>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A call shall be deemed to have been made at the time when the resolution of the Directors authorising such call was passed.</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joint holders of a Share shall be jointly and severally liable to pay all calls in respect thereof.</w:t>
      </w:r>
    </w:p>
    <w:p>
      <w:pPr>
        <w:spacing w:after="0" w:line="131" w:lineRule="exact"/>
        <w:rPr>
          <w:sz w:val="20"/>
          <w:szCs w:val="20"/>
          <w:color w:val="auto"/>
        </w:rPr>
      </w:pPr>
    </w:p>
    <w:p>
      <w:pPr>
        <w:ind w:left="540" w:hanging="539"/>
        <w:spacing w:after="0" w:line="311" w:lineRule="auto"/>
        <w:tabs>
          <w:tab w:leader="none" w:pos="5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54" w:lineRule="exact"/>
        <w:rPr>
          <w:sz w:val="20"/>
          <w:szCs w:val="20"/>
          <w:color w:val="auto"/>
        </w:rPr>
      </w:pPr>
    </w:p>
    <w:p>
      <w:pPr>
        <w:jc w:val="both"/>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t>14.5</w:t>
        <w:tab/>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The Directors may issue Shares with different terms as to the amount and times of payment of calls, or the interest to be paid.</w:t>
      </w:r>
    </w:p>
    <w:p>
      <w:pPr>
        <w:spacing w:after="0" w:line="131" w:lineRule="exact"/>
        <w:rPr>
          <w:sz w:val="20"/>
          <w:szCs w:val="20"/>
          <w:color w:val="auto"/>
        </w:rPr>
      </w:pPr>
    </w:p>
    <w:p>
      <w:pPr>
        <w:ind w:left="540" w:right="240" w:hanging="539"/>
        <w:spacing w:after="0" w:line="263" w:lineRule="auto"/>
        <w:tabs>
          <w:tab w:leader="none" w:pos="520" w:val="left"/>
        </w:tabs>
        <w:rPr>
          <w:sz w:val="20"/>
          <w:szCs w:val="20"/>
          <w:color w:val="auto"/>
        </w:rPr>
      </w:pPr>
      <w:r>
        <w:rPr>
          <w:rFonts w:ascii="Arial" w:cs="Arial" w:eastAsia="Arial" w:hAnsi="Arial"/>
          <w:sz w:val="18"/>
          <w:szCs w:val="18"/>
          <w:color w:val="auto"/>
        </w:rPr>
        <w:t>14.7</w:t>
        <w:tab/>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89" w:lineRule="exact"/>
        <w:rPr>
          <w:sz w:val="20"/>
          <w:szCs w:val="20"/>
          <w:color w:val="auto"/>
        </w:rPr>
      </w:pPr>
    </w:p>
    <w:p>
      <w:pPr>
        <w:ind w:left="540" w:right="80" w:hanging="539"/>
        <w:spacing w:after="0" w:line="308" w:lineRule="auto"/>
        <w:tabs>
          <w:tab w:leader="none" w:pos="52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7"/>
          <w:szCs w:val="17"/>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82" w:name="page283"/>
    <w:bookmarkEnd w:id="282"/>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w:t>
      </w:r>
      <w:r>
        <w:rPr>
          <w:sz w:val="20"/>
          <w:szCs w:val="20"/>
          <w:color w:val="auto"/>
        </w:rPr>
        <w:tab/>
      </w:r>
      <w:r>
        <w:rPr>
          <w:rFonts w:ascii="Arial" w:cs="Arial" w:eastAsia="Arial" w:hAnsi="Arial"/>
          <w:sz w:val="18"/>
          <w:szCs w:val="18"/>
          <w:b w:val="1"/>
          <w:bCs w:val="1"/>
          <w:color w:val="auto"/>
        </w:rPr>
        <w:t>Forfeiture of Shares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If a call or instalment of a call remains unpaid after it has become due and payable the Directors may give to the person from whom it is due not</w:t>
      </w:r>
    </w:p>
    <w:p>
      <w:pPr>
        <w:spacing w:after="0" w:line="23" w:lineRule="exact"/>
        <w:rPr>
          <w:sz w:val="20"/>
          <w:szCs w:val="20"/>
          <w:color w:val="auto"/>
        </w:rPr>
      </w:pPr>
    </w:p>
    <w:p>
      <w:pPr>
        <w:ind w:left="540" w:right="140"/>
        <w:spacing w:after="0" w:line="277" w:lineRule="auto"/>
        <w:rPr>
          <w:sz w:val="20"/>
          <w:szCs w:val="20"/>
          <w:color w:val="auto"/>
        </w:rPr>
      </w:pPr>
      <w:r>
        <w:rPr>
          <w:rFonts w:ascii="Arial" w:cs="Arial" w:eastAsia="Arial" w:hAnsi="Arial"/>
          <w:sz w:val="17"/>
          <w:szCs w:val="17"/>
          <w:color w:val="auto"/>
        </w:rPr>
        <w:t>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78" w:lineRule="exact"/>
        <w:rPr>
          <w:sz w:val="20"/>
          <w:szCs w:val="20"/>
          <w:color w:val="auto"/>
        </w:rPr>
      </w:pPr>
    </w:p>
    <w:p>
      <w:pPr>
        <w:ind w:left="540" w:right="40" w:hanging="539"/>
        <w:spacing w:after="0" w:line="263" w:lineRule="auto"/>
        <w:tabs>
          <w:tab w:leader="none" w:pos="520" w:val="left"/>
        </w:tabs>
        <w:rPr>
          <w:sz w:val="20"/>
          <w:szCs w:val="20"/>
          <w:color w:val="auto"/>
        </w:rPr>
      </w:pPr>
      <w:r>
        <w:rPr>
          <w:rFonts w:ascii="Arial" w:cs="Arial" w:eastAsia="Arial" w:hAnsi="Arial"/>
          <w:sz w:val="18"/>
          <w:szCs w:val="18"/>
          <w:color w:val="auto"/>
        </w:rPr>
        <w:t>15.2</w:t>
        <w:tab/>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89" w:lineRule="exact"/>
        <w:rPr>
          <w:sz w:val="20"/>
          <w:szCs w:val="20"/>
          <w:color w:val="auto"/>
        </w:rPr>
      </w:pPr>
    </w:p>
    <w:p>
      <w:pPr>
        <w:jc w:val="both"/>
        <w:ind w:left="540" w:right="180" w:hanging="539"/>
        <w:spacing w:after="0" w:line="259" w:lineRule="auto"/>
        <w:tabs>
          <w:tab w:leader="none" w:pos="520" w:val="left"/>
        </w:tabs>
        <w:rPr>
          <w:sz w:val="20"/>
          <w:szCs w:val="20"/>
          <w:color w:val="auto"/>
        </w:rPr>
      </w:pPr>
      <w:r>
        <w:rPr>
          <w:rFonts w:ascii="Arial" w:cs="Arial" w:eastAsia="Arial" w:hAnsi="Arial"/>
          <w:sz w:val="18"/>
          <w:szCs w:val="18"/>
          <w:color w:val="auto"/>
        </w:rPr>
        <w:t>15.3</w:t>
        <w:tab/>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92" w:lineRule="exact"/>
        <w:rPr>
          <w:sz w:val="20"/>
          <w:szCs w:val="20"/>
          <w:color w:val="auto"/>
        </w:rPr>
      </w:pPr>
    </w:p>
    <w:p>
      <w:pPr>
        <w:ind w:left="540" w:right="120" w:hanging="539"/>
        <w:spacing w:after="0" w:line="301" w:lineRule="auto"/>
        <w:tabs>
          <w:tab w:leader="none" w:pos="5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63"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15.5</w:t>
        <w:tab/>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93"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15.6</w:t>
        <w:tab/>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283" w:name="page284"/>
    <w:bookmarkEnd w:id="283"/>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w:t>
      </w:r>
      <w:r>
        <w:rPr>
          <w:sz w:val="20"/>
          <w:szCs w:val="20"/>
          <w:color w:val="auto"/>
        </w:rPr>
        <w:tab/>
      </w:r>
      <w:r>
        <w:rPr>
          <w:rFonts w:ascii="Arial" w:cs="Arial" w:eastAsia="Arial" w:hAnsi="Arial"/>
          <w:sz w:val="18"/>
          <w:szCs w:val="18"/>
          <w:b w:val="1"/>
          <w:bCs w:val="1"/>
          <w:color w:val="auto"/>
        </w:rPr>
        <w:t>Transmission of Shares</w:t>
      </w:r>
    </w:p>
    <w:p>
      <w:pPr>
        <w:spacing w:after="0" w:line="135" w:lineRule="exact"/>
        <w:rPr>
          <w:sz w:val="20"/>
          <w:szCs w:val="20"/>
          <w:color w:val="auto"/>
        </w:rPr>
      </w:pPr>
    </w:p>
    <w:p>
      <w:pPr>
        <w:ind w:left="540" w:right="20" w:hanging="539"/>
        <w:spacing w:after="0" w:line="263" w:lineRule="auto"/>
        <w:tabs>
          <w:tab w:leader="none" w:pos="520" w:val="left"/>
        </w:tabs>
        <w:rPr>
          <w:sz w:val="20"/>
          <w:szCs w:val="20"/>
          <w:color w:val="auto"/>
        </w:rPr>
      </w:pPr>
      <w:r>
        <w:rPr>
          <w:rFonts w:ascii="Arial" w:cs="Arial" w:eastAsia="Arial" w:hAnsi="Arial"/>
          <w:sz w:val="18"/>
          <w:szCs w:val="18"/>
          <w:color w:val="auto"/>
        </w:rPr>
        <w:t>16.1</w:t>
        <w:tab/>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89" w:lineRule="exact"/>
        <w:rPr>
          <w:sz w:val="20"/>
          <w:szCs w:val="20"/>
          <w:color w:val="auto"/>
        </w:rPr>
      </w:pPr>
    </w:p>
    <w:p>
      <w:pPr>
        <w:ind w:left="540" w:right="80" w:hanging="539"/>
        <w:spacing w:after="0" w:line="293" w:lineRule="auto"/>
        <w:tabs>
          <w:tab w:leader="none" w:pos="5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70" w:lineRule="exact"/>
        <w:rPr>
          <w:sz w:val="20"/>
          <w:szCs w:val="20"/>
          <w:color w:val="auto"/>
        </w:rPr>
      </w:pPr>
    </w:p>
    <w:p>
      <w:pPr>
        <w:ind w:left="540" w:right="20" w:hanging="539"/>
        <w:spacing w:after="0" w:line="269" w:lineRule="auto"/>
        <w:tabs>
          <w:tab w:leader="none" w:pos="5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7"/>
          <w:szCs w:val="17"/>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3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Class B Ordinary Share Conversion</w:t>
      </w:r>
    </w:p>
    <w:p>
      <w:pPr>
        <w:spacing w:after="0" w:line="135" w:lineRule="exact"/>
        <w:rPr>
          <w:sz w:val="20"/>
          <w:szCs w:val="20"/>
          <w:color w:val="auto"/>
        </w:rPr>
      </w:pPr>
    </w:p>
    <w:p>
      <w:pPr>
        <w:ind w:left="540" w:right="260" w:hanging="539"/>
        <w:spacing w:after="0" w:line="340" w:lineRule="auto"/>
        <w:tabs>
          <w:tab w:leader="none" w:pos="5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5"/>
          <w:szCs w:val="15"/>
          <w:color w:val="auto"/>
        </w:rPr>
        <w:t xml:space="preserve">The rights attaching to the Class A Shares and Class B Shares shall rank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 all respects, and the Class A Shares and Class B Shares shall vote together as a single class on all matters (subject to the Variation of Rights of Shares Article and the Appointment and Removal of Directors Article hereof) with the exception that the holder of a Class B Share shall have the conversion rights referred to in this Article.</w:t>
      </w:r>
    </w:p>
    <w:p>
      <w:pPr>
        <w:spacing w:after="0" w:line="32" w:lineRule="exact"/>
        <w:rPr>
          <w:sz w:val="20"/>
          <w:szCs w:val="20"/>
          <w:color w:val="auto"/>
        </w:rPr>
      </w:pPr>
    </w:p>
    <w:p>
      <w:pPr>
        <w:ind w:left="540" w:hanging="539"/>
        <w:spacing w:after="0" w:line="312" w:lineRule="auto"/>
        <w:tabs>
          <w:tab w:leader="none" w:pos="5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Class B Shares shall automatically convert into Class A Shares on a one-for-one basis (the “</w:t>
      </w:r>
      <w:r>
        <w:rPr>
          <w:rFonts w:ascii="Arial" w:cs="Arial" w:eastAsia="Arial" w:hAnsi="Arial"/>
          <w:sz w:val="17"/>
          <w:szCs w:val="17"/>
          <w:b w:val="1"/>
          <w:bCs w:val="1"/>
          <w:color w:val="auto"/>
        </w:rPr>
        <w:t>Initial Conversion Ratio</w:t>
      </w:r>
      <w:r>
        <w:rPr>
          <w:rFonts w:ascii="Arial" w:cs="Arial" w:eastAsia="Arial" w:hAnsi="Arial"/>
          <w:sz w:val="17"/>
          <w:szCs w:val="17"/>
          <w:color w:val="auto"/>
        </w:rPr>
        <w:t>”): (a) at any time and from time to time at the option of the holders thereof; and (b) automatically on the day of the closing of a Business Combination.</w:t>
      </w:r>
    </w:p>
    <w:p>
      <w:pPr>
        <w:spacing w:after="0" w:line="49" w:lineRule="exact"/>
        <w:rPr>
          <w:sz w:val="20"/>
          <w:szCs w:val="20"/>
          <w:color w:val="auto"/>
        </w:rPr>
      </w:pPr>
    </w:p>
    <w:p>
      <w:pPr>
        <w:ind w:left="540" w:right="260" w:hanging="539"/>
        <w:spacing w:after="0" w:line="259" w:lineRule="auto"/>
        <w:tabs>
          <w:tab w:leader="none" w:pos="520" w:val="left"/>
        </w:tabs>
        <w:rPr>
          <w:sz w:val="20"/>
          <w:szCs w:val="20"/>
          <w:color w:val="auto"/>
        </w:rPr>
      </w:pPr>
      <w:r>
        <w:rPr>
          <w:rFonts w:ascii="Arial" w:cs="Arial" w:eastAsia="Arial" w:hAnsi="Arial"/>
          <w:sz w:val="18"/>
          <w:szCs w:val="18"/>
          <w:color w:val="auto"/>
        </w:rPr>
        <w:t>17.3</w:t>
        <w:tab/>
        <w:t>Notwithstanding the Initial Conversion Ratio, in the case that additional Class A Shares or any other Equity-linked Securities, are issued, or deemed issued, by the Company in excess of the amounts offered in the IPO and related to the closing of a Business Combination, all Class B Shares in issue shall automatically convert into Class A Shares at the time of the closing of a Business Combination at a ratio for which the Class B Shares shall convert into Class A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84" w:name="page285"/>
    <w:bookmarkEnd w:id="284"/>
    <w:p>
      <w:pPr>
        <w:ind w:left="540"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will be adjusted (unless the holders of a majority of the Class B Shares in issue agree to waive such anti-dilution adjustment with respect to any such issuance or deemed issuance) so that the number of Class A Shares issuable upon conversion of all Class B Shares will equal, on an as-converted basis, in the aggregate, 20 per cent of the sum of all Class A Shares and Class B Shares in issue upon completion of the IPO plus all Class A Shares and Equity-linked Securities issued or deemed issued in connection with a Business Combination, excluding any Shares or Equity-linked Securities issued, or to be issued, to any seller in a Business Combination and any private placement warrants issued to the Sponsor or its Affiliates upon conversion of working capital loans made to the Company.</w:t>
      </w:r>
    </w:p>
    <w:p>
      <w:pPr>
        <w:spacing w:after="0" w:line="83"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17.4</w:t>
        <w:tab/>
        <w:t>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the Variation of Rights of Shares Article hereof.</w:t>
      </w:r>
    </w:p>
    <w:p>
      <w:pPr>
        <w:spacing w:after="0" w:line="92"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17.5</w:t>
        <w:tab/>
        <w:t>The foregoing conversion ratio shall also be adjusted to account for any subdivision (by share subdivision, exchange, capitalisation, rights issue, reclassification, recapitalisation or otherwise) or combination (by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93" w:lineRule="exact"/>
        <w:rPr>
          <w:sz w:val="20"/>
          <w:szCs w:val="20"/>
          <w:color w:val="auto"/>
        </w:rPr>
      </w:pPr>
    </w:p>
    <w:p>
      <w:pPr>
        <w:ind w:left="540" w:hanging="539"/>
        <w:spacing w:after="0" w:line="301" w:lineRule="auto"/>
        <w:tabs>
          <w:tab w:leader="none" w:pos="5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rPr>
        <w:t>Each Class B Share shall convert into its pro rata number of Class A Shares pursuant to this Article.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w:t>
      </w:r>
    </w:p>
    <w:p>
      <w:pPr>
        <w:spacing w:after="0" w:line="59" w:lineRule="exact"/>
        <w:rPr>
          <w:sz w:val="20"/>
          <w:szCs w:val="20"/>
          <w:color w:val="auto"/>
        </w:rPr>
      </w:pPr>
    </w:p>
    <w:p>
      <w:pPr>
        <w:ind w:left="540" w:right="60" w:hanging="539"/>
        <w:spacing w:after="0" w:line="298" w:lineRule="auto"/>
        <w:tabs>
          <w:tab w:leader="none" w:pos="5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References in this Article to “</w:t>
      </w:r>
      <w:r>
        <w:rPr>
          <w:rFonts w:ascii="Arial" w:cs="Arial" w:eastAsia="Arial" w:hAnsi="Arial"/>
          <w:sz w:val="16"/>
          <w:szCs w:val="16"/>
          <w:b w:val="1"/>
          <w:bCs w:val="1"/>
          <w:color w:val="auto"/>
        </w:rPr>
        <w:t>converted</w:t>
      </w:r>
      <w:r>
        <w:rPr>
          <w:rFonts w:ascii="Arial" w:cs="Arial" w:eastAsia="Arial" w:hAnsi="Arial"/>
          <w:sz w:val="16"/>
          <w:szCs w:val="16"/>
          <w:color w:val="auto"/>
        </w:rPr>
        <w:t>”, “</w:t>
      </w:r>
      <w:r>
        <w:rPr>
          <w:rFonts w:ascii="Arial" w:cs="Arial" w:eastAsia="Arial" w:hAnsi="Arial"/>
          <w:sz w:val="16"/>
          <w:szCs w:val="16"/>
          <w:b w:val="1"/>
          <w:bCs w:val="1"/>
          <w:color w:val="auto"/>
        </w:rPr>
        <w:t>conversion</w:t>
      </w:r>
      <w:r>
        <w:rPr>
          <w:rFonts w:ascii="Arial" w:cs="Arial" w:eastAsia="Arial" w:hAnsi="Arial"/>
          <w:sz w:val="16"/>
          <w:szCs w:val="16"/>
          <w:color w:val="auto"/>
        </w:rPr>
        <w:t>” or “</w:t>
      </w:r>
      <w:r>
        <w:rPr>
          <w:rFonts w:ascii="Arial" w:cs="Arial" w:eastAsia="Arial" w:hAnsi="Arial"/>
          <w:sz w:val="16"/>
          <w:szCs w:val="16"/>
          <w:b w:val="1"/>
          <w:bCs w:val="1"/>
          <w:color w:val="auto"/>
        </w:rPr>
        <w:t>exchange</w:t>
      </w:r>
      <w:r>
        <w:rPr>
          <w:rFonts w:ascii="Arial" w:cs="Arial" w:eastAsia="Arial" w:hAnsi="Arial"/>
          <w:sz w:val="16"/>
          <w:szCs w:val="16"/>
          <w:color w:val="auto"/>
        </w:rPr>
        <w:t>”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63"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17.8</w:t>
        <w:tab/>
        <w:t>Notwithstanding anything to the contrary in this Article, in no event may any Class B Share convert into Class A Shares at a ratio that is less than one-for-one.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85" w:name="page286"/>
    <w:bookmarkEnd w:id="285"/>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w:t>
      </w:r>
      <w:r>
        <w:rPr>
          <w:sz w:val="20"/>
          <w:szCs w:val="20"/>
          <w:color w:val="auto"/>
        </w:rPr>
        <w:tab/>
      </w:r>
      <w:r>
        <w:rPr>
          <w:rFonts w:ascii="Arial" w:cs="Arial" w:eastAsia="Arial" w:hAnsi="Arial"/>
          <w:sz w:val="18"/>
          <w:szCs w:val="18"/>
          <w:b w:val="1"/>
          <w:bCs w:val="1"/>
          <w:color w:val="auto"/>
        </w:rPr>
        <w:t>Amendments of Memorandum and Articles of Association and Alteration of Capital</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The Company may by Ordinary Resolution:</w:t>
      </w:r>
    </w:p>
    <w:p>
      <w:pPr>
        <w:spacing w:after="0" w:line="131" w:lineRule="exact"/>
        <w:rPr>
          <w:sz w:val="20"/>
          <w:szCs w:val="20"/>
          <w:color w:val="auto"/>
        </w:rPr>
      </w:pPr>
    </w:p>
    <w:p>
      <w:pPr>
        <w:ind w:left="1184" w:right="80" w:hanging="644"/>
        <w:spacing w:after="0" w:line="277" w:lineRule="auto"/>
        <w:tabs>
          <w:tab w:leader="none" w:pos="118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increase its share capital by such sum as the Ordinary Resolution shall prescribe and with such rights, priorities and privileges annexed thereto, as the Company in general meeting may determine;</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convert all or any of its paid-up Shares into stock, and reconvert that stock into paid-up Shares of any denomination;</w:t>
      </w:r>
    </w:p>
    <w:p>
      <w:pPr>
        <w:spacing w:after="0" w:line="130" w:lineRule="exact"/>
        <w:rPr>
          <w:rFonts w:ascii="Arial" w:cs="Arial" w:eastAsia="Arial" w:hAnsi="Arial"/>
          <w:sz w:val="18"/>
          <w:szCs w:val="18"/>
          <w:color w:val="auto"/>
        </w:rPr>
      </w:pPr>
    </w:p>
    <w:p>
      <w:pPr>
        <w:ind w:left="1184" w:right="100" w:hanging="644"/>
        <w:spacing w:after="0" w:line="277" w:lineRule="auto"/>
        <w:tabs>
          <w:tab w:leader="none" w:pos="118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75" w:lineRule="exact"/>
        <w:rPr>
          <w:rFonts w:ascii="Arial" w:cs="Arial" w:eastAsia="Arial" w:hAnsi="Arial"/>
          <w:sz w:val="18"/>
          <w:szCs w:val="18"/>
          <w:color w:val="auto"/>
        </w:rPr>
      </w:pPr>
    </w:p>
    <w:p>
      <w:pPr>
        <w:ind w:left="1184" w:hanging="644"/>
        <w:spacing w:after="0" w:line="277" w:lineRule="auto"/>
        <w:tabs>
          <w:tab w:leader="none" w:pos="118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76" w:lineRule="exact"/>
        <w:rPr>
          <w:sz w:val="20"/>
          <w:szCs w:val="20"/>
          <w:color w:val="auto"/>
        </w:rPr>
      </w:pPr>
    </w:p>
    <w:p>
      <w:pPr>
        <w:ind w:left="544" w:right="300" w:hanging="539"/>
        <w:spacing w:after="0" w:line="308" w:lineRule="auto"/>
        <w:tabs>
          <w:tab w:leader="none" w:pos="524"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Subject to the provisions of the Statute, the provisions of the Articles as regards the matters to be dealt with by Ordinary Resolution and</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Article 29.4, the Company may by Special Resolution:</w:t>
      </w:r>
    </w:p>
    <w:p>
      <w:pPr>
        <w:spacing w:after="0" w:line="116" w:lineRule="exact"/>
        <w:rPr>
          <w:sz w:val="20"/>
          <w:szCs w:val="20"/>
          <w:color w:val="auto"/>
        </w:rPr>
      </w:pPr>
    </w:p>
    <w:p>
      <w:pPr>
        <w:ind w:left="1184" w:hanging="644"/>
        <w:spacing w:after="0"/>
        <w:tabs>
          <w:tab w:leader="none" w:pos="118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change its name;</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alter or add to the Articles;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alter or add to the Memorandum with respect to any objects, powers or other matters specified therein;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reduce its share capital or any capital redemption reserve fund.</w:t>
      </w:r>
    </w:p>
    <w:p>
      <w:pPr>
        <w:spacing w:after="0" w:line="248" w:lineRule="exact"/>
        <w:rPr>
          <w:sz w:val="20"/>
          <w:szCs w:val="20"/>
          <w:color w:val="auto"/>
        </w:rPr>
      </w:pPr>
    </w:p>
    <w:p>
      <w:pPr>
        <w:ind w:left="544" w:hanging="544"/>
        <w:spacing w:after="0"/>
        <w:tabs>
          <w:tab w:leader="none" w:pos="544"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Offices and Places of Business</w:t>
      </w:r>
    </w:p>
    <w:p>
      <w:pPr>
        <w:spacing w:after="0" w:line="121" w:lineRule="exact"/>
        <w:rPr>
          <w:rFonts w:ascii="Arial" w:cs="Arial" w:eastAsia="Arial" w:hAnsi="Arial"/>
          <w:sz w:val="18"/>
          <w:szCs w:val="18"/>
          <w:b w:val="1"/>
          <w:bCs w:val="1"/>
          <w:color w:val="auto"/>
        </w:rPr>
      </w:pPr>
    </w:p>
    <w:p>
      <w:pPr>
        <w:ind w:left="544" w:right="5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0" w:right="479" w:bottom="1440" w:gutter="0" w:footer="0" w:header="0"/>
        </w:sectPr>
      </w:pPr>
    </w:p>
    <w:bookmarkStart w:id="286" w:name="page287"/>
    <w:bookmarkEnd w:id="286"/>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w:t>
      </w:r>
      <w:r>
        <w:rPr>
          <w:sz w:val="20"/>
          <w:szCs w:val="20"/>
          <w:color w:val="auto"/>
        </w:rPr>
        <w:tab/>
      </w:r>
      <w:r>
        <w:rPr>
          <w:rFonts w:ascii="Arial" w:cs="Arial" w:eastAsia="Arial" w:hAnsi="Arial"/>
          <w:sz w:val="18"/>
          <w:szCs w:val="18"/>
          <w:b w:val="1"/>
          <w:bCs w:val="1"/>
          <w:color w:val="auto"/>
        </w:rPr>
        <w:t>General Meetings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All general meetings other than annual general meetings shall be called extraordinary general meetings.</w:t>
      </w:r>
    </w:p>
    <w:p>
      <w:pPr>
        <w:spacing w:after="0" w:line="131"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20.2</w:t>
        <w:tab/>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89" w:lineRule="exact"/>
        <w:rPr>
          <w:sz w:val="20"/>
          <w:szCs w:val="20"/>
          <w:color w:val="auto"/>
        </w:rPr>
      </w:pPr>
    </w:p>
    <w:p>
      <w:pPr>
        <w:ind w:left="540" w:right="180" w:hanging="539"/>
        <w:spacing w:after="0" w:line="277" w:lineRule="auto"/>
        <w:tabs>
          <w:tab w:leader="none" w:pos="520" w:val="left"/>
        </w:tabs>
        <w:rPr>
          <w:sz w:val="20"/>
          <w:szCs w:val="20"/>
          <w:color w:val="auto"/>
        </w:rPr>
      </w:pPr>
      <w:r>
        <w:rPr>
          <w:rFonts w:ascii="Arial" w:cs="Arial" w:eastAsia="Arial" w:hAnsi="Arial"/>
          <w:sz w:val="18"/>
          <w:szCs w:val="18"/>
          <w:color w:val="auto"/>
        </w:rPr>
        <w:t>20.3</w:t>
        <w:tab/>
        <w:t>The Directors, the chief executive officer or the chairman of the board of Directors may call general meetings, and, for the avoidance of doubt, Members shall not have the ability to call general meetings.</w:t>
      </w:r>
    </w:p>
    <w:p>
      <w:pPr>
        <w:spacing w:after="0" w:line="76" w:lineRule="exact"/>
        <w:rPr>
          <w:sz w:val="20"/>
          <w:szCs w:val="20"/>
          <w:color w:val="auto"/>
        </w:rPr>
      </w:pPr>
    </w:p>
    <w:p>
      <w:pPr>
        <w:ind w:left="540" w:right="60" w:hanging="539"/>
        <w:spacing w:after="0" w:line="273" w:lineRule="auto"/>
        <w:tabs>
          <w:tab w:leader="none" w:pos="52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7"/>
          <w:szCs w:val="17"/>
          <w:color w:val="auto"/>
        </w:rPr>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with such deadline being a reasonable time before the Company begins to print and send its related proxy materials.</w:t>
      </w:r>
    </w:p>
    <w:p>
      <w:pPr>
        <w:spacing w:after="0" w:line="32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Notice of General Meetings</w:t>
      </w:r>
    </w:p>
    <w:p>
      <w:pPr>
        <w:spacing w:after="0" w:line="135"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21.1</w:t>
        <w:tab/>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93" w:lineRule="exact"/>
        <w:rPr>
          <w:sz w:val="20"/>
          <w:szCs w:val="20"/>
          <w:color w:val="auto"/>
        </w:rPr>
      </w:pPr>
    </w:p>
    <w:p>
      <w:pPr>
        <w:ind w:left="1180" w:hanging="644"/>
        <w:spacing w:after="0"/>
        <w:tabs>
          <w:tab w:leader="none" w:pos="11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130" w:lineRule="exact"/>
        <w:rPr>
          <w:rFonts w:ascii="Arial" w:cs="Arial" w:eastAsia="Arial" w:hAnsi="Arial"/>
          <w:sz w:val="18"/>
          <w:szCs w:val="18"/>
          <w:color w:val="auto"/>
        </w:rPr>
      </w:pPr>
    </w:p>
    <w:p>
      <w:pPr>
        <w:ind w:left="1180" w:right="580" w:hanging="644"/>
        <w:spacing w:after="0" w:line="308" w:lineRule="auto"/>
        <w:tabs>
          <w:tab w:leader="none" w:pos="11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in the case of an extraordinary general meeting, by a majority in number of the Members having a right to attend and vote at the meeting, together holding not less than ninety-five per cent in par value of the Shares giving that right.</w:t>
      </w:r>
    </w:p>
    <w:p>
      <w:pPr>
        <w:spacing w:after="0" w:line="52"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21.2</w:t>
        <w:tab/>
        <w:t>The accidental omission to give notice of a general meeting to, or the non receipt of notice of a general meeting by, any person entitled to receive such notice shall not invalidate the proceedings of that general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287" w:name="page288"/>
    <w:bookmarkEnd w:id="287"/>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w:t>
      </w:r>
      <w:r>
        <w:rPr>
          <w:sz w:val="20"/>
          <w:szCs w:val="20"/>
          <w:color w:val="auto"/>
        </w:rPr>
        <w:tab/>
      </w:r>
      <w:r>
        <w:rPr>
          <w:rFonts w:ascii="Arial" w:cs="Arial" w:eastAsia="Arial" w:hAnsi="Arial"/>
          <w:sz w:val="18"/>
          <w:szCs w:val="18"/>
          <w:b w:val="1"/>
          <w:bCs w:val="1"/>
          <w:color w:val="auto"/>
        </w:rPr>
        <w:t>Proceedings at General Meetings</w:t>
      </w:r>
    </w:p>
    <w:p>
      <w:pPr>
        <w:spacing w:after="0" w:line="135" w:lineRule="exact"/>
        <w:rPr>
          <w:sz w:val="20"/>
          <w:szCs w:val="20"/>
          <w:color w:val="auto"/>
        </w:rPr>
      </w:pPr>
    </w:p>
    <w:p>
      <w:pPr>
        <w:ind w:left="540" w:right="300" w:hanging="539"/>
        <w:spacing w:after="0" w:line="342" w:lineRule="auto"/>
        <w:tabs>
          <w:tab w:leader="none" w:pos="5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No business shall be transacted at any general meeting unless a quorum is present. The holders of a majority of the Shares being individuals present in person or by proxy or if a corporation or other non-natural person by its duly authorised representative or proxy shall be a quorum.</w:t>
      </w:r>
    </w:p>
    <w:p>
      <w:pPr>
        <w:spacing w:after="0" w:line="29"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22.2</w:t>
        <w:tab/>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89" w:lineRule="exact"/>
        <w:rPr>
          <w:sz w:val="20"/>
          <w:szCs w:val="20"/>
          <w:color w:val="auto"/>
        </w:rPr>
      </w:pPr>
    </w:p>
    <w:p>
      <w:pPr>
        <w:ind w:left="540" w:right="60" w:hanging="539"/>
        <w:spacing w:after="0" w:line="259" w:lineRule="auto"/>
        <w:tabs>
          <w:tab w:leader="none" w:pos="520" w:val="left"/>
        </w:tabs>
        <w:rPr>
          <w:sz w:val="20"/>
          <w:szCs w:val="20"/>
          <w:color w:val="auto"/>
        </w:rPr>
      </w:pPr>
      <w:r>
        <w:rPr>
          <w:rFonts w:ascii="Arial" w:cs="Arial" w:eastAsia="Arial" w:hAnsi="Arial"/>
          <w:sz w:val="18"/>
          <w:szCs w:val="18"/>
          <w:color w:val="auto"/>
        </w:rPr>
        <w:t>22.3</w:t>
        <w:tab/>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92" w:lineRule="exact"/>
        <w:rPr>
          <w:sz w:val="20"/>
          <w:szCs w:val="20"/>
          <w:color w:val="auto"/>
        </w:rPr>
      </w:pPr>
    </w:p>
    <w:p>
      <w:pPr>
        <w:ind w:left="540" w:right="60" w:hanging="539"/>
        <w:spacing w:after="0" w:line="259" w:lineRule="auto"/>
        <w:tabs>
          <w:tab w:leader="none" w:pos="520" w:val="left"/>
        </w:tabs>
        <w:rPr>
          <w:sz w:val="20"/>
          <w:szCs w:val="20"/>
          <w:color w:val="auto"/>
        </w:rPr>
      </w:pPr>
      <w:r>
        <w:rPr>
          <w:rFonts w:ascii="Arial" w:cs="Arial" w:eastAsia="Arial" w:hAnsi="Arial"/>
          <w:sz w:val="18"/>
          <w:szCs w:val="18"/>
          <w:color w:val="auto"/>
        </w:rPr>
        <w:t>22.4</w:t>
        <w:tab/>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92" w:lineRule="exact"/>
        <w:rPr>
          <w:sz w:val="20"/>
          <w:szCs w:val="20"/>
          <w:color w:val="auto"/>
        </w:rPr>
      </w:pPr>
    </w:p>
    <w:p>
      <w:pPr>
        <w:ind w:left="540" w:hanging="539"/>
        <w:spacing w:after="0" w:line="301" w:lineRule="auto"/>
        <w:tabs>
          <w:tab w:leader="none" w:pos="52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63" w:lineRule="exact"/>
        <w:rPr>
          <w:sz w:val="20"/>
          <w:szCs w:val="20"/>
          <w:color w:val="auto"/>
        </w:rPr>
      </w:pPr>
    </w:p>
    <w:p>
      <w:pPr>
        <w:ind w:left="540" w:right="740" w:hanging="539"/>
        <w:spacing w:after="0" w:line="277" w:lineRule="auto"/>
        <w:tabs>
          <w:tab w:leader="none" w:pos="520" w:val="left"/>
        </w:tabs>
        <w:rPr>
          <w:sz w:val="20"/>
          <w:szCs w:val="20"/>
          <w:color w:val="auto"/>
        </w:rPr>
      </w:pPr>
      <w:r>
        <w:rPr>
          <w:rFonts w:ascii="Arial" w:cs="Arial" w:eastAsia="Arial" w:hAnsi="Arial"/>
          <w:sz w:val="18"/>
          <w:szCs w:val="18"/>
          <w:color w:val="auto"/>
        </w:rPr>
        <w:t>22.6</w:t>
        <w:tab/>
        <w:t>If no Director is willing to act as chairman or if no Director is present within fifteen minutes after the time appointed for the meeting to commence, the Members present shall choose one of their number to be chairman of the meeting.</w:t>
      </w:r>
    </w:p>
    <w:p>
      <w:pPr>
        <w:spacing w:after="0" w:line="76"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22.7</w:t>
        <w:tab/>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When a general meeting is adjourned for thirty days or more, notice of the adjourned meeting shall be given as in the case of an original meeting.</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Otherwise it shall not be necessary to give any such notice of an adjourned meeting.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288" w:name="page289"/>
    <w:bookmarkEnd w:id="288"/>
    <w:p>
      <w:pPr>
        <w:ind w:left="540" w:right="40" w:hanging="539"/>
        <w:spacing w:after="0" w:line="275"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22.9</w:t>
      </w:r>
      <w:r>
        <w:rPr>
          <w:sz w:val="20"/>
          <w:szCs w:val="20"/>
          <w:color w:val="auto"/>
        </w:rPr>
        <w:tab/>
      </w:r>
      <w:r>
        <w:rPr>
          <w:rFonts w:ascii="Arial" w:cs="Arial" w:eastAsia="Arial" w:hAnsi="Arial"/>
          <w:sz w:val="17"/>
          <w:szCs w:val="17"/>
          <w:color w:val="auto"/>
        </w:rPr>
        <w:t>If, prior to a Business Combination, a notice is issued in respect of a general meeting and the Directors, in their absolute discretion, consider that it is impractical or undesirable for any reason 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w:t>
      </w:r>
    </w:p>
    <w:p>
      <w:pPr>
        <w:spacing w:after="0" w:line="82" w:lineRule="exact"/>
        <w:rPr>
          <w:sz w:val="20"/>
          <w:szCs w:val="20"/>
          <w:color w:val="auto"/>
        </w:rPr>
      </w:pPr>
    </w:p>
    <w:p>
      <w:pPr>
        <w:ind w:left="540" w:right="140" w:hanging="539"/>
        <w:spacing w:after="0" w:line="311" w:lineRule="auto"/>
        <w:rPr>
          <w:sz w:val="20"/>
          <w:szCs w:val="20"/>
          <w:color w:val="auto"/>
        </w:rPr>
      </w:pPr>
      <w:r>
        <w:rPr>
          <w:rFonts w:ascii="Arial" w:cs="Arial" w:eastAsia="Arial" w:hAnsi="Arial"/>
          <w:sz w:val="16"/>
          <w:szCs w:val="16"/>
          <w:color w:val="auto"/>
        </w:rPr>
        <w:t>22.10 When a general meeting is postponed for thirty days or more, notice of the postponed meeting shall be given as in the case of an original meeting. Otherwise it shall not be necessary to give any such notice of a postponed meeting. All proxy forms submitted for the original general meeting shall remain valid for the postponed meeting. The Directors may postpone a general meeting which has already been postponed.</w:t>
      </w:r>
    </w:p>
    <w:p>
      <w:pPr>
        <w:spacing w:after="0" w:line="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A resolution put to the vote of the meeting shall be decided on a poll.</w:t>
      </w:r>
    </w:p>
    <w:p>
      <w:pPr>
        <w:spacing w:after="0" w:line="131" w:lineRule="exact"/>
        <w:rPr>
          <w:sz w:val="20"/>
          <w:szCs w:val="20"/>
          <w:color w:val="auto"/>
        </w:rPr>
      </w:pPr>
    </w:p>
    <w:p>
      <w:pPr>
        <w:ind w:left="540" w:right="200" w:hanging="539"/>
        <w:spacing w:after="0" w:line="277" w:lineRule="auto"/>
        <w:rPr>
          <w:sz w:val="20"/>
          <w:szCs w:val="20"/>
          <w:color w:val="auto"/>
        </w:rPr>
      </w:pPr>
      <w:r>
        <w:rPr>
          <w:rFonts w:ascii="Arial" w:cs="Arial" w:eastAsia="Arial" w:hAnsi="Arial"/>
          <w:sz w:val="18"/>
          <w:szCs w:val="18"/>
          <w:color w:val="auto"/>
        </w:rPr>
        <w:t>22.12 A poll shall be taken as the chairman directs, and the result of the poll shall be deemed to be the resolution of the general meeting at which the poll was demanded.</w:t>
      </w:r>
    </w:p>
    <w:p>
      <w:pPr>
        <w:spacing w:after="0" w:line="76" w:lineRule="exact"/>
        <w:rPr>
          <w:sz w:val="20"/>
          <w:szCs w:val="20"/>
          <w:color w:val="auto"/>
        </w:rPr>
      </w:pPr>
    </w:p>
    <w:p>
      <w:pPr>
        <w:jc w:val="both"/>
        <w:ind w:left="540" w:right="40" w:hanging="539"/>
        <w:spacing w:after="0" w:line="263" w:lineRule="auto"/>
        <w:rPr>
          <w:sz w:val="20"/>
          <w:szCs w:val="20"/>
          <w:color w:val="auto"/>
        </w:rPr>
      </w:pPr>
      <w:r>
        <w:rPr>
          <w:rFonts w:ascii="Arial" w:cs="Arial" w:eastAsia="Arial" w:hAnsi="Arial"/>
          <w:sz w:val="18"/>
          <w:szCs w:val="18"/>
          <w:color w:val="auto"/>
        </w:rPr>
        <w:t>22.13 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22.14  In the case of an equality of votes the chairman shall be entitled to a second or casting vote.</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Votes of Members</w:t>
      </w:r>
    </w:p>
    <w:p>
      <w:pPr>
        <w:spacing w:after="0" w:line="135" w:lineRule="exact"/>
        <w:rPr>
          <w:sz w:val="20"/>
          <w:szCs w:val="20"/>
          <w:color w:val="auto"/>
        </w:rPr>
      </w:pPr>
    </w:p>
    <w:p>
      <w:pPr>
        <w:ind w:left="540" w:right="160" w:hanging="539"/>
        <w:spacing w:after="0" w:line="277" w:lineRule="auto"/>
        <w:tabs>
          <w:tab w:leader="none" w:pos="520" w:val="left"/>
        </w:tabs>
        <w:rPr>
          <w:sz w:val="20"/>
          <w:szCs w:val="20"/>
          <w:color w:val="auto"/>
        </w:rPr>
      </w:pPr>
      <w:r>
        <w:rPr>
          <w:rFonts w:ascii="Arial" w:cs="Arial" w:eastAsia="Arial" w:hAnsi="Arial"/>
          <w:sz w:val="18"/>
          <w:szCs w:val="18"/>
          <w:color w:val="auto"/>
        </w:rPr>
        <w:t>23.1</w:t>
        <w:tab/>
        <w:t>Subject to any rights or restrictions attached to any Shares, including as set out at Article 29.4, every Member present in any such manner shall have one vote for every Share of which he is the holder.</w:t>
      </w:r>
    </w:p>
    <w:p>
      <w:pPr>
        <w:spacing w:after="0" w:line="76" w:lineRule="exact"/>
        <w:rPr>
          <w:sz w:val="20"/>
          <w:szCs w:val="20"/>
          <w:color w:val="auto"/>
        </w:rPr>
      </w:pPr>
    </w:p>
    <w:p>
      <w:pPr>
        <w:ind w:left="540" w:hanging="539"/>
        <w:spacing w:after="0" w:line="286" w:lineRule="auto"/>
        <w:tabs>
          <w:tab w:leader="none" w:pos="5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71" w:lineRule="exact"/>
        <w:rPr>
          <w:sz w:val="20"/>
          <w:szCs w:val="20"/>
          <w:color w:val="auto"/>
        </w:rPr>
      </w:pPr>
    </w:p>
    <w:p>
      <w:pPr>
        <w:ind w:left="540" w:right="120" w:hanging="539"/>
        <w:spacing w:after="0" w:line="263" w:lineRule="auto"/>
        <w:tabs>
          <w:tab w:leader="none" w:pos="520" w:val="left"/>
        </w:tabs>
        <w:rPr>
          <w:sz w:val="20"/>
          <w:szCs w:val="20"/>
          <w:color w:val="auto"/>
        </w:rPr>
      </w:pPr>
      <w:r>
        <w:rPr>
          <w:rFonts w:ascii="Arial" w:cs="Arial" w:eastAsia="Arial" w:hAnsi="Arial"/>
          <w:sz w:val="18"/>
          <w:szCs w:val="18"/>
          <w:color w:val="auto"/>
        </w:rPr>
        <w:t>23.3</w:t>
        <w:tab/>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89" w:lineRule="exact"/>
        <w:rPr>
          <w:sz w:val="20"/>
          <w:szCs w:val="20"/>
          <w:color w:val="auto"/>
        </w:rPr>
      </w:pPr>
    </w:p>
    <w:p>
      <w:pPr>
        <w:ind w:left="540" w:right="100" w:hanging="539"/>
        <w:spacing w:after="0" w:line="277" w:lineRule="auto"/>
        <w:tabs>
          <w:tab w:leader="none" w:pos="520" w:val="left"/>
        </w:tabs>
        <w:rPr>
          <w:sz w:val="20"/>
          <w:szCs w:val="20"/>
          <w:color w:val="auto"/>
        </w:rPr>
      </w:pPr>
      <w:r>
        <w:rPr>
          <w:rFonts w:ascii="Arial" w:cs="Arial" w:eastAsia="Arial" w:hAnsi="Arial"/>
          <w:sz w:val="18"/>
          <w:szCs w:val="18"/>
          <w:color w:val="auto"/>
        </w:rPr>
        <w:t>23.4</w:t>
        <w:tab/>
        <w:t>No person shall be entitled to vote at any general meeting unless he is registered as a Member on the record date for such meeting nor unless all calls or other monies then payable by him in respect of Shares have been paid.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89" w:name="page290"/>
    <w:bookmarkEnd w:id="289"/>
    <w:p>
      <w:pPr>
        <w:ind w:left="540" w:right="100" w:hanging="539"/>
        <w:spacing w:after="0" w:line="263"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23.5</w:t>
        <w:tab/>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89"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23.6</w:t>
        <w:tab/>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92" w:lineRule="exact"/>
        <w:rPr>
          <w:sz w:val="20"/>
          <w:szCs w:val="20"/>
          <w:color w:val="auto"/>
        </w:rPr>
      </w:pPr>
    </w:p>
    <w:p>
      <w:pPr>
        <w:ind w:left="540" w:right="200" w:hanging="539"/>
        <w:spacing w:after="0" w:line="257" w:lineRule="auto"/>
        <w:tabs>
          <w:tab w:leader="none" w:pos="520" w:val="left"/>
        </w:tabs>
        <w:rPr>
          <w:sz w:val="20"/>
          <w:szCs w:val="20"/>
          <w:color w:val="auto"/>
        </w:rPr>
      </w:pPr>
      <w:r>
        <w:rPr>
          <w:rFonts w:ascii="Arial" w:cs="Arial" w:eastAsia="Arial" w:hAnsi="Arial"/>
          <w:sz w:val="18"/>
          <w:szCs w:val="18"/>
          <w:color w:val="auto"/>
        </w:rPr>
        <w:t>23.7</w:t>
        <w:tab/>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Proxies</w:t>
      </w:r>
    </w:p>
    <w:p>
      <w:pPr>
        <w:spacing w:after="0" w:line="135" w:lineRule="exact"/>
        <w:rPr>
          <w:sz w:val="20"/>
          <w:szCs w:val="20"/>
          <w:color w:val="auto"/>
        </w:rPr>
      </w:pPr>
    </w:p>
    <w:p>
      <w:pPr>
        <w:jc w:val="both"/>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24.1</w:t>
        <w:tab/>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89" w:lineRule="exact"/>
        <w:rPr>
          <w:sz w:val="20"/>
          <w:szCs w:val="20"/>
          <w:color w:val="auto"/>
        </w:rPr>
      </w:pPr>
    </w:p>
    <w:p>
      <w:pPr>
        <w:jc w:val="both"/>
        <w:ind w:left="540" w:hanging="539"/>
        <w:spacing w:after="0" w:line="287" w:lineRule="auto"/>
        <w:tabs>
          <w:tab w:leader="none" w:pos="52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w:t>
      </w:r>
    </w:p>
    <w:p>
      <w:pPr>
        <w:spacing w:after="0" w:line="2" w:lineRule="exact"/>
        <w:rPr>
          <w:sz w:val="20"/>
          <w:szCs w:val="20"/>
          <w:color w:val="auto"/>
        </w:rPr>
      </w:pPr>
    </w:p>
    <w:p>
      <w:pPr>
        <w:jc w:val="both"/>
        <w:ind w:left="540" w:right="140"/>
        <w:spacing w:after="0" w:line="302" w:lineRule="auto"/>
        <w:rPr>
          <w:sz w:val="20"/>
          <w:szCs w:val="20"/>
          <w:color w:val="auto"/>
        </w:rPr>
      </w:pPr>
      <w:r>
        <w:rPr>
          <w:rFonts w:ascii="Arial" w:cs="Arial" w:eastAsia="Arial" w:hAnsi="Arial"/>
          <w:sz w:val="16"/>
          <w:szCs w:val="16"/>
          <w:color w:val="auto"/>
        </w:rPr>
        <w:t>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61" w:lineRule="exact"/>
        <w:rPr>
          <w:sz w:val="20"/>
          <w:szCs w:val="20"/>
          <w:color w:val="auto"/>
        </w:rPr>
      </w:pPr>
    </w:p>
    <w:p>
      <w:pPr>
        <w:ind w:left="540" w:right="40" w:hanging="539"/>
        <w:spacing w:after="0" w:line="263" w:lineRule="auto"/>
        <w:tabs>
          <w:tab w:leader="none" w:pos="520" w:val="left"/>
        </w:tabs>
        <w:rPr>
          <w:sz w:val="20"/>
          <w:szCs w:val="20"/>
          <w:color w:val="auto"/>
        </w:rPr>
      </w:pPr>
      <w:r>
        <w:rPr>
          <w:rFonts w:ascii="Arial" w:cs="Arial" w:eastAsia="Arial" w:hAnsi="Arial"/>
          <w:sz w:val="18"/>
          <w:szCs w:val="18"/>
          <w:color w:val="auto"/>
        </w:rPr>
        <w:t>24.3</w:t>
        <w:tab/>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89" w:lineRule="exact"/>
        <w:rPr>
          <w:sz w:val="20"/>
          <w:szCs w:val="20"/>
          <w:color w:val="auto"/>
        </w:rPr>
      </w:pPr>
    </w:p>
    <w:p>
      <w:pPr>
        <w:ind w:left="540" w:right="560" w:hanging="539"/>
        <w:spacing w:after="0" w:line="263" w:lineRule="auto"/>
        <w:tabs>
          <w:tab w:leader="none" w:pos="520" w:val="left"/>
        </w:tabs>
        <w:rPr>
          <w:sz w:val="20"/>
          <w:szCs w:val="20"/>
          <w:color w:val="auto"/>
        </w:rPr>
      </w:pPr>
      <w:r>
        <w:rPr>
          <w:rFonts w:ascii="Arial" w:cs="Arial" w:eastAsia="Arial" w:hAnsi="Arial"/>
          <w:sz w:val="18"/>
          <w:szCs w:val="18"/>
          <w:color w:val="auto"/>
        </w:rPr>
        <w:t>24.4</w:t>
        <w:tab/>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90" w:name="page291"/>
    <w:bookmarkEnd w:id="290"/>
    <w:p>
      <w:pPr>
        <w:ind w:left="544" w:right="100" w:hanging="539"/>
        <w:spacing w:after="0" w:line="279"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24.5</w:t>
      </w:r>
      <w:r>
        <w:rPr>
          <w:sz w:val="20"/>
          <w:szCs w:val="20"/>
          <w:color w:val="auto"/>
        </w:rPr>
        <w:tab/>
      </w:r>
      <w:r>
        <w:rPr>
          <w:rFonts w:ascii="Arial" w:cs="Arial" w:eastAsia="Arial" w:hAnsi="Arial"/>
          <w:sz w:val="17"/>
          <w:szCs w:val="17"/>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31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Corporate Members</w:t>
      </w:r>
    </w:p>
    <w:p>
      <w:pPr>
        <w:spacing w:after="0" w:line="135" w:lineRule="exact"/>
        <w:rPr>
          <w:sz w:val="20"/>
          <w:szCs w:val="20"/>
          <w:color w:val="auto"/>
        </w:rPr>
      </w:pPr>
    </w:p>
    <w:p>
      <w:pPr>
        <w:ind w:left="544" w:right="60" w:hanging="539"/>
        <w:spacing w:after="0" w:line="279" w:lineRule="auto"/>
        <w:tabs>
          <w:tab w:leader="none" w:pos="524"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7"/>
          <w:szCs w:val="17"/>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77" w:lineRule="exact"/>
        <w:rPr>
          <w:sz w:val="20"/>
          <w:szCs w:val="20"/>
          <w:color w:val="auto"/>
        </w:rPr>
      </w:pPr>
    </w:p>
    <w:p>
      <w:pPr>
        <w:ind w:left="544" w:hanging="539"/>
        <w:spacing w:after="0" w:line="296" w:lineRule="auto"/>
        <w:tabs>
          <w:tab w:leader="none" w:pos="524"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306" w:lineRule="exact"/>
        <w:rPr>
          <w:sz w:val="20"/>
          <w:szCs w:val="20"/>
          <w:color w:val="auto"/>
        </w:rPr>
      </w:pPr>
    </w:p>
    <w:p>
      <w:pPr>
        <w:ind w:left="544" w:hanging="544"/>
        <w:spacing w:after="0"/>
        <w:tabs>
          <w:tab w:leader="none" w:pos="544"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Shares that May Not be Voted</w:t>
      </w:r>
    </w:p>
    <w:p>
      <w:pPr>
        <w:spacing w:after="0" w:line="121" w:lineRule="exact"/>
        <w:rPr>
          <w:rFonts w:ascii="Arial" w:cs="Arial" w:eastAsia="Arial" w:hAnsi="Arial"/>
          <w:sz w:val="18"/>
          <w:szCs w:val="18"/>
          <w:b w:val="1"/>
          <w:bCs w:val="1"/>
          <w:color w:val="auto"/>
        </w:rPr>
      </w:pPr>
    </w:p>
    <w:p>
      <w:pPr>
        <w:ind w:left="544"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135" w:lineRule="exact"/>
        <w:rPr>
          <w:sz w:val="20"/>
          <w:szCs w:val="20"/>
          <w:color w:val="auto"/>
        </w:rPr>
      </w:pPr>
    </w:p>
    <w:p>
      <w:pPr>
        <w:ind w:left="544" w:right="440" w:hanging="539"/>
        <w:spacing w:after="0" w:line="277" w:lineRule="auto"/>
        <w:tabs>
          <w:tab w:leader="none" w:pos="524" w:val="left"/>
        </w:tabs>
        <w:rPr>
          <w:sz w:val="20"/>
          <w:szCs w:val="20"/>
          <w:color w:val="auto"/>
        </w:rPr>
      </w:pPr>
      <w:r>
        <w:rPr>
          <w:rFonts w:ascii="Arial" w:cs="Arial" w:eastAsia="Arial" w:hAnsi="Arial"/>
          <w:sz w:val="18"/>
          <w:szCs w:val="18"/>
          <w:color w:val="auto"/>
        </w:rPr>
        <w:t>27.1</w:t>
        <w:tab/>
        <w:t>There shall be a board of Directors consisting of not less than one person provided however that the Company may by Ordinary Resolution increase or reduce the limits in the number of Directors.</w:t>
      </w:r>
    </w:p>
    <w:p>
      <w:pPr>
        <w:spacing w:after="0" w:line="76" w:lineRule="exact"/>
        <w:rPr>
          <w:sz w:val="20"/>
          <w:szCs w:val="20"/>
          <w:color w:val="auto"/>
        </w:rPr>
      </w:pPr>
    </w:p>
    <w:p>
      <w:pPr>
        <w:ind w:left="544" w:right="60" w:hanging="539"/>
        <w:spacing w:after="0" w:line="257" w:lineRule="auto"/>
        <w:tabs>
          <w:tab w:leader="none" w:pos="524" w:val="left"/>
        </w:tabs>
        <w:rPr>
          <w:sz w:val="20"/>
          <w:szCs w:val="20"/>
          <w:color w:val="auto"/>
        </w:rPr>
      </w:pPr>
      <w:r>
        <w:rPr>
          <w:rFonts w:ascii="Arial" w:cs="Arial" w:eastAsia="Arial" w:hAnsi="Arial"/>
          <w:sz w:val="18"/>
          <w:szCs w:val="18"/>
          <w:color w:val="auto"/>
        </w:rPr>
        <w:t>27.2</w:t>
        <w:tab/>
        <w:t>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appointed for a term expiring at the Company’s first annual general meeting, the Class II Directors shall stand appointed for a term expiring at the Company’s second annual general meeting and the Class III Directors shall stand appointed for a term</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91" w:name="page292"/>
    <w:bookmarkEnd w:id="291"/>
    <w:p>
      <w:pPr>
        <w:ind w:left="5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expiring at the Company’s third annual general meeting. Commencing at the Company’s first annual general meeting, and at each annual general meeting thereafter, Directors appointed to succeed those Directors whose terms expire shall be appointed for a term of office to expire at the third succeeding annual general meeting after their appointment. Except as the Statute or other Applicable Law may otherwise require, in the interim between annual general meetings or extraordinary general meetings called for the appointment of Directors and/or the removal of one or more Directors and the filling of any vacancy in that connection, additional Directors and any vacancies in the board of Directors, including unfilled vacancies resulting from the removal of Directors for cause, may be filled by the vote of a majority of the remaining Directors then in office, although less than a quorum (as defined in the Articles), or by the sole remaining Director. All Directors shall hold office until the expiration of their respective terms of office and until their successors shall have been appointed and qualified. A Director appointed to fill a vacancy resulting from the death, resignation or removal of a Director shall serve for the remainder of the full term of the Director whose death, resignation or removal shall have created such vacancy and until his successor shall have been appointed and qualified.</w:t>
      </w:r>
    </w:p>
    <w:p>
      <w:pPr>
        <w:spacing w:after="0" w:line="31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Powers of Directors</w:t>
      </w:r>
    </w:p>
    <w:p>
      <w:pPr>
        <w:spacing w:after="0" w:line="135" w:lineRule="exact"/>
        <w:rPr>
          <w:sz w:val="20"/>
          <w:szCs w:val="20"/>
          <w:color w:val="auto"/>
        </w:rPr>
      </w:pPr>
    </w:p>
    <w:p>
      <w:pPr>
        <w:jc w:val="both"/>
        <w:ind w:left="540" w:hanging="539"/>
        <w:spacing w:after="0" w:line="301" w:lineRule="auto"/>
        <w:tabs>
          <w:tab w:leader="none" w:pos="52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63" w:lineRule="exact"/>
        <w:rPr>
          <w:sz w:val="20"/>
          <w:szCs w:val="20"/>
          <w:color w:val="auto"/>
        </w:rPr>
      </w:pPr>
    </w:p>
    <w:p>
      <w:pPr>
        <w:jc w:val="both"/>
        <w:ind w:left="540" w:right="180" w:hanging="539"/>
        <w:spacing w:after="0" w:line="263" w:lineRule="auto"/>
        <w:tabs>
          <w:tab w:leader="none" w:pos="520" w:val="left"/>
        </w:tabs>
        <w:rPr>
          <w:sz w:val="20"/>
          <w:szCs w:val="20"/>
          <w:color w:val="auto"/>
        </w:rPr>
      </w:pPr>
      <w:r>
        <w:rPr>
          <w:rFonts w:ascii="Arial" w:cs="Arial" w:eastAsia="Arial" w:hAnsi="Arial"/>
          <w:sz w:val="18"/>
          <w:szCs w:val="18"/>
          <w:color w:val="auto"/>
        </w:rPr>
        <w:t>28.2</w:t>
        <w:tab/>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89"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28.3</w:t>
        <w:tab/>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89" w:lineRule="exact"/>
        <w:rPr>
          <w:sz w:val="20"/>
          <w:szCs w:val="20"/>
          <w:color w:val="auto"/>
        </w:rPr>
      </w:pPr>
    </w:p>
    <w:p>
      <w:pPr>
        <w:ind w:left="540" w:right="60" w:hanging="539"/>
        <w:spacing w:after="0" w:line="286" w:lineRule="auto"/>
        <w:tabs>
          <w:tab w:leader="none" w:pos="52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7"/>
          <w:szCs w:val="17"/>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31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Appointment and Removal of Directors</w:t>
      </w:r>
    </w:p>
    <w:p>
      <w:pPr>
        <w:spacing w:after="0" w:line="135" w:lineRule="exact"/>
        <w:rPr>
          <w:sz w:val="20"/>
          <w:szCs w:val="20"/>
          <w:color w:val="auto"/>
        </w:rPr>
      </w:pPr>
    </w:p>
    <w:p>
      <w:pPr>
        <w:ind w:left="540" w:right="300" w:hanging="539"/>
        <w:spacing w:after="0" w:line="259" w:lineRule="auto"/>
        <w:tabs>
          <w:tab w:leader="none" w:pos="520" w:val="left"/>
        </w:tabs>
        <w:rPr>
          <w:sz w:val="20"/>
          <w:szCs w:val="20"/>
          <w:color w:val="auto"/>
        </w:rPr>
      </w:pPr>
      <w:r>
        <w:rPr>
          <w:rFonts w:ascii="Arial" w:cs="Arial" w:eastAsia="Arial" w:hAnsi="Arial"/>
          <w:sz w:val="18"/>
          <w:szCs w:val="18"/>
          <w:color w:val="auto"/>
        </w:rPr>
        <w:t>29.1</w:t>
        <w:tab/>
        <w:t>Prior to the closing of a Business Combination, the Company may by Ordinary Resolution of the holders of the Class B Shares appoint any person to be a Director or may by Ordinary Resolution of the holders of the Class B Shares remove any Director. For the avoidance of doubt, prior to the closing of a Business Combination, holders of Class A Shares shall have no right to vote on the appointment or removal of any Director.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92" w:name="page293"/>
    <w:bookmarkEnd w:id="292"/>
    <w:p>
      <w:pPr>
        <w:ind w:left="544" w:right="220" w:hanging="539"/>
        <w:spacing w:after="0" w:line="342"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29.2</w:t>
      </w:r>
      <w:r>
        <w:rPr>
          <w:sz w:val="20"/>
          <w:szCs w:val="20"/>
          <w:color w:val="auto"/>
        </w:rPr>
        <w:tab/>
      </w:r>
      <w:r>
        <w:rPr>
          <w:rFonts w:ascii="Arial" w:cs="Arial" w:eastAsia="Arial" w:hAnsi="Arial"/>
          <w:sz w:val="16"/>
          <w:szCs w:val="16"/>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29"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29.3</w:t>
        <w:tab/>
        <w:t>After the closing of a Business Combination, the Company may by Ordinary Resolution appoint any person to be a Director or may by Ordinary Resolution remove any Director.</w:t>
      </w:r>
    </w:p>
    <w:p>
      <w:pPr>
        <w:spacing w:after="0" w:line="76"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29.4</w:t>
        <w:tab/>
        <w:t>Prior to the closing of a Business Combination, Article 29.1 may only be amended by a Special Resolution passed by at least two-thirds of such Members (which shall include a simple majority of the holders of Class B Shares) as, being entitled to do so, vote in person or, where proxies are allowed, by proxy at a general meeting of which notice specifying the intention to propose the resolution as a special resolution has been given, or by way of unanimous written resolution.</w:t>
      </w:r>
    </w:p>
    <w:p>
      <w:pPr>
        <w:spacing w:after="0" w:line="331" w:lineRule="exact"/>
        <w:rPr>
          <w:sz w:val="20"/>
          <w:szCs w:val="20"/>
          <w:color w:val="auto"/>
        </w:rPr>
      </w:pPr>
    </w:p>
    <w:p>
      <w:pPr>
        <w:ind w:left="544" w:hanging="544"/>
        <w:spacing w:after="0"/>
        <w:tabs>
          <w:tab w:leader="none" w:pos="544"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of Office of Director</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 office of a Director shall be vacated if:</w:t>
      </w:r>
    </w:p>
    <w:p>
      <w:pPr>
        <w:spacing w:after="0" w:line="130" w:lineRule="exact"/>
        <w:rPr>
          <w:rFonts w:ascii="Arial" w:cs="Arial" w:eastAsia="Arial" w:hAnsi="Arial"/>
          <w:sz w:val="18"/>
          <w:szCs w:val="18"/>
          <w:b w:val="1"/>
          <w:bCs w:val="1"/>
          <w:color w:val="auto"/>
        </w:rPr>
      </w:pPr>
    </w:p>
    <w:p>
      <w:pPr>
        <w:ind w:left="1184" w:hanging="644"/>
        <w:spacing w:after="0"/>
        <w:tabs>
          <w:tab w:leader="none" w:pos="118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Director gives notice in writing to the Company that he resigns the office of Director; or</w:t>
      </w:r>
    </w:p>
    <w:p>
      <w:pPr>
        <w:spacing w:after="0" w:line="130" w:lineRule="exact"/>
        <w:rPr>
          <w:rFonts w:ascii="Arial" w:cs="Arial" w:eastAsia="Arial" w:hAnsi="Arial"/>
          <w:sz w:val="18"/>
          <w:szCs w:val="18"/>
          <w:color w:val="auto"/>
        </w:rPr>
      </w:pPr>
    </w:p>
    <w:p>
      <w:pPr>
        <w:ind w:left="1184" w:right="40" w:hanging="644"/>
        <w:spacing w:after="0" w:line="263" w:lineRule="auto"/>
        <w:tabs>
          <w:tab w:leader="none" w:pos="118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Director dies, becomes bankrupt or makes any arrangement or composition with his creditors generally; 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Director is found to be or becomes of unsound mind; or</w:t>
      </w:r>
    </w:p>
    <w:p>
      <w:pPr>
        <w:spacing w:after="0" w:line="130" w:lineRule="exact"/>
        <w:rPr>
          <w:rFonts w:ascii="Arial" w:cs="Arial" w:eastAsia="Arial" w:hAnsi="Arial"/>
          <w:sz w:val="18"/>
          <w:szCs w:val="18"/>
          <w:color w:val="auto"/>
        </w:rPr>
      </w:pPr>
    </w:p>
    <w:p>
      <w:pPr>
        <w:ind w:left="1184" w:right="140" w:hanging="644"/>
        <w:spacing w:after="0" w:line="263" w:lineRule="auto"/>
        <w:tabs>
          <w:tab w:leader="none" w:pos="118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328" w:lineRule="exact"/>
        <w:rPr>
          <w:rFonts w:ascii="Arial" w:cs="Arial" w:eastAsia="Arial" w:hAnsi="Arial"/>
          <w:sz w:val="18"/>
          <w:szCs w:val="18"/>
          <w:color w:val="auto"/>
        </w:rPr>
      </w:pPr>
    </w:p>
    <w:p>
      <w:pPr>
        <w:ind w:left="544" w:hanging="544"/>
        <w:spacing w:after="0"/>
        <w:tabs>
          <w:tab w:leader="none" w:pos="544"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Directors</w:t>
      </w:r>
    </w:p>
    <w:p>
      <w:pPr>
        <w:spacing w:after="0" w:line="135" w:lineRule="exact"/>
        <w:rPr>
          <w:sz w:val="20"/>
          <w:szCs w:val="20"/>
          <w:color w:val="auto"/>
        </w:rPr>
      </w:pPr>
    </w:p>
    <w:p>
      <w:pPr>
        <w:ind w:left="544" w:right="420" w:hanging="539"/>
        <w:spacing w:after="0" w:line="277" w:lineRule="auto"/>
        <w:tabs>
          <w:tab w:leader="none" w:pos="524" w:val="left"/>
        </w:tabs>
        <w:rPr>
          <w:sz w:val="20"/>
          <w:szCs w:val="20"/>
          <w:color w:val="auto"/>
        </w:rPr>
      </w:pPr>
      <w:r>
        <w:rPr>
          <w:rFonts w:ascii="Arial" w:cs="Arial" w:eastAsia="Arial" w:hAnsi="Arial"/>
          <w:sz w:val="18"/>
          <w:szCs w:val="18"/>
          <w:color w:val="auto"/>
        </w:rPr>
        <w:t>31.1</w:t>
        <w:tab/>
        <w:t>The quorum for the transaction of the business of the Directors may be fixed by the Directors, and unless so fixed shall be a majority of the Directors then in office.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293" w:name="page294"/>
    <w:bookmarkEnd w:id="293"/>
    <w:p>
      <w:pPr>
        <w:ind w:left="540" w:right="100" w:hanging="539"/>
        <w:spacing w:after="0" w:line="308"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31.2</w:t>
      </w:r>
      <w:r>
        <w:rPr>
          <w:sz w:val="20"/>
          <w:szCs w:val="20"/>
          <w:color w:val="auto"/>
        </w:rPr>
        <w:tab/>
      </w:r>
      <w:r>
        <w:rPr>
          <w:rFonts w:ascii="Arial" w:cs="Arial" w:eastAsia="Arial" w:hAnsi="Arial"/>
          <w:sz w:val="17"/>
          <w:szCs w:val="17"/>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52" w:lineRule="exact"/>
        <w:rPr>
          <w:sz w:val="20"/>
          <w:szCs w:val="20"/>
          <w:color w:val="auto"/>
        </w:rPr>
      </w:pPr>
    </w:p>
    <w:p>
      <w:pPr>
        <w:ind w:left="540" w:right="140" w:hanging="539"/>
        <w:spacing w:after="0" w:line="279" w:lineRule="auto"/>
        <w:tabs>
          <w:tab w:leader="none" w:pos="5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77"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31.4</w:t>
        <w:tab/>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92" w:lineRule="exact"/>
        <w:rPr>
          <w:sz w:val="20"/>
          <w:szCs w:val="20"/>
          <w:color w:val="auto"/>
        </w:rPr>
      </w:pPr>
    </w:p>
    <w:p>
      <w:pPr>
        <w:ind w:left="540" w:right="140" w:hanging="539"/>
        <w:spacing w:after="0" w:line="259" w:lineRule="auto"/>
        <w:tabs>
          <w:tab w:leader="none" w:pos="520" w:val="left"/>
        </w:tabs>
        <w:rPr>
          <w:sz w:val="20"/>
          <w:szCs w:val="20"/>
          <w:color w:val="auto"/>
        </w:rPr>
      </w:pPr>
      <w:r>
        <w:rPr>
          <w:rFonts w:ascii="Arial" w:cs="Arial" w:eastAsia="Arial" w:hAnsi="Arial"/>
          <w:sz w:val="18"/>
          <w:szCs w:val="18"/>
          <w:color w:val="auto"/>
        </w:rPr>
        <w:t>31.5</w:t>
        <w:tab/>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Arial" w:cs="Arial" w:eastAsia="Arial" w:hAnsi="Arial"/>
          <w:sz w:val="18"/>
          <w:szCs w:val="18"/>
          <w:i w:val="1"/>
          <w:iCs w:val="1"/>
          <w:color w:val="auto"/>
        </w:rPr>
        <w:t>mutatis mutandis.</w:t>
      </w:r>
    </w:p>
    <w:p>
      <w:pPr>
        <w:spacing w:after="0" w:line="92"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Arial" w:cs="Arial" w:eastAsia="Arial" w:hAnsi="Arial"/>
          <w:sz w:val="18"/>
          <w:szCs w:val="18"/>
          <w:color w:val="auto"/>
        </w:rPr>
        <w:t>31.6</w:t>
        <w:tab/>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92"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31.7</w:t>
        <w:tab/>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89" w:lineRule="exact"/>
        <w:rPr>
          <w:sz w:val="20"/>
          <w:szCs w:val="20"/>
          <w:color w:val="auto"/>
        </w:rPr>
      </w:pPr>
    </w:p>
    <w:p>
      <w:pPr>
        <w:ind w:left="540" w:right="80" w:hanging="539"/>
        <w:spacing w:after="0" w:line="259" w:lineRule="auto"/>
        <w:tabs>
          <w:tab w:leader="none" w:pos="520" w:val="left"/>
        </w:tabs>
        <w:rPr>
          <w:sz w:val="20"/>
          <w:szCs w:val="20"/>
          <w:color w:val="auto"/>
        </w:rPr>
      </w:pPr>
      <w:r>
        <w:rPr>
          <w:rFonts w:ascii="Arial" w:cs="Arial" w:eastAsia="Arial" w:hAnsi="Arial"/>
          <w:sz w:val="18"/>
          <w:szCs w:val="18"/>
          <w:color w:val="auto"/>
        </w:rPr>
        <w:t>31.8</w:t>
        <w:tab/>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94" w:name="page295"/>
    <w:bookmarkEnd w:id="294"/>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31.9</w:t>
        <w:tab/>
        <w:t>A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315" w:lineRule="exact"/>
        <w:rPr>
          <w:sz w:val="20"/>
          <w:szCs w:val="20"/>
          <w:color w:val="auto"/>
        </w:rPr>
      </w:pPr>
    </w:p>
    <w:p>
      <w:pPr>
        <w:ind w:left="544" w:hanging="544"/>
        <w:spacing w:after="0"/>
        <w:tabs>
          <w:tab w:leader="none" w:pos="544"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 of Assent</w:t>
      </w:r>
    </w:p>
    <w:p>
      <w:pPr>
        <w:spacing w:after="0" w:line="121" w:lineRule="exact"/>
        <w:rPr>
          <w:rFonts w:ascii="Arial" w:cs="Arial" w:eastAsia="Arial" w:hAnsi="Arial"/>
          <w:sz w:val="18"/>
          <w:szCs w:val="18"/>
          <w:b w:val="1"/>
          <w:bCs w:val="1"/>
          <w:color w:val="auto"/>
        </w:rPr>
      </w:pPr>
    </w:p>
    <w:p>
      <w:pPr>
        <w:ind w:left="544"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32" w:lineRule="exact"/>
        <w:rPr>
          <w:rFonts w:ascii="Arial" w:cs="Arial" w:eastAsia="Arial" w:hAnsi="Arial"/>
          <w:sz w:val="18"/>
          <w:szCs w:val="18"/>
          <w:b w:val="1"/>
          <w:bCs w:val="1"/>
          <w:color w:val="auto"/>
        </w:rPr>
      </w:pPr>
    </w:p>
    <w:p>
      <w:pPr>
        <w:ind w:left="544" w:hanging="544"/>
        <w:spacing w:after="0"/>
        <w:tabs>
          <w:tab w:leader="none" w:pos="544"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135" w:lineRule="exact"/>
        <w:rPr>
          <w:sz w:val="20"/>
          <w:szCs w:val="20"/>
          <w:color w:val="auto"/>
        </w:rPr>
      </w:pPr>
    </w:p>
    <w:p>
      <w:pPr>
        <w:ind w:left="544" w:right="300" w:hanging="539"/>
        <w:spacing w:after="0" w:line="277" w:lineRule="auto"/>
        <w:tabs>
          <w:tab w:leader="none" w:pos="524" w:val="left"/>
        </w:tabs>
        <w:rPr>
          <w:sz w:val="20"/>
          <w:szCs w:val="20"/>
          <w:color w:val="auto"/>
        </w:rPr>
      </w:pPr>
      <w:r>
        <w:rPr>
          <w:rFonts w:ascii="Arial" w:cs="Arial" w:eastAsia="Arial" w:hAnsi="Arial"/>
          <w:sz w:val="18"/>
          <w:szCs w:val="18"/>
          <w:color w:val="auto"/>
        </w:rPr>
        <w:t>33.1</w:t>
        <w:tab/>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76" w:lineRule="exact"/>
        <w:rPr>
          <w:sz w:val="20"/>
          <w:szCs w:val="20"/>
          <w:color w:val="auto"/>
        </w:rPr>
      </w:pPr>
    </w:p>
    <w:p>
      <w:pPr>
        <w:ind w:left="544" w:right="420" w:hanging="539"/>
        <w:spacing w:after="0" w:line="277" w:lineRule="auto"/>
        <w:tabs>
          <w:tab w:leader="none" w:pos="524" w:val="left"/>
        </w:tabs>
        <w:rPr>
          <w:sz w:val="20"/>
          <w:szCs w:val="20"/>
          <w:color w:val="auto"/>
        </w:rPr>
      </w:pPr>
      <w:r>
        <w:rPr>
          <w:rFonts w:ascii="Arial" w:cs="Arial" w:eastAsia="Arial" w:hAnsi="Arial"/>
          <w:sz w:val="18"/>
          <w:szCs w:val="18"/>
          <w:color w:val="auto"/>
        </w:rPr>
        <w:t>33.2</w:t>
        <w:tab/>
        <w:t>A Director may act by himself or by, through or on behalf of his firm in a professional capacity for the Company and he or his firm shall be entitled to remuneration for professional services as if he were not a Director.</w:t>
      </w:r>
    </w:p>
    <w:p>
      <w:pPr>
        <w:spacing w:after="0" w:line="76" w:lineRule="exact"/>
        <w:rPr>
          <w:sz w:val="20"/>
          <w:szCs w:val="20"/>
          <w:color w:val="auto"/>
        </w:rPr>
      </w:pPr>
    </w:p>
    <w:p>
      <w:pPr>
        <w:ind w:left="544" w:right="20" w:hanging="539"/>
        <w:spacing w:after="0" w:line="286" w:lineRule="auto"/>
        <w:tabs>
          <w:tab w:leader="none" w:pos="524"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7"/>
          <w:szCs w:val="17"/>
          <w:color w:val="auto"/>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71" w:lineRule="exact"/>
        <w:rPr>
          <w:sz w:val="20"/>
          <w:szCs w:val="20"/>
          <w:color w:val="auto"/>
        </w:rPr>
      </w:pPr>
    </w:p>
    <w:p>
      <w:pPr>
        <w:ind w:left="544" w:hanging="539"/>
        <w:spacing w:after="0" w:line="254" w:lineRule="auto"/>
        <w:tabs>
          <w:tab w:leader="none" w:pos="524" w:val="left"/>
        </w:tabs>
        <w:rPr>
          <w:sz w:val="20"/>
          <w:szCs w:val="20"/>
          <w:color w:val="auto"/>
        </w:rPr>
      </w:pPr>
      <w:r>
        <w:rPr>
          <w:rFonts w:ascii="Arial" w:cs="Arial" w:eastAsia="Arial" w:hAnsi="Arial"/>
          <w:sz w:val="18"/>
          <w:szCs w:val="18"/>
          <w:color w:val="auto"/>
        </w:rPr>
        <w:t>33.4</w:t>
        <w:tab/>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100" w:lineRule="exact"/>
        <w:rPr>
          <w:sz w:val="20"/>
          <w:szCs w:val="20"/>
          <w:color w:val="auto"/>
        </w:rPr>
      </w:pPr>
    </w:p>
    <w:p>
      <w:pPr>
        <w:ind w:left="544" w:right="280" w:hanging="539"/>
        <w:spacing w:after="0" w:line="259" w:lineRule="auto"/>
        <w:tabs>
          <w:tab w:leader="none" w:pos="524" w:val="left"/>
        </w:tabs>
        <w:rPr>
          <w:sz w:val="20"/>
          <w:szCs w:val="20"/>
          <w:color w:val="auto"/>
        </w:rPr>
      </w:pPr>
      <w:r>
        <w:rPr>
          <w:rFonts w:ascii="Arial" w:cs="Arial" w:eastAsia="Arial" w:hAnsi="Arial"/>
          <w:sz w:val="18"/>
          <w:szCs w:val="18"/>
          <w:color w:val="auto"/>
        </w:rPr>
        <w:t>33.5</w:t>
        <w:tab/>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295" w:name="page296"/>
    <w:bookmarkEnd w:id="295"/>
    <w:p>
      <w:pPr>
        <w:ind w:left="544" w:hanging="544"/>
        <w:spacing w:after="0"/>
        <w:tabs>
          <w:tab w:leader="none" w:pos="544"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Minutes</w:t>
      </w:r>
    </w:p>
    <w:p>
      <w:pPr>
        <w:spacing w:after="0" w:line="121" w:lineRule="exact"/>
        <w:rPr>
          <w:rFonts w:ascii="Arial" w:cs="Arial" w:eastAsia="Arial" w:hAnsi="Arial"/>
          <w:sz w:val="18"/>
          <w:szCs w:val="18"/>
          <w:b w:val="1"/>
          <w:bCs w:val="1"/>
          <w:color w:val="auto"/>
        </w:rPr>
      </w:pPr>
    </w:p>
    <w:p>
      <w:pPr>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328" w:lineRule="exact"/>
        <w:rPr>
          <w:rFonts w:ascii="Arial" w:cs="Arial" w:eastAsia="Arial" w:hAnsi="Arial"/>
          <w:sz w:val="18"/>
          <w:szCs w:val="18"/>
          <w:b w:val="1"/>
          <w:bCs w:val="1"/>
          <w:color w:val="auto"/>
        </w:rPr>
      </w:pPr>
    </w:p>
    <w:p>
      <w:pPr>
        <w:ind w:left="544" w:hanging="544"/>
        <w:spacing w:after="0"/>
        <w:tabs>
          <w:tab w:leader="none" w:pos="544"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of Directors’ Powers</w:t>
      </w:r>
    </w:p>
    <w:p>
      <w:pPr>
        <w:spacing w:after="0" w:line="135" w:lineRule="exact"/>
        <w:rPr>
          <w:sz w:val="20"/>
          <w:szCs w:val="20"/>
          <w:color w:val="auto"/>
        </w:rPr>
      </w:pPr>
    </w:p>
    <w:p>
      <w:pPr>
        <w:ind w:left="544" w:right="60" w:hanging="539"/>
        <w:spacing w:after="0" w:line="296" w:lineRule="auto"/>
        <w:tabs>
          <w:tab w:leader="none" w:pos="524"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6"/>
          <w:szCs w:val="16"/>
          <w:color w:val="auto"/>
        </w:rPr>
        <w:t>The Directors may delegate any of their powers, authorities and discretions, including the power to sub-delegate, to any committee consisting of one or more Directors (including, without limitation, the Audit Committee, the Compensation Committee and the Nominating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67" w:lineRule="exact"/>
        <w:rPr>
          <w:sz w:val="20"/>
          <w:szCs w:val="20"/>
          <w:color w:val="auto"/>
        </w:rPr>
      </w:pPr>
    </w:p>
    <w:p>
      <w:pPr>
        <w:ind w:left="544" w:right="20" w:hanging="539"/>
        <w:spacing w:after="0" w:line="275" w:lineRule="auto"/>
        <w:tabs>
          <w:tab w:leader="none" w:pos="524"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7"/>
          <w:szCs w:val="17"/>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82" w:lineRule="exact"/>
        <w:rPr>
          <w:sz w:val="20"/>
          <w:szCs w:val="20"/>
          <w:color w:val="auto"/>
        </w:rPr>
      </w:pPr>
    </w:p>
    <w:p>
      <w:pPr>
        <w:ind w:left="544" w:right="100" w:hanging="539"/>
        <w:spacing w:after="0" w:line="269" w:lineRule="auto"/>
        <w:tabs>
          <w:tab w:leader="none" w:pos="524"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7"/>
          <w:szCs w:val="17"/>
          <w:color w:val="auto"/>
        </w:rPr>
        <w:t>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Committee shall be made up of such number of Independent Directors as is required from time to time by the rules and regulations of the rules and regulations of the Designated Stock Exchange, the Securities and Exchange Commission and/or any other competent regulatory authority or otherwise under Applicable Law.</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0" w:right="479" w:bottom="1440" w:gutter="0" w:footer="0" w:header="0"/>
        </w:sectPr>
      </w:pPr>
    </w:p>
    <w:bookmarkStart w:id="296" w:name="page297"/>
    <w:bookmarkEnd w:id="296"/>
    <w:p>
      <w:pPr>
        <w:ind w:left="544" w:right="340" w:hanging="539"/>
        <w:spacing w:after="0" w:line="342"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35.4</w:t>
      </w:r>
      <w:r>
        <w:rPr>
          <w:sz w:val="20"/>
          <w:szCs w:val="20"/>
          <w:color w:val="auto"/>
        </w:rPr>
        <w:tab/>
      </w:r>
      <w:r>
        <w:rPr>
          <w:rFonts w:ascii="Arial" w:cs="Arial" w:eastAsia="Arial" w:hAnsi="Arial"/>
          <w:sz w:val="16"/>
          <w:szCs w:val="16"/>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29" w:lineRule="exact"/>
        <w:rPr>
          <w:sz w:val="20"/>
          <w:szCs w:val="20"/>
          <w:color w:val="auto"/>
        </w:rPr>
      </w:pPr>
    </w:p>
    <w:p>
      <w:pPr>
        <w:ind w:left="544" w:right="160" w:hanging="539"/>
        <w:spacing w:after="0" w:line="293" w:lineRule="auto"/>
        <w:tabs>
          <w:tab w:leader="none" w:pos="524"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6"/>
          <w:szCs w:val="16"/>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70"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35.6</w:t>
        <w:tab/>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p>
      <w:pPr>
        <w:spacing w:after="0" w:line="331" w:lineRule="exact"/>
        <w:rPr>
          <w:sz w:val="20"/>
          <w:szCs w:val="20"/>
          <w:color w:val="auto"/>
        </w:rPr>
      </w:pPr>
    </w:p>
    <w:p>
      <w:pPr>
        <w:ind w:left="544" w:hanging="544"/>
        <w:spacing w:after="0"/>
        <w:tabs>
          <w:tab w:leader="none" w:pos="544"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No Minimum Shareholding</w:t>
      </w:r>
    </w:p>
    <w:p>
      <w:pPr>
        <w:spacing w:after="0" w:line="121" w:lineRule="exact"/>
        <w:rPr>
          <w:rFonts w:ascii="Arial" w:cs="Arial" w:eastAsia="Arial" w:hAnsi="Arial"/>
          <w:sz w:val="18"/>
          <w:szCs w:val="18"/>
          <w:b w:val="1"/>
          <w:bCs w:val="1"/>
          <w:color w:val="auto"/>
        </w:rPr>
      </w:pPr>
    </w:p>
    <w:p>
      <w:pPr>
        <w:ind w:left="544"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135" w:lineRule="exact"/>
        <w:rPr>
          <w:sz w:val="20"/>
          <w:szCs w:val="20"/>
          <w:color w:val="auto"/>
        </w:rPr>
      </w:pPr>
    </w:p>
    <w:p>
      <w:pPr>
        <w:ind w:left="544" w:right="100" w:hanging="539"/>
        <w:spacing w:after="0" w:line="272" w:lineRule="auto"/>
        <w:tabs>
          <w:tab w:leader="none" w:pos="524"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7"/>
          <w:szCs w:val="17"/>
          <w:color w:val="auto"/>
        </w:rPr>
        <w:t>The remuneration to be paid to the Directors, if any, shall be such remuneration as the Directors shall determine, provided that no cash remuneration shall be paid to any Director by the Company prior to the consummation of a Business Combination. The Directors shall also, whether prior to or after the consummation of a Business Combination,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83" w:lineRule="exact"/>
        <w:rPr>
          <w:sz w:val="20"/>
          <w:szCs w:val="20"/>
          <w:color w:val="auto"/>
        </w:rPr>
      </w:pPr>
    </w:p>
    <w:p>
      <w:pPr>
        <w:ind w:left="544" w:right="480" w:hanging="539"/>
        <w:spacing w:after="0" w:line="286" w:lineRule="auto"/>
        <w:tabs>
          <w:tab w:leader="none" w:pos="524"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7"/>
          <w:szCs w:val="17"/>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297" w:name="page298"/>
    <w:bookmarkEnd w:id="297"/>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38</w:t>
      </w:r>
      <w:r>
        <w:rPr>
          <w:sz w:val="20"/>
          <w:szCs w:val="20"/>
          <w:color w:val="auto"/>
        </w:rPr>
        <w:tab/>
      </w:r>
      <w:r>
        <w:rPr>
          <w:rFonts w:ascii="Arial" w:cs="Arial" w:eastAsia="Arial" w:hAnsi="Arial"/>
          <w:sz w:val="18"/>
          <w:szCs w:val="18"/>
          <w:b w:val="1"/>
          <w:bCs w:val="1"/>
          <w:color w:val="auto"/>
        </w:rPr>
        <w:t>Seal</w:t>
      </w:r>
    </w:p>
    <w:p>
      <w:pPr>
        <w:spacing w:after="0" w:line="135" w:lineRule="exact"/>
        <w:rPr>
          <w:sz w:val="20"/>
          <w:szCs w:val="20"/>
          <w:color w:val="auto"/>
        </w:rPr>
      </w:pPr>
    </w:p>
    <w:p>
      <w:pPr>
        <w:jc w:val="both"/>
        <w:ind w:left="540" w:hanging="539"/>
        <w:spacing w:after="0" w:line="263" w:lineRule="auto"/>
        <w:tabs>
          <w:tab w:leader="none" w:pos="520" w:val="left"/>
        </w:tabs>
        <w:rPr>
          <w:sz w:val="20"/>
          <w:szCs w:val="20"/>
          <w:color w:val="auto"/>
        </w:rPr>
      </w:pPr>
      <w:r>
        <w:rPr>
          <w:rFonts w:ascii="Arial" w:cs="Arial" w:eastAsia="Arial" w:hAnsi="Arial"/>
          <w:sz w:val="18"/>
          <w:szCs w:val="18"/>
          <w:color w:val="auto"/>
        </w:rPr>
        <w:t>38.1</w:t>
        <w:tab/>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89" w:lineRule="exact"/>
        <w:rPr>
          <w:sz w:val="20"/>
          <w:szCs w:val="20"/>
          <w:color w:val="auto"/>
        </w:rPr>
      </w:pPr>
    </w:p>
    <w:p>
      <w:pPr>
        <w:ind w:left="540" w:right="20" w:hanging="539"/>
        <w:spacing w:after="0" w:line="263" w:lineRule="auto"/>
        <w:tabs>
          <w:tab w:leader="none" w:pos="520" w:val="left"/>
        </w:tabs>
        <w:rPr>
          <w:sz w:val="20"/>
          <w:szCs w:val="20"/>
          <w:color w:val="auto"/>
        </w:rPr>
      </w:pPr>
      <w:r>
        <w:rPr>
          <w:rFonts w:ascii="Arial" w:cs="Arial" w:eastAsia="Arial" w:hAnsi="Arial"/>
          <w:sz w:val="18"/>
          <w:szCs w:val="18"/>
          <w:color w:val="auto"/>
        </w:rPr>
        <w:t>38.2</w:t>
        <w:tab/>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89" w:lineRule="exact"/>
        <w:rPr>
          <w:sz w:val="20"/>
          <w:szCs w:val="20"/>
          <w:color w:val="auto"/>
        </w:rPr>
      </w:pPr>
    </w:p>
    <w:p>
      <w:pPr>
        <w:ind w:left="540" w:right="120" w:hanging="539"/>
        <w:spacing w:after="0" w:line="263" w:lineRule="auto"/>
        <w:tabs>
          <w:tab w:leader="none" w:pos="520" w:val="left"/>
        </w:tabs>
        <w:rPr>
          <w:sz w:val="20"/>
          <w:szCs w:val="20"/>
          <w:color w:val="auto"/>
        </w:rPr>
      </w:pPr>
      <w:r>
        <w:rPr>
          <w:rFonts w:ascii="Arial" w:cs="Arial" w:eastAsia="Arial" w:hAnsi="Arial"/>
          <w:sz w:val="18"/>
          <w:szCs w:val="18"/>
          <w:color w:val="auto"/>
        </w:rPr>
        <w:t>38.3</w:t>
        <w:tab/>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Dividends, Distributions and Reserve</w:t>
      </w:r>
    </w:p>
    <w:p>
      <w:pPr>
        <w:spacing w:after="0" w:line="135" w:lineRule="exact"/>
        <w:rPr>
          <w:sz w:val="20"/>
          <w:szCs w:val="20"/>
          <w:color w:val="auto"/>
        </w:rPr>
      </w:pPr>
    </w:p>
    <w:p>
      <w:pPr>
        <w:ind w:left="540" w:hanging="539"/>
        <w:spacing w:after="0" w:line="296" w:lineRule="auto"/>
        <w:tabs>
          <w:tab w:leader="none" w:pos="52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6"/>
          <w:szCs w:val="16"/>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67" w:lineRule="exact"/>
        <w:rPr>
          <w:sz w:val="20"/>
          <w:szCs w:val="20"/>
          <w:color w:val="auto"/>
        </w:rPr>
      </w:pPr>
    </w:p>
    <w:p>
      <w:pPr>
        <w:jc w:val="both"/>
        <w:ind w:left="540" w:right="140" w:hanging="539"/>
        <w:spacing w:after="0" w:line="263" w:lineRule="auto"/>
        <w:tabs>
          <w:tab w:leader="none" w:pos="520" w:val="left"/>
        </w:tabs>
        <w:rPr>
          <w:sz w:val="20"/>
          <w:szCs w:val="20"/>
          <w:color w:val="auto"/>
        </w:rPr>
      </w:pPr>
      <w:r>
        <w:rPr>
          <w:rFonts w:ascii="Arial" w:cs="Arial" w:eastAsia="Arial" w:hAnsi="Arial"/>
          <w:sz w:val="18"/>
          <w:szCs w:val="18"/>
          <w:color w:val="auto"/>
        </w:rPr>
        <w:t>39.2</w:t>
        <w:tab/>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89" w:lineRule="exact"/>
        <w:rPr>
          <w:sz w:val="20"/>
          <w:szCs w:val="20"/>
          <w:color w:val="auto"/>
        </w:rPr>
      </w:pPr>
    </w:p>
    <w:p>
      <w:pPr>
        <w:ind w:left="540" w:right="20" w:hanging="539"/>
        <w:spacing w:after="0" w:line="277" w:lineRule="auto"/>
        <w:tabs>
          <w:tab w:leader="none" w:pos="520" w:val="left"/>
        </w:tabs>
        <w:rPr>
          <w:sz w:val="20"/>
          <w:szCs w:val="20"/>
          <w:color w:val="auto"/>
        </w:rPr>
      </w:pPr>
      <w:r>
        <w:rPr>
          <w:rFonts w:ascii="Arial" w:cs="Arial" w:eastAsia="Arial" w:hAnsi="Arial"/>
          <w:sz w:val="18"/>
          <w:szCs w:val="18"/>
          <w:color w:val="auto"/>
        </w:rPr>
        <w:t>39.3</w:t>
        <w:tab/>
        <w:t>The Directors may deduct from any Dividend or other distribution payable to any Member all sums of money (if any) then payable by him to the Company on account of calls or otherwise.</w:t>
      </w:r>
    </w:p>
    <w:p>
      <w:pPr>
        <w:spacing w:after="0" w:line="76" w:lineRule="exact"/>
        <w:rPr>
          <w:sz w:val="20"/>
          <w:szCs w:val="20"/>
          <w:color w:val="auto"/>
        </w:rPr>
      </w:pPr>
    </w:p>
    <w:p>
      <w:pPr>
        <w:ind w:left="540" w:right="40" w:hanging="539"/>
        <w:spacing w:after="0" w:line="273" w:lineRule="auto"/>
        <w:tabs>
          <w:tab w:leader="none" w:pos="520" w:val="left"/>
        </w:tabs>
        <w:rPr>
          <w:sz w:val="20"/>
          <w:szCs w:val="20"/>
          <w:color w:val="auto"/>
        </w:rPr>
      </w:pPr>
      <w:r>
        <w:rPr>
          <w:rFonts w:ascii="Arial" w:cs="Arial" w:eastAsia="Arial" w:hAnsi="Arial"/>
          <w:sz w:val="18"/>
          <w:szCs w:val="18"/>
          <w:color w:val="auto"/>
        </w:rPr>
        <w:t>39.4</w:t>
      </w:r>
      <w:r>
        <w:rPr>
          <w:sz w:val="20"/>
          <w:szCs w:val="20"/>
          <w:color w:val="auto"/>
        </w:rPr>
        <w:tab/>
      </w:r>
      <w:r>
        <w:rPr>
          <w:rFonts w:ascii="Arial" w:cs="Arial" w:eastAsia="Arial" w:hAnsi="Arial"/>
          <w:sz w:val="17"/>
          <w:szCs w:val="17"/>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0" w:right="479" w:bottom="1440" w:gutter="0" w:footer="0" w:header="0"/>
        </w:sectPr>
      </w:pPr>
    </w:p>
    <w:bookmarkStart w:id="298" w:name="page299"/>
    <w:bookmarkEnd w:id="298"/>
    <w:p>
      <w:pPr>
        <w:ind w:left="544" w:right="60" w:hanging="539"/>
        <w:spacing w:after="0" w:line="342"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39.5</w:t>
      </w:r>
      <w:r>
        <w:rPr>
          <w:sz w:val="20"/>
          <w:szCs w:val="20"/>
          <w:color w:val="auto"/>
        </w:rPr>
        <w:tab/>
      </w:r>
      <w:r>
        <w:rPr>
          <w:rFonts w:ascii="Arial" w:cs="Arial" w:eastAsia="Arial" w:hAnsi="Arial"/>
          <w:sz w:val="16"/>
          <w:szCs w:val="16"/>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29"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39.6</w:t>
        <w:tab/>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89"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39.7</w:t>
        <w:tab/>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9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39.8</w:t>
      </w:r>
      <w:r>
        <w:rPr>
          <w:sz w:val="20"/>
          <w:szCs w:val="20"/>
          <w:color w:val="auto"/>
        </w:rPr>
        <w:tab/>
      </w:r>
      <w:r>
        <w:rPr>
          <w:rFonts w:ascii="Arial" w:cs="Arial" w:eastAsia="Arial" w:hAnsi="Arial"/>
          <w:sz w:val="16"/>
          <w:szCs w:val="16"/>
          <w:color w:val="auto"/>
        </w:rPr>
        <w:t>No Dividend or other distribution shall bear interest against the Company.</w:t>
      </w:r>
    </w:p>
    <w:p>
      <w:pPr>
        <w:spacing w:after="0" w:line="131" w:lineRule="exact"/>
        <w:rPr>
          <w:sz w:val="20"/>
          <w:szCs w:val="20"/>
          <w:color w:val="auto"/>
        </w:rPr>
      </w:pPr>
    </w:p>
    <w:p>
      <w:pPr>
        <w:ind w:left="544" w:right="80" w:hanging="539"/>
        <w:spacing w:after="0" w:line="275" w:lineRule="auto"/>
        <w:tabs>
          <w:tab w:leader="none" w:pos="524" w:val="left"/>
        </w:tabs>
        <w:rPr>
          <w:sz w:val="20"/>
          <w:szCs w:val="20"/>
          <w:color w:val="auto"/>
        </w:rPr>
      </w:pPr>
      <w:r>
        <w:rPr>
          <w:rFonts w:ascii="Arial" w:cs="Arial" w:eastAsia="Arial" w:hAnsi="Arial"/>
          <w:sz w:val="18"/>
          <w:szCs w:val="18"/>
          <w:color w:val="auto"/>
        </w:rPr>
        <w:t>39.9</w:t>
      </w:r>
      <w:r>
        <w:rPr>
          <w:sz w:val="20"/>
          <w:szCs w:val="20"/>
          <w:color w:val="auto"/>
        </w:rPr>
        <w:tab/>
      </w:r>
      <w:r>
        <w:rPr>
          <w:rFonts w:ascii="Arial" w:cs="Arial" w:eastAsia="Arial" w:hAnsi="Arial"/>
          <w:sz w:val="17"/>
          <w:szCs w:val="17"/>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321" w:lineRule="exact"/>
        <w:rPr>
          <w:sz w:val="20"/>
          <w:szCs w:val="20"/>
          <w:color w:val="auto"/>
        </w:rPr>
      </w:pPr>
    </w:p>
    <w:p>
      <w:pPr>
        <w:ind w:left="544" w:hanging="544"/>
        <w:spacing w:after="0"/>
        <w:tabs>
          <w:tab w:leader="none" w:pos="544"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w:t>
      </w:r>
    </w:p>
    <w:p>
      <w:pPr>
        <w:spacing w:after="0" w:line="121" w:lineRule="exact"/>
        <w:rPr>
          <w:rFonts w:ascii="Arial" w:cs="Arial" w:eastAsia="Arial" w:hAnsi="Arial"/>
          <w:sz w:val="18"/>
          <w:szCs w:val="18"/>
          <w:b w:val="1"/>
          <w:bCs w:val="1"/>
          <w:color w:val="auto"/>
        </w:rPr>
      </w:pPr>
    </w:p>
    <w:p>
      <w:pPr>
        <w:ind w:left="544" w:right="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4"/>
          </w:cols>
          <w:pgMar w:left="436" w:top="274" w:right="479" w:bottom="1440" w:gutter="0" w:footer="0" w:header="0"/>
        </w:sectPr>
      </w:pPr>
    </w:p>
    <w:bookmarkStart w:id="299" w:name="page300"/>
    <w:bookmarkEnd w:id="299"/>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w:t>
      </w:r>
      <w:r>
        <w:rPr>
          <w:sz w:val="20"/>
          <w:szCs w:val="20"/>
          <w:color w:val="auto"/>
        </w:rPr>
        <w:tab/>
      </w:r>
      <w:r>
        <w:rPr>
          <w:rFonts w:ascii="Arial" w:cs="Arial" w:eastAsia="Arial" w:hAnsi="Arial"/>
          <w:sz w:val="18"/>
          <w:szCs w:val="18"/>
          <w:b w:val="1"/>
          <w:bCs w:val="1"/>
          <w:color w:val="auto"/>
        </w:rPr>
        <w:t>Books of Account</w:t>
      </w:r>
    </w:p>
    <w:p>
      <w:pPr>
        <w:spacing w:after="0" w:line="135" w:lineRule="exact"/>
        <w:rPr>
          <w:sz w:val="20"/>
          <w:szCs w:val="20"/>
          <w:color w:val="auto"/>
        </w:rPr>
      </w:pPr>
    </w:p>
    <w:p>
      <w:pPr>
        <w:ind w:left="540" w:right="100" w:hanging="539"/>
        <w:spacing w:after="0" w:line="255" w:lineRule="auto"/>
        <w:tabs>
          <w:tab w:leader="none" w:pos="520" w:val="left"/>
        </w:tabs>
        <w:rPr>
          <w:sz w:val="20"/>
          <w:szCs w:val="20"/>
          <w:color w:val="auto"/>
        </w:rPr>
      </w:pPr>
      <w:r>
        <w:rPr>
          <w:rFonts w:ascii="Arial" w:cs="Arial" w:eastAsia="Arial" w:hAnsi="Arial"/>
          <w:sz w:val="18"/>
          <w:szCs w:val="18"/>
          <w:color w:val="auto"/>
        </w:rPr>
        <w:t>41.1</w:t>
        <w:tab/>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98"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41.2</w:t>
        <w:tab/>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92" w:lineRule="exact"/>
        <w:rPr>
          <w:sz w:val="20"/>
          <w:szCs w:val="20"/>
          <w:color w:val="auto"/>
        </w:rPr>
      </w:pPr>
    </w:p>
    <w:p>
      <w:pPr>
        <w:ind w:left="540" w:right="300" w:hanging="539"/>
        <w:spacing w:after="0" w:line="277" w:lineRule="auto"/>
        <w:tabs>
          <w:tab w:leader="none" w:pos="520" w:val="left"/>
        </w:tabs>
        <w:rPr>
          <w:sz w:val="20"/>
          <w:szCs w:val="20"/>
          <w:color w:val="auto"/>
        </w:rPr>
      </w:pPr>
      <w:r>
        <w:rPr>
          <w:rFonts w:ascii="Arial" w:cs="Arial" w:eastAsia="Arial" w:hAnsi="Arial"/>
          <w:sz w:val="18"/>
          <w:szCs w:val="18"/>
          <w:color w:val="auto"/>
        </w:rPr>
        <w:t>41.3</w:t>
        <w:tab/>
        <w:t>The Directors may cause to be prepared and to be laid before the Company in general meeting profit and loss accounts, balance sheets, group accounts (if any) and such other reports and accounts as may be required by law.</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Audit</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Directors may appoint an Auditor of the Company who shall hold office on such terms as the Directors determine.</w:t>
      </w:r>
    </w:p>
    <w:p>
      <w:pPr>
        <w:spacing w:after="0" w:line="131" w:lineRule="exact"/>
        <w:rPr>
          <w:sz w:val="20"/>
          <w:szCs w:val="20"/>
          <w:color w:val="auto"/>
        </w:rPr>
      </w:pPr>
    </w:p>
    <w:p>
      <w:pPr>
        <w:ind w:left="540" w:right="220" w:hanging="539"/>
        <w:spacing w:after="0" w:line="271" w:lineRule="auto"/>
        <w:tabs>
          <w:tab w:leader="none" w:pos="5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7"/>
          <w:szCs w:val="17"/>
          <w:color w:val="auto"/>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 The Audit Committee shall meet at least once every financial quarter, or more frequently as circumstances dictate.</w:t>
      </w:r>
    </w:p>
    <w:p>
      <w:pPr>
        <w:spacing w:after="0" w:line="84" w:lineRule="exact"/>
        <w:rPr>
          <w:sz w:val="20"/>
          <w:szCs w:val="20"/>
          <w:color w:val="auto"/>
        </w:rPr>
      </w:pPr>
    </w:p>
    <w:p>
      <w:pPr>
        <w:ind w:left="540" w:right="120" w:hanging="539"/>
        <w:spacing w:after="0" w:line="263" w:lineRule="auto"/>
        <w:tabs>
          <w:tab w:leader="none" w:pos="520" w:val="left"/>
        </w:tabs>
        <w:rPr>
          <w:sz w:val="20"/>
          <w:szCs w:val="20"/>
          <w:color w:val="auto"/>
        </w:rPr>
      </w:pPr>
      <w:r>
        <w:rPr>
          <w:rFonts w:ascii="Arial" w:cs="Arial" w:eastAsia="Arial" w:hAnsi="Arial"/>
          <w:sz w:val="18"/>
          <w:szCs w:val="18"/>
          <w:color w:val="auto"/>
        </w:rPr>
        <w:t>42.3</w:t>
        <w:tab/>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The remuneration of the Auditor shall be fixed by the Audit Committee (if one exists).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300" w:name="page301"/>
    <w:bookmarkEnd w:id="300"/>
    <w:p>
      <w:pPr>
        <w:jc w:val="right"/>
        <w:ind w:right="3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42.5   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29" w:lineRule="exact"/>
        <w:rPr>
          <w:sz w:val="20"/>
          <w:szCs w:val="20"/>
          <w:color w:val="auto"/>
        </w:rPr>
      </w:pPr>
    </w:p>
    <w:p>
      <w:pPr>
        <w:ind w:left="540" w:right="20" w:hanging="539"/>
        <w:spacing w:after="0" w:line="263" w:lineRule="auto"/>
        <w:tabs>
          <w:tab w:leader="none" w:pos="520" w:val="left"/>
        </w:tabs>
        <w:rPr>
          <w:sz w:val="20"/>
          <w:szCs w:val="20"/>
          <w:color w:val="auto"/>
        </w:rPr>
      </w:pPr>
      <w:r>
        <w:rPr>
          <w:rFonts w:ascii="Arial" w:cs="Arial" w:eastAsia="Arial" w:hAnsi="Arial"/>
          <w:sz w:val="18"/>
          <w:szCs w:val="18"/>
          <w:color w:val="auto"/>
        </w:rPr>
        <w:t>42.6</w:t>
        <w:tab/>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89" w:lineRule="exact"/>
        <w:rPr>
          <w:sz w:val="20"/>
          <w:szCs w:val="20"/>
          <w:color w:val="auto"/>
        </w:rPr>
      </w:pPr>
    </w:p>
    <w:p>
      <w:pPr>
        <w:ind w:left="540" w:right="100" w:hanging="539"/>
        <w:spacing w:after="0" w:line="257" w:lineRule="auto"/>
        <w:tabs>
          <w:tab w:leader="none" w:pos="520" w:val="left"/>
        </w:tabs>
        <w:rPr>
          <w:sz w:val="20"/>
          <w:szCs w:val="20"/>
          <w:color w:val="auto"/>
        </w:rPr>
      </w:pPr>
      <w:r>
        <w:rPr>
          <w:rFonts w:ascii="Arial" w:cs="Arial" w:eastAsia="Arial" w:hAnsi="Arial"/>
          <w:sz w:val="18"/>
          <w:szCs w:val="18"/>
          <w:color w:val="auto"/>
        </w:rPr>
        <w:t>42.7</w:t>
        <w:tab/>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93" w:lineRule="exact"/>
        <w:rPr>
          <w:sz w:val="20"/>
          <w:szCs w:val="20"/>
          <w:color w:val="auto"/>
        </w:rPr>
      </w:pPr>
    </w:p>
    <w:p>
      <w:pPr>
        <w:ind w:left="540" w:right="100" w:hanging="539"/>
        <w:spacing w:after="0" w:line="277" w:lineRule="auto"/>
        <w:tabs>
          <w:tab w:leader="none" w:pos="520" w:val="left"/>
        </w:tabs>
        <w:rPr>
          <w:sz w:val="20"/>
          <w:szCs w:val="20"/>
          <w:color w:val="auto"/>
        </w:rPr>
      </w:pPr>
      <w:r>
        <w:rPr>
          <w:rFonts w:ascii="Arial" w:cs="Arial" w:eastAsia="Arial" w:hAnsi="Arial"/>
          <w:sz w:val="18"/>
          <w:szCs w:val="18"/>
          <w:color w:val="auto"/>
        </w:rPr>
        <w:t>42.8</w:t>
        <w:tab/>
        <w:t>Any payment made to members of the Audit Committee (if one exists) shall require the review and approval of the Directors, with any Director interested in such payment abstaining from such review and approval.</w:t>
      </w:r>
    </w:p>
    <w:p>
      <w:pPr>
        <w:spacing w:after="0" w:line="76"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42.9</w:t>
        <w:tab/>
        <w:t>The Audit Committee shall monitor compliance with the terms of the IPO and, if any non-compliance is identified, the Audit Committee shall be charged with the responsibility to take all action necessary to rectify such non-compliance or otherwise cause compliance with the terms of the IPO.</w:t>
      </w:r>
    </w:p>
    <w:p>
      <w:pPr>
        <w:spacing w:after="0" w:line="89" w:lineRule="exact"/>
        <w:rPr>
          <w:sz w:val="20"/>
          <w:szCs w:val="20"/>
          <w:color w:val="auto"/>
        </w:rPr>
      </w:pPr>
    </w:p>
    <w:p>
      <w:pPr>
        <w:ind w:left="540" w:right="300" w:hanging="539"/>
        <w:spacing w:after="0" w:line="257" w:lineRule="auto"/>
        <w:rPr>
          <w:sz w:val="20"/>
          <w:szCs w:val="20"/>
          <w:color w:val="auto"/>
        </w:rPr>
      </w:pPr>
      <w:r>
        <w:rPr>
          <w:rFonts w:ascii="Arial" w:cs="Arial" w:eastAsia="Arial" w:hAnsi="Arial"/>
          <w:sz w:val="18"/>
          <w:szCs w:val="18"/>
          <w:color w:val="auto"/>
        </w:rPr>
        <w:t>42.10 At least one member of the Audit Committee shall be an “audit committee financial expert” as determined by the rules and regulations of the Designated Stock Exchange, the Securities and Exchange Commission and/or any other competent regulatory authority or otherwise under Applicable Law. The “audit committee financial expert” shall have such past employment experience in finance or accounting, requisite professional certification in accounting, or any other comparable experience or background which results in the individual’s financial sophistication.</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Notices</w:t>
      </w:r>
    </w:p>
    <w:p>
      <w:pPr>
        <w:spacing w:after="0" w:line="135"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43.1</w:t>
        <w:tab/>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301" w:name="page302"/>
    <w:bookmarkEnd w:id="301"/>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43.2</w:t>
      </w:r>
      <w:r>
        <w:rPr>
          <w:sz w:val="20"/>
          <w:szCs w:val="20"/>
          <w:color w:val="auto"/>
        </w:rPr>
        <w:tab/>
      </w:r>
      <w:r>
        <w:rPr>
          <w:rFonts w:ascii="Arial" w:cs="Arial" w:eastAsia="Arial" w:hAnsi="Arial"/>
          <w:sz w:val="16"/>
          <w:szCs w:val="16"/>
          <w:color w:val="auto"/>
        </w:rPr>
        <w:t>Where a notice is sent by:</w:t>
      </w:r>
    </w:p>
    <w:p>
      <w:pPr>
        <w:spacing w:after="0" w:line="131" w:lineRule="exact"/>
        <w:rPr>
          <w:sz w:val="20"/>
          <w:szCs w:val="20"/>
          <w:color w:val="auto"/>
        </w:rPr>
      </w:pPr>
    </w:p>
    <w:p>
      <w:pPr>
        <w:ind w:left="1180" w:right="20" w:hanging="644"/>
        <w:spacing w:after="0" w:line="263" w:lineRule="auto"/>
        <w:tabs>
          <w:tab w:leader="none" w:pos="11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89" w:lineRule="exact"/>
        <w:rPr>
          <w:rFonts w:ascii="Arial" w:cs="Arial" w:eastAsia="Arial" w:hAnsi="Arial"/>
          <w:sz w:val="18"/>
          <w:szCs w:val="18"/>
          <w:color w:val="auto"/>
        </w:rPr>
      </w:pPr>
    </w:p>
    <w:p>
      <w:pPr>
        <w:ind w:left="1180" w:right="160" w:hanging="644"/>
        <w:spacing w:after="0" w:line="263" w:lineRule="auto"/>
        <w:tabs>
          <w:tab w:leader="none" w:pos="11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89" w:lineRule="exact"/>
        <w:rPr>
          <w:rFonts w:ascii="Arial" w:cs="Arial" w:eastAsia="Arial" w:hAnsi="Arial"/>
          <w:sz w:val="18"/>
          <w:szCs w:val="18"/>
          <w:color w:val="auto"/>
        </w:rPr>
      </w:pPr>
    </w:p>
    <w:p>
      <w:pPr>
        <w:ind w:left="1180" w:right="360" w:hanging="644"/>
        <w:spacing w:after="0" w:line="277" w:lineRule="auto"/>
        <w:tabs>
          <w:tab w:leader="none" w:pos="11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cable, telex or fax; service of the notice shall be deemed to be effected by properly addressing and sending such notice and shall be deemed to have been received on the same day that it was transmitted;</w:t>
      </w:r>
    </w:p>
    <w:p>
      <w:pPr>
        <w:spacing w:after="0" w:line="75" w:lineRule="exact"/>
        <w:rPr>
          <w:rFonts w:ascii="Arial" w:cs="Arial" w:eastAsia="Arial" w:hAnsi="Arial"/>
          <w:sz w:val="18"/>
          <w:szCs w:val="18"/>
          <w:color w:val="auto"/>
        </w:rPr>
      </w:pPr>
    </w:p>
    <w:p>
      <w:pPr>
        <w:jc w:val="both"/>
        <w:ind w:left="1180" w:right="100" w:hanging="644"/>
        <w:spacing w:after="0" w:line="263" w:lineRule="auto"/>
        <w:tabs>
          <w:tab w:leader="none" w:pos="11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89" w:lineRule="exact"/>
        <w:rPr>
          <w:rFonts w:ascii="Arial" w:cs="Arial" w:eastAsia="Arial" w:hAnsi="Arial"/>
          <w:sz w:val="18"/>
          <w:szCs w:val="18"/>
          <w:color w:val="auto"/>
        </w:rPr>
      </w:pPr>
    </w:p>
    <w:p>
      <w:pPr>
        <w:ind w:left="1180" w:right="60" w:hanging="644"/>
        <w:spacing w:after="0" w:line="277" w:lineRule="auto"/>
        <w:tabs>
          <w:tab w:leader="none" w:pos="11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placing it on the Company’s Website; service of the notice shall be deemed to have been effected one hour after the notice or document was placed on the Company’s Website.</w:t>
      </w:r>
    </w:p>
    <w:p>
      <w:pPr>
        <w:spacing w:after="0" w:line="76" w:lineRule="exact"/>
        <w:rPr>
          <w:sz w:val="20"/>
          <w:szCs w:val="20"/>
          <w:color w:val="auto"/>
        </w:rPr>
      </w:pPr>
    </w:p>
    <w:p>
      <w:pPr>
        <w:ind w:left="540" w:hanging="539"/>
        <w:spacing w:after="0" w:line="275" w:lineRule="auto"/>
        <w:tabs>
          <w:tab w:leader="none" w:pos="52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7"/>
          <w:szCs w:val="17"/>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82" w:lineRule="exact"/>
        <w:rPr>
          <w:sz w:val="20"/>
          <w:szCs w:val="20"/>
          <w:color w:val="auto"/>
        </w:rPr>
      </w:pPr>
    </w:p>
    <w:p>
      <w:pPr>
        <w:ind w:left="540" w:right="200" w:hanging="539"/>
        <w:spacing w:after="0" w:line="296" w:lineRule="auto"/>
        <w:tabs>
          <w:tab w:leader="none" w:pos="52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6"/>
          <w:szCs w:val="16"/>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302" w:name="page303"/>
    <w:bookmarkEnd w:id="302"/>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44</w:t>
      </w:r>
      <w:r>
        <w:rPr>
          <w:sz w:val="20"/>
          <w:szCs w:val="20"/>
          <w:color w:val="auto"/>
        </w:rPr>
        <w:tab/>
      </w:r>
      <w:r>
        <w:rPr>
          <w:rFonts w:ascii="Arial" w:cs="Arial" w:eastAsia="Arial" w:hAnsi="Arial"/>
          <w:sz w:val="18"/>
          <w:szCs w:val="18"/>
          <w:b w:val="1"/>
          <w:bCs w:val="1"/>
          <w:color w:val="auto"/>
        </w:rPr>
        <w:t>Winding Up</w:t>
      </w:r>
    </w:p>
    <w:p>
      <w:pPr>
        <w:spacing w:after="0" w:line="135" w:lineRule="exact"/>
        <w:rPr>
          <w:sz w:val="20"/>
          <w:szCs w:val="20"/>
          <w:color w:val="auto"/>
        </w:rPr>
      </w:pPr>
    </w:p>
    <w:p>
      <w:pPr>
        <w:ind w:left="540" w:right="200" w:hanging="539"/>
        <w:spacing w:after="0" w:line="277" w:lineRule="auto"/>
        <w:tabs>
          <w:tab w:leader="none" w:pos="520" w:val="left"/>
        </w:tabs>
        <w:rPr>
          <w:sz w:val="20"/>
          <w:szCs w:val="20"/>
          <w:color w:val="auto"/>
        </w:rPr>
      </w:pPr>
      <w:r>
        <w:rPr>
          <w:rFonts w:ascii="Arial" w:cs="Arial" w:eastAsia="Arial" w:hAnsi="Arial"/>
          <w:sz w:val="18"/>
          <w:szCs w:val="18"/>
          <w:color w:val="auto"/>
        </w:rPr>
        <w:t>44.1</w:t>
        <w:tab/>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76" w:lineRule="exact"/>
        <w:rPr>
          <w:sz w:val="20"/>
          <w:szCs w:val="20"/>
          <w:color w:val="auto"/>
        </w:rPr>
      </w:pPr>
    </w:p>
    <w:p>
      <w:pPr>
        <w:ind w:left="1180" w:right="240" w:hanging="644"/>
        <w:spacing w:after="0" w:line="263" w:lineRule="auto"/>
        <w:tabs>
          <w:tab w:leader="none" w:pos="11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89" w:lineRule="exact"/>
        <w:rPr>
          <w:rFonts w:ascii="Arial" w:cs="Arial" w:eastAsia="Arial" w:hAnsi="Arial"/>
          <w:sz w:val="18"/>
          <w:szCs w:val="18"/>
          <w:color w:val="auto"/>
        </w:rPr>
      </w:pPr>
    </w:p>
    <w:p>
      <w:pPr>
        <w:ind w:left="1180" w:right="120" w:hanging="644"/>
        <w:spacing w:after="0" w:line="279" w:lineRule="auto"/>
        <w:tabs>
          <w:tab w:leader="none" w:pos="11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77" w:lineRule="exact"/>
        <w:rPr>
          <w:sz w:val="20"/>
          <w:szCs w:val="20"/>
          <w:color w:val="auto"/>
        </w:rPr>
      </w:pPr>
    </w:p>
    <w:p>
      <w:pPr>
        <w:ind w:left="540" w:right="60" w:hanging="539"/>
        <w:spacing w:after="0" w:line="293" w:lineRule="auto"/>
        <w:tabs>
          <w:tab w:leader="none" w:pos="52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6"/>
          <w:szCs w:val="16"/>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30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b w:val="1"/>
          <w:bCs w:val="1"/>
          <w:color w:val="auto"/>
        </w:rPr>
        <w:t>Indemnity and Insurance</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6"/>
          <w:szCs w:val="16"/>
          <w:color w:val="auto"/>
        </w:rPr>
        <w:t>Every Director and Officer (which for the avoidance of doubt, shall not include auditors of the Company), together with every former Director</w:t>
      </w:r>
    </w:p>
    <w:p>
      <w:pPr>
        <w:spacing w:after="0" w:line="23" w:lineRule="exact"/>
        <w:rPr>
          <w:sz w:val="20"/>
          <w:szCs w:val="20"/>
          <w:color w:val="auto"/>
        </w:rPr>
      </w:pPr>
    </w:p>
    <w:p>
      <w:pPr>
        <w:ind w:left="540"/>
        <w:spacing w:after="0" w:line="269" w:lineRule="auto"/>
        <w:rPr>
          <w:sz w:val="20"/>
          <w:szCs w:val="20"/>
          <w:color w:val="auto"/>
        </w:rPr>
      </w:pPr>
      <w:r>
        <w:rPr>
          <w:rFonts w:ascii="Arial" w:cs="Arial" w:eastAsia="Arial" w:hAnsi="Arial"/>
          <w:sz w:val="17"/>
          <w:szCs w:val="17"/>
          <w:color w:val="auto"/>
        </w:rPr>
        <w:t>and former Officer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86" w:lineRule="exact"/>
        <w:rPr>
          <w:sz w:val="20"/>
          <w:szCs w:val="20"/>
          <w:color w:val="auto"/>
        </w:rPr>
      </w:pPr>
    </w:p>
    <w:p>
      <w:pPr>
        <w:ind w:left="540" w:right="60" w:hanging="539"/>
        <w:spacing w:after="0" w:line="255" w:lineRule="auto"/>
        <w:tabs>
          <w:tab w:leader="none" w:pos="520" w:val="left"/>
        </w:tabs>
        <w:rPr>
          <w:sz w:val="20"/>
          <w:szCs w:val="20"/>
          <w:color w:val="auto"/>
        </w:rPr>
      </w:pPr>
      <w:r>
        <w:rPr>
          <w:rFonts w:ascii="Arial" w:cs="Arial" w:eastAsia="Arial" w:hAnsi="Arial"/>
          <w:sz w:val="18"/>
          <w:szCs w:val="18"/>
          <w:color w:val="auto"/>
        </w:rPr>
        <w:t>45.2</w:t>
        <w:tab/>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0" w:right="479" w:bottom="1440" w:gutter="0" w:footer="0" w:header="0"/>
        </w:sectPr>
      </w:pPr>
    </w:p>
    <w:bookmarkStart w:id="303" w:name="page304"/>
    <w:bookmarkEnd w:id="303"/>
    <w:p>
      <w:pPr>
        <w:ind w:left="544"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judgment, costs or expenses, then such party shall not be indemnified with respect to such judgment, costs or expenses and any advancement shall be returned to the Company (without interest) by the Indemnified Person.</w:t>
      </w:r>
    </w:p>
    <w:p>
      <w:pPr>
        <w:spacing w:after="0" w:line="76"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45.3</w:t>
        <w:tab/>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328" w:lineRule="exact"/>
        <w:rPr>
          <w:sz w:val="20"/>
          <w:szCs w:val="20"/>
          <w:color w:val="auto"/>
        </w:rPr>
      </w:pPr>
    </w:p>
    <w:p>
      <w:pPr>
        <w:ind w:left="544" w:hanging="544"/>
        <w:spacing w:after="0"/>
        <w:tabs>
          <w:tab w:leader="none" w:pos="544"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121" w:lineRule="exact"/>
        <w:rPr>
          <w:rFonts w:ascii="Arial" w:cs="Arial" w:eastAsia="Arial" w:hAnsi="Arial"/>
          <w:sz w:val="18"/>
          <w:szCs w:val="18"/>
          <w:b w:val="1"/>
          <w:bCs w:val="1"/>
          <w:color w:val="auto"/>
        </w:rPr>
      </w:pPr>
    </w:p>
    <w:p>
      <w:pPr>
        <w:ind w:left="5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Transfer by Way of Continuation</w:t>
      </w:r>
    </w:p>
    <w:p>
      <w:pPr>
        <w:spacing w:after="0" w:line="121" w:lineRule="exact"/>
        <w:rPr>
          <w:rFonts w:ascii="Arial" w:cs="Arial" w:eastAsia="Arial" w:hAnsi="Arial"/>
          <w:sz w:val="18"/>
          <w:szCs w:val="18"/>
          <w:b w:val="1"/>
          <w:bCs w:val="1"/>
          <w:color w:val="auto"/>
        </w:rPr>
      </w:pPr>
    </w:p>
    <w:p>
      <w:pPr>
        <w:ind w:left="544"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328" w:lineRule="exact"/>
        <w:rPr>
          <w:rFonts w:ascii="Arial" w:cs="Arial" w:eastAsia="Arial" w:hAnsi="Arial"/>
          <w:sz w:val="18"/>
          <w:szCs w:val="18"/>
          <w:b w:val="1"/>
          <w:bCs w:val="1"/>
          <w:color w:val="auto"/>
        </w:rPr>
      </w:pPr>
    </w:p>
    <w:p>
      <w:pPr>
        <w:ind w:left="544" w:hanging="544"/>
        <w:spacing w:after="0"/>
        <w:tabs>
          <w:tab w:leader="none" w:pos="544"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Consolidations</w:t>
      </w:r>
    </w:p>
    <w:p>
      <w:pPr>
        <w:spacing w:after="0" w:line="121" w:lineRule="exact"/>
        <w:rPr>
          <w:rFonts w:ascii="Arial" w:cs="Arial" w:eastAsia="Arial" w:hAnsi="Arial"/>
          <w:sz w:val="18"/>
          <w:szCs w:val="18"/>
          <w:b w:val="1"/>
          <w:bCs w:val="1"/>
          <w:color w:val="auto"/>
        </w:rPr>
      </w:pPr>
    </w:p>
    <w:p>
      <w:pPr>
        <w:ind w:left="544" w:right="1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290" w:lineRule="exact"/>
        <w:rPr>
          <w:rFonts w:ascii="Arial" w:cs="Arial" w:eastAsia="Arial" w:hAnsi="Arial"/>
          <w:sz w:val="18"/>
          <w:szCs w:val="18"/>
          <w:b w:val="1"/>
          <w:bCs w:val="1"/>
          <w:color w:val="auto"/>
        </w:rPr>
      </w:pPr>
    </w:p>
    <w:p>
      <w:pPr>
        <w:ind w:left="544" w:hanging="544"/>
        <w:spacing w:after="0"/>
        <w:tabs>
          <w:tab w:leader="none" w:pos="544"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35" w:lineRule="exact"/>
        <w:rPr>
          <w:sz w:val="20"/>
          <w:szCs w:val="20"/>
          <w:color w:val="auto"/>
        </w:rPr>
      </w:pPr>
    </w:p>
    <w:p>
      <w:pPr>
        <w:jc w:val="both"/>
        <w:ind w:left="544" w:hanging="539"/>
        <w:spacing w:after="0" w:line="286" w:lineRule="auto"/>
        <w:tabs>
          <w:tab w:leader="none" w:pos="524"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7"/>
          <w:szCs w:val="17"/>
          <w:color w:val="auto"/>
        </w:rPr>
        <w:t>Notwithstanding any other provision of the Articles, this Article shall apply during the period commencing upon the adoption of the Articles and terminating upon the first to occur of the consummation of a Business Combination and the full distribution of the Trust Account pursuant to this Article. In the event of a conflict between this Article and any other Articles, the provisions of this Article shall prevail.</w:t>
      </w:r>
    </w:p>
    <w:p>
      <w:pPr>
        <w:spacing w:after="0" w:line="7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49.2</w:t>
      </w:r>
      <w:r>
        <w:rPr>
          <w:sz w:val="20"/>
          <w:szCs w:val="20"/>
          <w:color w:val="auto"/>
        </w:rPr>
        <w:tab/>
      </w:r>
      <w:r>
        <w:rPr>
          <w:rFonts w:ascii="Arial" w:cs="Arial" w:eastAsia="Arial" w:hAnsi="Arial"/>
          <w:sz w:val="16"/>
          <w:szCs w:val="16"/>
          <w:color w:val="auto"/>
        </w:rPr>
        <w:t>Prior to the consummation of a Business Combination, the Company shall either:</w:t>
      </w:r>
    </w:p>
    <w:p>
      <w:pPr>
        <w:spacing w:after="0" w:line="131" w:lineRule="exact"/>
        <w:rPr>
          <w:sz w:val="20"/>
          <w:szCs w:val="20"/>
          <w:color w:val="auto"/>
        </w:rPr>
      </w:pPr>
    </w:p>
    <w:p>
      <w:pPr>
        <w:ind w:left="1184" w:hanging="644"/>
        <w:spacing w:after="0"/>
        <w:tabs>
          <w:tab w:leader="none" w:pos="118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submit such Business Combination to its Members for approval; or</w:t>
      </w:r>
    </w:p>
    <w:p>
      <w:pPr>
        <w:spacing w:after="0" w:line="130" w:lineRule="exact"/>
        <w:rPr>
          <w:rFonts w:ascii="Arial" w:cs="Arial" w:eastAsia="Arial" w:hAnsi="Arial"/>
          <w:sz w:val="18"/>
          <w:szCs w:val="18"/>
          <w:color w:val="auto"/>
        </w:rPr>
      </w:pPr>
    </w:p>
    <w:p>
      <w:pPr>
        <w:ind w:left="1184" w:right="240" w:hanging="644"/>
        <w:spacing w:after="0" w:line="301" w:lineRule="auto"/>
        <w:tabs>
          <w:tab w:leader="none" w:pos="118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provide Members with the opportunity to have their Shares repurchased by means of a tender offer for a per-Share repurchase price payable in cash, equal to the aggregate amount then on deposit in the Trust Account, calculated as of two business days prior to the consummation of such Business Combination, including interest earned on the Trust Account (net of taxes paid or payable, if any), divided by the number of then issued Public Shares, provided that the Company shall not repurchase Public Shares in an amount that</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4"/>
          </w:cols>
          <w:pgMar w:left="436" w:top="274" w:right="479" w:bottom="1440" w:gutter="0" w:footer="0" w:header="0"/>
        </w:sectPr>
      </w:pPr>
    </w:p>
    <w:bookmarkStart w:id="304" w:name="page305"/>
    <w:bookmarkEnd w:id="304"/>
    <w:p>
      <w:pPr>
        <w:ind w:left="1180"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would cause the Company’s net tangible assets to be less than US$5,000,001 upon consummation of such Business Combination. Such obligation to repurchase Shares is subject to the completion of the proposed Business Combination to which it relates.</w:t>
      </w:r>
    </w:p>
    <w:p>
      <w:pPr>
        <w:spacing w:after="0" w:line="29" w:lineRule="exact"/>
        <w:rPr>
          <w:sz w:val="20"/>
          <w:szCs w:val="20"/>
          <w:color w:val="auto"/>
        </w:rPr>
      </w:pPr>
    </w:p>
    <w:p>
      <w:pPr>
        <w:ind w:left="520" w:right="20" w:hanging="539"/>
        <w:spacing w:after="0" w:line="293" w:lineRule="auto"/>
        <w:tabs>
          <w:tab w:leader="none" w:pos="500"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6"/>
          <w:szCs w:val="16"/>
          <w:color w:val="auto"/>
        </w:rPr>
        <w:t>If the Company initiates any tender offer in accordance with Rule 13e-4 and Regulation 14E of the Exchange Act in connection with a proposed Business Combination, it shall file tender offer documents with the Securities and Exchange Commission prior to completing such Business Combination which contain substantially the same financial and other information about such Business Combination and the redemption rights as is required under Regulation 14A of the Exchange Act. If, alternatively, the Company holds a general meeting to approve a proposed Business Combination, the Company will conduct any redemptions in conjunction with a proxy solicitation pursuant to Regulation 14A of the Exchange Act, and not pursuant to the tender offer rules, and file proxy materials with the Securities and Exchange Commission.</w:t>
      </w:r>
    </w:p>
    <w:p>
      <w:pPr>
        <w:spacing w:after="0" w:line="70" w:lineRule="exact"/>
        <w:rPr>
          <w:sz w:val="20"/>
          <w:szCs w:val="20"/>
          <w:color w:val="auto"/>
        </w:rPr>
      </w:pPr>
    </w:p>
    <w:p>
      <w:pPr>
        <w:ind w:left="520" w:right="220" w:hanging="539"/>
        <w:spacing w:after="0" w:line="257" w:lineRule="auto"/>
        <w:tabs>
          <w:tab w:leader="none" w:pos="500" w:val="left"/>
        </w:tabs>
        <w:rPr>
          <w:sz w:val="20"/>
          <w:szCs w:val="20"/>
          <w:color w:val="auto"/>
        </w:rPr>
      </w:pPr>
      <w:r>
        <w:rPr>
          <w:rFonts w:ascii="Arial" w:cs="Arial" w:eastAsia="Arial" w:hAnsi="Arial"/>
          <w:sz w:val="18"/>
          <w:szCs w:val="18"/>
          <w:color w:val="auto"/>
        </w:rPr>
        <w:t>49.4</w:t>
        <w:tab/>
        <w:t>At a general meeting called for the purposes of approving a Business Combination pursuant to this Article, in the event that such Business Combination is approved by Ordinary Resolution, the Company shall be authorised to consummate such Business Combination, provided that the Company shall not consummate such Business Combination unless the Company has net tangible assets of at least US$5,000,001 immediately prior to, or upon such consummation of, or any greater net tangible asset or cash requirement that may be contained in the agreement relating to, such Business Combination.</w:t>
      </w:r>
    </w:p>
    <w:p>
      <w:pPr>
        <w:spacing w:after="0" w:line="93" w:lineRule="exact"/>
        <w:rPr>
          <w:sz w:val="20"/>
          <w:szCs w:val="20"/>
          <w:color w:val="auto"/>
        </w:rPr>
      </w:pPr>
    </w:p>
    <w:p>
      <w:pPr>
        <w:ind w:left="520" w:hanging="539"/>
        <w:spacing w:after="0" w:line="286" w:lineRule="auto"/>
        <w:tabs>
          <w:tab w:leader="none" w:pos="500" w:val="left"/>
        </w:tabs>
        <w:rPr>
          <w:sz w:val="20"/>
          <w:szCs w:val="20"/>
          <w:color w:val="auto"/>
        </w:rPr>
      </w:pPr>
      <w:r>
        <w:rPr>
          <w:rFonts w:ascii="Arial" w:cs="Arial" w:eastAsia="Arial" w:hAnsi="Arial"/>
          <w:sz w:val="18"/>
          <w:szCs w:val="18"/>
          <w:color w:val="auto"/>
        </w:rPr>
        <w:t>49.5</w:t>
      </w:r>
      <w:r>
        <w:rPr>
          <w:sz w:val="20"/>
          <w:szCs w:val="20"/>
          <w:color w:val="auto"/>
        </w:rPr>
        <w:tab/>
      </w:r>
      <w:r>
        <w:rPr>
          <w:rFonts w:ascii="Arial" w:cs="Arial" w:eastAsia="Arial" w:hAnsi="Arial"/>
          <w:sz w:val="16"/>
          <w:szCs w:val="16"/>
          <w:color w:val="auto"/>
        </w:rPr>
        <w:t>Any Member holding Public Shares who is not the Sponsor, a Founder, Officer or Director may, at least two business days’ prior to any vote on a Business Combination, elect to have their Public Shares redeemed for cash, in accordance with any applicable requirements provided for in the related proxy materials (the “</w:t>
      </w:r>
      <w:r>
        <w:rPr>
          <w:rFonts w:ascii="Arial" w:cs="Arial" w:eastAsia="Arial" w:hAnsi="Arial"/>
          <w:sz w:val="16"/>
          <w:szCs w:val="16"/>
          <w:b w:val="1"/>
          <w:bCs w:val="1"/>
          <w:color w:val="auto"/>
        </w:rPr>
        <w:t>IPO Redemption</w:t>
      </w:r>
      <w:r>
        <w:rPr>
          <w:rFonts w:ascii="Arial" w:cs="Arial" w:eastAsia="Arial" w:hAnsi="Arial"/>
          <w:sz w:val="16"/>
          <w:szCs w:val="16"/>
          <w:color w:val="auto"/>
        </w:rPr>
        <w:t>”), provided that no such Member acting together with any Affiliate of his or any other person with whom he is acting in concert or as a partnership, limited partnership, syndicate, or other group for the purposes of acquiring, holding, or disposing of Shares may exercise this redemption right with respect to more than 15 per cent of the Public Shares in the aggregate without the prior consent of the Company and provided further that any beneficial holder of Public Shares on whose behalf a redemption right is being exercised must identify itself to the Company in connection with any redemption election in order to validly redeem such Public Shares. If so demanded, the Company shall pay any such redeeming Member, regardless of whether he is voting for or against such proposed Business Combination, a per-Share redemption price payable in cash, equal to the aggregate amount then on deposit in the Trust Account calculated as of two business days prior to the consummation of the Business Combination, including interest earned on the Trust Account (such interest shall be net of taxes payable) and not previously released to the Company to pay its taxes, divided by the number of then issued Public Shares (such redemption price being referred to herein as the “</w:t>
      </w:r>
      <w:r>
        <w:rPr>
          <w:rFonts w:ascii="Arial" w:cs="Arial" w:eastAsia="Arial" w:hAnsi="Arial"/>
          <w:sz w:val="16"/>
          <w:szCs w:val="16"/>
          <w:b w:val="1"/>
          <w:bCs w:val="1"/>
          <w:color w:val="auto"/>
        </w:rPr>
        <w:t>Redemption Price</w:t>
      </w:r>
      <w:r>
        <w:rPr>
          <w:rFonts w:ascii="Arial" w:cs="Arial" w:eastAsia="Arial" w:hAnsi="Arial"/>
          <w:sz w:val="16"/>
          <w:szCs w:val="16"/>
          <w:color w:val="auto"/>
        </w:rPr>
        <w:t>”), but only in the event that the applicable proposed Business Combination is approved and consummated. The Company shall not redeem Public Shares that would cause the Company’s net tangible assets to be less than US$5,000,001 following such redemptions (the “</w:t>
      </w:r>
      <w:r>
        <w:rPr>
          <w:rFonts w:ascii="Arial" w:cs="Arial" w:eastAsia="Arial" w:hAnsi="Arial"/>
          <w:sz w:val="16"/>
          <w:szCs w:val="16"/>
          <w:b w:val="1"/>
          <w:bCs w:val="1"/>
          <w:color w:val="auto"/>
        </w:rPr>
        <w:t>Redemption Limitation</w:t>
      </w:r>
      <w:r>
        <w:rPr>
          <w:rFonts w:ascii="Arial" w:cs="Arial" w:eastAsia="Arial" w:hAnsi="Arial"/>
          <w:sz w:val="16"/>
          <w:szCs w:val="16"/>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60" w:top="274" w:right="459" w:bottom="1440" w:gutter="0" w:footer="0" w:header="0"/>
        </w:sectPr>
      </w:pPr>
    </w:p>
    <w:bookmarkStart w:id="305" w:name="page306"/>
    <w:bookmarkEnd w:id="305"/>
    <w:p>
      <w:pPr>
        <w:ind w:left="540" w:right="220" w:hanging="539"/>
        <w:spacing w:after="0" w:line="27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49.6</w:t>
        <w:tab/>
        <w:t>A Member may not withdraw a Redemption Notice once submitted to the Company unless the Directors determine (in their sole discretion) to permit the withdrawal of such redemption request (which they may do in whole or in part).</w:t>
      </w:r>
    </w:p>
    <w:p>
      <w:pPr>
        <w:spacing w:after="0" w:line="76" w:lineRule="exact"/>
        <w:rPr>
          <w:sz w:val="20"/>
          <w:szCs w:val="20"/>
          <w:color w:val="auto"/>
        </w:rPr>
      </w:pPr>
    </w:p>
    <w:p>
      <w:pPr>
        <w:ind w:left="540" w:right="20" w:hanging="539"/>
        <w:spacing w:after="0" w:line="263" w:lineRule="auto"/>
        <w:tabs>
          <w:tab w:leader="none" w:pos="520" w:val="left"/>
        </w:tabs>
        <w:rPr>
          <w:sz w:val="20"/>
          <w:szCs w:val="20"/>
          <w:color w:val="auto"/>
        </w:rPr>
      </w:pPr>
      <w:r>
        <w:rPr>
          <w:rFonts w:ascii="Arial" w:cs="Arial" w:eastAsia="Arial" w:hAnsi="Arial"/>
          <w:sz w:val="18"/>
          <w:szCs w:val="18"/>
          <w:color w:val="auto"/>
        </w:rPr>
        <w:t>49.7</w:t>
        <w:tab/>
        <w:t>In the event that the Company does not consummate a Business Combination within 24 months from the consummation of the IPO (or up to 30 months if such date is extended as described in the prospectus relating to the IPO), or such later time as the Members may approve in accordance with the Articles, the Company shall:</w:t>
      </w:r>
    </w:p>
    <w:p>
      <w:pPr>
        <w:spacing w:after="0" w:line="89" w:lineRule="exact"/>
        <w:rPr>
          <w:sz w:val="20"/>
          <w:szCs w:val="20"/>
          <w:color w:val="auto"/>
        </w:rPr>
      </w:pPr>
    </w:p>
    <w:p>
      <w:pPr>
        <w:ind w:left="1180" w:hanging="644"/>
        <w:spacing w:after="0"/>
        <w:tabs>
          <w:tab w:leader="none" w:pos="11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cease all operations except for the purpose of winding up;</w:t>
      </w:r>
    </w:p>
    <w:p>
      <w:pPr>
        <w:spacing w:after="0" w:line="130" w:lineRule="exact"/>
        <w:rPr>
          <w:rFonts w:ascii="Arial" w:cs="Arial" w:eastAsia="Arial" w:hAnsi="Arial"/>
          <w:sz w:val="18"/>
          <w:szCs w:val="18"/>
          <w:color w:val="auto"/>
        </w:rPr>
      </w:pPr>
    </w:p>
    <w:p>
      <w:pPr>
        <w:ind w:left="1180" w:right="140" w:hanging="644"/>
        <w:spacing w:after="0" w:line="275" w:lineRule="auto"/>
        <w:tabs>
          <w:tab w:leader="none" w:pos="118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(less taxes payable and up to US$100,000 of interest to pay dissolution expenses), divided by the number of then Public Shares in issue, which redemption will completely extinguish public Members’ rights as Members (including the right to receive further liquidation distributions, if any); and</w:t>
      </w:r>
    </w:p>
    <w:p>
      <w:pPr>
        <w:spacing w:after="0" w:line="81" w:lineRule="exact"/>
        <w:rPr>
          <w:rFonts w:ascii="Arial" w:cs="Arial" w:eastAsia="Arial" w:hAnsi="Arial"/>
          <w:sz w:val="17"/>
          <w:szCs w:val="17"/>
          <w:color w:val="auto"/>
        </w:rPr>
      </w:pPr>
    </w:p>
    <w:p>
      <w:pPr>
        <w:ind w:left="1180" w:right="200" w:hanging="644"/>
        <w:spacing w:after="0" w:line="277" w:lineRule="auto"/>
        <w:tabs>
          <w:tab w:leader="none" w:pos="11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the Company’s remaining Members and the Directors, liquidate and dissolve,</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subject in each case to its obligations under Cayman Islands law to provide for claims of creditors and other requirements of Applicable Law.</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49.8</w:t>
      </w:r>
      <w:r>
        <w:rPr>
          <w:sz w:val="20"/>
          <w:szCs w:val="20"/>
          <w:color w:val="auto"/>
        </w:rPr>
        <w:tab/>
      </w:r>
      <w:r>
        <w:rPr>
          <w:rFonts w:ascii="Arial" w:cs="Arial" w:eastAsia="Arial" w:hAnsi="Arial"/>
          <w:sz w:val="16"/>
          <w:szCs w:val="16"/>
          <w:color w:val="auto"/>
        </w:rPr>
        <w:t>In the event that any amendment is made to the Articles:</w:t>
      </w:r>
    </w:p>
    <w:p>
      <w:pPr>
        <w:spacing w:after="0" w:line="131" w:lineRule="exact"/>
        <w:rPr>
          <w:sz w:val="20"/>
          <w:szCs w:val="20"/>
          <w:color w:val="auto"/>
        </w:rPr>
      </w:pPr>
    </w:p>
    <w:p>
      <w:pPr>
        <w:ind w:left="1180" w:right="160" w:hanging="644"/>
        <w:spacing w:after="0" w:line="279" w:lineRule="auto"/>
        <w:tabs>
          <w:tab w:leader="none" w:pos="118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to modify the substance or timing of the Company’s obligation to allow redemption in connection with a Business Combination or redeem 100 per cent of the Public Shares if the Company does not consummate a Business Combination within 24 months from the consummation of the IPO (or up to 30 months if such date is extended as described in the prospectus relating to the IPO), or such later time as the Members may approve in accordance with the Articles; or</w:t>
      </w:r>
    </w:p>
    <w:p>
      <w:pPr>
        <w:spacing w:after="0" w:line="76" w:lineRule="exact"/>
        <w:rPr>
          <w:rFonts w:ascii="Arial" w:cs="Arial" w:eastAsia="Arial" w:hAnsi="Arial"/>
          <w:sz w:val="17"/>
          <w:szCs w:val="17"/>
          <w:color w:val="auto"/>
        </w:rPr>
      </w:pPr>
    </w:p>
    <w:p>
      <w:pPr>
        <w:ind w:left="1180" w:hanging="644"/>
        <w:spacing w:after="0"/>
        <w:tabs>
          <w:tab w:leader="none" w:pos="11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with respect to any other provision relating to Members’ rights or pre-Business Combination activity,</w:t>
      </w:r>
    </w:p>
    <w:p>
      <w:pPr>
        <w:spacing w:after="0" w:line="117" w:lineRule="exact"/>
        <w:rPr>
          <w:sz w:val="20"/>
          <w:szCs w:val="20"/>
          <w:color w:val="auto"/>
        </w:rPr>
      </w:pPr>
    </w:p>
    <w:p>
      <w:pPr>
        <w:ind w:left="540"/>
        <w:spacing w:after="0" w:line="257" w:lineRule="auto"/>
        <w:rPr>
          <w:sz w:val="20"/>
          <w:szCs w:val="20"/>
          <w:color w:val="auto"/>
        </w:rPr>
      </w:pPr>
      <w:r>
        <w:rPr>
          <w:rFonts w:ascii="Arial" w:cs="Arial" w:eastAsia="Arial" w:hAnsi="Arial"/>
          <w:sz w:val="18"/>
          <w:szCs w:val="18"/>
          <w:color w:val="auto"/>
        </w:rPr>
        <w:t>each holder of Public Shares who is not the Sponsor, a Founder, Officer or Director shall be provided with the opportunity to redeem their Public Shares upon the approval or effectiveness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Public Shares. The Company’s ability to provide such redemption in this Article is subject to the Redemption Limitation.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306" w:name="page307"/>
    <w:bookmarkEnd w:id="306"/>
    <w:p>
      <w:pPr>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49.9</w:t>
        <w:tab/>
        <w:t>A holder of Public Shares shall be entitled to receive distributions from the Trust Account only in the event of an IPO Redemption, a repurchase of Shares by means of a tender offer pursuant to this Article, or a distribution of the Trust Account pursuant to this Article. In no other circumstance shall a holder of Public Shares have any right or interest of any kind in the Trust Account.</w:t>
      </w:r>
    </w:p>
    <w:p>
      <w:pPr>
        <w:spacing w:after="0" w:line="89" w:lineRule="exact"/>
        <w:rPr>
          <w:sz w:val="20"/>
          <w:szCs w:val="20"/>
          <w:color w:val="auto"/>
        </w:rPr>
      </w:pPr>
    </w:p>
    <w:p>
      <w:pPr>
        <w:ind w:left="540" w:hanging="539"/>
        <w:spacing w:after="0" w:line="277" w:lineRule="auto"/>
        <w:rPr>
          <w:sz w:val="20"/>
          <w:szCs w:val="20"/>
          <w:color w:val="auto"/>
        </w:rPr>
      </w:pPr>
      <w:r>
        <w:rPr>
          <w:rFonts w:ascii="Arial" w:cs="Arial" w:eastAsia="Arial" w:hAnsi="Arial"/>
          <w:sz w:val="18"/>
          <w:szCs w:val="18"/>
          <w:color w:val="auto"/>
        </w:rPr>
        <w:t>49.10 After the issue of Public Shares, and prior to the consummation of a Business Combination, the Company shall not issue additional Shares or any other securities that would entitle the holders thereof to:</w:t>
      </w:r>
    </w:p>
    <w:p>
      <w:pPr>
        <w:spacing w:after="0" w:line="76" w:lineRule="exact"/>
        <w:rPr>
          <w:sz w:val="20"/>
          <w:szCs w:val="20"/>
          <w:color w:val="auto"/>
        </w:rPr>
      </w:pPr>
    </w:p>
    <w:p>
      <w:pPr>
        <w:ind w:left="1180" w:hanging="644"/>
        <w:spacing w:after="0"/>
        <w:tabs>
          <w:tab w:leader="none" w:pos="11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receive funds from the Trust Account; or</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vote as a class with Public Shares on a Business Combination.</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49.11</w:t>
      </w:r>
      <w:r>
        <w:rPr>
          <w:sz w:val="20"/>
          <w:szCs w:val="20"/>
          <w:color w:val="auto"/>
        </w:rPr>
        <w:tab/>
      </w:r>
      <w:r>
        <w:rPr>
          <w:rFonts w:ascii="Arial" w:cs="Arial" w:eastAsia="Arial" w:hAnsi="Arial"/>
          <w:sz w:val="16"/>
          <w:szCs w:val="16"/>
          <w:color w:val="auto"/>
        </w:rPr>
        <w:t>The uninterested Independent Directors shall approve any transaction or transactions between the Company and any of the following parties:</w:t>
      </w:r>
    </w:p>
    <w:p>
      <w:pPr>
        <w:spacing w:after="0" w:line="131" w:lineRule="exact"/>
        <w:rPr>
          <w:sz w:val="20"/>
          <w:szCs w:val="20"/>
          <w:color w:val="auto"/>
        </w:rPr>
      </w:pPr>
    </w:p>
    <w:p>
      <w:pPr>
        <w:ind w:left="1180" w:right="40" w:hanging="644"/>
        <w:spacing w:after="0" w:line="277" w:lineRule="auto"/>
        <w:tabs>
          <w:tab w:leader="none" w:pos="1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Member owning an interest in the voting power of the Company that gives such Member a significant influence over the Company; and</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Director or Officer and any Affiliate of such Director or Officer.</w:t>
      </w:r>
    </w:p>
    <w:p>
      <w:pPr>
        <w:spacing w:after="0" w:line="131" w:lineRule="exact"/>
        <w:rPr>
          <w:sz w:val="20"/>
          <w:szCs w:val="20"/>
          <w:color w:val="auto"/>
        </w:rPr>
      </w:pPr>
    </w:p>
    <w:p>
      <w:pPr>
        <w:ind w:left="540" w:right="60" w:hanging="539"/>
        <w:spacing w:after="0" w:line="277" w:lineRule="auto"/>
        <w:rPr>
          <w:sz w:val="20"/>
          <w:szCs w:val="20"/>
          <w:color w:val="auto"/>
        </w:rPr>
      </w:pPr>
      <w:r>
        <w:rPr>
          <w:rFonts w:ascii="Arial" w:cs="Arial" w:eastAsia="Arial" w:hAnsi="Arial"/>
          <w:sz w:val="18"/>
          <w:szCs w:val="18"/>
          <w:color w:val="auto"/>
        </w:rPr>
        <w:t>49.12 A Director may vote in respect of a Business Combination in which such Director has a conflict of interest with respect to the evaluation of such Business Combination. Such Director must disclose such interest or conflict to the other Directors.</w:t>
      </w:r>
    </w:p>
    <w:p>
      <w:pPr>
        <w:spacing w:after="0" w:line="76" w:lineRule="exact"/>
        <w:rPr>
          <w:sz w:val="20"/>
          <w:szCs w:val="20"/>
          <w:color w:val="auto"/>
        </w:rPr>
      </w:pPr>
    </w:p>
    <w:p>
      <w:pPr>
        <w:ind w:left="540" w:hanging="539"/>
        <w:spacing w:after="0" w:line="275" w:lineRule="auto"/>
        <w:rPr>
          <w:sz w:val="20"/>
          <w:szCs w:val="20"/>
          <w:color w:val="auto"/>
        </w:rPr>
      </w:pPr>
      <w:r>
        <w:rPr>
          <w:rFonts w:ascii="Arial" w:cs="Arial" w:eastAsia="Arial" w:hAnsi="Arial"/>
          <w:sz w:val="17"/>
          <w:szCs w:val="17"/>
          <w:color w:val="auto"/>
        </w:rPr>
        <w:t>49.13 As long as the securities of the Company are listed on the Nasdaq Capital Market, the Company must complete one or more Business Combinations having an aggregate fair market value of at least 80 per cent of the assets held in the Trust Account (net of amounts previously disbursed to the Company’s management for taxes and excluding the amount of deferred underwriting discounts held in the Trust Account) at the time of the Company’s signing a definitive agreement in connection with a Business Combination. A Business Combination must not be effectuated with another blank cheque company or a similar company with nominal operations.</w:t>
      </w:r>
    </w:p>
    <w:p>
      <w:pPr>
        <w:spacing w:after="0" w:line="82" w:lineRule="exact"/>
        <w:rPr>
          <w:sz w:val="20"/>
          <w:szCs w:val="20"/>
          <w:color w:val="auto"/>
        </w:rPr>
      </w:pPr>
    </w:p>
    <w:p>
      <w:pPr>
        <w:ind w:left="540" w:right="180" w:hanging="539"/>
        <w:spacing w:after="0" w:line="273" w:lineRule="auto"/>
        <w:rPr>
          <w:sz w:val="20"/>
          <w:szCs w:val="20"/>
          <w:color w:val="auto"/>
        </w:rPr>
      </w:pPr>
      <w:r>
        <w:rPr>
          <w:rFonts w:ascii="Arial" w:cs="Arial" w:eastAsia="Arial" w:hAnsi="Arial"/>
          <w:sz w:val="17"/>
          <w:szCs w:val="17"/>
          <w:color w:val="auto"/>
        </w:rPr>
        <w:t>49.14 The Company may enter into a Business Combination with a target business that is Affiliated with the Sponsor, a Founder, a Director or an Officer. In the event the Company seeks to complete a Business Combination with a target that is Affiliated with the Sponsor, a Founder, a Director or an Officer, the Company, or a committee of Independent Directors, will obtain an opinion from an independent investment banking firm or another valuation or appraisal firm that regularly renders fairness opinions on the type of target business the Company is seeking to acquire that is a member of the United States Financial Industry Regulatory Authority or an independent accounting firm that such a Business Combination is fair to the Company from a financial point of view.</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307" w:name="page308"/>
    <w:bookmarkEnd w:id="307"/>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50</w:t>
      </w:r>
      <w:r>
        <w:rPr>
          <w:sz w:val="20"/>
          <w:szCs w:val="20"/>
          <w:color w:val="auto"/>
        </w:rPr>
        <w:tab/>
      </w:r>
      <w:r>
        <w:rPr>
          <w:rFonts w:ascii="Arial" w:cs="Arial" w:eastAsia="Arial" w:hAnsi="Arial"/>
          <w:sz w:val="18"/>
          <w:szCs w:val="18"/>
          <w:b w:val="1"/>
          <w:bCs w:val="1"/>
          <w:color w:val="auto"/>
        </w:rPr>
        <w:t>Business Opportunities</w:t>
      </w:r>
    </w:p>
    <w:p>
      <w:pPr>
        <w:spacing w:after="0" w:line="131" w:lineRule="exact"/>
        <w:rPr>
          <w:sz w:val="20"/>
          <w:szCs w:val="20"/>
          <w:color w:val="auto"/>
        </w:rPr>
      </w:pPr>
    </w:p>
    <w:p>
      <w:pPr>
        <w:ind w:left="540" w:hanging="539"/>
        <w:spacing w:after="0" w:line="289" w:lineRule="auto"/>
        <w:tabs>
          <w:tab w:leader="none" w:pos="52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color w:val="auto"/>
        </w:rPr>
        <w:t>To the fullest extent permitted by Applicable Law, no individual serving as a Director or an Officer (“</w:t>
      </w:r>
      <w:r>
        <w:rPr>
          <w:rFonts w:ascii="Arial" w:cs="Arial" w:eastAsia="Arial" w:hAnsi="Arial"/>
          <w:sz w:val="16"/>
          <w:szCs w:val="16"/>
          <w:b w:val="1"/>
          <w:bCs w:val="1"/>
          <w:color w:val="auto"/>
        </w:rPr>
        <w:t>Management</w:t>
      </w:r>
      <w:r>
        <w:rPr>
          <w:rFonts w:ascii="Arial" w:cs="Arial" w:eastAsia="Arial" w:hAnsi="Arial"/>
          <w:sz w:val="16"/>
          <w:szCs w:val="16"/>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p>
      <w:pPr>
        <w:spacing w:after="0" w:line="76" w:lineRule="exact"/>
        <w:rPr>
          <w:sz w:val="20"/>
          <w:szCs w:val="20"/>
          <w:color w:val="auto"/>
        </w:rPr>
      </w:pPr>
    </w:p>
    <w:p>
      <w:pPr>
        <w:ind w:left="540" w:right="180" w:hanging="539"/>
        <w:spacing w:after="0" w:line="286" w:lineRule="auto"/>
        <w:tabs>
          <w:tab w:leader="none" w:pos="52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7"/>
          <w:szCs w:val="17"/>
          <w:color w:val="auto"/>
        </w:rPr>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p>
      <w:pPr>
        <w:spacing w:after="0" w:line="71" w:lineRule="exact"/>
        <w:rPr>
          <w:sz w:val="20"/>
          <w:szCs w:val="20"/>
          <w:color w:val="auto"/>
        </w:rPr>
      </w:pPr>
    </w:p>
    <w:p>
      <w:pPr>
        <w:ind w:left="540" w:right="60" w:hanging="539"/>
        <w:spacing w:after="0" w:line="279" w:lineRule="auto"/>
        <w:tabs>
          <w:tab w:leader="none" w:pos="52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7"/>
          <w:szCs w:val="17"/>
          <w:color w:val="auto"/>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0" w:right="459" w:bottom="1440" w:gutter="0" w:footer="0" w:header="0"/>
        </w:sectPr>
      </w:pPr>
    </w:p>
    <w:bookmarkStart w:id="308" w:name="page309"/>
    <w:bookmarkEnd w:id="308"/>
    <w:p>
      <w:pPr>
        <w:ind w:left="10184"/>
        <w:spacing w:after="0"/>
        <w:rPr>
          <w:sz w:val="20"/>
          <w:szCs w:val="20"/>
          <w:color w:val="auto"/>
        </w:rPr>
      </w:pPr>
      <w:r>
        <w:rPr>
          <w:rFonts w:ascii="Arial" w:cs="Arial" w:eastAsia="Arial" w:hAnsi="Arial"/>
          <w:sz w:val="16"/>
          <w:szCs w:val="16"/>
          <w:b w:val="1"/>
          <w:bCs w:val="1"/>
          <w:color w:val="auto"/>
        </w:rPr>
        <w:t>Exhibit 4.1</w:t>
      </w:r>
    </w:p>
    <w:p>
      <w:pPr>
        <w:spacing w:after="0" w:line="200" w:lineRule="exact"/>
        <w:rPr>
          <w:sz w:val="20"/>
          <w:szCs w:val="20"/>
          <w:color w:val="auto"/>
        </w:rPr>
      </w:pPr>
    </w:p>
    <w:p>
      <w:pPr>
        <w:spacing w:after="0" w:line="264"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SPECIMEN UNIT CERTIFICATE</w:t>
      </w:r>
    </w:p>
    <w:p>
      <w:pPr>
        <w:spacing w:after="0" w:line="225" w:lineRule="exact"/>
        <w:rPr>
          <w:sz w:val="20"/>
          <w:szCs w:val="20"/>
          <w:color w:val="auto"/>
        </w:rPr>
      </w:pPr>
    </w:p>
    <w:p>
      <w:pPr>
        <w:ind w:left="9384"/>
        <w:spacing w:after="0"/>
        <w:rPr>
          <w:sz w:val="20"/>
          <w:szCs w:val="20"/>
          <w:color w:val="auto"/>
        </w:rPr>
      </w:pPr>
      <w:r>
        <w:rPr>
          <w:rFonts w:ascii="Arial" w:cs="Arial" w:eastAsia="Arial" w:hAnsi="Arial"/>
          <w:sz w:val="18"/>
          <w:szCs w:val="18"/>
          <w:b w:val="1"/>
          <w:bCs w:val="1"/>
          <w:color w:val="auto"/>
        </w:rPr>
        <w:t>NUMBER UNITS U-</w:t>
      </w:r>
    </w:p>
    <w:p>
      <w:pPr>
        <w:sectPr>
          <w:pgSz w:w="11900" w:h="16838" w:orient="portrait"/>
          <w:cols w:equalWidth="0" w:num="1">
            <w:col w:w="11024"/>
          </w:cols>
          <w:pgMar w:left="436" w:top="121" w:right="439" w:bottom="1440" w:gutter="0" w:footer="0" w:header="0"/>
        </w:sect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color w:val="auto"/>
        </w:rPr>
        <w:t>SEE REVERSE FOR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CERTAIN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DEFINITIONS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ArcLight Clean Transition Corp. II</w:t>
      </w:r>
    </w:p>
    <w:p>
      <w:pPr>
        <w:spacing w:after="0" w:line="661" w:lineRule="exact"/>
        <w:rPr>
          <w:sz w:val="20"/>
          <w:szCs w:val="20"/>
          <w:color w:val="auto"/>
        </w:rPr>
      </w:pPr>
    </w:p>
    <w:p>
      <w:pPr>
        <w:sectPr>
          <w:pgSz w:w="11900" w:h="16838" w:orient="portrait"/>
          <w:cols w:equalWidth="0" w:num="2">
            <w:col w:w="2484" w:space="720"/>
            <w:col w:w="7820"/>
          </w:cols>
          <w:pgMar w:left="436" w:top="121" w:right="439" w:bottom="1440" w:gutter="0" w:footer="0" w:header="0"/>
          <w:type w:val="continuous"/>
        </w:sectPr>
      </w:pPr>
    </w:p>
    <w:p>
      <w:pPr>
        <w:spacing w:after="0" w:line="20" w:lineRule="exact"/>
        <w:rPr>
          <w:sz w:val="20"/>
          <w:szCs w:val="20"/>
          <w:color w:val="auto"/>
        </w:rPr>
      </w:pPr>
    </w:p>
    <w:p>
      <w:pPr>
        <w:ind w:left="10244"/>
        <w:spacing w:after="0"/>
        <w:rPr>
          <w:sz w:val="20"/>
          <w:szCs w:val="20"/>
          <w:color w:val="auto"/>
        </w:rPr>
      </w:pPr>
      <w:r>
        <w:rPr>
          <w:rFonts w:ascii="Arial" w:cs="Arial" w:eastAsia="Arial" w:hAnsi="Arial"/>
          <w:sz w:val="17"/>
          <w:szCs w:val="17"/>
          <w:b w:val="1"/>
          <w:bCs w:val="1"/>
          <w:color w:val="auto"/>
        </w:rPr>
        <w:t>CUSIP [•]</w:t>
      </w:r>
    </w:p>
    <w:p>
      <w:pPr>
        <w:spacing w:after="0" w:line="200" w:lineRule="exact"/>
        <w:rPr>
          <w:sz w:val="20"/>
          <w:szCs w:val="20"/>
          <w:color w:val="auto"/>
        </w:rPr>
      </w:pPr>
    </w:p>
    <w:p>
      <w:pPr>
        <w:spacing w:after="0" w:line="253" w:lineRule="exact"/>
        <w:rPr>
          <w:sz w:val="20"/>
          <w:szCs w:val="20"/>
          <w:color w:val="auto"/>
        </w:rPr>
      </w:pPr>
    </w:p>
    <w:p>
      <w:pPr>
        <w:jc w:val="center"/>
        <w:ind w:right="16"/>
        <w:spacing w:after="0"/>
        <w:rPr>
          <w:sz w:val="20"/>
          <w:szCs w:val="20"/>
          <w:color w:val="auto"/>
        </w:rPr>
      </w:pPr>
      <w:r>
        <w:rPr>
          <w:rFonts w:ascii="Arial" w:cs="Arial" w:eastAsia="Arial" w:hAnsi="Arial"/>
          <w:sz w:val="17"/>
          <w:szCs w:val="17"/>
          <w:b w:val="1"/>
          <w:bCs w:val="1"/>
          <w:color w:val="auto"/>
        </w:rPr>
        <w:t>UNITS CONSISTING OF ONE CLASS A ORDINARY SHARE AND ONE-FIFTH OF ONE</w:t>
      </w:r>
    </w:p>
    <w:p>
      <w:pPr>
        <w:spacing w:after="0" w:line="39"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REDEEMABLE</w:t>
      </w:r>
    </w:p>
    <w:p>
      <w:pPr>
        <w:spacing w:after="0" w:line="20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WARRANT TO PURCHASE ONE CLASS A ORDINARY SHARE</w:t>
      </w:r>
    </w:p>
    <w:p>
      <w:pPr>
        <w:sectPr>
          <w:pgSz w:w="11900" w:h="16838" w:orient="portrait"/>
          <w:cols w:equalWidth="0" w:num="1">
            <w:col w:w="11024"/>
          </w:cols>
          <w:pgMar w:left="436" w:top="121" w:right="439" w:bottom="1440" w:gutter="0" w:footer="0" w:header="0"/>
          <w:type w:val="continuous"/>
        </w:sectPr>
      </w:pPr>
    </w:p>
    <w:p>
      <w:pPr>
        <w:spacing w:after="0" w:line="229" w:lineRule="exact"/>
        <w:rPr>
          <w:sz w:val="20"/>
          <w:szCs w:val="20"/>
          <w:color w:val="auto"/>
        </w:rPr>
      </w:pPr>
    </w:p>
    <w:p>
      <w:pPr>
        <w:ind w:left="4"/>
        <w:spacing w:after="0"/>
        <w:tabs>
          <w:tab w:leader="none" w:pos="2524" w:val="left"/>
          <w:tab w:leader="none" w:pos="4324" w:val="left"/>
        </w:tabs>
        <w:rPr>
          <w:sz w:val="20"/>
          <w:szCs w:val="20"/>
          <w:color w:val="auto"/>
        </w:rPr>
      </w:pPr>
      <w:r>
        <w:rPr>
          <w:rFonts w:ascii="Arial" w:cs="Arial" w:eastAsia="Arial" w:hAnsi="Arial"/>
          <w:sz w:val="18"/>
          <w:szCs w:val="18"/>
          <w:color w:val="auto"/>
        </w:rPr>
        <w:t>THIS CERTIFIES THAT</w:t>
      </w:r>
      <w:r>
        <w:rPr>
          <w:sz w:val="20"/>
          <w:szCs w:val="20"/>
          <w:color w:val="auto"/>
        </w:rPr>
        <w:tab/>
      </w:r>
      <w:r>
        <w:rPr>
          <w:rFonts w:ascii="Arial" w:cs="Arial" w:eastAsia="Arial" w:hAnsi="Arial"/>
          <w:sz w:val="18"/>
          <w:szCs w:val="18"/>
          <w:color w:val="auto"/>
        </w:rPr>
        <w:t>is the owner of</w:t>
      </w:r>
      <w:r>
        <w:rPr>
          <w:sz w:val="20"/>
          <w:szCs w:val="20"/>
          <w:color w:val="auto"/>
        </w:rPr>
        <w:tab/>
      </w:r>
      <w:r>
        <w:rPr>
          <w:rFonts w:ascii="Arial" w:cs="Arial" w:eastAsia="Arial" w:hAnsi="Arial"/>
          <w:sz w:val="16"/>
          <w:szCs w:val="16"/>
          <w:color w:val="auto"/>
        </w:rPr>
        <w:t>Units.</w:t>
      </w:r>
    </w:p>
    <w:p>
      <w:pPr>
        <w:spacing w:after="0" w:line="225" w:lineRule="exact"/>
        <w:rPr>
          <w:sz w:val="20"/>
          <w:szCs w:val="20"/>
          <w:color w:val="auto"/>
        </w:rPr>
      </w:pPr>
    </w:p>
    <w:p>
      <w:pPr>
        <w:ind w:left="4" w:right="60"/>
        <w:spacing w:after="0" w:line="287" w:lineRule="auto"/>
        <w:rPr>
          <w:sz w:val="20"/>
          <w:szCs w:val="20"/>
          <w:color w:val="auto"/>
        </w:rPr>
      </w:pPr>
      <w:r>
        <w:rPr>
          <w:rFonts w:ascii="Arial" w:cs="Arial" w:eastAsia="Arial" w:hAnsi="Arial"/>
          <w:sz w:val="16"/>
          <w:szCs w:val="16"/>
          <w:color w:val="auto"/>
        </w:rPr>
        <w:t>Each Unit (“Unit”) consists of one (1) Class A ordinary share, par value $0.0001 per share (“Ordinary Shares”), of ArcLight Clean Transition Corp. II, a Cayman Islands exempted company (the “Company”), and one-fifth (1/5) of one redeemable warrant (each whole warrant, a “Warrant”). Each Warrant entitles the holder to purchase one (1) Ordinary Share for $11.50 per share (subject to adjustment). Each Warrant will become exercisable thirty</w:t>
      </w:r>
    </w:p>
    <w:p>
      <w:pPr>
        <w:spacing w:after="0" w:line="2" w:lineRule="exact"/>
        <w:rPr>
          <w:sz w:val="20"/>
          <w:szCs w:val="20"/>
          <w:color w:val="auto"/>
        </w:rPr>
      </w:pPr>
    </w:p>
    <w:p>
      <w:pPr>
        <w:ind w:left="4" w:right="60" w:hanging="4"/>
        <w:spacing w:after="0" w:line="281" w:lineRule="auto"/>
        <w:tabs>
          <w:tab w:leader="none" w:pos="34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days after the Company’s completion of a merger, share exchange, asset acquisition, share purchase, reorganization or other similar business combination with one or more businesses (each, a “Business Combination”), and will expire unless exercised before 5:00 p.m., New York City Time, on the date that is five (5) years after the date on which the Company completes its initial Business Combination, or earlier upon redemption or liquidation (the “Expiration Date”). The Ordinary Shares and Warrants comprising the Units represented by this certificate are not transferable separately prior</w:t>
      </w:r>
    </w:p>
    <w:p>
      <w:pPr>
        <w:spacing w:after="0" w:line="2" w:lineRule="exact"/>
        <w:rPr>
          <w:sz w:val="20"/>
          <w:szCs w:val="20"/>
          <w:color w:val="auto"/>
        </w:rPr>
      </w:pPr>
    </w:p>
    <w:p>
      <w:pPr>
        <w:ind w:left="4" w:right="40"/>
        <w:spacing w:after="0" w:line="281" w:lineRule="auto"/>
        <w:rPr>
          <w:sz w:val="20"/>
          <w:szCs w:val="20"/>
          <w:color w:val="auto"/>
        </w:rPr>
      </w:pPr>
      <w:r>
        <w:rPr>
          <w:rFonts w:ascii="Arial" w:cs="Arial" w:eastAsia="Arial" w:hAnsi="Arial"/>
          <w:sz w:val="16"/>
          <w:szCs w:val="16"/>
          <w:color w:val="auto"/>
        </w:rPr>
        <w:t>to , 2021, unless Citigroup Global Markets Inc. and Barclays Capital Inc. elect to allow earlier separate trading, subject to the Company’s filing with the Securities and Exchange Commission of a Current Report on Form 8-K containing an audited balance sheet reflecting the Company’s receipt of the gross proceeds of the initial public offering and issuing a press release announcing when separate trading will begin. No fractional warrants will be issued upon separation of the Units and only warrant are exercisable. The terms of the Warrants are governed by a Warrant Agreement, dated as</w:t>
      </w:r>
    </w:p>
    <w:p>
      <w:pPr>
        <w:spacing w:after="0" w:line="2" w:lineRule="exact"/>
        <w:rPr>
          <w:sz w:val="20"/>
          <w:szCs w:val="20"/>
          <w:color w:val="auto"/>
        </w:rPr>
      </w:pPr>
    </w:p>
    <w:p>
      <w:pPr>
        <w:ind w:left="4" w:right="380"/>
        <w:spacing w:after="0" w:line="253" w:lineRule="auto"/>
        <w:rPr>
          <w:sz w:val="20"/>
          <w:szCs w:val="20"/>
          <w:color w:val="auto"/>
        </w:rPr>
      </w:pPr>
      <w:r>
        <w:rPr>
          <w:rFonts w:ascii="Arial" w:cs="Arial" w:eastAsia="Arial" w:hAnsi="Arial"/>
          <w:sz w:val="18"/>
          <w:szCs w:val="18"/>
          <w:color w:val="auto"/>
        </w:rPr>
        <w:t>of , 2021, between the Company and Continental Stock Transfer &amp; Trust Company, as Warrant Agent, and are subject to the terms and provisions contained therein, all of which terms and provisions the holder of this certificate consents to by acceptance hereof. Copies of the Warrant Agreement are on file at the office of the Warrant Agent at 1 State Street, 30th Floor, New York, New York 10004, and are available to any Warrant holder on written request and without cost.</w:t>
      </w:r>
    </w:p>
    <w:p>
      <w:pPr>
        <w:spacing w:after="0" w:line="193"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Upon the consummation of the Business Combination, the Units represented by this certificate will automatically separate into the Class A Ordinary Shares and Warrants comprising such Units.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is not valid unless countersigned by the Transfer Agent and Registrar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shall be governed by and construed in accordance with the internal laws of the State of New York.</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Witness the facsimile signatures of its duly authorized officers.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14605</wp:posOffset>
            </wp:positionV>
            <wp:extent cx="335153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-10160</wp:posOffset>
            </wp:positionV>
            <wp:extent cx="27990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2799080" cy="8890"/>
                    </a:xfrm>
                    <a:prstGeom prst="rect">
                      <a:avLst/>
                    </a:prstGeom>
                    <a:noFill/>
                  </pic:spPr>
                </pic:pic>
              </a:graphicData>
            </a:graphic>
          </wp:anchor>
        </w:drawing>
      </w:r>
    </w:p>
    <w:p>
      <w:pPr>
        <w:spacing w:after="0" w:line="16" w:lineRule="exact"/>
        <w:rPr>
          <w:sz w:val="20"/>
          <w:szCs w:val="20"/>
          <w:color w:val="auto"/>
        </w:rPr>
      </w:pPr>
    </w:p>
    <w:p>
      <w:pPr>
        <w:ind w:left="364"/>
        <w:spacing w:after="0"/>
        <w:tabs>
          <w:tab w:leader="none" w:pos="5724"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6"/>
          <w:szCs w:val="16"/>
          <w:color w:val="auto"/>
        </w:rPr>
        <w:t>Chief Financial Officer</w:t>
      </w:r>
    </w:p>
    <w:p>
      <w:pPr>
        <w:sectPr>
          <w:pgSz w:w="11900" w:h="16838" w:orient="portrait"/>
          <w:cols w:equalWidth="0" w:num="1">
            <w:col w:w="11024"/>
          </w:cols>
          <w:pgMar w:left="436" w:top="121" w:right="439" w:bottom="1440" w:gutter="0" w:footer="0" w:header="0"/>
          <w:type w:val="continuous"/>
        </w:sectPr>
      </w:pPr>
    </w:p>
    <w:bookmarkStart w:id="309" w:name="page310"/>
    <w:bookmarkEnd w:id="30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ArcLight Clean Transition Corp. II</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will furnish without charge to each unitholder who so requests, a statement of the powers, designations, preferences and relative, participating, optional or other special rights of each class of shares or series thereof of the Company and the qualifications, limitations or restrictions of such preferences and/or rights.</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TEN COM</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3460" w:type="dxa"/>
            <w:vAlign w:val="bottom"/>
          </w:tcPr>
          <w:p>
            <w:pPr>
              <w:ind w:left="60"/>
              <w:spacing w:after="0"/>
              <w:rPr>
                <w:sz w:val="20"/>
                <w:szCs w:val="20"/>
                <w:color w:val="auto"/>
              </w:rPr>
            </w:pPr>
            <w:r>
              <w:rPr>
                <w:rFonts w:ascii="Arial" w:cs="Arial" w:eastAsia="Arial" w:hAnsi="Arial"/>
                <w:sz w:val="18"/>
                <w:szCs w:val="18"/>
                <w:color w:val="auto"/>
              </w:rPr>
              <w:t>as tenants in common</w:t>
            </w:r>
          </w:p>
        </w:tc>
        <w:tc>
          <w:tcPr>
            <w:tcW w:w="1940" w:type="dxa"/>
            <w:vAlign w:val="bottom"/>
          </w:tcPr>
          <w:p>
            <w:pPr>
              <w:ind w:left="120"/>
              <w:spacing w:after="0"/>
              <w:rPr>
                <w:sz w:val="20"/>
                <w:szCs w:val="20"/>
                <w:color w:val="auto"/>
              </w:rPr>
            </w:pPr>
            <w:r>
              <w:rPr>
                <w:rFonts w:ascii="Arial" w:cs="Arial" w:eastAsia="Arial" w:hAnsi="Arial"/>
                <w:sz w:val="18"/>
                <w:szCs w:val="18"/>
                <w:color w:val="auto"/>
              </w:rPr>
              <w:t>UNIF GIFT MIN  —</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Custodian</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ACT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8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237"/>
        </w:trPr>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(Cust)</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(Minor)</w:t>
            </w: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TEN ENT</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3460" w:type="dxa"/>
            <w:vAlign w:val="bottom"/>
          </w:tcPr>
          <w:p>
            <w:pPr>
              <w:ind w:left="60"/>
              <w:spacing w:after="0"/>
              <w:rPr>
                <w:sz w:val="20"/>
                <w:szCs w:val="20"/>
                <w:color w:val="auto"/>
              </w:rPr>
            </w:pPr>
            <w:r>
              <w:rPr>
                <w:rFonts w:ascii="Arial" w:cs="Arial" w:eastAsia="Arial" w:hAnsi="Arial"/>
                <w:sz w:val="18"/>
                <w:szCs w:val="18"/>
                <w:color w:val="auto"/>
              </w:rPr>
              <w:t>as tenants by the entireties</w:t>
            </w:r>
          </w:p>
        </w:tc>
        <w:tc>
          <w:tcPr>
            <w:tcW w:w="1940" w:type="dxa"/>
            <w:vAlign w:val="bottom"/>
          </w:tcPr>
          <w:p>
            <w:pPr>
              <w:spacing w:after="0"/>
              <w:rPr>
                <w:sz w:val="24"/>
                <w:szCs w:val="24"/>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under Uniform Gifts to</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Minors Act</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189"/>
        </w:trPr>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r>
      <w:tr>
        <w:trPr>
          <w:trHeight w:val="237"/>
        </w:trPr>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ind w:left="880"/>
              <w:spacing w:after="0"/>
              <w:rPr>
                <w:sz w:val="20"/>
                <w:szCs w:val="20"/>
                <w:color w:val="auto"/>
              </w:rPr>
            </w:pPr>
            <w:r>
              <w:rPr>
                <w:rFonts w:ascii="Arial" w:cs="Arial" w:eastAsia="Arial" w:hAnsi="Arial"/>
                <w:sz w:val="18"/>
                <w:szCs w:val="18"/>
                <w:color w:val="auto"/>
              </w:rPr>
              <w:t>(State)</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JT TEN</w:t>
            </w: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w w:val="96"/>
              </w:rPr>
              <w:t>—  as joint tenants with right of survivorship and</w:t>
            </w: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not as tenants in common</w:t>
            </w: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20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value received, hereby sells, assigns and transfers unto</w:t>
      </w:r>
    </w:p>
    <w:p>
      <w:pPr>
        <w:sectPr>
          <w:pgSz w:w="11900" w:h="16838" w:orient="portrait"/>
          <w:cols w:equalWidth="0" w:num="1">
            <w:col w:w="10940"/>
          </w:cols>
          <w:pgMar w:left="440" w:top="270" w:right="519" w:bottom="1440" w:gutter="0" w:footer="0" w:header="0"/>
        </w:sectPr>
      </w:pPr>
    </w:p>
    <w:bookmarkStart w:id="310" w:name="page311"/>
    <w:bookmarkEnd w:id="310"/>
    <w:p>
      <w:pPr>
        <w:jc w:val="center"/>
        <w:ind w:right="-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PLEASE INSERT SOCIAL SECURITY OR OTHER IDENTIFYING NUMBER OF ASSIGNEE</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25"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Units represented by the within Certificate, and do hereby irrevocably constitute and appoint Attorney to transfer the said Units on the books of the within named Company with full power of substitution in the premises.</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14605</wp:posOffset>
            </wp:positionV>
            <wp:extent cx="335153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-10160</wp:posOffset>
            </wp:positionV>
            <wp:extent cx="27990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2799080" cy="8255"/>
                    </a:xfrm>
                    <a:prstGeom prst="rect">
                      <a:avLst/>
                    </a:prstGeom>
                    <a:noFill/>
                  </pic:spPr>
                </pic:pic>
              </a:graphicData>
            </a:graphic>
          </wp:anchor>
        </w:drawing>
      </w:r>
    </w:p>
    <w:p>
      <w:pPr>
        <w:sectPr>
          <w:pgSz w:w="11900" w:h="16838" w:orient="portrait"/>
          <w:cols w:equalWidth="0" w:num="1">
            <w:col w:w="10964"/>
          </w:cols>
          <w:pgMar w:left="436" w:top="27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35744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3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SIGNATURE(S) MUST BE GUARANTEED BY AN ELIGIBLE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7"/>
          <w:szCs w:val="17"/>
          <w:color w:val="auto"/>
        </w:rPr>
        <w:t>GUARANTOR INSTITUTION (BANKS, STOCKBROKERS, SAVINGS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LOAN ASSOCIATIONS AND CREDIT UNIONS WITH</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MEMBERSHIP IN AN APPROVED SIGNATURE GUARANTEE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MEDALLION PROGRAM, PURSUANT TO S.E.C. RULE 17Ad-15 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ANY SUCCESSOR RULES).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The signature to this assignment must correspond with the name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as written upon the face of the certificate in every particular, without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alteration or enlargement or any change whatever.</w:t>
      </w:r>
    </w:p>
    <w:p>
      <w:pPr>
        <w:spacing w:after="0" w:line="1955" w:lineRule="exact"/>
        <w:rPr>
          <w:sz w:val="20"/>
          <w:szCs w:val="20"/>
          <w:color w:val="auto"/>
        </w:rPr>
      </w:pPr>
    </w:p>
    <w:p>
      <w:pPr>
        <w:sectPr>
          <w:pgSz w:w="11900" w:h="16838" w:orient="portrait"/>
          <w:cols w:equalWidth="0" w:num="2">
            <w:col w:w="5364" w:space="380"/>
            <w:col w:w="5220"/>
          </w:cols>
          <w:pgMar w:left="436" w:top="274" w:right="499" w:bottom="1440" w:gutter="0" w:footer="0" w:header="0"/>
          <w:type w:val="continuous"/>
        </w:sectPr>
      </w:pPr>
    </w:p>
    <w:p>
      <w:pPr>
        <w:spacing w:after="0" w:line="11" w:lineRule="exact"/>
        <w:rPr>
          <w:sz w:val="20"/>
          <w:szCs w:val="20"/>
          <w:color w:val="auto"/>
        </w:rPr>
      </w:pPr>
    </w:p>
    <w:p>
      <w:pPr>
        <w:ind w:left="4"/>
        <w:spacing w:after="0" w:line="274" w:lineRule="auto"/>
        <w:rPr>
          <w:sz w:val="20"/>
          <w:szCs w:val="20"/>
          <w:color w:val="auto"/>
        </w:rPr>
      </w:pPr>
      <w:r>
        <w:rPr>
          <w:rFonts w:ascii="Arial" w:cs="Arial" w:eastAsia="Arial" w:hAnsi="Arial"/>
          <w:sz w:val="17"/>
          <w:szCs w:val="17"/>
          <w:color w:val="auto"/>
        </w:rPr>
        <w:t>In each case, as more fully described in the Company’s final prospectus dated , 2021, the holder(s) of this certificate shall be entitled to receive a pro-rata portion of certain funds held in the trust account established in connection with the Company’s initial public offering only in the event that</w:t>
      </w:r>
    </w:p>
    <w:p>
      <w:pPr>
        <w:ind w:left="4" w:right="80" w:hanging="4"/>
        <w:spacing w:after="0" w:line="286" w:lineRule="auto"/>
        <w:tabs>
          <w:tab w:leader="none" w:pos="21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Company redeems the Ordinary Shares sold in its initial public offering and liquidates because it does not consummate an initial business combination within the period of time set forth in the Company’s amended and restated memorandum and articles of association, as the same may be amended from time to time, (ii) the Company redeems the Ordinary Shares sold in its initial public offering in connection with a shareholder vote to amend the Company’s amended and restated memorandum and articles of association (A) that would modify the substance or timing of the Company’s obligation to provide holders of the Ordinary Shares the right to have their shares redeemed in connection with the Company’s initial business combination or to redeem 100% of the Ordinary Shares if the Company does not complete its initial business combination within the time period set forth therein or (B) with respect to any other provision relating to the rights of holders of the Ordinary Shares, or (iii) if the holder(s) seek(s) to redeem for cash his, her or its respective Ordinary Shares in connection with a tender offer (or proxy solicitation, solely in the event the Company seeks shareholder approval of the proposed initial business combination) setting forth the details of a proposed initial business combination. In no other circumstances shall the holder(s) have any right or interest of any kind in or to the trust account.</w:t>
      </w:r>
    </w:p>
    <w:p>
      <w:pPr>
        <w:sectPr>
          <w:pgSz w:w="11900" w:h="16838" w:orient="portrait"/>
          <w:cols w:equalWidth="0" w:num="1">
            <w:col w:w="10964"/>
          </w:cols>
          <w:pgMar w:left="436" w:top="274" w:right="499" w:bottom="1440" w:gutter="0" w:footer="0" w:header="0"/>
          <w:type w:val="continuous"/>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SPECIMEN CLASS A ORDINARY SHARE CERTIFICATE</w:t>
      </w:r>
    </w:p>
    <w:p>
      <w:pPr>
        <w:spacing w:after="0" w:line="256" w:lineRule="exact"/>
        <w:rPr>
          <w:sz w:val="20"/>
          <w:szCs w:val="20"/>
          <w:color w:val="auto"/>
        </w:rPr>
      </w:pPr>
    </w:p>
    <w:p>
      <w:pPr>
        <w:spacing w:after="0"/>
        <w:tabs>
          <w:tab w:leader="none" w:pos="10300" w:val="left"/>
        </w:tabs>
        <w:rPr>
          <w:sz w:val="20"/>
          <w:szCs w:val="20"/>
          <w:color w:val="auto"/>
        </w:rPr>
      </w:pPr>
      <w:r>
        <w:rPr>
          <w:rFonts w:ascii="Arial" w:cs="Arial" w:eastAsia="Arial" w:hAnsi="Arial"/>
          <w:sz w:val="17"/>
          <w:szCs w:val="17"/>
          <w:color w:val="auto"/>
        </w:rPr>
        <w:t>NUMBER</w:t>
      </w:r>
      <w:r>
        <w:rPr>
          <w:sz w:val="20"/>
          <w:szCs w:val="20"/>
          <w:color w:val="auto"/>
        </w:rPr>
        <w:tab/>
      </w:r>
      <w:r>
        <w:rPr>
          <w:rFonts w:ascii="Arial" w:cs="Arial" w:eastAsia="Arial" w:hAnsi="Arial"/>
          <w:sz w:val="17"/>
          <w:szCs w:val="17"/>
          <w:color w:val="auto"/>
        </w:rPr>
        <w:t>SHARES</w:t>
      </w:r>
    </w:p>
    <w:p>
      <w:pPr>
        <w:spacing w:after="0" w:line="200" w:lineRule="exact"/>
        <w:rPr>
          <w:sz w:val="20"/>
          <w:szCs w:val="20"/>
          <w:color w:val="auto"/>
        </w:rPr>
      </w:pPr>
    </w:p>
    <w:p>
      <w:pPr>
        <w:spacing w:after="0" w:line="249"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ARCLIGHT CLEAN TRANSITION CORP. II INCORPORATED UNDER THE LAWS OF THE CAYMAN ISLANDS CLASS A ORDINARY SHARES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SEE REVERSE FOR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CERTAIN DEFINITIONS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CUSIP [•]</w:t>
      </w:r>
    </w:p>
    <w:p>
      <w:pPr>
        <w:spacing w:after="0" w:line="229"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i w:val="1"/>
          <w:iCs w:val="1"/>
          <w:color w:val="auto"/>
        </w:rPr>
        <w:t>This Certifies that</w:t>
      </w:r>
      <w:r>
        <w:rPr>
          <w:sz w:val="20"/>
          <w:szCs w:val="20"/>
          <w:color w:val="auto"/>
        </w:rPr>
        <w:tab/>
      </w:r>
      <w:r>
        <w:rPr>
          <w:rFonts w:ascii="Arial" w:cs="Arial" w:eastAsia="Arial" w:hAnsi="Arial"/>
          <w:sz w:val="15"/>
          <w:szCs w:val="15"/>
          <w:b w:val="1"/>
          <w:bCs w:val="1"/>
          <w:i w:val="1"/>
          <w:iCs w:val="1"/>
          <w:color w:val="auto"/>
        </w:rPr>
        <w:t>is the owner 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FULLY PAID AND NON-ASSESSABLE CLASS A ORDINARY SHARES OF THE PAR VALUE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US$0.0001 EACH OF ARCLIGHT CLEAN TRANSITION CORP. II (THE “COMPANY”)</w:t>
      </w:r>
    </w:p>
    <w:p>
      <w:pPr>
        <w:spacing w:after="0" w:line="211" w:lineRule="exact"/>
        <w:rPr>
          <w:sz w:val="20"/>
          <w:szCs w:val="20"/>
          <w:color w:val="auto"/>
        </w:rPr>
      </w:pPr>
    </w:p>
    <w:p>
      <w:pPr>
        <w:jc w:val="center"/>
        <w:spacing w:after="0" w:line="342" w:lineRule="auto"/>
        <w:rPr>
          <w:sz w:val="20"/>
          <w:szCs w:val="20"/>
          <w:color w:val="auto"/>
        </w:rPr>
      </w:pPr>
      <w:r>
        <w:rPr>
          <w:rFonts w:ascii="Arial" w:cs="Arial" w:eastAsia="Arial" w:hAnsi="Arial"/>
          <w:sz w:val="16"/>
          <w:szCs w:val="16"/>
          <w:i w:val="1"/>
          <w:iCs w:val="1"/>
          <w:color w:val="auto"/>
        </w:rPr>
        <w:t>subject to the Company’s amended and restated memorandum and articles of association, as the same may be amended from time to time, and transferable on the books of the Company in person or by duly authorized attorney upon surrender of this certificate properly endorsed.</w:t>
      </w:r>
    </w:p>
    <w:p>
      <w:pPr>
        <w:spacing w:after="0" w:line="124" w:lineRule="exact"/>
        <w:rPr>
          <w:sz w:val="20"/>
          <w:szCs w:val="20"/>
          <w:color w:val="auto"/>
        </w:rPr>
      </w:pPr>
    </w:p>
    <w:p>
      <w:pPr>
        <w:jc w:val="center"/>
        <w:spacing w:after="0" w:line="291" w:lineRule="auto"/>
        <w:rPr>
          <w:sz w:val="20"/>
          <w:szCs w:val="20"/>
          <w:color w:val="auto"/>
        </w:rPr>
      </w:pPr>
      <w:r>
        <w:rPr>
          <w:rFonts w:ascii="Arial" w:cs="Arial" w:eastAsia="Arial" w:hAnsi="Arial"/>
          <w:sz w:val="16"/>
          <w:szCs w:val="16"/>
          <w:i w:val="1"/>
          <w:iCs w:val="1"/>
          <w:color w:val="auto"/>
        </w:rPr>
        <w:t>The Company will be forced to redeem all of its Class A ordinary shares if it is unable to complete a business combination within the period set forth in the Company’s amended and restated memorandum and articles of association, as the same may be amended from time to time, all as more fully</w:t>
      </w:r>
    </w:p>
    <w:tbl>
      <w:tblPr>
        <w:tblLayout w:type="fixed"/>
        <w:tblInd w:w="306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i w:val="1"/>
                <w:iCs w:val="1"/>
                <w:color w:val="auto"/>
                <w:w w:val="99"/>
              </w:rPr>
              <w:t>described in the Company’s final prospectus dated</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 2021.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This certificate is not valid unless countersigned by the Transfer Agent and registered by the Registrar.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i w:val="1"/>
                <w:iCs w:val="1"/>
                <w:color w:val="auto"/>
              </w:rPr>
              <w:t>Witness the facsimile signatures of its duly authorized officers.</w:t>
            </w: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Dated: ______________________</w:t>
            </w:r>
          </w:p>
        </w:tc>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980" w:type="dxa"/>
            <w:vAlign w:val="bottom"/>
          </w:tcPr>
          <w:p>
            <w:pPr>
              <w:spacing w:after="0"/>
              <w:rPr>
                <w:sz w:val="24"/>
                <w:szCs w:val="24"/>
                <w:color w:val="auto"/>
              </w:rPr>
            </w:pPr>
          </w:p>
        </w:tc>
        <w:tc>
          <w:tcPr>
            <w:tcW w:w="3740" w:type="dxa"/>
            <w:vAlign w:val="bottom"/>
          </w:tcPr>
          <w:p>
            <w:pPr>
              <w:ind w:left="120"/>
              <w:spacing w:after="0"/>
              <w:rPr>
                <w:sz w:val="20"/>
                <w:szCs w:val="20"/>
                <w:color w:val="auto"/>
              </w:rPr>
            </w:pPr>
            <w:r>
              <w:rPr>
                <w:rFonts w:ascii="Arial" w:cs="Arial" w:eastAsia="Arial" w:hAnsi="Arial"/>
                <w:sz w:val="18"/>
                <w:szCs w:val="18"/>
                <w:color w:val="auto"/>
              </w:rPr>
              <w:t>Cayman Islands</w:t>
            </w:r>
          </w:p>
        </w:tc>
        <w:tc>
          <w:tcPr>
            <w:tcW w:w="34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16"/>
        </w:trPr>
        <w:tc>
          <w:tcPr>
            <w:tcW w:w="28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74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121" w:right="439" w:bottom="1440" w:gutter="0" w:footer="0" w:header="0"/>
        </w:sectPr>
      </w:pPr>
    </w:p>
    <w:bookmarkStart w:id="312" w:name="page313"/>
    <w:bookmarkEnd w:id="31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ARCLIGHT CLEAN TRANSITION CORP. II</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Company’s amended and restated memorandum and articles of association, as the same may be amended from time to time, and resolutions of the Board of Directors providing for the issue of Class A ordinary shares (copies of which may be obtained from the secretary of the Company), to all of which the holder of this certificate by acceptance hereof assents. The following abbreviations, when used in the inscription on the face of this certificate, shall be construed as though they were written out in full according to applicable laws or regulations: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TEN COM</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3440" w:type="dxa"/>
            <w:vAlign w:val="bottom"/>
          </w:tcPr>
          <w:p>
            <w:pPr>
              <w:ind w:left="60"/>
              <w:spacing w:after="0"/>
              <w:rPr>
                <w:sz w:val="20"/>
                <w:szCs w:val="20"/>
                <w:color w:val="auto"/>
              </w:rPr>
            </w:pPr>
            <w:r>
              <w:rPr>
                <w:rFonts w:ascii="Arial" w:cs="Arial" w:eastAsia="Arial" w:hAnsi="Arial"/>
                <w:sz w:val="18"/>
                <w:szCs w:val="18"/>
                <w:color w:val="auto"/>
              </w:rPr>
              <w:t>as tenants in common</w:t>
            </w:r>
          </w:p>
        </w:tc>
        <w:tc>
          <w:tcPr>
            <w:tcW w:w="2180" w:type="dxa"/>
            <w:vAlign w:val="bottom"/>
          </w:tcPr>
          <w:p>
            <w:pPr>
              <w:ind w:left="120"/>
              <w:spacing w:after="0"/>
              <w:rPr>
                <w:sz w:val="20"/>
                <w:szCs w:val="20"/>
                <w:color w:val="auto"/>
              </w:rPr>
            </w:pPr>
            <w:r>
              <w:rPr>
                <w:rFonts w:ascii="Arial" w:cs="Arial" w:eastAsia="Arial" w:hAnsi="Arial"/>
                <w:sz w:val="18"/>
                <w:szCs w:val="18"/>
                <w:color w:val="auto"/>
                <w:w w:val="99"/>
              </w:rPr>
              <w:t>UNIF GIFT—</w:t>
            </w: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Custodian</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180" w:type="dxa"/>
            <w:vAlign w:val="bottom"/>
          </w:tcPr>
          <w:p>
            <w:pPr>
              <w:ind w:left="120"/>
              <w:spacing w:after="0"/>
              <w:rPr>
                <w:sz w:val="20"/>
                <w:szCs w:val="20"/>
                <w:color w:val="auto"/>
              </w:rPr>
            </w:pPr>
            <w:r>
              <w:rPr>
                <w:rFonts w:ascii="Arial" w:cs="Arial" w:eastAsia="Arial" w:hAnsi="Arial"/>
                <w:sz w:val="18"/>
                <w:szCs w:val="18"/>
                <w:color w:val="auto"/>
              </w:rPr>
              <w:t>MIN ACT</w:t>
            </w: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83"/>
        </w:trPr>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237"/>
        </w:trPr>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60" w:type="dxa"/>
            <w:vAlign w:val="bottom"/>
            <w:gridSpan w:val="3"/>
          </w:tcPr>
          <w:p>
            <w:pPr>
              <w:ind w:left="180"/>
              <w:spacing w:after="0"/>
              <w:rPr>
                <w:sz w:val="20"/>
                <w:szCs w:val="20"/>
                <w:color w:val="auto"/>
              </w:rPr>
            </w:pPr>
            <w:r>
              <w:rPr>
                <w:rFonts w:ascii="Arial" w:cs="Arial" w:eastAsia="Arial" w:hAnsi="Arial"/>
                <w:sz w:val="18"/>
                <w:szCs w:val="18"/>
                <w:color w:val="auto"/>
              </w:rPr>
              <w:t>(Cust)</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(Minor)</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TEN ENT</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3440" w:type="dxa"/>
            <w:vAlign w:val="bottom"/>
          </w:tcPr>
          <w:p>
            <w:pPr>
              <w:ind w:left="60"/>
              <w:spacing w:after="0"/>
              <w:rPr>
                <w:sz w:val="20"/>
                <w:szCs w:val="20"/>
                <w:color w:val="auto"/>
              </w:rPr>
            </w:pPr>
            <w:r>
              <w:rPr>
                <w:rFonts w:ascii="Arial" w:cs="Arial" w:eastAsia="Arial" w:hAnsi="Arial"/>
                <w:sz w:val="18"/>
                <w:szCs w:val="18"/>
                <w:color w:val="auto"/>
              </w:rPr>
              <w:t>as tenants by the entireties</w:t>
            </w:r>
          </w:p>
        </w:tc>
        <w:tc>
          <w:tcPr>
            <w:tcW w:w="2180" w:type="dxa"/>
            <w:vAlign w:val="bottom"/>
          </w:tcPr>
          <w:p>
            <w:pPr>
              <w:spacing w:after="0"/>
              <w:rPr>
                <w:sz w:val="24"/>
                <w:szCs w:val="24"/>
                <w:color w:val="auto"/>
              </w:rPr>
            </w:pPr>
          </w:p>
        </w:tc>
        <w:tc>
          <w:tcPr>
            <w:tcW w:w="3240" w:type="dxa"/>
            <w:vAlign w:val="bottom"/>
            <w:gridSpan w:val="4"/>
          </w:tcPr>
          <w:p>
            <w:pPr>
              <w:ind w:left="680"/>
              <w:spacing w:after="0"/>
              <w:rPr>
                <w:sz w:val="20"/>
                <w:szCs w:val="20"/>
                <w:color w:val="auto"/>
              </w:rPr>
            </w:pPr>
            <w:r>
              <w:rPr>
                <w:rFonts w:ascii="Arial" w:cs="Arial" w:eastAsia="Arial" w:hAnsi="Arial"/>
                <w:sz w:val="18"/>
                <w:szCs w:val="18"/>
                <w:color w:val="auto"/>
                <w:w w:val="95"/>
              </w:rPr>
              <w:t>under Uniform Gifts to Minors Act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5"/>
        </w:trPr>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r>
      <w:tr>
        <w:trPr>
          <w:trHeight w:val="237"/>
        </w:trPr>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JT TEN</w:t>
            </w:r>
          </w:p>
        </w:tc>
        <w:tc>
          <w:tcPr>
            <w:tcW w:w="3820" w:type="dxa"/>
            <w:vAlign w:val="bottom"/>
            <w:gridSpan w:val="2"/>
          </w:tcPr>
          <w:p>
            <w:pPr>
              <w:ind w:left="140"/>
              <w:spacing w:after="0"/>
              <w:rPr>
                <w:sz w:val="20"/>
                <w:szCs w:val="20"/>
                <w:color w:val="auto"/>
              </w:rPr>
            </w:pPr>
            <w:r>
              <w:rPr>
                <w:rFonts w:ascii="Arial" w:cs="Arial" w:eastAsia="Arial" w:hAnsi="Arial"/>
                <w:sz w:val="18"/>
                <w:szCs w:val="18"/>
                <w:color w:val="auto"/>
                <w:w w:val="95"/>
              </w:rPr>
              <w:t>—  as joint tenants with right of survivorship and</w:t>
            </w:r>
          </w:p>
        </w:tc>
        <w:tc>
          <w:tcPr>
            <w:tcW w:w="2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tcPr>
          <w:p>
            <w:pPr>
              <w:ind w:left="60"/>
              <w:spacing w:after="0"/>
              <w:rPr>
                <w:sz w:val="20"/>
                <w:szCs w:val="20"/>
                <w:color w:val="auto"/>
              </w:rPr>
            </w:pPr>
            <w:r>
              <w:rPr>
                <w:rFonts w:ascii="Arial" w:cs="Arial" w:eastAsia="Arial" w:hAnsi="Arial"/>
                <w:sz w:val="18"/>
                <w:szCs w:val="18"/>
                <w:color w:val="auto"/>
              </w:rPr>
              <w:t>not as tenants in common</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ectPr>
          <w:pgSz w:w="11900" w:h="16838" w:orient="portrait"/>
          <w:cols w:equalWidth="0" w:num="1">
            <w:col w:w="10980"/>
          </w:cols>
          <w:pgMar w:left="440" w:top="274" w:right="479" w:bottom="1440" w:gutter="0" w:footer="0" w:header="0"/>
        </w:sectPr>
      </w:pPr>
    </w:p>
    <w:bookmarkStart w:id="313" w:name="page314"/>
    <w:bookmarkEnd w:id="313"/>
    <w:p>
      <w:pPr>
        <w:spacing w:after="0"/>
        <w:rPr>
          <w:sz w:val="20"/>
          <w:szCs w:val="20"/>
          <w:color w:val="auto"/>
        </w:rPr>
      </w:pPr>
      <w:r>
        <w:rPr>
          <w:rFonts w:ascii="Arial" w:cs="Arial" w:eastAsia="Arial" w:hAnsi="Arial"/>
          <w:sz w:val="16"/>
          <w:szCs w:val="16"/>
          <w:color w:val="auto"/>
        </w:rPr>
        <w:t>For value received,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-194310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1380" w:space="720"/>
            <w:col w:w="8900"/>
          </w:cols>
          <w:pgMar w:left="440" w:top="274" w:right="459" w:bottom="1440" w:gutter="0" w:footer="0" w:header="0"/>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(PLEASE PRINT OR TYPEWRITE NAME(S) AND ADDRESS(ES), INCLUDING ZIP CODE, OF ASSIGNEE(S))</w:t>
      </w:r>
    </w:p>
    <w:p>
      <w:pPr>
        <w:sectPr>
          <w:pgSz w:w="11900" w:h="16838" w:orient="portrait"/>
          <w:cols w:equalWidth="0" w:num="1">
            <w:col w:w="11000"/>
          </w:cols>
          <w:pgMar w:left="440" w:top="274" w:right="45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Shares represented by the within Certificate, and does hereby irrevocably constitute and appoint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Attorney to transfer the said shares on the</w:t>
      </w:r>
    </w:p>
    <w:p>
      <w:pPr>
        <w:spacing w:after="0" w:line="46" w:lineRule="exact"/>
        <w:rPr>
          <w:sz w:val="20"/>
          <w:szCs w:val="20"/>
          <w:color w:val="auto"/>
        </w:rPr>
      </w:pPr>
    </w:p>
    <w:p>
      <w:pPr>
        <w:sectPr>
          <w:pgSz w:w="11900" w:h="16838" w:orient="portrait"/>
          <w:cols w:equalWidth="0" w:num="2">
            <w:col w:w="6900" w:space="720"/>
            <w:col w:w="3380"/>
          </w:cols>
          <w:pgMar w:left="440" w:top="274" w:right="459" w:bottom="1440" w:gutter="0" w:footer="0" w:header="0"/>
          <w:type w:val="continuous"/>
        </w:sectPr>
      </w:pPr>
    </w:p>
    <w:p>
      <w:pPr>
        <w:spacing w:after="0"/>
        <w:rPr>
          <w:sz w:val="20"/>
          <w:szCs w:val="20"/>
          <w:color w:val="auto"/>
        </w:rPr>
      </w:pPr>
      <w:r>
        <w:rPr>
          <w:rFonts w:ascii="Arial" w:cs="Arial" w:eastAsia="Arial" w:hAnsi="Arial"/>
          <w:sz w:val="18"/>
          <w:szCs w:val="18"/>
          <w:color w:val="auto"/>
        </w:rPr>
        <w:t>books of the within named Company with full power of substitution in the premises.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151765</wp:posOffset>
            </wp:positionV>
            <wp:extent cx="335153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126365</wp:posOffset>
            </wp:positionV>
            <wp:extent cx="24561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2456180" cy="8890"/>
                    </a:xfrm>
                    <a:prstGeom prst="rect">
                      <a:avLst/>
                    </a:prstGeom>
                    <a:noFill/>
                  </pic:spPr>
                </pic:pic>
              </a:graphicData>
            </a:graphic>
          </wp:anchor>
        </w:drawing>
      </w:r>
    </w:p>
    <w:p>
      <w:pPr>
        <w:spacing w:after="0" w:line="232"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Shareholder</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NOTICE: THE SIGNATURE(S) TO THIS ASSIGNMENT MUST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CORRESPOND WITH THE NAME AS WRITTEN UPON THE FACE</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OF THE CERTIFICATE IN EVERY PARTICULAR, WITHOUT</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ALTERATION OR ENLARGEMENT OR ANY CHANGE</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WHATEVER.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35744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374650</wp:posOffset>
            </wp:positionV>
            <wp:extent cx="35744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each case, as more fully described in the Company’s final prospectus dated , 2021, the holder(s) of this certificate shall be entitled to receive a pro-rata portion of certain funds held in the trust account established in connection with its initial public offering only in the event that (i) the Company redeems the Class A ordinary shares sold in its initial public offering and liquidates because it does not consummate an initial business combination within the period of time set forth in the Company’s amended and restated memorandum and articles of association, as the same may be amended from time to time, (ii) the Company redeems the Class A ordinary shares sold in its initial public offering in connection with a shareholder vote to amend the Company’s amended and restated memorandum and articles of association (A) that would modify the substance or timing of the Company’s obligation to provide holders of the Class A ordinary shares the right to have their shares redeemed in connection with the Company’s initial business combination or to redeem 100% of the Class A ordinary shares if the Company does not complete its initial business combination within the time period set forth therein or (B) with respect to any other provision relating to the rights of holders of the Class A ordinary shares, or (iii) if the holder(s) seek(s) to redeem for cash his, her or its respective Class A ordinary shares in connection with a tender offer (or proxy solicitation, solely in the event the Company seeks shareholder approval of the proposed initial business combination) setting forth the details of a proposed initial business combination. In no other circumstances shall the holder(s) have any right or interest of any kind in or to the trust account.</w:t>
      </w:r>
    </w:p>
    <w:p>
      <w:pPr>
        <w:sectPr>
          <w:pgSz w:w="11900" w:h="16838" w:orient="portrait"/>
          <w:cols w:equalWidth="0" w:num="1">
            <w:col w:w="11000"/>
          </w:cols>
          <w:pgMar w:left="440" w:top="274" w:right="459" w:bottom="1440" w:gutter="0" w:footer="0" w:header="0"/>
          <w:type w:val="continuous"/>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THIS WARRANT SHALL BE VOID IF NOT EXERCISED PRIOR TO THE EXPIRATION OF THE EXERCISE PERIOD PROVIDED FOR IN THE WARRANT AGREEMENT DESCRIBED BELOW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Under the Laws of the Cayman Islands</w:t>
      </w:r>
    </w:p>
    <w:p>
      <w:pPr>
        <w:spacing w:after="0" w:line="211" w:lineRule="exact"/>
        <w:rPr>
          <w:sz w:val="20"/>
          <w:szCs w:val="20"/>
          <w:color w:val="auto"/>
        </w:rPr>
      </w:pPr>
    </w:p>
    <w:p>
      <w:pPr>
        <w:ind w:left="10280"/>
        <w:spacing w:after="0"/>
        <w:rPr>
          <w:sz w:val="20"/>
          <w:szCs w:val="20"/>
          <w:color w:val="auto"/>
        </w:rPr>
      </w:pPr>
      <w:r>
        <w:rPr>
          <w:rFonts w:ascii="Arial" w:cs="Arial" w:eastAsia="Arial" w:hAnsi="Arial"/>
          <w:sz w:val="17"/>
          <w:szCs w:val="17"/>
          <w:color w:val="auto"/>
        </w:rPr>
        <w:t>CUSIP [•]</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9" w:lineRule="exact"/>
        <w:rPr>
          <w:sz w:val="20"/>
          <w:szCs w:val="20"/>
          <w:color w:val="auto"/>
        </w:rPr>
      </w:pPr>
    </w:p>
    <w:p>
      <w:pPr>
        <w:spacing w:after="0"/>
        <w:tabs>
          <w:tab w:leader="none" w:pos="3520" w:val="left"/>
          <w:tab w:leader="none" w:pos="7780" w:val="left"/>
        </w:tabs>
        <w:rPr>
          <w:sz w:val="20"/>
          <w:szCs w:val="20"/>
          <w:color w:val="auto"/>
        </w:rPr>
      </w:pPr>
      <w:r>
        <w:rPr>
          <w:rFonts w:ascii="Arial" w:cs="Arial" w:eastAsia="Arial" w:hAnsi="Arial"/>
          <w:sz w:val="18"/>
          <w:szCs w:val="18"/>
          <w:b w:val="1"/>
          <w:bCs w:val="1"/>
          <w:i w:val="1"/>
          <w:iCs w:val="1"/>
          <w:color w:val="auto"/>
        </w:rPr>
        <w:t>This Warrant Certificate certifies that</w:t>
      </w:r>
      <w:r>
        <w:rPr>
          <w:sz w:val="20"/>
          <w:szCs w:val="20"/>
          <w:color w:val="auto"/>
        </w:rPr>
        <w:tab/>
      </w:r>
      <w:r>
        <w:rPr>
          <w:rFonts w:ascii="Arial" w:cs="Arial" w:eastAsia="Arial" w:hAnsi="Arial"/>
          <w:sz w:val="18"/>
          <w:szCs w:val="18"/>
          <w:color w:val="auto"/>
        </w:rPr>
        <w:t>, or registered assigns, is the registered holder of</w:t>
      </w:r>
      <w:r>
        <w:rPr>
          <w:sz w:val="20"/>
          <w:szCs w:val="20"/>
          <w:color w:val="auto"/>
        </w:rPr>
        <w:tab/>
      </w:r>
      <w:r>
        <w:rPr>
          <w:rFonts w:ascii="Arial" w:cs="Arial" w:eastAsia="Arial" w:hAnsi="Arial"/>
          <w:sz w:val="16"/>
          <w:szCs w:val="16"/>
          <w:color w:val="auto"/>
        </w:rPr>
        <w:t>warrant(s)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and each, a</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to purchase Class A ordinary shares, $0.0001 par value (“</w:t>
      </w:r>
      <w:r>
        <w:rPr>
          <w:rFonts w:ascii="Arial" w:cs="Arial" w:eastAsia="Arial" w:hAnsi="Arial"/>
          <w:sz w:val="17"/>
          <w:szCs w:val="17"/>
          <w:b w:val="1"/>
          <w:bCs w:val="1"/>
          <w:i w:val="1"/>
          <w:iCs w:val="1"/>
          <w:color w:val="auto"/>
        </w:rPr>
        <w:t>Ordinary Shares</w:t>
      </w:r>
      <w:r>
        <w:rPr>
          <w:rFonts w:ascii="Arial" w:cs="Arial" w:eastAsia="Arial" w:hAnsi="Arial"/>
          <w:sz w:val="17"/>
          <w:szCs w:val="17"/>
          <w:color w:val="auto"/>
        </w:rPr>
        <w:t>”), of ArcLight Clean Transition Corp. II,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Each Warrant entitles the holder, upon exercise during the period set forth in the Warrant Agreement referred to below, to receive from the Company that number of fully paid and nonassessable Ordinary Shares as set forth below, at the exercise price (the “</w:t>
      </w:r>
      <w:r>
        <w:rPr>
          <w:rFonts w:ascii="Arial" w:cs="Arial" w:eastAsia="Arial" w:hAnsi="Arial"/>
          <w:sz w:val="17"/>
          <w:szCs w:val="17"/>
          <w:b w:val="1"/>
          <w:bCs w:val="1"/>
          <w:i w:val="1"/>
          <w:iCs w:val="1"/>
          <w:color w:val="auto"/>
        </w:rPr>
        <w:t>Exercise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Price</w:t>
      </w:r>
      <w:r>
        <w:rPr>
          <w:rFonts w:ascii="Arial" w:cs="Arial" w:eastAsia="Arial" w:hAnsi="Arial"/>
          <w:sz w:val="17"/>
          <w:szCs w:val="17"/>
          <w:color w:val="auto"/>
        </w:rPr>
        <w:t>”) as determined pursuant to the Warrant Agreement, payable in lawful money (or through “</w:t>
      </w:r>
      <w:r>
        <w:rPr>
          <w:rFonts w:ascii="Arial" w:cs="Arial" w:eastAsia="Arial" w:hAnsi="Arial"/>
          <w:sz w:val="17"/>
          <w:szCs w:val="17"/>
          <w:b w:val="1"/>
          <w:bCs w:val="1"/>
          <w:i w:val="1"/>
          <w:iCs w:val="1"/>
          <w:color w:val="auto"/>
        </w:rPr>
        <w:t>cashless exercise</w:t>
      </w:r>
      <w:r>
        <w:rPr>
          <w:rFonts w:ascii="Arial" w:cs="Arial" w:eastAsia="Arial" w:hAnsi="Arial"/>
          <w:sz w:val="17"/>
          <w:szCs w:val="17"/>
          <w:color w:val="auto"/>
        </w:rPr>
        <w:t>” as provided for in the Warrant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8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Each whole Warrant is initially exercisable for one fully paid and non-assessable Ordinary Share. Fractional shares shall not be issued upon exercise of any Warrant. If, upon the exercise of Warrants, a holder would be entitled to receive a fractional interest in an Ordinary Share, the Company shall, upon exercise, round down to the nearest whole number the number of Ordinary Shares to be issued to the Warrant holder. The number of Ordinary Shares issuable upon exercise of the Warrants is subject to adjustment upon the occurrence of certain events as set forth in the Warrant Agreement.</w:t>
      </w:r>
    </w:p>
    <w:p>
      <w:pPr>
        <w:spacing w:after="0" w:line="1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initial Exercise Price per one Ordinary Share for any Warrant is equal to $11.50 per share. The Exercise Price is subject to adjustment upon the occurrence of certain events as set forth in the Warrant Agreement.</w:t>
      </w:r>
    </w:p>
    <w:p>
      <w:pPr>
        <w:spacing w:after="0" w:line="17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7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This Warrant Certificate shall not be valid unless countersigned by the Warrant Agent, as such term is used in the Warrant Agreement. This Warrant Certificate shall be governed by and construed in accordance with the internal laws of the State of New York.</w:t>
      </w:r>
    </w:p>
    <w:p>
      <w:pPr>
        <w:sectPr>
          <w:pgSz w:w="11900" w:h="16838" w:orient="portrait"/>
          <w:cols w:equalWidth="0" w:num="1">
            <w:col w:w="11020"/>
          </w:cols>
          <w:pgMar w:left="440" w:top="121" w:right="439" w:bottom="1440" w:gutter="0" w:footer="0" w:header="0"/>
        </w:sectPr>
      </w:pPr>
    </w:p>
    <w:bookmarkStart w:id="315" w:name="page316"/>
    <w:bookmarkEnd w:id="31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ARCLIGHT CLEAN TRANSITION CORP. II</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F. Erhard</w:t>
      </w:r>
    </w:p>
    <w:p>
      <w:pPr>
        <w:spacing w:after="0" w:line="23"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CONTINENTAL STOCK TRANSFER &amp; TRUST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COMPANY, AS WARRANT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Warrant Certificate</w:t>
      </w:r>
      <w:r>
        <w:rPr>
          <w:rFonts w:ascii="Arial" w:cs="Arial" w:eastAsia="Arial" w:hAnsi="Arial"/>
          <w:sz w:val="16"/>
          <w:szCs w:val="16"/>
          <w:color w:val="auto"/>
        </w:rPr>
        <w:t>]</w:t>
      </w:r>
    </w:p>
    <w:p>
      <w:pPr>
        <w:sectPr>
          <w:pgSz w:w="11900" w:h="16838" w:orient="portrait"/>
          <w:cols w:equalWidth="0" w:num="1">
            <w:col w:w="9260"/>
          </w:cols>
          <w:pgMar w:left="1440" w:top="274" w:right="1199" w:bottom="1440" w:gutter="0" w:footer="0" w:header="0"/>
        </w:sectPr>
      </w:pPr>
    </w:p>
    <w:bookmarkStart w:id="316" w:name="page317"/>
    <w:bookmarkEnd w:id="3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[Reverse]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Warrants evidenced by this Warrant Certificate are part of a duly authorized issue of Warrants entitling the holder on exercise to</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receive Ordinary Shares and are issued or to be issued pursuant to a Warrant Agreement dated as of , 2021 (the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duly executed and delivered by the Company to Continental Stock Transfer &amp; Trust Company, a New York corporation, as warrant agent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w:t>
      </w:r>
      <w:r>
        <w:rPr>
          <w:rFonts w:ascii="Arial" w:cs="Arial" w:eastAsia="Arial" w:hAnsi="Arial"/>
          <w:sz w:val="17"/>
          <w:szCs w:val="17"/>
          <w:i w:val="1"/>
          <w:iCs w:val="1"/>
          <w:color w:val="auto"/>
        </w:rPr>
        <w:t>cashless exercise</w:t>
      </w:r>
      <w:r>
        <w:rPr>
          <w:rFonts w:ascii="Arial" w:cs="Arial" w:eastAsia="Arial" w:hAnsi="Arial"/>
          <w:sz w:val="17"/>
          <w:szCs w:val="17"/>
          <w:color w:val="auto"/>
        </w:rPr>
        <w:t>”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Notwithstanding anything else in this Warrant Certificate or the Warrant Agreement, no Warrant may be exercised unless at the time of exercise (i) a registration statement covering the issuance of the Ordinary Shares to be issued upon exercise is effective under the Securities Act and (ii) a prospectus thereunder relating to the Ordinary Shares is current, except through “</w:t>
      </w:r>
      <w:r>
        <w:rPr>
          <w:rFonts w:ascii="Arial" w:cs="Arial" w:eastAsia="Arial" w:hAnsi="Arial"/>
          <w:sz w:val="16"/>
          <w:szCs w:val="16"/>
          <w:i w:val="1"/>
          <w:iCs w:val="1"/>
          <w:color w:val="auto"/>
        </w:rPr>
        <w:t>cashless exercise</w:t>
      </w:r>
      <w:r>
        <w:rPr>
          <w:rFonts w:ascii="Arial" w:cs="Arial" w:eastAsia="Arial" w:hAnsi="Arial"/>
          <w:sz w:val="16"/>
          <w:szCs w:val="16"/>
          <w:color w:val="auto"/>
        </w:rPr>
        <w:t>” as provided for in the Warrant Agreement.</w:t>
      </w:r>
    </w:p>
    <w:p>
      <w:pPr>
        <w:spacing w:after="0" w:line="14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Ordinary Shares issuable upon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Certificate</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317" w:name="page318"/>
    <w:bookmarkEnd w:id="31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Election to Purchase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undersigned hereby irrevocably elects to exercise the right, represented by this Warrant Certificate, to receive Ordinary Shares and herewith tenders payment for such Ordinary Shares to the order of ArcLight Clean Transition Corp. II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the amount of $ in accordance with the terms hereof. The undersigned requests that a certificate for such Ordinary Shares be registered in the name of , whose address is and that such Ordinary Shares be delivered to whose address is . If said number of Ordinary Shares is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less than all of the Ordinary Shares purchasable hereunder, the undersigned requests that a new Warrant Certificate representing the remaining balance</w:t>
      </w:r>
    </w:p>
    <w:p>
      <w:pPr>
        <w:spacing w:after="0" w:line="3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of such Ordinary Shares be registered in the name of , whose address is and that such Warrant Certificate be delivered to , whose address is .</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In the event that the Warrant has been called for redemption by the Company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of the Warrant Agreement and a holder thereof elects to exercise its Warrant pursuant to a Make-Whole Exercise, the number of Ordinary Shares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of the Warrant Agreement, as applicable.</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Ordinary Shares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In the event that the Warrant is to be exercised on a “cashless” basis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of the Warrant Agreement, the number of Ordinary Shares that this Warrant is exercisable for shall be determined in accordance with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of the Warrant Agreement.</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shares is less than all of the Ordinary Shares purchasable hereunder (after giving effect to the cashless exercise), the undersigned requests that a new Warrant</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Certificate representing the remaining balance of such Ordinary Shares be registered in the name of , whose address is and that such Warrant Certificate be delivered to , whose address is .</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Certificate</w:t>
      </w: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bookmarkStart w:id="318" w:name="page319"/>
    <w:bookmarkEnd w:id="318"/>
    <w:p>
      <w:pPr>
        <w:spacing w:after="0"/>
        <w:tabs>
          <w:tab w:leader="none" w:pos="11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w:t>
      </w:r>
      <w:r>
        <w:rPr>
          <w:sz w:val="20"/>
          <w:szCs w:val="20"/>
          <w:color w:val="auto"/>
        </w:rPr>
        <w:tab/>
      </w:r>
      <w:r>
        <w:rPr>
          <w:rFonts w:ascii="Arial" w:cs="Arial" w:eastAsia="Arial" w:hAnsi="Arial"/>
          <w:sz w:val="18"/>
          <w:szCs w:val="18"/>
          <w:color w:val="auto"/>
        </w:rPr>
        <w:t>, 2021</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288925</wp:posOffset>
            </wp:positionV>
            <wp:extent cx="32143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(Tax Identification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220345</wp:posOffset>
            </wp:positionV>
            <wp:extent cx="328295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Certificate</w:t>
      </w:r>
      <w:r>
        <w:rPr>
          <w:rFonts w:ascii="Arial" w:cs="Arial" w:eastAsia="Arial" w:hAnsi="Arial"/>
          <w:sz w:val="18"/>
          <w:szCs w:val="18"/>
          <w:color w:val="auto"/>
        </w:rPr>
        <w:t>]</w:t>
      </w:r>
    </w:p>
    <w:p>
      <w:pPr>
        <w:sectPr>
          <w:pgSz w:w="11900" w:h="16838" w:orient="portrait"/>
          <w:cols w:equalWidth="0" w:num="1">
            <w:col w:w="10800"/>
          </w:cols>
          <w:pgMar w:left="440" w:top="274" w:right="65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ARCLIGHT CLEAN TRANSITION CORP.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 2021</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THIS WARRANT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 2021, is by and between ArcLight Clean Transition Corp. II,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a New York corporation, as warrant agent (in such capacity,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WHEREAS, it is proposed that the Company enter into that certain Sponsor Warrants Purchase Agreement, with ArcLight CTC Holdings II, L.P., a Delaware limited partnership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xml:space="preserve">”), pursuant to which the Sponsor will purchase an aggregate of 8,000,000 warrants (or up to 8,750,000 warrants if the underwriters in the Public Offering (defined below) exercise their Over-allotment Option (as defined below) in full) simultaneously with the closing of the Offering (and the closing of the Over-allotment Option, if applicable), bearing the legend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Private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Placement Warrants</w:t>
      </w:r>
      <w:r>
        <w:rPr>
          <w:rFonts w:ascii="Arial" w:cs="Arial" w:eastAsia="Arial" w:hAnsi="Arial"/>
          <w:sz w:val="16"/>
          <w:szCs w:val="16"/>
          <w:color w:val="auto"/>
        </w:rPr>
        <w:t>”) at a purchase price of $1.50 per Private Placement Warrant. Each Private Placement Warrant entitles the holder thereof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one Ordinary Share (as defined below) at a price of $11.50 per share, subject to adjustment as described herein; and</w:t>
      </w:r>
    </w:p>
    <w:p>
      <w:pPr>
        <w:spacing w:after="0" w:line="1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WHEREAS, in order to finance the Company’s transaction costs in connection with an intended initial merger, share exchange, asset acquisition, share purchase, reorganization or similar business combination, involving the Company and one or more businesses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the Sponsor or an affiliate of the Sponsor or certain of the Company’s officers and directors may, but are not obligated to, loan the Company funds as the Company may require, of which up to $1,500,000 of such loans may be convertible into up to an additional 1,500,000 Private Placement Warrants at a price of $1.50 per Private Placement Warrant; and</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WHEREAS, the Company is engaged in an initial public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of units of the Company’s equity securities, each such unit comprised of one Ordinary Share and one-fifth of one Public Warrant (as defined below)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and, in connection therewith, has determined to issue and deliver up to 5,750,000 redeemable warrants (including up to 750,000 redeemable warrants subject to the Over-allotment Option) to public investors in the Offering (the “</w:t>
      </w:r>
      <w:r>
        <w:rPr>
          <w:rFonts w:ascii="Arial" w:cs="Arial" w:eastAsia="Arial" w:hAnsi="Arial"/>
          <w:sz w:val="16"/>
          <w:szCs w:val="16"/>
          <w:b w:val="1"/>
          <w:bCs w:val="1"/>
          <w:i w:val="1"/>
          <w:iCs w:val="1"/>
          <w:color w:val="auto"/>
        </w:rPr>
        <w:t>Public Warrants</w:t>
      </w:r>
      <w:r>
        <w:rPr>
          <w:rFonts w:ascii="Arial" w:cs="Arial" w:eastAsia="Arial" w:hAnsi="Arial"/>
          <w:sz w:val="16"/>
          <w:szCs w:val="16"/>
          <w:color w:val="auto"/>
        </w:rPr>
        <w:t>” and, together with the Private Placement Warrants,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Each whole Warrant entitles the holder thereof to purchase one Class A ordinary share of the Company, par value $0.0001 per share (“</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for $11.50 per share, subject to adjustment as described herein. Only whole Warrants are exercisable. A holder of the Public Warrants will not be able to exercise any fraction of a Warrant; and</w:t>
      </w:r>
    </w:p>
    <w:p>
      <w:pPr>
        <w:spacing w:after="0" w:line="164"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 registration statement on Form S-1, File No. 333-252730 and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Units, the Public Warrants and the Ordinary Shares included in the Units; and</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ectPr>
          <w:pgSz w:w="11900" w:h="16838" w:orient="portrait"/>
          <w:cols w:equalWidth="0" w:num="1">
            <w:col w:w="11020"/>
          </w:cols>
          <w:pgMar w:left="440" w:top="121" w:right="439" w:bottom="1440" w:gutter="0" w:footer="0" w:header="0"/>
        </w:sectPr>
      </w:pPr>
    </w:p>
    <w:bookmarkStart w:id="320" w:name="page321"/>
    <w:bookmarkEnd w:id="320"/>
    <w:p>
      <w:pPr>
        <w:jc w:val="both"/>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WHEREAS, all acts and things have been done and performed which are necessary to make the Warrants, when executed on behalf of the Company and countersigned by or on behalf of the Warrant Agent (if a physical certificate is issued), as provided herein, the valid, binding and legal obligations of the Company, and to authorize the execution and delivery of this Agreement.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117" w:lineRule="exact"/>
        <w:rPr>
          <w:sz w:val="20"/>
          <w:szCs w:val="20"/>
          <w:color w:val="auto"/>
        </w:rPr>
      </w:pPr>
    </w:p>
    <w:p>
      <w:pPr>
        <w:ind w:left="4" w:right="120" w:hanging="4"/>
        <w:spacing w:after="0" w:line="342" w:lineRule="auto"/>
        <w:tabs>
          <w:tab w:leader="none" w:pos="184"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5" w:lineRule="exact"/>
        <w:rPr>
          <w:rFonts w:ascii="Arial" w:cs="Arial" w:eastAsia="Arial" w:hAnsi="Arial"/>
          <w:sz w:val="16"/>
          <w:szCs w:val="16"/>
          <w:color w:val="auto"/>
        </w:rPr>
      </w:pPr>
    </w:p>
    <w:p>
      <w:pPr>
        <w:ind w:left="184" w:hanging="184"/>
        <w:spacing w:after="0"/>
        <w:tabs>
          <w:tab w:leader="none" w:pos="184"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Each Warrant shall initially be issued in registered form only.</w:t>
      </w:r>
    </w:p>
    <w:p>
      <w:pPr>
        <w:spacing w:after="0" w:line="117"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If a physical certificate is issued, unless and until countersigned by the Warrant Agent pursuant to this Agreement, a certificated Warrant shall be invalid and of no effect and may not be exercised by the holder thereof.</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117"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Warrant Register</w:t>
      </w:r>
      <w:r>
        <w:rPr>
          <w:rFonts w:ascii="Arial" w:cs="Arial" w:eastAsia="Arial" w:hAnsi="Arial"/>
          <w:sz w:val="18"/>
          <w:szCs w:val="18"/>
          <w:color w:val="auto"/>
        </w:rPr>
        <w:t>. The Warrant Agent shall maintain books (the “</w:t>
      </w:r>
      <w:r>
        <w:rPr>
          <w:rFonts w:ascii="Arial" w:cs="Arial" w:eastAsia="Arial" w:hAnsi="Arial"/>
          <w:sz w:val="18"/>
          <w:szCs w:val="18"/>
          <w:b w:val="1"/>
          <w:bCs w:val="1"/>
          <w:i w:val="1"/>
          <w:iCs w:val="1"/>
          <w:color w:val="auto"/>
        </w:rPr>
        <w:t>Warrant Register</w:t>
      </w:r>
      <w:r>
        <w:rPr>
          <w:rFonts w:ascii="Arial" w:cs="Arial" w:eastAsia="Arial" w:hAnsi="Arial"/>
          <w:sz w:val="18"/>
          <w:szCs w:val="18"/>
          <w:color w:val="auto"/>
        </w:rPr>
        <w:t>”), for the registration of original issuance and the registration of transfer of the Warrants. Upon the initial issuance of the Warrants in book-entry form, the Warrant Agent shall issue and register the Warrants in the names of the respective holders thereof in such denominations and otherwise in accordance with instructions delivered to the Warrant Agent by the Company. Ownership of beneficial interests in the Public Warrants shall be shown on, and the transfer of such ownership shall be effected through, records maintained by institutions that have accounts with The Depository Trust Company (the “</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(such institution, with respect to a Warrant in its account,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192"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Public Warrant, and the Company shall instruct the Warrant Agent to deliver to the Depositary definitive certificates in physical form evidencing such Warrants (“</w:t>
      </w:r>
      <w:r>
        <w:rPr>
          <w:rFonts w:ascii="Arial" w:cs="Arial" w:eastAsia="Arial" w:hAnsi="Arial"/>
          <w:sz w:val="18"/>
          <w:szCs w:val="18"/>
          <w:b w:val="1"/>
          <w:bCs w:val="1"/>
          <w:i w:val="1"/>
          <w:iCs w:val="1"/>
          <w:color w:val="auto"/>
        </w:rPr>
        <w:t>Definitive Warrant Certificates</w:t>
      </w:r>
      <w:r>
        <w:rPr>
          <w:rFonts w:ascii="Arial" w:cs="Arial" w:eastAsia="Arial" w:hAnsi="Arial"/>
          <w:sz w:val="18"/>
          <w:szCs w:val="18"/>
          <w:color w:val="auto"/>
        </w:rPr>
        <w:t xml:space="preserve">”) which shall be in the form annexed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92" w:lineRule="exact"/>
        <w:rPr>
          <w:sz w:val="20"/>
          <w:szCs w:val="20"/>
          <w:color w:val="auto"/>
        </w:rPr>
      </w:pPr>
    </w:p>
    <w:p>
      <w:pPr>
        <w:ind w:left="4" w:right="220"/>
        <w:spacing w:after="0" w:line="301" w:lineRule="auto"/>
        <w:rPr>
          <w:sz w:val="20"/>
          <w:szCs w:val="20"/>
          <w:color w:val="auto"/>
        </w:rPr>
      </w:pPr>
      <w:r>
        <w:rPr>
          <w:rFonts w:ascii="Arial" w:cs="Arial" w:eastAsia="Arial" w:hAnsi="Arial"/>
          <w:sz w:val="16"/>
          <w:szCs w:val="16"/>
          <w:color w:val="auto"/>
        </w:rPr>
        <w:t>Physical certificates, if issued, shall be signed by, or bear the facsimile signature of, the Chairman of the Board, Chief Executive Officer, President, Chief Financial Officer, Chief Operating Officer, General Counsel, Secretary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49"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registered in the Warrant Register (the “</w:t>
      </w:r>
      <w:r>
        <w:rPr>
          <w:rFonts w:ascii="Arial" w:cs="Arial" w:eastAsia="Arial" w:hAnsi="Arial"/>
          <w:sz w:val="18"/>
          <w:szCs w:val="18"/>
          <w:b w:val="1"/>
          <w:bCs w:val="1"/>
          <w:i w:val="1"/>
          <w:iCs w:val="1"/>
          <w:color w:val="auto"/>
        </w:rPr>
        <w:t>Registered Holder</w:t>
      </w:r>
      <w:r>
        <w:rPr>
          <w:rFonts w:ascii="Arial" w:cs="Arial" w:eastAsia="Arial" w:hAnsi="Arial"/>
          <w:sz w:val="18"/>
          <w:szCs w:val="18"/>
          <w:color w:val="auto"/>
        </w:rPr>
        <w:t>”) as the absolute owner of such Warrant and of each Warrant represented thereby, for the purpose of any exercise thereof, and for all other purposes, and neither the Company nor the Warrant Agent shall be affected by any notice to the contrary.</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The Ordinary Shares and Public Warrants comprising the Units shall begin separate trading on the 52nd day following</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date of the Prospectus or, if such 52nd day is not on a day, other than a Saturday, Sunday or federal holiday, on which banks in New York City are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generally open for normal business (a “</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then on the immediately succeeding Business Day following such date, or earlier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Detachment Date</w:t>
      </w:r>
      <w:r>
        <w:rPr>
          <w:rFonts w:ascii="Arial" w:cs="Arial" w:eastAsia="Arial" w:hAnsi="Arial"/>
          <w:sz w:val="17"/>
          <w:szCs w:val="17"/>
          <w:color w:val="auto"/>
        </w:rPr>
        <w:t>”) with the consent of Citigroup Global Markets Inc. and Barclays Capital Inc., but in no event shall the Ordinary Shares and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Public Warrants comprising the Units be separately traded until (A) the Company has filed a Current Report on Form 8-K with the Commission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containing an audited balance sheet reflecting the receipt by the Company of the gross proceeds of the Offering, including the proceeds then received by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from the exercise by the underwriters of their right to purchase additional Units in the Offering (the “</w:t>
      </w:r>
      <w:r>
        <w:rPr>
          <w:rFonts w:ascii="Arial" w:cs="Arial" w:eastAsia="Arial" w:hAnsi="Arial"/>
          <w:sz w:val="17"/>
          <w:szCs w:val="17"/>
          <w:b w:val="1"/>
          <w:bCs w:val="1"/>
          <w:i w:val="1"/>
          <w:iCs w:val="1"/>
          <w:color w:val="auto"/>
        </w:rPr>
        <w:t>Over-allotment Option</w:t>
      </w:r>
      <w:r>
        <w:rPr>
          <w:rFonts w:ascii="Arial" w:cs="Arial" w:eastAsia="Arial" w:hAnsi="Arial"/>
          <w:sz w:val="17"/>
          <w:szCs w:val="17"/>
          <w:color w:val="auto"/>
        </w:rPr>
        <w:t>”), if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Over-allotment Option is exercised prior to the filing of the Current Report on Form 8-K, and (B) the Company issues a press release announcing when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such separate trading shall begin.</w:t>
      </w:r>
    </w:p>
    <w:p>
      <w:pPr>
        <w:sectPr>
          <w:pgSz w:w="11900" w:h="16838" w:orient="portrait"/>
          <w:cols w:equalWidth="0" w:num="1">
            <w:col w:w="11004"/>
          </w:cols>
          <w:pgMar w:left="436" w:top="274" w:right="459" w:bottom="1440" w:gutter="0" w:footer="0" w:header="0"/>
        </w:sectPr>
      </w:pPr>
    </w:p>
    <w:bookmarkStart w:id="321" w:name="page322"/>
    <w:bookmarkEnd w:id="321"/>
    <w:p>
      <w:pPr>
        <w:ind w:left="4"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2.5. </w:t>
      </w:r>
      <w:r>
        <w:rPr>
          <w:rFonts w:ascii="Arial" w:cs="Arial" w:eastAsia="Arial" w:hAnsi="Arial"/>
          <w:sz w:val="16"/>
          <w:szCs w:val="16"/>
          <w:u w:val="single" w:color="auto"/>
          <w:color w:val="auto"/>
        </w:rPr>
        <w:t>Fractional Warrants</w:t>
      </w:r>
      <w:r>
        <w:rPr>
          <w:rFonts w:ascii="Arial" w:cs="Arial" w:eastAsia="Arial" w:hAnsi="Arial"/>
          <w:sz w:val="16"/>
          <w:szCs w:val="16"/>
          <w:color w:val="auto"/>
        </w:rPr>
        <w:t>. The Company shall not issue fractional Warrants other than as part of the Units, each of which is comprised of one Ordinary Share and one-fifth of one whole Public Warrant. If, upon the detachment of Public Warrants from the Units or otherwise, a holder of Warrants would be entitled to receive a fractional Warrant, the Company shall round down to the nearest whole number the number of Warrants to be issued to such holder.</w:t>
      </w:r>
    </w:p>
    <w:p>
      <w:pPr>
        <w:spacing w:after="0" w:line="41"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xml:space="preserve">. The Private Placement Warrants shall be identical to the Public Warrants, except that so long as they are held by the Sponsor or any of its Permitted Transferees (as defined below) the Private Placement Warrants: (i) may be exercised for cash or on a “cashless basis,” pursuant to </w:t>
      </w:r>
      <w:r>
        <w:rPr>
          <w:rFonts w:ascii="Arial" w:cs="Arial" w:eastAsia="Arial" w:hAnsi="Arial"/>
          <w:sz w:val="16"/>
          <w:szCs w:val="16"/>
          <w:u w:val="single" w:color="auto"/>
          <w:color w:val="auto"/>
        </w:rPr>
        <w:t>subsection 3.3.1(c)</w:t>
      </w:r>
      <w:r>
        <w:rPr>
          <w:rFonts w:ascii="Arial" w:cs="Arial" w:eastAsia="Arial" w:hAnsi="Arial"/>
          <w:sz w:val="16"/>
          <w:szCs w:val="16"/>
          <w:color w:val="auto"/>
        </w:rPr>
        <w:t xml:space="preserve"> hereof, (ii) including the Ordinary Shares issuable upon exercise of the Private Placement Warrants, may not be transferred, assigned or sold until thirty (30) days after the completion by the Company of an initial Business Combination, (iii) shall not be redeemable by the Company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 and (iv) shall only be redeemable by the Company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if the Reference Value (as defined below) is less than $18.00 per share (subject to adjustment in compliance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(ii), the Private Placement Warrants and any Ordinary Shares issued upon exercise of the Private Placement Warrants may be transferred by the holders thereof:</w:t>
      </w:r>
    </w:p>
    <w:p>
      <w:pPr>
        <w:spacing w:after="0" w:line="58" w:lineRule="exact"/>
        <w:rPr>
          <w:sz w:val="20"/>
          <w:szCs w:val="20"/>
          <w:color w:val="auto"/>
        </w:rPr>
      </w:pPr>
    </w:p>
    <w:p>
      <w:pPr>
        <w:ind w:left="4" w:right="240" w:hanging="4"/>
        <w:spacing w:after="0" w:line="277" w:lineRule="auto"/>
        <w:tabs>
          <w:tab w:leader="none" w:pos="24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the Company’s officers or directors, any affiliates or family members of any of the Company’s officers or directors, any members or partners of the Sponsor or their affiliates, any affiliates of the Sponsor, or any employees of such affiliates;</w:t>
      </w:r>
    </w:p>
    <w:p>
      <w:pPr>
        <w:spacing w:after="0" w:line="62" w:lineRule="exact"/>
        <w:rPr>
          <w:rFonts w:ascii="Arial" w:cs="Arial" w:eastAsia="Arial" w:hAnsi="Arial"/>
          <w:sz w:val="18"/>
          <w:szCs w:val="18"/>
          <w:color w:val="auto"/>
        </w:rPr>
      </w:pPr>
    </w:p>
    <w:p>
      <w:pPr>
        <w:ind w:left="4" w:right="20" w:hanging="4"/>
        <w:spacing w:after="0" w:line="277" w:lineRule="auto"/>
        <w:tabs>
          <w:tab w:leader="none" w:pos="25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the case of an individual, by gift to a member of one of the individual’s immediate family or to a trust, the beneficiary of which is a member of the individual’s immediate family, an affiliate of such person or to a charitable organization;</w:t>
      </w:r>
    </w:p>
    <w:p>
      <w:pPr>
        <w:spacing w:after="0" w:line="62" w:lineRule="exact"/>
        <w:rPr>
          <w:rFonts w:ascii="Arial" w:cs="Arial" w:eastAsia="Arial" w:hAnsi="Arial"/>
          <w:sz w:val="18"/>
          <w:szCs w:val="18"/>
          <w:color w:val="auto"/>
        </w:rPr>
      </w:pPr>
    </w:p>
    <w:p>
      <w:pPr>
        <w:ind w:left="244" w:hanging="244"/>
        <w:spacing w:after="0"/>
        <w:tabs>
          <w:tab w:leader="none" w:pos="24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the case of an individual, by virtue of laws of descent and distribution upon death of the individual;</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the case of an individual, pursuant to a qualified domestic relations order;</w:t>
      </w:r>
    </w:p>
    <w:p>
      <w:pPr>
        <w:spacing w:after="0" w:line="117" w:lineRule="exact"/>
        <w:rPr>
          <w:rFonts w:ascii="Arial" w:cs="Arial" w:eastAsia="Arial" w:hAnsi="Arial"/>
          <w:sz w:val="18"/>
          <w:szCs w:val="18"/>
          <w:color w:val="auto"/>
        </w:rPr>
      </w:pPr>
    </w:p>
    <w:p>
      <w:pPr>
        <w:ind w:left="4" w:right="160" w:hanging="4"/>
        <w:spacing w:after="0" w:line="277" w:lineRule="auto"/>
        <w:tabs>
          <w:tab w:leader="none" w:pos="24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by private sales or transfers made in connection with the consummation of the Company’s Business Combination at prices no greater than the price at which the Private Placement Warrants or Ordinary Shares, as applicable, were originally purchased;</w:t>
      </w:r>
    </w:p>
    <w:p>
      <w:pPr>
        <w:spacing w:after="0" w:line="62" w:lineRule="exact"/>
        <w:rPr>
          <w:rFonts w:ascii="Arial" w:cs="Arial" w:eastAsia="Arial" w:hAnsi="Arial"/>
          <w:sz w:val="18"/>
          <w:szCs w:val="18"/>
          <w:color w:val="auto"/>
        </w:rPr>
      </w:pPr>
    </w:p>
    <w:p>
      <w:pPr>
        <w:ind w:left="224" w:hanging="224"/>
        <w:spacing w:after="0"/>
        <w:tabs>
          <w:tab w:leader="none" w:pos="2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by virtue of the Sponsor’s organizational documents upon liquidation or dissolution of the Sponsor;</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the Company for no value for cancellation in connection with the consummation of our initial Business Combination;</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the event of the Company’s liquidation prior to the completion of its initial Business Combination; or</w:t>
      </w:r>
    </w:p>
    <w:p>
      <w:pPr>
        <w:spacing w:after="0" w:line="117" w:lineRule="exact"/>
        <w:rPr>
          <w:rFonts w:ascii="Arial" w:cs="Arial" w:eastAsia="Arial" w:hAnsi="Arial"/>
          <w:sz w:val="18"/>
          <w:szCs w:val="18"/>
          <w:color w:val="auto"/>
        </w:rPr>
      </w:pPr>
    </w:p>
    <w:p>
      <w:pPr>
        <w:ind w:left="224" w:hanging="224"/>
        <w:spacing w:after="0"/>
        <w:tabs>
          <w:tab w:leader="none" w:pos="224"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the event of the Company’s completion of a liquidation, merger, share exchange or other similar transaction which results in all of the public</w:t>
      </w:r>
    </w:p>
    <w:p>
      <w:pPr>
        <w:spacing w:after="0" w:line="34" w:lineRule="exact"/>
        <w:rPr>
          <w:rFonts w:ascii="Arial" w:cs="Arial" w:eastAsia="Arial" w:hAnsi="Arial"/>
          <w:sz w:val="17"/>
          <w:szCs w:val="17"/>
          <w:color w:val="auto"/>
        </w:rPr>
      </w:pPr>
    </w:p>
    <w:p>
      <w:pPr>
        <w:ind w:left="4" w:right="280"/>
        <w:spacing w:after="0" w:line="260" w:lineRule="auto"/>
        <w:rPr>
          <w:rFonts w:ascii="Arial" w:cs="Arial" w:eastAsia="Arial" w:hAnsi="Arial"/>
          <w:sz w:val="17"/>
          <w:szCs w:val="17"/>
          <w:color w:val="auto"/>
        </w:rPr>
      </w:pPr>
      <w:r>
        <w:rPr>
          <w:rFonts w:ascii="Arial" w:cs="Arial" w:eastAsia="Arial" w:hAnsi="Arial"/>
          <w:sz w:val="18"/>
          <w:szCs w:val="18"/>
          <w:color w:val="auto"/>
        </w:rPr>
        <w:t>shareholders having the right to exchange their Ordinary Shares for cash, securities or other property subsequent to the completion of the Company’s initial Business Combination;</w:t>
      </w:r>
    </w:p>
    <w:p>
      <w:pPr>
        <w:spacing w:after="0" w:line="185"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clauses (a) through (f), these permitted transferees (the “</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must enter into a written agreement with the Company agreeing to be bound by the transfer restrictions in this Agreement.</w:t>
      </w:r>
    </w:p>
    <w:p>
      <w:pPr>
        <w:spacing w:after="0" w:line="62" w:lineRule="exact"/>
        <w:rPr>
          <w:sz w:val="20"/>
          <w:szCs w:val="20"/>
          <w:color w:val="auto"/>
        </w:rPr>
      </w:pPr>
    </w:p>
    <w:p>
      <w:pPr>
        <w:ind w:left="184" w:hanging="184"/>
        <w:spacing w:after="0"/>
        <w:tabs>
          <w:tab w:leader="none" w:pos="184"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117"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xml:space="preserve">. Each whole Warrant shall entitle the Registered Holder thereof, subject to the provisions of such Warrant and of this Agreement, to purchase from the Company the number of Ordinary Shares stated therein, at the price of $11.50 per share, subject to the adjustments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in the last sentence of this </w:t>
      </w:r>
      <w:r>
        <w:rPr>
          <w:rFonts w:ascii="Arial" w:cs="Arial" w:eastAsia="Arial" w:hAnsi="Arial"/>
          <w:sz w:val="18"/>
          <w:szCs w:val="18"/>
          <w:u w:val="single" w:color="auto"/>
          <w:color w:val="auto"/>
        </w:rPr>
        <w:t>Section 3.1</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 as used in this Agreement shall mean the price per share (including in cash or by payment of Warrants pursuant to a “cashless exercise,” to the extent permitted hereunder) described in the prior sentence at which Ordinary Shares may be purchased at the time a Warrant is exercised. The Company in its sole discretion may lower the Warrant Price at any time prior to the Expiration Date (as defined below) for a period of not less than fifteen Business Days (unless otherwise required by the Commission, any national securities exchange on which the Warrants are listed or applicable law); provided that the Company shall provide at least five days’ prior written notice of such reduction to Registered Holders of the Warrants; and provided further, that any such reduction shall be identical among all of the Warrants.</w:t>
      </w:r>
    </w:p>
    <w:p>
      <w:pPr>
        <w:sectPr>
          <w:pgSz w:w="11900" w:h="16838" w:orient="portrait"/>
          <w:cols w:equalWidth="0" w:num="1">
            <w:col w:w="11004"/>
          </w:cols>
          <w:pgMar w:left="436" w:top="274" w:right="459" w:bottom="1440" w:gutter="0" w:footer="0" w:header="0"/>
        </w:sectPr>
      </w:pPr>
    </w:p>
    <w:bookmarkStart w:id="322" w:name="page323"/>
    <w:bookmarkEnd w:id="322"/>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3.2. </w:t>
      </w:r>
      <w:r>
        <w:rPr>
          <w:rFonts w:ascii="Arial" w:cs="Arial" w:eastAsia="Arial" w:hAnsi="Arial"/>
          <w:sz w:val="17"/>
          <w:szCs w:val="17"/>
          <w:u w:val="single" w:color="auto"/>
          <w:color w:val="auto"/>
        </w:rPr>
        <w:t>Duration of Warrants</w:t>
      </w:r>
      <w:r>
        <w:rPr>
          <w:rFonts w:ascii="Arial" w:cs="Arial" w:eastAsia="Arial" w:hAnsi="Arial"/>
          <w:sz w:val="17"/>
          <w:szCs w:val="17"/>
          <w:color w:val="auto"/>
        </w:rPr>
        <w:t>. A Warrant may be exercised only during the period (the “</w:t>
      </w:r>
      <w:r>
        <w:rPr>
          <w:rFonts w:ascii="Arial" w:cs="Arial" w:eastAsia="Arial" w:hAnsi="Arial"/>
          <w:sz w:val="17"/>
          <w:szCs w:val="17"/>
          <w:b w:val="1"/>
          <w:bCs w:val="1"/>
          <w:i w:val="1"/>
          <w:iCs w:val="1"/>
          <w:color w:val="auto"/>
        </w:rPr>
        <w:t>Exercise Period</w:t>
      </w:r>
      <w:r>
        <w:rPr>
          <w:rFonts w:ascii="Arial" w:cs="Arial" w:eastAsia="Arial" w:hAnsi="Arial"/>
          <w:sz w:val="17"/>
          <w:szCs w:val="17"/>
          <w:color w:val="auto"/>
        </w:rPr>
        <w:t>”) (A) commencing on the date that is thirty</w:t>
      </w:r>
    </w:p>
    <w:p>
      <w:pPr>
        <w:spacing w:after="0" w:line="35" w:lineRule="exact"/>
        <w:rPr>
          <w:sz w:val="20"/>
          <w:szCs w:val="20"/>
          <w:color w:val="auto"/>
        </w:rPr>
      </w:pPr>
    </w:p>
    <w:p>
      <w:pPr>
        <w:ind w:left="344" w:hanging="344"/>
        <w:spacing w:after="0"/>
        <w:tabs>
          <w:tab w:leader="none" w:pos="34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days after the first date on which the Company completes a Business Combination, and (B) terminating at the earliest to occur of (x) 5:00 p.m.,</w:t>
      </w:r>
    </w:p>
    <w:p>
      <w:pPr>
        <w:spacing w:after="0" w:line="32" w:lineRule="exact"/>
        <w:rPr>
          <w:rFonts w:ascii="Arial" w:cs="Arial" w:eastAsia="Arial" w:hAnsi="Arial"/>
          <w:sz w:val="16"/>
          <w:szCs w:val="16"/>
          <w:color w:val="auto"/>
        </w:rPr>
      </w:pPr>
    </w:p>
    <w:p>
      <w:pPr>
        <w:ind w:left="4"/>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New York City time on the date that is five (5) years after the date on which the Company completes its initial Business Combination, (y) the liquidation of the Company in accordance with the Company’s amended and restated memorandum and articles of association, as amended from time to time, if the Company fails to complete a Business Combination, and (z) other than with respect to the Private Placement Warrants then held by the Sponsor or its Permitted Transferees with respect to a redemption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 or, if the Reference Value equals or exceeds $18.00 per share (subject to adjustment in compliance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5:00 p.m., New York City time on the Redemption Date (as defined below) as provided in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hereof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exercise of any Warrant shall be subject to the satisfaction of any applicable conditions, as set forth in </w:t>
      </w:r>
      <w:r>
        <w:rPr>
          <w:rFonts w:ascii="Arial" w:cs="Arial" w:eastAsia="Arial" w:hAnsi="Arial"/>
          <w:sz w:val="16"/>
          <w:szCs w:val="16"/>
          <w:u w:val="single" w:color="auto"/>
          <w:color w:val="auto"/>
        </w:rPr>
        <w:t>subsection 3.3.2</w:t>
      </w:r>
      <w:r>
        <w:rPr>
          <w:rFonts w:ascii="Arial" w:cs="Arial" w:eastAsia="Arial" w:hAnsi="Arial"/>
          <w:sz w:val="16"/>
          <w:szCs w:val="16"/>
          <w:color w:val="auto"/>
        </w:rPr>
        <w:t xml:space="preserve"> below, with respect to an effective registration statement or a valid exemption therefrom being available. Except with respect to the right to receive the Redemption Price (as defined below) (other than with respect to a Private Placement Warrant then held by the Sponsor or its Permitted Transferees in connection with a redemption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 or, if the Reference Value equals or exceeds $18.00 per share (subject to adjustment in compliance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in the event of a redemption (as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each Warrant (other than a Private Placement Warrant then held by the Sponsor or its Permitted Transferees in the event of a redemption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 or, if the Reference Value equals or exceeds $18.00 per share (subject to adjustment in compliance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provide at least twenty (20) days prior written notice of any such extension to Registered Holders of the Warrants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extension shall be identical in duration among all the Warrants.</w:t>
      </w:r>
    </w:p>
    <w:p>
      <w:pPr>
        <w:spacing w:after="0" w:line="6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117"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Payment</w:t>
      </w:r>
      <w:r>
        <w:rPr>
          <w:rFonts w:ascii="Arial" w:cs="Arial" w:eastAsia="Arial" w:hAnsi="Arial"/>
          <w:sz w:val="17"/>
          <w:szCs w:val="17"/>
          <w:color w:val="auto"/>
        </w:rPr>
        <w:t>.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Warrant represented by a book-entry, the Warrants to be exercised (the “</w:t>
      </w:r>
      <w:r>
        <w:rPr>
          <w:rFonts w:ascii="Arial" w:cs="Arial" w:eastAsia="Arial" w:hAnsi="Arial"/>
          <w:sz w:val="17"/>
          <w:szCs w:val="17"/>
          <w:b w:val="1"/>
          <w:bCs w:val="1"/>
          <w:i w:val="1"/>
          <w:iCs w:val="1"/>
          <w:color w:val="auto"/>
        </w:rPr>
        <w:t>Book-Entry Warrants</w:t>
      </w:r>
      <w:r>
        <w:rPr>
          <w:rFonts w:ascii="Arial" w:cs="Arial" w:eastAsia="Arial" w:hAnsi="Arial"/>
          <w:sz w:val="17"/>
          <w:szCs w:val="17"/>
          <w:color w:val="auto"/>
        </w:rPr>
        <w:t>”) on the records of the Depositary to an account of the Warrant Agent at the Depositary designated for such purposes in writing by the Warrant Agent to the Depositary from time to time, (ii) an election to purchase (“</w:t>
      </w:r>
      <w:r>
        <w:rPr>
          <w:rFonts w:ascii="Arial" w:cs="Arial" w:eastAsia="Arial" w:hAnsi="Arial"/>
          <w:sz w:val="17"/>
          <w:szCs w:val="17"/>
          <w:b w:val="1"/>
          <w:bCs w:val="1"/>
          <w:i w:val="1"/>
          <w:iCs w:val="1"/>
          <w:color w:val="auto"/>
        </w:rPr>
        <w:t>Election to Purchase</w:t>
      </w:r>
      <w:r>
        <w:rPr>
          <w:rFonts w:ascii="Arial" w:cs="Arial" w:eastAsia="Arial" w:hAnsi="Arial"/>
          <w:sz w:val="17"/>
          <w:szCs w:val="17"/>
          <w:color w:val="auto"/>
        </w:rPr>
        <w:t>”) any Ordinary Shares pursuant to the exercise of a Warrant, properly completed and executed by the Registered Holder on the reverse of the Definitive Warrant Certificate or, in the case of a Book-Entry Warrant, properly delivered by the Participant in accordance with the Depositary’s procedures, and (iii) the payment in full of the Warrant Price for each Ordinary Share as to which the Warrant is exercised and any and all applicable taxes due in connection with the exercise of the Warrant, the exchange of the Warrant for the Ordinary Shares and the issuance of such Ordinary Shares, as follows:</w:t>
      </w:r>
    </w:p>
    <w:p>
      <w:pPr>
        <w:spacing w:after="0" w:line="73" w:lineRule="exact"/>
        <w:rPr>
          <w:sz w:val="20"/>
          <w:szCs w:val="20"/>
          <w:color w:val="auto"/>
        </w:rPr>
      </w:pPr>
    </w:p>
    <w:p>
      <w:pPr>
        <w:ind w:left="244" w:hanging="244"/>
        <w:spacing w:after="0"/>
        <w:tabs>
          <w:tab w:leader="none" w:pos="24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 lawful money of the United States, in good certified check or wire payable to the Warrant Agent;</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hanging="4"/>
        <w:spacing w:after="0" w:line="291" w:lineRule="auto"/>
        <w:tabs>
          <w:tab w:leader="none" w:pos="24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with respect to any Private Placement Warrant, so long as such Private Placement Warrant is held by the Sponsor or a Permitted Transferee, by surrendering the Warrants for that number of Ordinary Shares equal to (i) if in connection with a redemption of Private Placement Warrants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as provided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with respect to a Make-Whole Exercise and (ii) in all other scenarios the quotient obtained by dividing (x) the product of the number of Ordinary Shares underlying the Warrants, multiplied by the excess of the “</w:t>
      </w:r>
      <w:r>
        <w:rPr>
          <w:rFonts w:ascii="Arial" w:cs="Arial" w:eastAsia="Arial" w:hAnsi="Arial"/>
          <w:sz w:val="16"/>
          <w:szCs w:val="16"/>
          <w:b w:val="1"/>
          <w:bCs w:val="1"/>
          <w:i w:val="1"/>
          <w:iCs w:val="1"/>
          <w:color w:val="auto"/>
        </w:rPr>
        <w:t>Sponsor Exercise Fair Market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Value</w:t>
      </w:r>
      <w:r>
        <w:rPr>
          <w:rFonts w:ascii="Arial" w:cs="Arial" w:eastAsia="Arial" w:hAnsi="Arial"/>
          <w:sz w:val="16"/>
          <w:szCs w:val="16"/>
          <w:color w:val="auto"/>
        </w:rPr>
        <w:t>” (as defined in this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subsection 3.3.1(c)</w:t>
      </w:r>
      <w:r>
        <w:rPr>
          <w:rFonts w:ascii="Arial" w:cs="Arial" w:eastAsia="Arial" w:hAnsi="Arial"/>
          <w:sz w:val="16"/>
          <w:szCs w:val="16"/>
          <w:color w:val="auto"/>
        </w:rPr>
        <w:t>) less the Warrant Price by (y) the Sponsor Exercise Fair Market Value. Solely for purposes of this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subsection 3.3.1(c)</w:t>
      </w:r>
      <w:r>
        <w:rPr>
          <w:rFonts w:ascii="Arial" w:cs="Arial" w:eastAsia="Arial" w:hAnsi="Arial"/>
          <w:sz w:val="16"/>
          <w:szCs w:val="16"/>
          <w:color w:val="auto"/>
        </w:rPr>
        <w:t>, the “</w:t>
      </w:r>
      <w:r>
        <w:rPr>
          <w:rFonts w:ascii="Arial" w:cs="Arial" w:eastAsia="Arial" w:hAnsi="Arial"/>
          <w:sz w:val="16"/>
          <w:szCs w:val="16"/>
          <w:b w:val="1"/>
          <w:bCs w:val="1"/>
          <w:i w:val="1"/>
          <w:iCs w:val="1"/>
          <w:color w:val="auto"/>
        </w:rPr>
        <w:t>Sponsor Fair Market Value</w:t>
      </w:r>
      <w:r>
        <w:rPr>
          <w:rFonts w:ascii="Arial" w:cs="Arial" w:eastAsia="Arial" w:hAnsi="Arial"/>
          <w:sz w:val="16"/>
          <w:szCs w:val="16"/>
          <w:color w:val="auto"/>
        </w:rPr>
        <w:t>” shall mean the average last reported sale price of the Ordinary Shares for the ten (10) trading days ending on the third (3rd) trading day prior to the date on which notice of exercise of the Private Placement Warrant is sent to the Warrant Agent;</w:t>
      </w:r>
    </w:p>
    <w:p>
      <w:pPr>
        <w:spacing w:after="0" w:line="58" w:lineRule="exact"/>
        <w:rPr>
          <w:rFonts w:ascii="Arial" w:cs="Arial" w:eastAsia="Arial" w:hAnsi="Arial"/>
          <w:sz w:val="16"/>
          <w:szCs w:val="16"/>
          <w:color w:val="auto"/>
        </w:rPr>
      </w:pPr>
    </w:p>
    <w:p>
      <w:pPr>
        <w:ind w:left="264" w:hanging="264"/>
        <w:spacing w:after="0"/>
        <w:tabs>
          <w:tab w:leader="none" w:pos="26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hereof with respect to a Make-Whole Exercise; or</w:t>
      </w:r>
    </w:p>
    <w:p>
      <w:pPr>
        <w:sectPr>
          <w:pgSz w:w="11900" w:h="16838" w:orient="portrait"/>
          <w:cols w:equalWidth="0" w:num="1">
            <w:col w:w="11004"/>
          </w:cols>
          <w:pgMar w:left="436" w:top="274" w:right="45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 as provided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hereof.</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Issuance of Ordinary Shares on Exercise</w:t>
      </w:r>
      <w:r>
        <w:rPr>
          <w:rFonts w:ascii="Arial" w:cs="Arial" w:eastAsia="Arial" w:hAnsi="Arial"/>
          <w:sz w:val="16"/>
          <w:szCs w:val="16"/>
          <w:color w:val="auto"/>
        </w:rPr>
        <w:t xml:space="preserve">. As soon as practicable after the exercise of any Warrant and the clearance of the funds in payment of the Warrant Price (if payment is pursuant to </w:t>
      </w:r>
      <w:r>
        <w:rPr>
          <w:rFonts w:ascii="Arial" w:cs="Arial" w:eastAsia="Arial" w:hAnsi="Arial"/>
          <w:sz w:val="16"/>
          <w:szCs w:val="16"/>
          <w:u w:val="single" w:color="auto"/>
          <w:color w:val="auto"/>
        </w:rPr>
        <w:t>subsection 3.3.1(a)</w:t>
      </w:r>
      <w:r>
        <w:rPr>
          <w:rFonts w:ascii="Arial" w:cs="Arial" w:eastAsia="Arial" w:hAnsi="Arial"/>
          <w:sz w:val="16"/>
          <w:szCs w:val="16"/>
          <w:color w:val="auto"/>
        </w:rPr>
        <w:t xml:space="preserve">), the Company shall issue to the Registered Holder of such Warrant a book-entry position or certificate, as applicable, for the number of Ordinary Shares to which he, she or it is entitled, registered in such name or names as may be directed by him, her or it on the register of members of the Company, and if such Warrant shall not have been exercised in full, a new book-entry position or countersigned Warrant, as applicable, for the number of shares as to which such Warrant shall not have been exercised. Notwithstanding the foregoing, the Company shall not be obligated to deliver any Ordinary Shares pursuant to the exercise of a Warrant and shall have no obligation to settle such Warrant exercise unless a registration statement under the Securities Act with respect to the Ordinary Shares underlying the Public Warrants is then effective and a prospectus relating thereto is current, subject to the Company’s satisfying its obligations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or a valid exemption from registration is available. No Warrant shall be exercisable and the Company shall not be obligated to issue Ordinary Shares upon exercise of a Warrant unless the Ordinary Shares issuable upon such Warrant exercise have been registered, qualified or deemed to be exempt from registration or qualification under the securities laws of the state of residence of the Registered Holder of the Warrants. Subject to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of this Agreement, a Registered Holder of Warrants may exercise its Warrants only for a whole number of Ordinary Shares. The Company may require holders of Public Warrants to settle the Warrant on a “cashless basis” pursuant to </w:t>
      </w:r>
      <w:r>
        <w:rPr>
          <w:rFonts w:ascii="Arial" w:cs="Arial" w:eastAsia="Arial" w:hAnsi="Arial"/>
          <w:sz w:val="16"/>
          <w:szCs w:val="16"/>
          <w:u w:val="single" w:color="auto"/>
          <w:color w:val="auto"/>
        </w:rPr>
        <w:t>Section 7.4</w:t>
      </w:r>
      <w:r>
        <w:rPr>
          <w:rFonts w:ascii="Arial" w:cs="Arial" w:eastAsia="Arial" w:hAnsi="Arial"/>
          <w:sz w:val="16"/>
          <w:szCs w:val="16"/>
          <w:color w:val="auto"/>
        </w:rPr>
        <w:t>. If, by reason of any exercise of Warrants on a “cashless basis”, the holder of any Warrant would be entitled, upon the exercise of such Warrant, to receive a fractional interest in an Ordinary Share, the Company shall round down to the nearest whole number, the number of Ordinary Shares to be issued to such holder.</w:t>
      </w:r>
    </w:p>
    <w:p>
      <w:pPr>
        <w:spacing w:after="0" w:line="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Ordinary Shares issued upon the proper exercise of a Warrant in conformity with this Agreement and the amended and restated memorandum and articles of association of the Company shall be validly issued, fully paid and nonassessable.</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Date of Issuance</w:t>
      </w:r>
      <w:r>
        <w:rPr>
          <w:rFonts w:ascii="Arial" w:cs="Arial" w:eastAsia="Arial" w:hAnsi="Arial"/>
          <w:sz w:val="16"/>
          <w:szCs w:val="16"/>
          <w:color w:val="auto"/>
        </w:rPr>
        <w:t>. Each person in whose name any book-entry position or certificate, as applicable, for Ordinary Shares is issued and who is registered in the register of members of the Company shall for all purposes be deemed to have become the holder of record of such Ordinary Shares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register of members of the Company or book-entry system of the Warrant Agent are closed, such person shall be deemed to have become the holder of such shares at the close of business on the next succeeding date on which the share transfer books or book-entry system are open.</w:t>
      </w:r>
    </w:p>
    <w:p>
      <w:pPr>
        <w:spacing w:after="0" w:line="5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xml:space="preserve">. A holder of a Warrant may notify the Company in writing in the event it elects to be subject to the provisions contained in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 holder of a Warrant shall be subject to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9.8% (the “</w:t>
      </w:r>
      <w:r>
        <w:rPr>
          <w:rFonts w:ascii="Arial" w:cs="Arial" w:eastAsia="Arial" w:hAnsi="Arial"/>
          <w:sz w:val="16"/>
          <w:szCs w:val="16"/>
          <w:b w:val="1"/>
          <w:bCs w:val="1"/>
          <w:i w:val="1"/>
          <w:iCs w:val="1"/>
          <w:color w:val="auto"/>
        </w:rPr>
        <w:t>Maximum Percentage</w:t>
      </w:r>
      <w:r>
        <w:rPr>
          <w:rFonts w:ascii="Arial" w:cs="Arial" w:eastAsia="Arial" w:hAnsi="Arial"/>
          <w:sz w:val="16"/>
          <w:szCs w:val="16"/>
          <w:color w:val="auto"/>
        </w:rPr>
        <w:t>”) of the Ordinary Shares outstanding immediately after giving effect to such exercise. For purposes of the foregoing sentence, the aggregate number of Ordinary Shares beneficially owned by such person and its affiliates shall include the number of Ordinary Shares issuable upon exercise of the Warrant with respect to which the determination of such sentence is being made, but shall exclude Ordinary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For purposes of the Warrant, in determining the number of outstanding Ordinary Shares, the holder may rely on the number of outstanding Ordinary Shares as reflected in (1) the Company’s most recent Annual Report on Form 10-K, Quarterly Report on Form 10-Q, Current Report on Form 8-K or other public filing with the Commission as the case may be, (2) a more recent public announcement by the Company or (3) any other notice by the Company or Continental Stock Transfer &amp; Trust Company, as transfer agent (in such capacity, the “</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setting forth the number of Ordinary Shares outstanding. For any reason at any time, upon the written request of the holder</w:t>
      </w:r>
    </w:p>
    <w:p>
      <w:pPr>
        <w:sectPr>
          <w:pgSz w:w="11900" w:h="16838" w:orient="portrait"/>
          <w:cols w:equalWidth="0" w:num="1">
            <w:col w:w="11000"/>
          </w:cols>
          <w:pgMar w:left="440" w:top="274" w:right="459" w:bottom="1440" w:gutter="0" w:footer="0" w:header="0"/>
        </w:sectPr>
      </w:pPr>
    </w:p>
    <w:bookmarkStart w:id="324" w:name="page325"/>
    <w:bookmarkEnd w:id="324"/>
    <w:p>
      <w:pPr>
        <w:ind w:left="4"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the Warrant, the Company shall, within two (2) Business Days, confirm orally and in writing to such holder the number of Ordinary Shares then outstanding. In any case, the number of issued and outstanding Ordinary Shares shall be determined after giving effect to the conversion or exercise of equity securities of the Company by the holder and its affiliates since the date as of which such number of issued and outstanding Ordinary Shares was reported. By written notice to the Company, the holder of a Warrant may from time to time increase or decrease the Maximum Percentage applicable to such holder to any other percentage specified in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increase shall not be effective until the sixty-first (61st) day after such notice is delivered to the Company.</w:t>
      </w:r>
    </w:p>
    <w:p>
      <w:pPr>
        <w:spacing w:after="0" w:line="84" w:lineRule="exact"/>
        <w:rPr>
          <w:sz w:val="20"/>
          <w:szCs w:val="20"/>
          <w:color w:val="auto"/>
        </w:rPr>
      </w:pPr>
    </w:p>
    <w:p>
      <w:pPr>
        <w:ind w:left="184" w:hanging="184"/>
        <w:spacing w:after="0"/>
        <w:tabs>
          <w:tab w:leader="none" w:pos="184"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Share Capitalizations</w:t>
      </w:r>
      <w:r>
        <w:rPr>
          <w:rFonts w:ascii="Arial" w:cs="Arial" w:eastAsia="Arial" w:hAnsi="Arial"/>
          <w:sz w:val="18"/>
          <w:szCs w:val="18"/>
          <w:color w:val="auto"/>
        </w:rPr>
        <w:t>.</w:t>
      </w:r>
    </w:p>
    <w:p>
      <w:pPr>
        <w:spacing w:after="0" w:line="117"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Sub-Divisions</w:t>
      </w:r>
      <w:r>
        <w:rPr>
          <w:rFonts w:ascii="Arial" w:cs="Arial" w:eastAsia="Arial" w:hAnsi="Arial"/>
          <w:sz w:val="16"/>
          <w:szCs w:val="16"/>
          <w:color w:val="auto"/>
        </w:rPr>
        <w:t xml:space="preserve">. If after the date hereof, and subject to the provisions of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below, the number of issued and outstanding Ordinary Shares is increased by a capitalization or share dividend of Ordinary Shares, or by a sub-division of Ordinary Shares or other similar event, then, on the effective date of such share capitalization, sub-division or similar event, the number of Ordinary Shares issuable on exercise of each Warrant shall be increased in proportion to such increase in the issued and outstanding Ordinary Shares. A rights offering made to all or substantially all holders of Ordinary Shares entitling holders to purchase Ordinary Shares at a price less than the “Historical Fair Market Value” (as defined below) shall be deemed a capitalization of a number of Ordinary Shares equal to the product of (i) the number of Ordinary Shares actually sold in such rights offering (or issuable under any other equity securities sold in such rights offering that are convertible into or exercisable for the Ordinary Shares) multiplied by</w:t>
      </w:r>
    </w:p>
    <w:p>
      <w:pPr>
        <w:spacing w:after="0" w:line="2" w:lineRule="exact"/>
        <w:rPr>
          <w:sz w:val="20"/>
          <w:szCs w:val="20"/>
          <w:color w:val="auto"/>
        </w:rPr>
      </w:pPr>
    </w:p>
    <w:p>
      <w:pPr>
        <w:ind w:left="4" w:right="20" w:hanging="4"/>
        <w:spacing w:after="0" w:line="281" w:lineRule="auto"/>
        <w:tabs>
          <w:tab w:leader="none" w:pos="269"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one (1) minus the quotient of (x) the price per Ordinary Share paid in such rights offering divided by (y) the Historical Fair Market Value. For purposes of this </w:t>
      </w:r>
      <w:r>
        <w:rPr>
          <w:rFonts w:ascii="Arial" w:cs="Arial" w:eastAsia="Arial" w:hAnsi="Arial"/>
          <w:sz w:val="16"/>
          <w:szCs w:val="16"/>
          <w:u w:val="single" w:color="auto"/>
          <w:color w:val="auto"/>
        </w:rPr>
        <w:t>subsection 4.1.1</w:t>
      </w:r>
      <w:r>
        <w:rPr>
          <w:rFonts w:ascii="Arial" w:cs="Arial" w:eastAsia="Arial" w:hAnsi="Arial"/>
          <w:sz w:val="16"/>
          <w:szCs w:val="16"/>
          <w:color w:val="auto"/>
        </w:rPr>
        <w:t>, (i) if the rights offering is for securities convertible into or exercisable for Ordinary Shares, in determining the price payable for Ordinary Shares, there shall be taken into account any consideration received for such rights, as well as any additional amount payable upon exercise or conversion and (ii) “</w:t>
      </w:r>
      <w:r>
        <w:rPr>
          <w:rFonts w:ascii="Arial" w:cs="Arial" w:eastAsia="Arial" w:hAnsi="Arial"/>
          <w:sz w:val="16"/>
          <w:szCs w:val="16"/>
          <w:b w:val="1"/>
          <w:bCs w:val="1"/>
          <w:i w:val="1"/>
          <w:iCs w:val="1"/>
          <w:color w:val="auto"/>
        </w:rPr>
        <w:t>Historical Fair Market Value</w:t>
      </w:r>
      <w:r>
        <w:rPr>
          <w:rFonts w:ascii="Arial" w:cs="Arial" w:eastAsia="Arial" w:hAnsi="Arial"/>
          <w:sz w:val="16"/>
          <w:szCs w:val="16"/>
          <w:color w:val="auto"/>
        </w:rPr>
        <w:t>” means the volume weighted average price of the Ordinary Shares during the ten</w:t>
      </w:r>
    </w:p>
    <w:p>
      <w:pPr>
        <w:spacing w:after="0" w:line="2" w:lineRule="exact"/>
        <w:rPr>
          <w:rFonts w:ascii="Arial" w:cs="Arial" w:eastAsia="Arial" w:hAnsi="Arial"/>
          <w:sz w:val="16"/>
          <w:szCs w:val="16"/>
          <w:color w:val="auto"/>
        </w:rPr>
      </w:pPr>
    </w:p>
    <w:p>
      <w:pPr>
        <w:ind w:left="4" w:right="680"/>
        <w:spacing w:after="0" w:line="323" w:lineRule="auto"/>
        <w:rPr>
          <w:rFonts w:ascii="Arial" w:cs="Arial" w:eastAsia="Arial" w:hAnsi="Arial"/>
          <w:sz w:val="16"/>
          <w:szCs w:val="16"/>
          <w:color w:val="auto"/>
        </w:rPr>
      </w:pPr>
      <w:r>
        <w:rPr>
          <w:rFonts w:ascii="Arial" w:cs="Arial" w:eastAsia="Arial" w:hAnsi="Arial"/>
          <w:sz w:val="16"/>
          <w:szCs w:val="16"/>
          <w:color w:val="auto"/>
        </w:rPr>
        <w:t>(10) trading day period ending on the trading day prior to the first date on which the Ordinary Shares trade on the applicable exchange or in the applicable market, regular way, without the right to receive such rights. No Ordinary Shares shall be issued at less than their par value.</w:t>
      </w:r>
    </w:p>
    <w:p>
      <w:pPr>
        <w:spacing w:after="0" w:line="30" w:lineRule="exact"/>
        <w:rPr>
          <w:sz w:val="20"/>
          <w:szCs w:val="20"/>
          <w:color w:val="auto"/>
        </w:rPr>
      </w:pPr>
    </w:p>
    <w:p>
      <w:pPr>
        <w:ind w:left="4" w:right="80"/>
        <w:spacing w:after="0" w:line="283"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xml:space="preserve">. If the Company, at any time while the Warrants are outstanding and unexpired, pays to all or substantially all of the holders of the Ordinary Shares a dividend or make a distribution in cash, securities or other assets on account of such Ordinary Shares (or other shares into which the Warrants are convertible), other than (a) as described in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above, (b) Ordinary Cash Dividends (as defined below), (c) to satisfy the redemption rights of the holders of the Ordinary Shares in connection with a proposed initial Business Combination, (d) to satisfy the redemption rights of the holders of the Ordinary Shares in connection with a shareholder vote to amend the Company’s amended and restated memorandum and articles of association (i) to modify the substance or timing of the Company’s obligation to provide holders of Ordinary Shares the right to have their shares redeemed in connection with the Company’s initial Business Combination or to redeem 100% of the Company’s public shares if it does not complete its initial Business Combination within the time period required by the Company’s Amended and Restated Memorandum and Articles of Association, as amended from time to time, or (ii) with respect to any other provision relating to the rights of holders of Ordinary Shares,</w:t>
      </w:r>
    </w:p>
    <w:p>
      <w:pPr>
        <w:spacing w:after="0" w:line="6" w:lineRule="exact"/>
        <w:rPr>
          <w:sz w:val="20"/>
          <w:szCs w:val="20"/>
          <w:color w:val="auto"/>
        </w:rPr>
      </w:pPr>
    </w:p>
    <w:p>
      <w:pPr>
        <w:ind w:left="4" w:right="20" w:hanging="4"/>
        <w:spacing w:after="0" w:line="267" w:lineRule="auto"/>
        <w:tabs>
          <w:tab w:leader="none" w:pos="249"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as a result of the repurchase of Ordinary Shares by the Company if a proposed initial Business Combination is presented to the shareholders of the Company for approval or (f) in connection with the redemption of public shares upon the failure of the Company to complete its initial Business Combination and any subsequent distribution of its assets upon its liquidation (any such non-excluded event being referred to herein as an “</w:t>
      </w:r>
      <w:r>
        <w:rPr>
          <w:rFonts w:ascii="Arial" w:cs="Arial" w:eastAsia="Arial" w:hAnsi="Arial"/>
          <w:sz w:val="17"/>
          <w:szCs w:val="17"/>
          <w:b w:val="1"/>
          <w:bCs w:val="1"/>
          <w:i w:val="1"/>
          <w:iCs w:val="1"/>
          <w:color w:val="auto"/>
        </w:rPr>
        <w:t>Extraordinary Dividend</w:t>
      </w:r>
      <w:r>
        <w:rPr>
          <w:rFonts w:ascii="Arial" w:cs="Arial" w:eastAsia="Arial" w:hAnsi="Arial"/>
          <w:sz w:val="17"/>
          <w:szCs w:val="17"/>
          <w:color w:val="auto"/>
        </w:rPr>
        <w:t>”), then the Warrant Price shall be decreased, effective immediately after the effective date of such Extraordinary Dividend, by the amount of cash and/or the fair market value (as determined by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xml:space="preserve">”), in good faith) of any securities or other assets paid on each Ordinary Share in respect of such Extraordinary Dividend. For purposes of this </w:t>
      </w:r>
      <w:r>
        <w:rPr>
          <w:rFonts w:ascii="Arial" w:cs="Arial" w:eastAsia="Arial" w:hAnsi="Arial"/>
          <w:sz w:val="17"/>
          <w:szCs w:val="17"/>
          <w:u w:val="single" w:color="auto"/>
          <w:color w:val="auto"/>
        </w:rPr>
        <w:t>subsection 4.1.2</w:t>
      </w:r>
      <w:r>
        <w:rPr>
          <w:rFonts w:ascii="Arial" w:cs="Arial" w:eastAsia="Arial" w:hAnsi="Arial"/>
          <w:sz w:val="17"/>
          <w:szCs w:val="17"/>
          <w:color w:val="auto"/>
        </w:rPr>
        <w:t>, “</w:t>
      </w:r>
      <w:r>
        <w:rPr>
          <w:rFonts w:ascii="Arial" w:cs="Arial" w:eastAsia="Arial" w:hAnsi="Arial"/>
          <w:sz w:val="17"/>
          <w:szCs w:val="17"/>
          <w:b w:val="1"/>
          <w:bCs w:val="1"/>
          <w:i w:val="1"/>
          <w:iCs w:val="1"/>
          <w:color w:val="auto"/>
        </w:rPr>
        <w:t>Ordinary Cash Dividends</w:t>
      </w:r>
      <w:r>
        <w:rPr>
          <w:rFonts w:ascii="Arial" w:cs="Arial" w:eastAsia="Arial" w:hAnsi="Arial"/>
          <w:sz w:val="17"/>
          <w:szCs w:val="17"/>
          <w:color w:val="auto"/>
        </w:rPr>
        <w:t xml:space="preserve">” means any cash dividend or cash distribution which, when combined on a per share basis, with the per share amounts of all other cash dividends and cash distributions paid on the Ordinary Shares during the 365-day period ending on the date of declaration of such dividend or distribution to the extent it does not exceed $0.50 (which amount shall be adjusted to appropriately reflect any of the events referred to in other subsections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excluding cash dividends or cash distributions that resulted in an adjustment to the Warrant Price or to the number of Ordinary Shares issuable on exercise of each Warrant).</w:t>
      </w:r>
    </w:p>
    <w:p>
      <w:pPr>
        <w:sectPr>
          <w:pgSz w:w="11900" w:h="16838" w:orient="portrait"/>
          <w:cols w:equalWidth="0" w:num="1">
            <w:col w:w="10984"/>
          </w:cols>
          <w:pgMar w:left="436" w:top="274" w:right="479" w:bottom="1440" w:gutter="0" w:footer="0" w:header="0"/>
        </w:sectPr>
      </w:pPr>
    </w:p>
    <w:bookmarkStart w:id="325" w:name="page326"/>
    <w:bookmarkEnd w:id="325"/>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hereof, the number of issued and outstanding Ordinary Shares is decreased by a consolidation, combination, or reclassification of Ordinary Shares or other similar event, then, on the effective date of such consolidation, combination, reclassification or similar event, the number of Ordinary Shares issuable on exercise of each Warrant shall be decreased in proportion to such decrease in issued and outstanding Ordinary Shares.</w:t>
      </w:r>
    </w:p>
    <w:p>
      <w:pPr>
        <w:spacing w:after="0" w:line="7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Adjustments in Exercise Price</w:t>
      </w:r>
      <w:r>
        <w:rPr>
          <w:rFonts w:ascii="Arial" w:cs="Arial" w:eastAsia="Arial" w:hAnsi="Arial"/>
          <w:sz w:val="16"/>
          <w:szCs w:val="16"/>
          <w:color w:val="auto"/>
        </w:rPr>
        <w:t xml:space="preserve">. Whenever the number of Ordinary Shares purchasable upon the exercise of the Warrants is adjusted, as provided in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the Warrant Price shall be adjusted (to the nearest cent) by multiplying such Warrant Price immediately prior to such adjustment by a fraction (x) the numerator of which shall be the number of Ordinary Shares purchasable upon the exercise of the Warrants immediately prior to such adjustment, and (y) the denominator of which shall be the number of Ordinary Shares so purchasable immediately thereafter.</w:t>
      </w:r>
    </w:p>
    <w:p>
      <w:pPr>
        <w:spacing w:after="0" w:line="4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Raising of the Capital in Connection with the Initial Business Combination</w:t>
      </w:r>
      <w:r>
        <w:rPr>
          <w:rFonts w:ascii="Arial" w:cs="Arial" w:eastAsia="Arial" w:hAnsi="Arial"/>
          <w:sz w:val="17"/>
          <w:szCs w:val="17"/>
          <w:color w:val="auto"/>
        </w:rPr>
        <w:t>. If (x) the Company issues additional Ordinary Shares or equity-linked securities for capital raising purposes in connection with the closing of its initial Business Combination at an issue price or effective issue price of less than $9.20 per Ordinary Share (with such issue price or effective issue price to be determined in good faith by the Board and, in the case of any such issuance to the Sponsor or its affiliates, without taking into account any Class B ordinary shares, par value $0.0001 per share, of the Company held by the Sponsor or such affiliates, as applicable, prior to such issuance) (the “</w:t>
      </w:r>
      <w:r>
        <w:rPr>
          <w:rFonts w:ascii="Arial" w:cs="Arial" w:eastAsia="Arial" w:hAnsi="Arial"/>
          <w:sz w:val="17"/>
          <w:szCs w:val="17"/>
          <w:b w:val="1"/>
          <w:bCs w:val="1"/>
          <w:i w:val="1"/>
          <w:iCs w:val="1"/>
          <w:color w:val="auto"/>
        </w:rPr>
        <w:t>Newly Issued Price</w:t>
      </w:r>
      <w:r>
        <w:rPr>
          <w:rFonts w:ascii="Arial" w:cs="Arial" w:eastAsia="Arial" w:hAnsi="Arial"/>
          <w:sz w:val="17"/>
          <w:szCs w:val="17"/>
          <w:color w:val="auto"/>
        </w:rPr>
        <w:t>”), (y) the aggregate gross proceeds from such issuances represent more than 60% of the total equity proceeds, and interest thereon, available for the funding of the Company’s initial Business Combination on the date of the completion of the Company’s initial Business Combination (net of redemptions), and (z) the volume-weighted average trading price of Ordinary Shares during the twenty (20) trading day period starting on the trading day prior to the day on which the Company consummates its initial Business Combination (such price, the “</w:t>
      </w:r>
      <w:r>
        <w:rPr>
          <w:rFonts w:ascii="Arial" w:cs="Arial" w:eastAsia="Arial" w:hAnsi="Arial"/>
          <w:sz w:val="17"/>
          <w:szCs w:val="17"/>
          <w:b w:val="1"/>
          <w:bCs w:val="1"/>
          <w:i w:val="1"/>
          <w:iCs w:val="1"/>
          <w:color w:val="auto"/>
        </w:rPr>
        <w:t>Market Value</w:t>
      </w:r>
      <w:r>
        <w:rPr>
          <w:rFonts w:ascii="Arial" w:cs="Arial" w:eastAsia="Arial" w:hAnsi="Arial"/>
          <w:sz w:val="17"/>
          <w:szCs w:val="17"/>
          <w:color w:val="auto"/>
        </w:rPr>
        <w:t xml:space="preserve">”) is below $9.20 per share, the Warrant Price shall be adjusted (to the nearest cent) to be equal to 115% of the higher of the Market Value and the Newly Issued Price, the $18.00 per share redemption trigger price described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shall be adjusted (to the nearest cent) to be equal to 180% of the higher of the Market Value and the Newly Issued Price and the $10.00 per share redemption trigger price described in Section 6.2 shall be adjusted (to the nearest cent) to be equal to the higher of the Market Value and the Newly Issued Price.</w:t>
      </w:r>
    </w:p>
    <w:p>
      <w:pPr>
        <w:spacing w:after="0" w:line="7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issued and outstanding Ordinary Shares (other than a change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or that solely affects the par value of such Ordinary Shares), or in the case of any merger or consolidation of the Company with or into another corporation (other than a consolidation or merger in which the Company is the continuing corporation and that does not result in any reclassification or reorganization of the issued and outstanding Ordinary Shares), or in the case of any sale or conveyance to another corporation or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Ordinary Shares of the Company immediately theretofore purchasable and receivable upon the exercise of the rights represented thereby, the kind and amount of shares or stock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Arial" w:cs="Arial" w:eastAsia="Arial" w:hAnsi="Arial"/>
          <w:sz w:val="16"/>
          <w:szCs w:val="16"/>
          <w:b w:val="1"/>
          <w:bCs w:val="1"/>
          <w:i w:val="1"/>
          <w:iCs w:val="1"/>
          <w:color w:val="auto"/>
        </w:rPr>
        <w:t>Alternative Issuance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the holders of the Ordinary Shares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Ordinary Shares in such consolidation or merger that affirmatively make such election, and (ii) if a tender, exchange or redemption offer shall have been made to and accepted by the holders of the Ordinary Shares (other than a tender, exchange or redemption offer made by the Company in connection with redemption rights held by shareholders of the Company as provided for in the Company’s amended and restated memorandum and articles of association or as a result of the repurchase of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w:t>
      </w:r>
    </w:p>
    <w:p>
      <w:pPr>
        <w:sectPr>
          <w:pgSz w:w="11900" w:h="16838" w:orient="portrait"/>
          <w:cols w:equalWidth="0" w:num="1">
            <w:col w:w="11000"/>
          </w:cols>
          <w:pgMar w:left="440" w:top="274" w:right="459" w:bottom="1440" w:gutter="0" w:footer="0" w:header="0"/>
        </w:sectPr>
      </w:pPr>
    </w:p>
    <w:bookmarkStart w:id="326" w:name="page327"/>
    <w:bookmarkEnd w:id="326"/>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under the Exchange Act) more than 50% of the issued and outstanding Ordinary Shares, the holder of a Warrant shall be entitled to receive as the Alternative Issuance,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adjustments (from and after the consummation of such tender or exchange offer) as nearly equivalent as possible to the adjustments provided for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less than 70% of the consideration receivable by the holders of the Ordinary Shares in the applicable event is payable in the form of shares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of (i) the Warrant Price in effect prior to such reduction minus (ii) (A) the Per Share Consideration (as defined below) (but in no event less than zero) minus (B) the Black-Scholes Warrant Value (as defined below). The “</w:t>
      </w:r>
      <w:r>
        <w:rPr>
          <w:rFonts w:ascii="Arial" w:cs="Arial" w:eastAsia="Arial" w:hAnsi="Arial"/>
          <w:sz w:val="16"/>
          <w:szCs w:val="16"/>
          <w:b w:val="1"/>
          <w:bCs w:val="1"/>
          <w:i w:val="1"/>
          <w:iCs w:val="1"/>
          <w:color w:val="auto"/>
        </w:rPr>
        <w:t>Black-Scholes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Warrant Value</w:t>
      </w:r>
      <w:r>
        <w:rPr>
          <w:rFonts w:ascii="Arial" w:cs="Arial" w:eastAsia="Arial" w:hAnsi="Arial"/>
          <w:sz w:val="16"/>
          <w:szCs w:val="16"/>
          <w:color w:val="auto"/>
        </w:rPr>
        <w:t>” means the value of a Warrant immediately prior to the consummation of the applicable event based on the Black-Scholes Warrant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Model for a Capped American Call on Bloomberg Financial Markets (assuming zero dividends) (“</w:t>
      </w:r>
      <w:r>
        <w:rPr>
          <w:rFonts w:ascii="Arial" w:cs="Arial" w:eastAsia="Arial" w:hAnsi="Arial"/>
          <w:sz w:val="16"/>
          <w:szCs w:val="16"/>
          <w:b w:val="1"/>
          <w:bCs w:val="1"/>
          <w:i w:val="1"/>
          <w:iCs w:val="1"/>
          <w:color w:val="auto"/>
        </w:rPr>
        <w:t>Bloomberg</w:t>
      </w:r>
      <w:r>
        <w:rPr>
          <w:rFonts w:ascii="Arial" w:cs="Arial" w:eastAsia="Arial" w:hAnsi="Arial"/>
          <w:sz w:val="16"/>
          <w:szCs w:val="16"/>
          <w:color w:val="auto"/>
        </w:rPr>
        <w:t xml:space="preserve">”). For purposes of calculating such amount, (i)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shall be taken into account, (ii) the price of each Ordinary Share shall be the volume weighted average price of the Ordinary Shares during the ten (10) trading day period ending on the trading day prior to the effective date of the applicable event, (iii) the assumed volatility shall be the 90 day volatility obtained from the HVT function on Bloomberg determined as of the trading day immediately prior to the day of the announcement of the applicable event and (iv) the assumed risk-free interest rate shall correspond to the U.S. Treasury rate for a period equal to the remaining term of the Warrant. “</w:t>
      </w:r>
      <w:r>
        <w:rPr>
          <w:rFonts w:ascii="Arial" w:cs="Arial" w:eastAsia="Arial" w:hAnsi="Arial"/>
          <w:sz w:val="16"/>
          <w:szCs w:val="16"/>
          <w:b w:val="1"/>
          <w:bCs w:val="1"/>
          <w:i w:val="1"/>
          <w:iCs w:val="1"/>
          <w:color w:val="auto"/>
        </w:rPr>
        <w:t>Per Share Consideration</w:t>
      </w:r>
      <w:r>
        <w:rPr>
          <w:rFonts w:ascii="Arial" w:cs="Arial" w:eastAsia="Arial" w:hAnsi="Arial"/>
          <w:sz w:val="16"/>
          <w:szCs w:val="16"/>
          <w:color w:val="auto"/>
        </w:rPr>
        <w:t>” means (i) if the consideration paid to holders of the Ordinary Shares consists exclusively of cash, the amount of such cash per Ordinary Share, and (ii) in all other cases, the volume weighted average price of the Ordinary Shares during the ten</w:t>
      </w:r>
    </w:p>
    <w:p>
      <w:pPr>
        <w:spacing w:after="0" w:line="11" w:lineRule="exact"/>
        <w:rPr>
          <w:sz w:val="20"/>
          <w:szCs w:val="20"/>
          <w:color w:val="auto"/>
        </w:rPr>
      </w:pPr>
    </w:p>
    <w:p>
      <w:pPr>
        <w:ind w:left="4" w:right="60" w:hanging="4"/>
        <w:spacing w:after="0" w:line="295" w:lineRule="auto"/>
        <w:tabs>
          <w:tab w:leader="none" w:pos="349"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trading day period ending on the trading day prior to the effective date of the applicable event. If any reclassification or reorganization also results in a change in Ordinary Shares covered by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then such adjustment shall be made 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shall similarly apply to successive reclassifications, reorganizations, mergers or consolidations, sales or other transfers. In no event shall the Warrant Price be reduced to less than the par value per share issuable upon exercise of such Warrant.</w:t>
      </w:r>
    </w:p>
    <w:p>
      <w:pPr>
        <w:spacing w:after="0" w:line="53" w:lineRule="exact"/>
        <w:rPr>
          <w:sz w:val="20"/>
          <w:szCs w:val="20"/>
          <w:color w:val="auto"/>
        </w:rPr>
      </w:pPr>
    </w:p>
    <w:p>
      <w:pPr>
        <w:ind w:left="4" w:right="280"/>
        <w:spacing w:after="0" w:line="28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or</w:t>
      </w:r>
    </w:p>
    <w:p>
      <w:pPr>
        <w:spacing w:after="0" w:line="1"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u w:val="single" w:color="auto"/>
          <w:color w:val="auto"/>
        </w:rPr>
        <w:t>4.5</w:t>
      </w:r>
      <w:r>
        <w:rPr>
          <w:rFonts w:ascii="Arial" w:cs="Arial" w:eastAsia="Arial" w:hAnsi="Arial"/>
          <w:sz w:val="18"/>
          <w:szCs w:val="18"/>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82"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Notwithstanding any provision contained in this Agreement to the contrary, the Company shall not issue fractional shares upon the exercise of Warrants. If, by reason of any adjustment made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holder of any Warrant would be entitled, upon the exercise of such Warrant, to receive a fractional interest in a share, the Company shall, upon such exercise, round down to the nearest whole number the number of Ordinary Shares to be issued to such holder.</w:t>
      </w:r>
    </w:p>
    <w:p>
      <w:pPr>
        <w:spacing w:after="0" w:line="79"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The form of Warrant need not be changed because of any adjustment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Warrants issued after such adjustment may state the same Warrant Price and the same number of shares as is stated in the Warrants initially issued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ectPr>
          <w:pgSz w:w="11900" w:h="16838" w:orient="portrait"/>
          <w:cols w:equalWidth="0" w:num="1">
            <w:col w:w="10984"/>
          </w:cols>
          <w:pgMar w:left="436" w:top="274" w:right="479" w:bottom="1440" w:gutter="0" w:footer="0" w:header="0"/>
        </w:sectPr>
      </w:pPr>
    </w:p>
    <w:bookmarkStart w:id="327" w:name="page328"/>
    <w:bookmarkEnd w:id="327"/>
    <w:p>
      <w:pPr>
        <w:ind w:left="184" w:hanging="184"/>
        <w:spacing w:after="0"/>
        <w:tabs>
          <w:tab w:leader="none" w:pos="184"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 and Exchange of Warrants</w:t>
      </w:r>
      <w:r>
        <w:rPr>
          <w:rFonts w:ascii="Arial" w:cs="Arial" w:eastAsia="Arial" w:hAnsi="Arial"/>
          <w:sz w:val="18"/>
          <w:szCs w:val="18"/>
          <w:color w:val="auto"/>
        </w:rPr>
        <w:t>.</w:t>
      </w:r>
    </w:p>
    <w:p>
      <w:pPr>
        <w:spacing w:after="0" w:line="117"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Registration of Transfer</w:t>
      </w:r>
      <w:r>
        <w:rPr>
          <w:rFonts w:ascii="Arial" w:cs="Arial" w:eastAsia="Arial" w:hAnsi="Arial"/>
          <w:sz w:val="18"/>
          <w:szCs w:val="18"/>
          <w:color w:val="auto"/>
        </w:rPr>
        <w:t>. The Warrant Agent shall register the transfer, from time to time, of any outstanding Warrant upon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80"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Procedure for Surrender of Warrants</w:t>
      </w:r>
      <w:r>
        <w:rPr>
          <w:rFonts w:ascii="Arial" w:cs="Arial" w:eastAsia="Arial" w:hAnsi="Arial"/>
          <w:sz w:val="17"/>
          <w:szCs w:val="17"/>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otherwise provided herein or with respect to any Book-Entry Warrant, each Book-Entry Warrant may be transferred only in whole and only to the Depositary, to another nominee of the Depositary, to a successor depository, or to a nominee of a successor depository;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a Warrant surrendered for transfer bears a restrictive legend (as in the case of the Private Placement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70"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shall result in the issuance of a warrant certificate or book-entry position for a fraction of a warrant, except as part of the Units.</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117"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Warrant Execution and Countersignature</w:t>
      </w:r>
      <w:r>
        <w:rPr>
          <w:rFonts w:ascii="Arial" w:cs="Arial" w:eastAsia="Arial" w:hAnsi="Arial"/>
          <w:sz w:val="18"/>
          <w:szCs w:val="18"/>
          <w:color w:val="auto"/>
        </w:rPr>
        <w:t xml:space="preserve">. The Warrant Agent is hereby authorized to countersign and to deliver, in accordance with the terms of this Agreement, the Warrants required to be issued pursuant to the provisions of this </w:t>
      </w:r>
      <w:r>
        <w:rPr>
          <w:rFonts w:ascii="Arial" w:cs="Arial" w:eastAsia="Arial" w:hAnsi="Arial"/>
          <w:sz w:val="18"/>
          <w:szCs w:val="18"/>
          <w:u w:val="single" w:color="auto"/>
          <w:color w:val="auto"/>
        </w:rPr>
        <w:t>Section 5</w:t>
      </w:r>
      <w:r>
        <w:rPr>
          <w:rFonts w:ascii="Arial" w:cs="Arial" w:eastAsia="Arial" w:hAnsi="Arial"/>
          <w:sz w:val="18"/>
          <w:szCs w:val="18"/>
          <w:color w:val="auto"/>
        </w:rPr>
        <w:t>, and the Company, whenever required by the Warrant Agent, shall supply the Warrant Agent with Warrants duly executed on behalf of the Company for such purpose.</w:t>
      </w:r>
    </w:p>
    <w:p>
      <w:pPr>
        <w:spacing w:after="0" w:line="76"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Transfer of Warrants</w:t>
      </w:r>
      <w:r>
        <w:rPr>
          <w:rFonts w:ascii="Arial" w:cs="Arial" w:eastAsia="Arial" w:hAnsi="Arial"/>
          <w:sz w:val="17"/>
          <w:szCs w:val="17"/>
          <w:color w:val="auto"/>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shall have no effect on any transfer of Warrants on and after the Detachment Date.</w:t>
      </w:r>
    </w:p>
    <w:p>
      <w:pPr>
        <w:spacing w:after="0" w:line="63" w:lineRule="exact"/>
        <w:rPr>
          <w:sz w:val="20"/>
          <w:szCs w:val="20"/>
          <w:color w:val="auto"/>
        </w:rPr>
      </w:pPr>
    </w:p>
    <w:p>
      <w:pPr>
        <w:ind w:left="184" w:hanging="184"/>
        <w:spacing w:after="0"/>
        <w:tabs>
          <w:tab w:leader="none" w:pos="184"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Redemption of Warrants for Cash</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below, at a Redemption Price of $0.01 per Warrant,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Reference Value equals or exceeds $18.00 per share (subject to adjustment in compliance with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(b) there is an effective registration statement covering the issuance of the Ordinary Shares issuable upon exercise of the Warrants, and a current prospectus relating thereto, available throughout the 30-day Redemption Period (as defined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below).</w:t>
      </w:r>
    </w:p>
    <w:p>
      <w:pPr>
        <w:spacing w:after="0" w:line="84"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Redemption of Warrants for Ordinary Shares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below, at a Redemption Price of $0.10 per Warrant,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Reference Value equals or exceeds $10.00 per share (subject to adjustment in compliance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and (ii) if the Reference Value is less than $18.00 per share (subject to adjustment in compliance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Private Placement Warrants are also concurrently called for redemption on the same terms as the outstanding Public Warrants. During the 30-day Redemption Period in connection with a redemption pursuant to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Registered Holders of the Warrants may elect to exercise their Warrants on a “cashless basis” pursuant to </w:t>
      </w:r>
      <w:r>
        <w:rPr>
          <w:rFonts w:ascii="Arial" w:cs="Arial" w:eastAsia="Arial" w:hAnsi="Arial"/>
          <w:sz w:val="17"/>
          <w:szCs w:val="17"/>
          <w:u w:val="single" w:color="auto"/>
          <w:color w:val="auto"/>
        </w:rPr>
        <w:t>subsection 3.3.1</w:t>
      </w:r>
      <w:r>
        <w:rPr>
          <w:rFonts w:ascii="Arial" w:cs="Arial" w:eastAsia="Arial" w:hAnsi="Arial"/>
          <w:sz w:val="17"/>
          <w:szCs w:val="17"/>
          <w:color w:val="auto"/>
        </w:rPr>
        <w:t xml:space="preserve"> and receive a number of Ordinary Shares determined by reference to the table below, based on the Redemption Date (calculated for purposes of the table as the period to expiration of the Warrants) and the “Redemption Fair Market Value” (as such term is defined in this </w:t>
      </w:r>
      <w:r>
        <w:rPr>
          <w:rFonts w:ascii="Arial" w:cs="Arial" w:eastAsia="Arial" w:hAnsi="Arial"/>
          <w:sz w:val="17"/>
          <w:szCs w:val="17"/>
          <w:u w:val="single" w:color="auto"/>
          <w:color w:val="auto"/>
        </w:rPr>
        <w:t>Section 6.2</w:t>
      </w:r>
      <w:r>
        <w:rPr>
          <w:rFonts w:ascii="Arial" w:cs="Arial" w:eastAsia="Arial" w:hAnsi="Arial"/>
          <w:sz w:val="17"/>
          <w:szCs w:val="17"/>
          <w:color w:val="auto"/>
        </w:rPr>
        <w:t>) (a “</w:t>
      </w:r>
      <w:r>
        <w:rPr>
          <w:rFonts w:ascii="Arial" w:cs="Arial" w:eastAsia="Arial" w:hAnsi="Arial"/>
          <w:sz w:val="17"/>
          <w:szCs w:val="17"/>
          <w:b w:val="1"/>
          <w:bCs w:val="1"/>
          <w:i w:val="1"/>
          <w:iCs w:val="1"/>
          <w:color w:val="auto"/>
        </w:rPr>
        <w:t>Make-Whole Exercise</w:t>
      </w:r>
      <w:r>
        <w:rPr>
          <w:rFonts w:ascii="Arial" w:cs="Arial" w:eastAsia="Arial" w:hAnsi="Arial"/>
          <w:sz w:val="17"/>
          <w:szCs w:val="17"/>
          <w:color w:val="auto"/>
        </w:rPr>
        <w:t xml:space="preserve">”). Solely for purposes of this </w:t>
      </w:r>
      <w:r>
        <w:rPr>
          <w:rFonts w:ascii="Arial" w:cs="Arial" w:eastAsia="Arial" w:hAnsi="Arial"/>
          <w:sz w:val="17"/>
          <w:szCs w:val="17"/>
          <w:u w:val="single" w:color="auto"/>
          <w:color w:val="auto"/>
        </w:rPr>
        <w:t>Section 6.2</w:t>
      </w:r>
      <w:r>
        <w:rPr>
          <w:rFonts w:ascii="Arial" w:cs="Arial" w:eastAsia="Arial" w:hAnsi="Arial"/>
          <w:sz w:val="17"/>
          <w:szCs w:val="17"/>
          <w:color w:val="auto"/>
        </w:rPr>
        <w:t>, the “</w:t>
      </w:r>
      <w:r>
        <w:rPr>
          <w:rFonts w:ascii="Arial" w:cs="Arial" w:eastAsia="Arial" w:hAnsi="Arial"/>
          <w:sz w:val="17"/>
          <w:szCs w:val="17"/>
          <w:b w:val="1"/>
          <w:bCs w:val="1"/>
          <w:i w:val="1"/>
          <w:iCs w:val="1"/>
          <w:color w:val="auto"/>
        </w:rPr>
        <w:t>Redemption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shall mean the volume weighted average price of the Ordinary Shares for the ten (10) trading days immediately following the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on which notice of redemption pursuant to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is sent to the Registered Holders. In connection with any redemption pursuant to this </w:t>
      </w:r>
      <w:r>
        <w:rPr>
          <w:rFonts w:ascii="Arial" w:cs="Arial" w:eastAsia="Arial" w:hAnsi="Arial"/>
          <w:sz w:val="17"/>
          <w:szCs w:val="17"/>
          <w:u w:val="single" w:color="auto"/>
          <w:color w:val="auto"/>
        </w:rPr>
        <w:t>Section 6.2</w:t>
      </w:r>
      <w:r>
        <w:rPr>
          <w:rFonts w:ascii="Arial" w:cs="Arial" w:eastAsia="Arial" w:hAnsi="Arial"/>
          <w:sz w:val="17"/>
          <w:szCs w:val="17"/>
          <w:color w:val="auto"/>
        </w:rPr>
        <w:t>, the Company shall provide the Registered Holders with the Redemption Fair Market Value no later than one (1) Business Day after the ten (10) trading day period described above ends.</w:t>
      </w:r>
    </w:p>
    <w:p>
      <w:pPr>
        <w:sectPr>
          <w:pgSz w:w="11900" w:h="16838" w:orient="portrait"/>
          <w:cols w:equalWidth="0" w:num="1">
            <w:col w:w="11004"/>
          </w:cols>
          <w:pgMar w:left="436" w:top="274" w:right="459" w:bottom="1440" w:gutter="0" w:footer="0" w:header="0"/>
        </w:sectPr>
      </w:pPr>
    </w:p>
    <w:bookmarkStart w:id="328" w:name="page329"/>
    <w:bookmarkEnd w:id="328"/>
    <w:p>
      <w:pPr>
        <w:jc w:val="center"/>
        <w:ind w:left="54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Redemption Fair Market Value of Ordinary Shares (period to expiration</w:t>
      </w:r>
    </w:p>
    <w:p>
      <w:pPr>
        <w:jc w:val="center"/>
        <w:ind w:left="5460"/>
        <w:spacing w:after="0" w:line="236" w:lineRule="auto"/>
        <w:rPr>
          <w:sz w:val="20"/>
          <w:szCs w:val="20"/>
          <w:color w:val="auto"/>
        </w:rPr>
      </w:pPr>
      <w:r>
        <w:rPr>
          <w:rFonts w:ascii="Arial" w:cs="Arial" w:eastAsia="Arial" w:hAnsi="Arial"/>
          <w:sz w:val="14"/>
          <w:szCs w:val="14"/>
          <w:b w:val="1"/>
          <w:bCs w:val="1"/>
          <w:color w:val="auto"/>
        </w:rPr>
        <w:t>of warrants)</w:t>
      </w:r>
    </w:p>
    <w:tbl>
      <w:tblPr>
        <w:tblLayout w:type="fixed"/>
        <w:tblInd w:w="0" w:type="dxa"/>
        <w:tblCellMar>
          <w:top w:w="0" w:type="dxa"/>
          <w:left w:w="0" w:type="dxa"/>
          <w:bottom w:w="0" w:type="dxa"/>
          <w:right w:w="0" w:type="dxa"/>
        </w:tblCellMar>
      </w:tblPr>
      <w:tr>
        <w:trPr>
          <w:trHeight w:val="119"/>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Redemption Date</w:t>
            </w:r>
          </w:p>
        </w:tc>
        <w:tc>
          <w:tcPr>
            <w:tcW w:w="44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11.00</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12.00</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13.00</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14.00</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15.00</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16.00</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17.00</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color w:val="auto"/>
              </w:rPr>
              <w:t>³</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4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10.00</w:t>
            </w:r>
          </w:p>
        </w:tc>
        <w:tc>
          <w:tcPr>
            <w:tcW w:w="1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60 months</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0.261</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0.281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0.297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0.311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0.324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0.337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0.348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0.358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57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0.257</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0.277</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0.294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0.310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0.324</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0.337</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0.348</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0.358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54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0.252</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0.272</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0.291</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0.307</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0.322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0.335</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0.347</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0.357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51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0.246</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0.268</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0.287</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0.304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0.320</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0.333</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0.346</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0.357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48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0.241</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0.263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0.283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0.301</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0.317</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0.332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0.344</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0.356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45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0.235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0.258</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0.279</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0.298</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0.315</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0.330</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0.343</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0.356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42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0.228</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0.252</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0.274</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0.294</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0.312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0.328</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0.342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0.355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39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0.221</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0.246</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0.269</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0.290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0.309</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0.325</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0.340</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0.354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36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0.213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0.239</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0.263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0.285</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0.305</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0.323</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0.339</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0.353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33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0.205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0.232</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0.257</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0.280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0.301</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0.320</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0.337</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0.352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30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0.196</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0.224</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0.250</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0.274</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0.297</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0.316</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0.335</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0.351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27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0.185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0.214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0.242</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0.268</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0.291</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0.313</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0.332</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0.350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24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0.173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0.204</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0.233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0.260</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0.285</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0.308</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0.329</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0.348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21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0.161</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0.193</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0.223</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0.252</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0.279</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0.304</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0.326</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0.347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18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0.146</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0.179</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0.211</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0.242</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0.271</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0.298</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0.322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0.345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15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0.130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0.164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0.197</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0.230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0.262</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0.291</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0.317</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0.342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12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0.111</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0.146</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0.181</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0.216</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0.250</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0.282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0.312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0.339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9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0.090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0.125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0.162</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0.199</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0.237</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0.272</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0.305</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0.336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6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0.065</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0.099</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0.137</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0.178</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0.219</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0.259</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0.296</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0.331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3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0.034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0.065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0.104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0.150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0.197</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0.243</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0.286</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0.326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0 months</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0.042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0.115</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0.179</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0.233</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0.281</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0.323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exact Redemption Fair Market Value and Redemption Date may not be set forth in the table above, in which case, if the Redemption Fair Market Value is between two values in the table or the Redemption Date is between two redemption dates in the table, the number of Ordinary Shares to be issued for each Warrant exercised in a Make-Whole Exercise shall be determined by a straight-line interpolation between the number of shares set forth for the higher and lower Redemption Fair Market Values and the earlier and later redemption dates, as applicable, based on a 365- or 366-day year, as applicable.</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share prices set forth in the column headings of the table above shall be adjusted as of any date on which the number of shares issuable upon exercise of a Warrant or the Exercise Price is adjusted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If the number of shares issuable upon exercise of a Warrant is adjusted pursuant to Section 4 hereof, the adjusted share prices in the column headings shall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above shall be adjusted in the same manner and at the same time as the number of shares issuable upon exercise of a Warrant. If the Exercise Price of a warrant is adjusted, (a) in the case of an adjustment pursuant to Section 4.4 hereof, the adjusted share prices in the column headings shall equal the share prices immediately prior to such adjustment multiplied by a fraction, the numerator of which is the higher of the Market Value and the Newly Issued Price and the denominator of which is $10.00 and (b) in the case of an adjustment pursuant to Section 4.1.2 hereof, the adjusted share prices in the column headings shall equal the share prices immediately prior to such adjustment less the decrease in the Exercise Price pursuant to such Exercise Price adjustment. In no event shall the number of shares issued in connection with a Make-Whole Exercise exceed 0.361 Ordinary Shares per Warrant (subject to adjustment)</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Date Fixed for, and Notice of, Redemption; Redemption Price; Reference Value</w:t>
      </w:r>
      <w:r>
        <w:rPr>
          <w:rFonts w:ascii="Arial" w:cs="Arial" w:eastAsia="Arial" w:hAnsi="Arial"/>
          <w:sz w:val="17"/>
          <w:szCs w:val="17"/>
          <w:color w:val="auto"/>
        </w:rPr>
        <w:t>. In the event that the Company elects to redeem the Warrants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the Company shall fix a date for the redemption (the “</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Notice of redemption shall be mailed by first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class mail, postage prepaid, by the Company not less than thirty (30) days prior to the Redemption Date (the “</w:t>
      </w:r>
      <w:r>
        <w:rPr>
          <w:rFonts w:ascii="Arial" w:cs="Arial" w:eastAsia="Arial" w:hAnsi="Arial"/>
          <w:sz w:val="17"/>
          <w:szCs w:val="17"/>
          <w:b w:val="1"/>
          <w:bCs w:val="1"/>
          <w:i w:val="1"/>
          <w:iCs w:val="1"/>
          <w:color w:val="auto"/>
        </w:rPr>
        <w:t>30-day Redemption Period</w:t>
      </w:r>
      <w:r>
        <w:rPr>
          <w:rFonts w:ascii="Arial" w:cs="Arial" w:eastAsia="Arial" w:hAnsi="Arial"/>
          <w:sz w:val="17"/>
          <w:szCs w:val="17"/>
          <w:color w:val="auto"/>
        </w:rPr>
        <w: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Registered Holders of the Warrants to be redeemed at their last addresses as they shall appear on the registration books. Any notice mailed in the manner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provided shall be conclusively presumed to have been duly given whether or not the Registered Holder received such notice. As used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(a) “</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 xml:space="preserve">” shall mean the price per Warrant at which any Warrants are redeemed pursuant to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and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Reference Value</w:t>
      </w:r>
      <w:r>
        <w:rPr>
          <w:rFonts w:ascii="Arial" w:cs="Arial" w:eastAsia="Arial" w:hAnsi="Arial"/>
          <w:sz w:val="16"/>
          <w:szCs w:val="16"/>
          <w:color w:val="auto"/>
        </w:rPr>
        <w:t>” shall mean the last reported sales price of the Ordinary Shares for any twenty (20) trading days within the thirty (30) trading-day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 ending on the third trading day prior to the date on which notice of the redemption is given.</w:t>
      </w:r>
    </w:p>
    <w:p>
      <w:pPr>
        <w:sectPr>
          <w:pgSz w:w="11900" w:h="16838" w:orient="portrait"/>
          <w:cols w:equalWidth="0" w:num="1">
            <w:col w:w="11020"/>
          </w:cols>
          <w:pgMar w:left="440" w:top="265" w:right="439" w:bottom="1440" w:gutter="0" w:footer="0" w:header="0"/>
        </w:sectPr>
      </w:pPr>
    </w:p>
    <w:bookmarkStart w:id="329" w:name="page330"/>
    <w:bookmarkEnd w:id="329"/>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6.4. </w:t>
      </w:r>
      <w:r>
        <w:rPr>
          <w:rFonts w:ascii="Arial" w:cs="Arial" w:eastAsia="Arial" w:hAnsi="Arial"/>
          <w:sz w:val="18"/>
          <w:szCs w:val="18"/>
          <w:u w:val="single" w:color="auto"/>
          <w:color w:val="auto"/>
        </w:rPr>
        <w:t>Exercise After Notice of Redemption</w:t>
      </w:r>
      <w:r>
        <w:rPr>
          <w:rFonts w:ascii="Arial" w:cs="Arial" w:eastAsia="Arial" w:hAnsi="Arial"/>
          <w:sz w:val="18"/>
          <w:szCs w:val="18"/>
          <w:color w:val="auto"/>
        </w:rPr>
        <w:t xml:space="preserve">. The Warrants may be exercised, for cash (or on a “cashless basis” in accordance with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of this Agreement) at any time after notice of redemption shall have been given by the Company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hereof and prior to the Redemption Date. On and after the Redemption Date, the record holder of the Warrants shall have no further rights except to receive, upon surrender of the Warrants, the Redemption Price.</w:t>
      </w:r>
    </w:p>
    <w:p>
      <w:pPr>
        <w:spacing w:after="0" w:line="79"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Exclusion of Private Placement Warrants</w:t>
      </w:r>
      <w:r>
        <w:rPr>
          <w:rFonts w:ascii="Arial" w:cs="Arial" w:eastAsia="Arial" w:hAnsi="Arial"/>
          <w:sz w:val="17"/>
          <w:szCs w:val="17"/>
          <w:color w:val="auto"/>
        </w:rPr>
        <w:t xml:space="preserve">. The Company agrees that (a) the redemption rights provided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hereof shall not apply to the Private Placement Warrants if at the time of the redemption such Private Placement Warrants continue to be held by the Sponsor or its Permitted Transferees and (b) if the Reference Value equals or exceeds $18.00 per share (subject to adjustment in compliance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redemption rights provided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shall not apply to the Private Placement Warrants if at the time of the redemption such Private Placement Warrants continue to be held by the Sponsor or its Permitted Transferees. However, once such Private Placement Warrants are transferred (other than to Permitted Transferees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hereof), the Company may redeem the Private Placement Warrants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hereof, provided that the criteria for redemption are met, including the opportunity of the holder of such Private Placement Warrants to exercise the Private Placement Warrants prior to redemption pursuant to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hereof. Private Placement Warrants that are transferred to persons other than Permitted Transferees shall upon such transfer cease to be Private Placement Warrants and shall become Public Warrants under this Agreement, including for purposes of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hereof.</w:t>
      </w:r>
    </w:p>
    <w:p>
      <w:pPr>
        <w:spacing w:after="0" w:line="77" w:lineRule="exact"/>
        <w:rPr>
          <w:sz w:val="20"/>
          <w:szCs w:val="20"/>
          <w:color w:val="auto"/>
        </w:rPr>
      </w:pPr>
    </w:p>
    <w:p>
      <w:pPr>
        <w:ind w:left="184" w:hanging="184"/>
        <w:spacing w:after="0"/>
        <w:tabs>
          <w:tab w:leader="none" w:pos="184"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117" w:lineRule="exact"/>
        <w:rPr>
          <w:sz w:val="20"/>
          <w:szCs w:val="20"/>
          <w:color w:val="auto"/>
        </w:rPr>
      </w:pPr>
    </w:p>
    <w:p>
      <w:pPr>
        <w:ind w:left="4" w:right="60"/>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Shareholder</w:t>
      </w:r>
      <w:r>
        <w:rPr>
          <w:rFonts w:ascii="Arial" w:cs="Arial" w:eastAsia="Arial" w:hAnsi="Arial"/>
          <w:sz w:val="17"/>
          <w:szCs w:val="17"/>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57" w:lineRule="exact"/>
        <w:rPr>
          <w:sz w:val="20"/>
          <w:szCs w:val="20"/>
          <w:color w:val="auto"/>
        </w:rPr>
      </w:pPr>
    </w:p>
    <w:p>
      <w:pPr>
        <w:ind w:left="4" w:right="120"/>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80"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Reservation of Ordinary Shares</w:t>
      </w:r>
      <w:r>
        <w:rPr>
          <w:rFonts w:ascii="Arial" w:cs="Arial" w:eastAsia="Arial" w:hAnsi="Arial"/>
          <w:sz w:val="18"/>
          <w:szCs w:val="18"/>
          <w:color w:val="auto"/>
        </w:rPr>
        <w:t>. The Company shall at all times reserve and keep available a number of its authorized but unissued Ordinary Shares that shall be sufficient to permit the exercise in full of all outstanding Warrants issued pursuant to this Agreement.</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Ordinary Shares; Cashless Exercise at Company’s Option</w:t>
      </w:r>
      <w:r>
        <w:rPr>
          <w:rFonts w:ascii="Arial" w:cs="Arial" w:eastAsia="Arial" w:hAnsi="Arial"/>
          <w:sz w:val="18"/>
          <w:szCs w:val="18"/>
          <w:color w:val="auto"/>
        </w:rPr>
        <w:t>.</w:t>
      </w:r>
    </w:p>
    <w:p>
      <w:pPr>
        <w:spacing w:after="0" w:line="117"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 xml:space="preserve">7.4.1. </w:t>
      </w:r>
      <w:r>
        <w:rPr>
          <w:rFonts w:ascii="Arial" w:cs="Arial" w:eastAsia="Arial" w:hAnsi="Arial"/>
          <w:sz w:val="17"/>
          <w:szCs w:val="17"/>
          <w:u w:val="single" w:color="auto"/>
          <w:color w:val="auto"/>
        </w:rPr>
        <w:t>Registration of the Ordinary Shares</w:t>
      </w:r>
      <w:r>
        <w:rPr>
          <w:rFonts w:ascii="Arial" w:cs="Arial" w:eastAsia="Arial" w:hAnsi="Arial"/>
          <w:sz w:val="17"/>
          <w:szCs w:val="17"/>
          <w:color w:val="auto"/>
        </w:rPr>
        <w:t>. The Company agrees that as soon as practicable, but in no event later than twenty (20) Business Days after the closing of its initial Business Combination, it shall use its commercially reasonable efforts to file with the Commission a registration statement for the registration, under the Securities Act, of the Ordinary Shares issuable upon exercise of the Warrants. The Company shall use its commercially reasonable efforts to cause the same to become effective within sixty (60) Business Days following the closing of its initial Business Combination and to maintain the effectiveness of such registration statement, and a current prospectus relating thereto, until the expiration or redemption of the Warrants in accordance with the provisions of this Agreement. If any such registration statement has not been declared effective by the sixtieth (60</w:t>
      </w:r>
      <w:r>
        <w:rPr>
          <w:rFonts w:ascii="Arial" w:cs="Arial" w:eastAsia="Arial" w:hAnsi="Arial"/>
          <w:sz w:val="17"/>
          <w:szCs w:val="17"/>
          <w:u w:val="single" w:color="auto"/>
          <w:color w:val="auto"/>
        </w:rPr>
        <w:t>th</w:t>
      </w:r>
      <w:r>
        <w:rPr>
          <w:rFonts w:ascii="Arial" w:cs="Arial" w:eastAsia="Arial" w:hAnsi="Arial"/>
          <w:sz w:val="17"/>
          <w:szCs w:val="17"/>
          <w:color w:val="auto"/>
        </w:rPr>
        <w:t>) Business Day following the closing of the Business Combination, holders of the Warrants shall have the right, during the period beginning on the sixty-first (61</w:t>
      </w:r>
      <w:r>
        <w:rPr>
          <w:rFonts w:ascii="Arial" w:cs="Arial" w:eastAsia="Arial" w:hAnsi="Arial"/>
          <w:sz w:val="17"/>
          <w:szCs w:val="17"/>
          <w:u w:val="single" w:color="auto"/>
          <w:color w:val="auto"/>
        </w:rPr>
        <w:t>st</w:t>
      </w:r>
      <w:r>
        <w:rPr>
          <w:rFonts w:ascii="Arial" w:cs="Arial" w:eastAsia="Arial" w:hAnsi="Arial"/>
          <w:sz w:val="17"/>
          <w:szCs w:val="17"/>
          <w:color w:val="auto"/>
        </w:rPr>
        <w:t>) Business Day after the closing of the Business Combination and ending upon such registration statement being declared effective by the Commission, and during any other period when the Company shall fail to have maintained an effective registration statement covering the issuance of the Ordinary Shares issuable upon exercise of the Warrants, to exercise such Warrants on a “cashless basis,” by exchanging the Warrants (in accordance with Section 3(a)(9) of the Securities Act or another exemption) for that number of Ordinary Shares equal to the lesser of (A) the quotient obtained by dividing (x) the product of the number of Ordinary Shares</w:t>
      </w:r>
    </w:p>
    <w:p>
      <w:pPr>
        <w:sectPr>
          <w:pgSz w:w="11900" w:h="16838" w:orient="portrait"/>
          <w:cols w:equalWidth="0" w:num="1">
            <w:col w:w="11004"/>
          </w:cols>
          <w:pgMar w:left="436" w:top="274" w:right="459" w:bottom="1440" w:gutter="0" w:footer="0" w:header="0"/>
        </w:sectPr>
      </w:pPr>
    </w:p>
    <w:bookmarkStart w:id="330" w:name="page331"/>
    <w:bookmarkEnd w:id="33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underlying the Warrants, multiplied by the excess of the “Fair Market Value” (as defined below) less the Warrant Price by (y) the Fair Market Value and</w:t>
      </w:r>
    </w:p>
    <w:p>
      <w:pPr>
        <w:spacing w:after="0" w:line="46" w:lineRule="exact"/>
        <w:rPr>
          <w:sz w:val="20"/>
          <w:szCs w:val="20"/>
          <w:color w:val="auto"/>
        </w:rPr>
      </w:pPr>
    </w:p>
    <w:p>
      <w:pPr>
        <w:ind w:left="4" w:right="100" w:hanging="4"/>
        <w:spacing w:after="0" w:line="281" w:lineRule="auto"/>
        <w:tabs>
          <w:tab w:leader="none" w:pos="289"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0.361. Solely for purposes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shall mean the volume-weighted average price of the Ordinary Shares as reported during the ten (10) 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w:t>
      </w:r>
    </w:p>
    <w:p>
      <w:pPr>
        <w:spacing w:after="0" w:line="2" w:lineRule="exact"/>
        <w:rPr>
          <w:rFonts w:ascii="Arial" w:cs="Arial" w:eastAsia="Arial" w:hAnsi="Arial"/>
          <w:sz w:val="16"/>
          <w:szCs w:val="16"/>
          <w:color w:val="auto"/>
        </w:rPr>
      </w:pPr>
    </w:p>
    <w:p>
      <w:pPr>
        <w:ind w:left="4" w:right="2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(i) the exercise of the Warrants on a “cashless basis” in accordance with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is not required to be registered under the Securities Act and (ii) the Ordinary Shares issued upon such exercise shall be freely tradable under United States federal securities laws by anyone who is not an affiliate (as such term is defined in Rule 144 under the Securities Act) of the Company and, accordingly, shall not be required to bear a restrictive legend. Except as provided in </w:t>
      </w:r>
      <w:r>
        <w:rPr>
          <w:rFonts w:ascii="Arial" w:cs="Arial" w:eastAsia="Arial" w:hAnsi="Arial"/>
          <w:sz w:val="16"/>
          <w:szCs w:val="16"/>
          <w:u w:val="single" w:color="auto"/>
          <w:color w:val="auto"/>
        </w:rPr>
        <w:t>subsection 7.4.2</w:t>
      </w:r>
      <w:r>
        <w:rPr>
          <w:rFonts w:ascii="Arial" w:cs="Arial" w:eastAsia="Arial" w:hAnsi="Arial"/>
          <w:sz w:val="16"/>
          <w:szCs w:val="16"/>
          <w:color w:val="auto"/>
        </w:rPr>
        <w:t xml:space="preserve">, for the avoidance of doubt, unless and until all of the Warrants have been exercised or have expired, the Company shall continue to be obligated to comply with its registration obligations under the first three sentences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w:t>
      </w:r>
    </w:p>
    <w:p>
      <w:pPr>
        <w:spacing w:after="0" w:line="54" w:lineRule="exact"/>
        <w:rPr>
          <w:sz w:val="20"/>
          <w:szCs w:val="20"/>
          <w:color w:val="auto"/>
        </w:rPr>
      </w:pPr>
    </w:p>
    <w:p>
      <w:pPr>
        <w:ind w:left="4" w:right="140"/>
        <w:spacing w:after="0" w:line="291" w:lineRule="auto"/>
        <w:rPr>
          <w:sz w:val="20"/>
          <w:szCs w:val="20"/>
          <w:color w:val="auto"/>
        </w:rPr>
      </w:pPr>
      <w:r>
        <w:rPr>
          <w:rFonts w:ascii="Arial" w:cs="Arial" w:eastAsia="Arial" w:hAnsi="Arial"/>
          <w:sz w:val="16"/>
          <w:szCs w:val="16"/>
          <w:color w:val="auto"/>
        </w:rPr>
        <w:t xml:space="preserve">7.4.2. </w:t>
      </w:r>
      <w:r>
        <w:rPr>
          <w:rFonts w:ascii="Arial" w:cs="Arial" w:eastAsia="Arial" w:hAnsi="Arial"/>
          <w:sz w:val="16"/>
          <w:szCs w:val="16"/>
          <w:u w:val="single" w:color="auto"/>
          <w:color w:val="auto"/>
        </w:rPr>
        <w:t>Cashless Exercise at Company’s Option</w:t>
      </w:r>
      <w:r>
        <w:rPr>
          <w:rFonts w:ascii="Arial" w:cs="Arial" w:eastAsia="Arial" w:hAnsi="Arial"/>
          <w:sz w:val="16"/>
          <w:szCs w:val="16"/>
          <w:color w:val="auto"/>
        </w:rPr>
        <w:t xml:space="preserve">. If the Ordinary Shares are at the time of any exercise of a Public Warrant not listed on a national securities exchange such that they satisfy the definition of a “covered security” under Section 18(b)(1) of the Securities Act, the Company may, at its option, (i) require holders of Public Warrants who exercise Public Warrants to exercise such Public Warrants on a “cashless basis” in accordance with Section 3(a)(9) of the Securities Act as described in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and (ii) in the event the Company so elects, the Company shall (x) not be required to file or maintain in effect a registration statement for the registration, under the Securities Act, of the Ordinary Shares issuable upon exercise of the Warrants, notwithstanding anything in this Agreement to the contrary, and (y) use its commercially reasonable efforts to register or qualify for sale the Ordinary Shares issuable upon exercise of the Public Warrant under applicable blue sky laws to the extent an exemption is not available.</w:t>
      </w:r>
    </w:p>
    <w:p>
      <w:pPr>
        <w:spacing w:after="0" w:line="58" w:lineRule="exact"/>
        <w:rPr>
          <w:sz w:val="20"/>
          <w:szCs w:val="20"/>
          <w:color w:val="auto"/>
        </w:rPr>
      </w:pPr>
    </w:p>
    <w:p>
      <w:pPr>
        <w:ind w:left="184" w:hanging="184"/>
        <w:spacing w:after="0"/>
        <w:tabs>
          <w:tab w:leader="none" w:pos="184"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117"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shall from time to time promptly pay all taxes and charges that may be imposed upon the Company or the Warrant Agent in respect of the issuance or delivery of Ordinary Shares upon the exercise of the Warrants, but the Company shall not be obligated to pay any transfer taxes in respect of the Warrants or such shares.</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117"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 other entity organized and existing under the laws of the State of New York, in good standing and having its principal office in the United States of America,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ectPr>
          <w:pgSz w:w="11900" w:h="16838" w:orient="portrait"/>
          <w:cols w:equalWidth="0" w:num="1">
            <w:col w:w="11024"/>
          </w:cols>
          <w:pgMar w:left="436" w:top="274" w:right="439" w:bottom="1440" w:gutter="0" w:footer="0" w:header="0"/>
        </w:sectPr>
      </w:pPr>
    </w:p>
    <w:bookmarkStart w:id="331" w:name="page332"/>
    <w:bookmarkEnd w:id="331"/>
    <w:p>
      <w:pPr>
        <w:ind w:left="4" w:right="4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Ordinary Shares not later than the effective date of any such appointment.</w:t>
      </w:r>
    </w:p>
    <w:p>
      <w:pPr>
        <w:spacing w:after="0" w:line="16"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117" w:lineRule="exact"/>
        <w:rPr>
          <w:sz w:val="20"/>
          <w:szCs w:val="20"/>
          <w:color w:val="auto"/>
        </w:rPr>
      </w:pPr>
    </w:p>
    <w:p>
      <w:pPr>
        <w:jc w:val="both"/>
        <w:ind w:left="4" w:right="400"/>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76"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117" w:lineRule="exact"/>
        <w:rPr>
          <w:sz w:val="20"/>
          <w:szCs w:val="20"/>
          <w:color w:val="auto"/>
        </w:rPr>
      </w:pPr>
    </w:p>
    <w:p>
      <w:pPr>
        <w:ind w:left="4" w:right="160"/>
        <w:spacing w:after="0" w:line="273"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u w:val="single" w:color="auto"/>
          <w:color w:val="auto"/>
        </w:rPr>
        <w:t>Reliance on Company Statement</w:t>
      </w:r>
      <w:r>
        <w:rPr>
          <w:rFonts w:ascii="Arial" w:cs="Arial" w:eastAsia="Arial" w:hAnsi="Arial"/>
          <w:sz w:val="17"/>
          <w:szCs w:val="17"/>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the President, the Chief Financial Officer, Chief Operating Officer, the General Counsel, the Secretary or the Chairman of the Board of the Company and delivered to the Warrant Agent. The Warrant Agent may rely upon such statement for any action taken or suffered in good faith by it pursuant to the provisions of this Agreement.</w:t>
      </w:r>
    </w:p>
    <w:p>
      <w:pPr>
        <w:spacing w:after="0" w:line="70" w:lineRule="exact"/>
        <w:rPr>
          <w:sz w:val="20"/>
          <w:szCs w:val="20"/>
          <w:color w:val="auto"/>
        </w:rPr>
      </w:pPr>
    </w:p>
    <w:p>
      <w:pPr>
        <w:ind w:left="4" w:right="200"/>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fraud or bad faith. The Company agrees to indemnify the Warrant Agent and save it harmless against any and all liabilities, including judgments, out-of-pocket costs and reasonable outside counsel fees, for anything done or omitted by the Warrant Agent in the execution of this Agreement, except as a result of the Warrant Agent’s gross negligence, willful misconduct, fraud or bad faith.</w:t>
      </w:r>
    </w:p>
    <w:p>
      <w:pPr>
        <w:spacing w:after="0" w:line="79" w:lineRule="exact"/>
        <w:rPr>
          <w:sz w:val="20"/>
          <w:szCs w:val="20"/>
          <w:color w:val="auto"/>
        </w:rPr>
      </w:pPr>
    </w:p>
    <w:p>
      <w:pPr>
        <w:ind w:left="4" w:right="40"/>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Ordinary Shares to be issued pursuant to this Agreement or any Warrant or as to whether any Ordinary Shares shall, when issued, be valid and fully paid and nonassessable.</w:t>
      </w:r>
    </w:p>
    <w:p>
      <w:pPr>
        <w:spacing w:after="0" w:line="87"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Ordinary Shares through the exercise of the Warrants.</w:t>
      </w:r>
    </w:p>
    <w:p>
      <w:pPr>
        <w:spacing w:after="0" w:line="79"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has no right of set-off or any other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Continental Stock Transfer &amp; Trust Company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w:t>
      </w:r>
    </w:p>
    <w:p>
      <w:pPr>
        <w:spacing w:after="0" w:line="80" w:lineRule="exact"/>
        <w:rPr>
          <w:sz w:val="20"/>
          <w:szCs w:val="20"/>
          <w:color w:val="auto"/>
        </w:rPr>
      </w:pPr>
    </w:p>
    <w:p>
      <w:pPr>
        <w:ind w:left="184" w:hanging="184"/>
        <w:spacing w:after="0"/>
        <w:tabs>
          <w:tab w:leader="none" w:pos="184"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ectPr>
          <w:pgSz w:w="11900" w:h="16838" w:orient="portrait"/>
          <w:cols w:equalWidth="0" w:num="1">
            <w:col w:w="11004"/>
          </w:cols>
          <w:pgMar w:left="436" w:top="274" w:right="459" w:bottom="1440" w:gutter="0" w:footer="0" w:header="0"/>
        </w:sectPr>
      </w:pPr>
    </w:p>
    <w:bookmarkStart w:id="332" w:name="page333"/>
    <w:bookmarkEnd w:id="332"/>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ArcLight Clean Transition Corp.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Christian O. Nagler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S. Rowe</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Compliance Department</w:t>
      </w:r>
    </w:p>
    <w:p>
      <w:pPr>
        <w:spacing w:after="0" w:line="10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Applicable Law</w:t>
      </w:r>
      <w:r>
        <w:rPr>
          <w:rFonts w:ascii="Arial" w:cs="Arial" w:eastAsia="Arial" w:hAnsi="Arial"/>
          <w:sz w:val="17"/>
          <w:szCs w:val="17"/>
          <w:color w:val="auto"/>
        </w:rPr>
        <w:t>. The validity, interpretation, and performance of this Agreement and of the Warrants shall be governed in all respects by the laws of the State of New York. Subject to applicable law,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Any person or entity purchasing or otherwise acquiring any interest in the Warrants shall be deemed to have notice of and to have consented to the forum provisions in this Section 9.3. If any action, the subject matter of which is within the scope the forum provisions above, is filed in a court other than a court located within the State of New York or the United States District Court for the Southern District of New York (a “foreign action”)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Agreement</w:t>
      </w:r>
      <w:r>
        <w:rPr>
          <w:rFonts w:ascii="Arial" w:cs="Arial" w:eastAsia="Arial" w:hAnsi="Arial"/>
          <w:sz w:val="18"/>
          <w:szCs w:val="18"/>
          <w:color w:val="auto"/>
        </w:rPr>
        <w:t>. Nothing in this Agreement shall be construed to confer upon, or give to, any person, corporation or other entity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ectPr>
          <w:pgSz w:w="11900" w:h="16838" w:orient="portrait"/>
          <w:cols w:equalWidth="0" w:num="1">
            <w:col w:w="11000"/>
          </w:cols>
          <w:pgMar w:left="440" w:top="274" w:right="459" w:bottom="1440" w:gutter="0" w:footer="0" w:header="0"/>
        </w:sectPr>
      </w:pPr>
    </w:p>
    <w:bookmarkStart w:id="333" w:name="page334"/>
    <w:bookmarkEnd w:id="333"/>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in the United States of America, for inspection by the Registered Holder of any Warrant. The Warrant Agent may require any such holder to submit such holder’s Warrant for inspection by the Warrant Agent.</w:t>
      </w:r>
    </w:p>
    <w:p>
      <w:pPr>
        <w:spacing w:after="0" w:line="7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This Agreement may be amended by the parties hereto without the consent of any Registered Holder for the purpose of (i) curing any ambiguity or to correct any mistake, including to conform the provisions hereof to the description of the terms of the Warrants and this Agreement set forth in the Prospectus, or defective provision contained herein, (ii) amending the definition of “Ordinary Cash Dividend” as contemplated by and in accordance with the second sentence of subsection 4.1.2 or (iii) adding or changing any provisions with respect to matters or questions arising under this Agreement as the parties may deem necessary or desirable and that the parties deem shall not adversely affect the rights of the Registered Holders under this Agreement. All other modifications or amendments, including any modification or amendment to increase the Warrant Price or shorten the Exercise Period and any amendment to the terms of only the Private Placement Warrants, shall require the vote or written consent of the Registered Holders of 65% of the then-outstanding Public Warrants and, solely with respect to any amendment to the terms of the Private Placement Warrants or any provision of this Agreement with respect to the Private Placement Warrants, 65% of the then-outstanding Private Placement Warrants. Notwithstanding the foregoing, the Company may lower the Warrant Price or extend the duration of the Exercise Period pursuant to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respectively, without the consent of the Registered Holders.</w:t>
      </w:r>
    </w:p>
    <w:p>
      <w:pPr>
        <w:spacing w:after="0" w:line="7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Exhibit A Form of Warrant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Legend — Private Placement Warrants</w:t>
      </w:r>
    </w:p>
    <w:p>
      <w:pPr>
        <w:sectPr>
          <w:pgSz w:w="11900" w:h="16838" w:orient="portrait"/>
          <w:cols w:equalWidth="0" w:num="1">
            <w:col w:w="10980"/>
          </w:cols>
          <w:pgMar w:left="440" w:top="274" w:right="47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duly executed as of the date first above written.</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ARCLIGHT CLEAN TRANSITION CORP. II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Title: President and Chief Executive Officer</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CONTINENTAL STOCK TRANSFER &amp; TRUST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as Warrant Agent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Ana Gois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Agreement</w:t>
      </w:r>
      <w:r>
        <w:rPr>
          <w:rFonts w:ascii="Arial" w:cs="Arial" w:eastAsia="Arial" w:hAnsi="Arial"/>
          <w:sz w:val="18"/>
          <w:szCs w:val="18"/>
          <w:color w:val="auto"/>
        </w:rPr>
        <w:t>]</w:t>
      </w:r>
    </w:p>
    <w:p>
      <w:pPr>
        <w:sectPr>
          <w:pgSz w:w="11900" w:h="16838" w:orient="portrait"/>
          <w:cols w:equalWidth="0" w:num="1">
            <w:col w:w="10260"/>
          </w:cols>
          <w:pgMar w:left="440" w:top="274" w:right="1199" w:bottom="1440" w:gutter="0" w:footer="0" w:header="0"/>
        </w:sectPr>
      </w:pPr>
    </w:p>
    <w:bookmarkStart w:id="335" w:name="page336"/>
    <w:bookmarkEnd w:id="3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CERTIFICATE TO BE ATTACHED]</w:t>
      </w:r>
    </w:p>
    <w:p>
      <w:pPr>
        <w:sectPr>
          <w:pgSz w:w="11900" w:h="16838" w:orient="portrait"/>
          <w:cols w:equalWidth="0" w:num="1">
            <w:col w:w="9019"/>
          </w:cols>
          <w:pgMar w:left="1440" w:top="270" w:right="1440" w:bottom="1440" w:gutter="0" w:footer="0" w:header="0"/>
        </w:sectPr>
      </w:pPr>
    </w:p>
    <w:bookmarkStart w:id="336" w:name="page337"/>
    <w:bookmarkEnd w:id="33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LEGEND</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LETTER AGREEMENT BY AND AMONG ARCLIGHT CLEAN TRANSITION CORP. II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ARCLIGHT CTC HOLDINGS II, L.P. AND THE OTHER PARTIES THERETO, THE SECURITIES REPRESENTED BY THIS CERTIFICATE MAY NOT BE SOLD OR TRANSFERRED PRIOR TO THE DATE THAT IS THIRTY (30) DAYS AFTER THE DATE UPON WHICH THE COMPANY COMPLETES ITS INITIAL BUSINESS COMBINATION (AS DEFINED IN SECTION 3 OF THE WARRANT AGREEMENT REFERRED TO HEREIN) EXCEPT TO A PERMITTED TRANSFEREE (AS DEFINED IN SECTION 2 OF THE WARRANT AGREEMENT) WHO AGREES IN WRITING WITH THE COMPANY TO BE SUBJECT TO SUCH TRANSFER PROVISIONS.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SECURITIES EVIDENCED BY THIS CERTIFICATE AND CLASS A ORDINARY SHARES OF THE COMPANY ISSUED UPON EXERCISE OF SUCH SECURITIES SHALL BE ENTITLED TO REGISTRATION RIGHTS UNDER A REGISTRATION AND SHAREHOLDER RIGHTS AGREEMENT TO BE EXECUTED BY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NO. [ ] WARRANT</w:t>
      </w:r>
    </w:p>
    <w:p>
      <w:pPr>
        <w:sectPr>
          <w:pgSz w:w="11900" w:h="16838" w:orient="portrait"/>
          <w:cols w:equalWidth="0" w:num="1">
            <w:col w:w="10960"/>
          </w:cols>
          <w:pgMar w:left="440" w:top="270" w:right="49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171450</wp:posOffset>
            </wp:positionV>
            <wp:extent cx="2366010" cy="4368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236601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800" w:type="dxa"/>
        <w:tblCellMar>
          <w:top w:w="0" w:type="dxa"/>
          <w:left w:w="0" w:type="dxa"/>
          <w:bottom w:w="0" w:type="dxa"/>
          <w:right w:w="0" w:type="dxa"/>
        </w:tblCellMar>
      </w:tblPr>
      <w:tr>
        <w:trPr>
          <w:trHeight w:val="216"/>
        </w:trPr>
        <w:tc>
          <w:tcPr>
            <w:tcW w:w="2800" w:type="dxa"/>
            <w:vAlign w:val="bottom"/>
          </w:tcPr>
          <w:p>
            <w:pPr>
              <w:jc w:val="center"/>
              <w:ind w:right="1050"/>
              <w:spacing w:after="0"/>
              <w:rPr>
                <w:sz w:val="20"/>
                <w:szCs w:val="20"/>
                <w:color w:val="auto"/>
              </w:rPr>
            </w:pPr>
            <w:r>
              <w:rPr>
                <w:rFonts w:ascii="Arial" w:cs="Arial" w:eastAsia="Arial" w:hAnsi="Arial"/>
                <w:sz w:val="18"/>
                <w:szCs w:val="18"/>
                <w:color w:val="auto"/>
                <w:w w:val="92"/>
              </w:rPr>
              <w:t>601 Lexington Avenue</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jc w:val="center"/>
              <w:ind w:right="1050"/>
              <w:spacing w:after="0"/>
              <w:rPr>
                <w:sz w:val="20"/>
                <w:szCs w:val="20"/>
                <w:color w:val="auto"/>
              </w:rPr>
            </w:pPr>
            <w:r>
              <w:rPr>
                <w:rFonts w:ascii="Arial" w:cs="Arial" w:eastAsia="Arial" w:hAnsi="Arial"/>
                <w:sz w:val="18"/>
                <w:szCs w:val="18"/>
                <w:color w:val="auto"/>
                <w:w w:val="93"/>
              </w:rPr>
              <w:t>New York, NY 10022</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0" w:type="dxa"/>
            <w:vAlign w:val="bottom"/>
          </w:tcPr>
          <w:p>
            <w:pPr>
              <w:jc w:val="center"/>
              <w:ind w:right="1030"/>
              <w:spacing w:after="0"/>
              <w:rPr>
                <w:sz w:val="20"/>
                <w:szCs w:val="20"/>
                <w:color w:val="auto"/>
              </w:rPr>
            </w:pPr>
            <w:r>
              <w:rPr>
                <w:rFonts w:ascii="Arial" w:cs="Arial" w:eastAsia="Arial" w:hAnsi="Arial"/>
                <w:sz w:val="18"/>
                <w:szCs w:val="18"/>
                <w:color w:val="auto"/>
                <w:w w:val="88"/>
              </w:rPr>
              <w:t>United States</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Facsimile:</w:t>
            </w:r>
          </w:p>
        </w:tc>
        <w:tc>
          <w:tcPr>
            <w:tcW w:w="0" w:type="dxa"/>
            <w:vAlign w:val="bottom"/>
          </w:tcPr>
          <w:p>
            <w:pPr>
              <w:spacing w:after="0"/>
              <w:rPr>
                <w:sz w:val="1"/>
                <w:szCs w:val="1"/>
                <w:color w:val="auto"/>
              </w:rPr>
            </w:pPr>
          </w:p>
        </w:tc>
      </w:tr>
      <w:tr>
        <w:trPr>
          <w:trHeight w:val="230"/>
        </w:trPr>
        <w:tc>
          <w:tcPr>
            <w:tcW w:w="2800" w:type="dxa"/>
            <w:vAlign w:val="bottom"/>
            <w:vMerge w:val="restart"/>
          </w:tcPr>
          <w:p>
            <w:pPr>
              <w:jc w:val="center"/>
              <w:ind w:right="1050"/>
              <w:spacing w:after="0"/>
              <w:rPr>
                <w:sz w:val="20"/>
                <w:szCs w:val="20"/>
                <w:color w:val="auto"/>
              </w:rPr>
            </w:pPr>
            <w:r>
              <w:rPr>
                <w:rFonts w:ascii="Arial" w:cs="Arial" w:eastAsia="Arial" w:hAnsi="Arial"/>
                <w:sz w:val="18"/>
                <w:szCs w:val="18"/>
                <w:color w:val="auto"/>
                <w:w w:val="89"/>
              </w:rPr>
              <w:t>+1 212 446 4800</w:t>
            </w:r>
          </w:p>
        </w:tc>
        <w:tc>
          <w:tcPr>
            <w:tcW w:w="2360" w:type="dxa"/>
            <w:vAlign w:val="bottom"/>
          </w:tcPr>
          <w:p>
            <w:pPr>
              <w:jc w:val="right"/>
              <w:spacing w:after="0"/>
              <w:rPr>
                <w:sz w:val="20"/>
                <w:szCs w:val="20"/>
                <w:color w:val="auto"/>
              </w:rPr>
            </w:pPr>
            <w:r>
              <w:rPr>
                <w:rFonts w:ascii="Arial" w:cs="Arial" w:eastAsia="Arial" w:hAnsi="Arial"/>
                <w:sz w:val="18"/>
                <w:szCs w:val="18"/>
                <w:color w:val="auto"/>
              </w:rPr>
              <w:t>+1 212 446 4900</w:t>
            </w:r>
          </w:p>
        </w:tc>
        <w:tc>
          <w:tcPr>
            <w:tcW w:w="0" w:type="dxa"/>
            <w:vAlign w:val="bottom"/>
          </w:tcPr>
          <w:p>
            <w:pPr>
              <w:spacing w:after="0"/>
              <w:rPr>
                <w:sz w:val="1"/>
                <w:szCs w:val="1"/>
                <w:color w:val="auto"/>
              </w:rPr>
            </w:pPr>
          </w:p>
        </w:tc>
      </w:tr>
      <w:tr>
        <w:trPr>
          <w:trHeight w:val="108"/>
        </w:trPr>
        <w:tc>
          <w:tcPr>
            <w:tcW w:w="2800" w:type="dxa"/>
            <w:vAlign w:val="bottom"/>
            <w:vMerge w:val="continue"/>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2800" w:type="dxa"/>
            <w:vAlign w:val="bottom"/>
          </w:tcPr>
          <w:p>
            <w:pPr>
              <w:jc w:val="center"/>
              <w:ind w:right="1050"/>
              <w:spacing w:after="0"/>
              <w:rPr>
                <w:sz w:val="20"/>
                <w:szCs w:val="20"/>
                <w:color w:val="auto"/>
              </w:rPr>
            </w:pPr>
            <w:r>
              <w:rPr>
                <w:rFonts w:ascii="Arial" w:cs="Arial" w:eastAsia="Arial" w:hAnsi="Arial"/>
                <w:sz w:val="18"/>
                <w:szCs w:val="18"/>
                <w:color w:val="auto"/>
                <w:w w:val="95"/>
              </w:rPr>
              <w:t>www.kirkland.com</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ArcLight Clean Transition Corp.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ArcLight Clean Transition Corp. II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issuing this opinion in our capacity as special United States counsel to ArcLight Clean Transition Corp. II, a Cayman Island exempted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registration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on a Registration Statement on Form S-1 (333-252730) originally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February 4, 2021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of 28,750,000 units of the Company, including the underwriters’ over-allotment option to purchase an additional 3,750,000 units (collectively,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with each Unit consisting of one Class A ordinary share, par value $0.0001 per share (the “</w:t>
      </w:r>
      <w:r>
        <w:rPr>
          <w:rFonts w:ascii="Arial" w:cs="Arial" w:eastAsia="Arial" w:hAnsi="Arial"/>
          <w:sz w:val="16"/>
          <w:szCs w:val="16"/>
          <w:b w:val="1"/>
          <w:bCs w:val="1"/>
          <w:i w:val="1"/>
          <w:iCs w:val="1"/>
          <w:color w:val="auto"/>
        </w:rPr>
        <w:t>Class A Ordinary Shares</w:t>
      </w:r>
      <w:r>
        <w:rPr>
          <w:rFonts w:ascii="Arial" w:cs="Arial" w:eastAsia="Arial" w:hAnsi="Arial"/>
          <w:sz w:val="16"/>
          <w:szCs w:val="16"/>
          <w:color w:val="auto"/>
        </w:rPr>
        <w:t>”), of the Company and one-fifth of one redeemable warrant of the Company to purchase one Class A Ordinary Share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promulgated under the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rendering the opinions stated herein, we have examined and relied upon the following:</w:t>
      </w:r>
    </w:p>
    <w:p>
      <w:pPr>
        <w:spacing w:after="0" w:line="117" w:lineRule="exact"/>
        <w:rPr>
          <w:sz w:val="20"/>
          <w:szCs w:val="20"/>
          <w:color w:val="auto"/>
        </w:rPr>
      </w:pPr>
    </w:p>
    <w:p>
      <w:pPr>
        <w:ind w:left="440" w:right="420" w:hanging="4"/>
        <w:spacing w:after="0" w:line="263" w:lineRule="auto"/>
        <w:tabs>
          <w:tab w:leader="none" w:pos="68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form of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proposed to be entered into by and between the Company and Citigroup Global Markets Inc. and Barclays Capital Inc.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xml:space="preserve">”), relating to the sale by the Company to the Underwriters of the Units, filed as </w:t>
      </w:r>
      <w:r>
        <w:rPr>
          <w:rFonts w:ascii="Arial" w:cs="Arial" w:eastAsia="Arial" w:hAnsi="Arial"/>
          <w:sz w:val="18"/>
          <w:szCs w:val="18"/>
          <w:u w:val="single" w:color="auto"/>
          <w:color w:val="auto"/>
        </w:rPr>
        <w:t>Exhibit 1.1</w:t>
      </w:r>
      <w:r>
        <w:rPr>
          <w:rFonts w:ascii="Arial" w:cs="Arial" w:eastAsia="Arial" w:hAnsi="Arial"/>
          <w:sz w:val="18"/>
          <w:szCs w:val="18"/>
          <w:color w:val="auto"/>
        </w:rPr>
        <w:t xml:space="preserve"> to the Registration Statement;</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the form of Unit Certificate, filed as </w:t>
      </w:r>
      <w:r>
        <w:rPr>
          <w:rFonts w:ascii="Arial" w:cs="Arial" w:eastAsia="Arial" w:hAnsi="Arial"/>
          <w:sz w:val="18"/>
          <w:szCs w:val="18"/>
          <w:u w:val="single" w:color="auto"/>
          <w:color w:val="auto"/>
        </w:rPr>
        <w:t>Exhibit 4.1</w:t>
      </w:r>
      <w:r>
        <w:rPr>
          <w:rFonts w:ascii="Arial" w:cs="Arial" w:eastAsia="Arial" w:hAnsi="Arial"/>
          <w:sz w:val="18"/>
          <w:szCs w:val="18"/>
          <w:color w:val="auto"/>
        </w:rPr>
        <w:t xml:space="preserve"> to the Registration Statement;</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the form of Warrant Certificate, filed as </w:t>
      </w:r>
      <w:r>
        <w:rPr>
          <w:rFonts w:ascii="Arial" w:cs="Arial" w:eastAsia="Arial" w:hAnsi="Arial"/>
          <w:sz w:val="18"/>
          <w:szCs w:val="18"/>
          <w:u w:val="single" w:color="auto"/>
          <w:color w:val="auto"/>
        </w:rPr>
        <w:t>Exhibit 4.3</w:t>
      </w:r>
      <w:r>
        <w:rPr>
          <w:rFonts w:ascii="Arial" w:cs="Arial" w:eastAsia="Arial" w:hAnsi="Arial"/>
          <w:sz w:val="18"/>
          <w:szCs w:val="18"/>
          <w:color w:val="auto"/>
        </w:rPr>
        <w:t xml:space="preserve"> to the Registration Statement; and</w:t>
      </w:r>
    </w:p>
    <w:p>
      <w:pPr>
        <w:spacing w:after="0" w:line="117" w:lineRule="exact"/>
        <w:rPr>
          <w:rFonts w:ascii="Arial" w:cs="Arial" w:eastAsia="Arial" w:hAnsi="Arial"/>
          <w:sz w:val="18"/>
          <w:szCs w:val="18"/>
          <w:color w:val="auto"/>
        </w:rPr>
      </w:pPr>
    </w:p>
    <w:p>
      <w:pPr>
        <w:ind w:left="440" w:right="200" w:hanging="4"/>
        <w:spacing w:after="0" w:line="277" w:lineRule="auto"/>
        <w:tabs>
          <w:tab w:leader="none" w:pos="69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form of Warrant Agreement proposed to be entered into by and between the Company and Continental Stock Transfer &amp; Trust Company, as warrant agent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xml:space="preserve">”), filed as </w:t>
      </w:r>
      <w:r>
        <w:rPr>
          <w:rFonts w:ascii="Arial" w:cs="Arial" w:eastAsia="Arial" w:hAnsi="Arial"/>
          <w:sz w:val="18"/>
          <w:szCs w:val="18"/>
          <w:u w:val="single" w:color="auto"/>
          <w:color w:val="auto"/>
        </w:rPr>
        <w:t>Exhibit 4.4</w:t>
      </w:r>
      <w:r>
        <w:rPr>
          <w:rFonts w:ascii="Arial" w:cs="Arial" w:eastAsia="Arial" w:hAnsi="Arial"/>
          <w:sz w:val="18"/>
          <w:szCs w:val="18"/>
          <w:color w:val="auto"/>
        </w:rPr>
        <w:t xml:space="preserve"> to the Registration Statement.</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purposes of this letter, we have examined such other documents, records, certificates, resolutions and other instruments deemed necessary as a basis for this opinion, and we have assumed the authenticity of all documents submitted to us as originals, the conformity to the originals of all documents submitted to us as copies and the authenticity of the originals of all documents submitted to us as copies. As to any facts material to the opinions expressed herein which we have not independently established or verified, we have relied upon statements and representations of officers and other representatives of the Company and others.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do not express any opinion with respect to the laws of any jurisdiction other than the laws of the State of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w:t>
      </w:r>
    </w:p>
    <w:p>
      <w:pPr>
        <w:sectPr>
          <w:pgSz w:w="11900" w:h="16838" w:orient="portrait"/>
          <w:cols w:equalWidth="0" w:num="1">
            <w:col w:w="11020"/>
          </w:cols>
          <w:pgMar w:left="440" w:top="121" w:right="439" w:bottom="1440" w:gutter="0" w:footer="0" w:header="0"/>
        </w:sectPr>
      </w:pPr>
    </w:p>
    <w:bookmarkStart w:id="338" w:name="page339"/>
    <w:bookmarkEnd w:id="338"/>
    <w:p>
      <w:pPr>
        <w:jc w:val="both"/>
        <w:ind w:left="4" w:right="40" w:hanging="4"/>
        <w:spacing w:after="0" w:line="263" w:lineRule="auto"/>
        <w:tabs>
          <w:tab w:leader="none" w:pos="184"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When the Units are delivered in accordance with the Underwriting Agreement upon payment of the agreed upon consideration therefor, the Units will constitute valid and binding obligations of the Company, enforceable against the Company in accordance with their terms under the laws of the State of New York.</w:t>
      </w:r>
    </w:p>
    <w:p>
      <w:pPr>
        <w:spacing w:after="0" w:line="75" w:lineRule="exact"/>
        <w:rPr>
          <w:rFonts w:ascii="Arial" w:cs="Arial" w:eastAsia="Arial" w:hAnsi="Arial"/>
          <w:sz w:val="18"/>
          <w:szCs w:val="18"/>
          <w:color w:val="auto"/>
        </w:rPr>
      </w:pPr>
    </w:p>
    <w:p>
      <w:pPr>
        <w:ind w:left="4" w:right="100" w:hanging="4"/>
        <w:spacing w:after="0" w:line="263" w:lineRule="auto"/>
        <w:tabs>
          <w:tab w:leader="none" w:pos="18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When the Units are delivered in accordance with the Underwriting Agreement upon payment of the agreed upon consideration therefor, the Warrants included in such Units will constitute valid and binding obligations of the Company, enforceable against the Company in accordance with their terms under the laws of the State of New York.</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addition, in rendering the foregoing opinions we have assumed that:</w:t>
      </w:r>
    </w:p>
    <w:p>
      <w:pPr>
        <w:spacing w:after="0" w:line="117" w:lineRule="exact"/>
        <w:rPr>
          <w:sz w:val="20"/>
          <w:szCs w:val="20"/>
          <w:color w:val="auto"/>
        </w:rPr>
      </w:pPr>
    </w:p>
    <w:p>
      <w:pPr>
        <w:ind w:left="684" w:hanging="244"/>
        <w:spacing w:after="0"/>
        <w:tabs>
          <w:tab w:leader="none" w:pos="68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Company (i) is duly incorporated and is validly existing and in good standing, (ii) has requisite legal status and legal capacity under the</w:t>
      </w:r>
    </w:p>
    <w:p>
      <w:pPr>
        <w:spacing w:after="0" w:line="46" w:lineRule="exact"/>
        <w:rPr>
          <w:rFonts w:ascii="Arial" w:cs="Arial" w:eastAsia="Arial" w:hAnsi="Arial"/>
          <w:sz w:val="16"/>
          <w:szCs w:val="16"/>
          <w:color w:val="auto"/>
        </w:rPr>
      </w:pPr>
    </w:p>
    <w:p>
      <w:pPr>
        <w:ind w:left="444" w:right="60"/>
        <w:spacing w:after="0" w:line="290" w:lineRule="auto"/>
        <w:rPr>
          <w:rFonts w:ascii="Arial" w:cs="Arial" w:eastAsia="Arial" w:hAnsi="Arial"/>
          <w:sz w:val="16"/>
          <w:szCs w:val="16"/>
          <w:color w:val="auto"/>
        </w:rPr>
      </w:pPr>
      <w:r>
        <w:rPr>
          <w:rFonts w:ascii="Arial" w:cs="Arial" w:eastAsia="Arial" w:hAnsi="Arial"/>
          <w:sz w:val="17"/>
          <w:szCs w:val="17"/>
          <w:color w:val="auto"/>
        </w:rPr>
        <w:t>laws of the jurisdiction of its organization and (iii) has complied and will comply with all aspects of the laws of the jurisdiction of its organization in connection with the transactions contemplated by, and the performance of its obligations under, the Warrant Agreement;</w:t>
      </w:r>
    </w:p>
    <w:p>
      <w:pPr>
        <w:spacing w:after="0" w:line="53" w:lineRule="exact"/>
        <w:rPr>
          <w:rFonts w:ascii="Arial" w:cs="Arial" w:eastAsia="Arial" w:hAnsi="Arial"/>
          <w:sz w:val="16"/>
          <w:szCs w:val="16"/>
          <w:color w:val="auto"/>
        </w:rPr>
      </w:pPr>
    </w:p>
    <w:p>
      <w:pPr>
        <w:ind w:left="704" w:hanging="264"/>
        <w:spacing w:after="0"/>
        <w:tabs>
          <w:tab w:leader="none" w:pos="70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Company has the corporate power and authority to execute, deliver and perform all its obligations under the Warrant Agreement;</w:t>
      </w:r>
    </w:p>
    <w:p>
      <w:pPr>
        <w:spacing w:after="0" w:line="128" w:lineRule="exact"/>
        <w:rPr>
          <w:rFonts w:ascii="Arial" w:cs="Arial" w:eastAsia="Arial" w:hAnsi="Arial"/>
          <w:sz w:val="17"/>
          <w:szCs w:val="17"/>
          <w:color w:val="auto"/>
        </w:rPr>
      </w:pPr>
    </w:p>
    <w:p>
      <w:pPr>
        <w:ind w:left="444" w:right="20" w:hanging="4"/>
        <w:spacing w:after="0" w:line="293" w:lineRule="auto"/>
        <w:tabs>
          <w:tab w:leader="none" w:pos="68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neither the execution and delivery by the Company of the Warrant Agreement nor the performance by the Company of its obligations thereunder, including the issuance and sale of the Units: (i) conflicts or will conflict with the Amended and Restated Memorandum and Articles of Association of the Company,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laws of the State of New York); and</w:t>
      </w:r>
    </w:p>
    <w:p>
      <w:pPr>
        <w:spacing w:after="0" w:line="56" w:lineRule="exact"/>
        <w:rPr>
          <w:rFonts w:ascii="Arial" w:cs="Arial" w:eastAsia="Arial" w:hAnsi="Arial"/>
          <w:sz w:val="16"/>
          <w:szCs w:val="16"/>
          <w:color w:val="auto"/>
        </w:rPr>
      </w:pPr>
    </w:p>
    <w:p>
      <w:pPr>
        <w:ind w:left="444" w:right="120" w:hanging="4"/>
        <w:spacing w:after="0" w:line="286" w:lineRule="auto"/>
        <w:tabs>
          <w:tab w:leader="none" w:pos="699" w:val="left"/>
        </w:tabs>
        <w:numPr>
          <w:ilvl w:val="0"/>
          <w:numId w:val="238"/>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Warrant Agreement nor the performance by the Company of its obligations thereunder, including the issuance and sale of the Units, requires or will require the consent, approval, licensing or authorization of, or any filing, recording or registration with, any governmental authority under any law, rule or regulation of any jurisdiction.</w:t>
      </w:r>
    </w:p>
    <w:p>
      <w:pPr>
        <w:spacing w:after="0" w:line="165" w:lineRule="exact"/>
        <w:rPr>
          <w:sz w:val="20"/>
          <w:szCs w:val="20"/>
          <w:color w:val="auto"/>
        </w:rPr>
      </w:pPr>
    </w:p>
    <w:p>
      <w:pPr>
        <w:jc w:val="both"/>
        <w:ind w:left="4" w:right="80"/>
        <w:spacing w:after="0" w:line="286" w:lineRule="auto"/>
        <w:rPr>
          <w:sz w:val="20"/>
          <w:szCs w:val="20"/>
          <w:color w:val="auto"/>
        </w:rPr>
      </w:pPr>
      <w:r>
        <w:rPr>
          <w:rFonts w:ascii="Arial" w:cs="Arial" w:eastAsia="Arial" w:hAnsi="Arial"/>
          <w:sz w:val="16"/>
          <w:szCs w:val="16"/>
          <w:color w:val="auto"/>
        </w:rPr>
        <w:t>Our opinions expressed above are subject to the qualifications that we express no opinion as to the applicability of, compliance with, or effect of (i) any bankruptcy, insolvency, reorganization, fraudulent transfer, fraudulent conveyance, moratorium or other similar law or judicially developed doctrine in this area (such as substantive consolidation or equitable subordination) affecting the enforcement of creditors’ rights generally, (ii) general principles of equity (regardless of whether enforcement is considered in a proceeding in equity or at law), (iii) an implied covenant of good faith and fair dealing,</w:t>
      </w:r>
    </w:p>
    <w:p>
      <w:pPr>
        <w:spacing w:after="0" w:line="1" w:lineRule="exact"/>
        <w:rPr>
          <w:sz w:val="20"/>
          <w:szCs w:val="20"/>
          <w:color w:val="auto"/>
        </w:rPr>
      </w:pPr>
    </w:p>
    <w:p>
      <w:pPr>
        <w:ind w:left="4" w:right="60" w:hanging="4"/>
        <w:spacing w:after="0" w:line="290" w:lineRule="auto"/>
        <w:tabs>
          <w:tab w:leader="none" w:pos="309" w:val="left"/>
        </w:tabs>
        <w:numPr>
          <w:ilvl w:val="0"/>
          <w:numId w:val="239"/>
        </w:numPr>
        <w:rPr>
          <w:rFonts w:ascii="Arial" w:cs="Arial" w:eastAsia="Arial" w:hAnsi="Arial"/>
          <w:sz w:val="16"/>
          <w:szCs w:val="16"/>
          <w:color w:val="auto"/>
        </w:rPr>
      </w:pPr>
      <w:r>
        <w:rPr>
          <w:rFonts w:ascii="Arial" w:cs="Arial" w:eastAsia="Arial" w:hAnsi="Arial"/>
          <w:sz w:val="16"/>
          <w:szCs w:val="16"/>
          <w:color w:val="auto"/>
        </w:rPr>
        <w:t>public policy considerations which may limit the rights of parties to obtain certain remedies, (v) any requirement that a claim with respect to any security denominated in other than U.S. dollars (or a judgment denominated in other than U.S. dollars in respect of such claim) be converted into U.S. dollars at a rate of exchange prevailing on a date determined in accordance with applicable law, (vi) governmental authority to limit, delay or prohibit the making of payments outside of the United States or in a foreign currency or currency unit and (vii) any laws except the laws of the State of New York. We advise you that issues addressed by this letter may be governed in whole or in part by other laws, but we express no opinion as to whether any relevant difference exists between the laws upon which our opinions are based and any other laws which may actually govern.</w:t>
      </w:r>
    </w:p>
    <w:p>
      <w:pPr>
        <w:spacing w:after="0" w:line="164"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 xml:space="preserve">We hereby consent to the filing of this opinion with the Commission as </w:t>
      </w:r>
      <w:r>
        <w:rPr>
          <w:rFonts w:ascii="Arial" w:cs="Arial" w:eastAsia="Arial" w:hAnsi="Arial"/>
          <w:sz w:val="18"/>
          <w:szCs w:val="18"/>
          <w:u w:val="single" w:color="auto"/>
          <w:color w:val="auto"/>
        </w:rPr>
        <w:t>Exhibit 5.1</w:t>
      </w:r>
      <w:r>
        <w:rPr>
          <w:rFonts w:ascii="Arial" w:cs="Arial" w:eastAsia="Arial" w:hAnsi="Arial"/>
          <w:sz w:val="18"/>
          <w:szCs w:val="18"/>
          <w:color w:val="auto"/>
        </w:rPr>
        <w:t xml:space="preserve"> to the Registration Statement. We also consent to the reference to our firm under the heading “Legal Matters” in the Registration Statement. In giving this consent, we do not thereby admit that we are in the category of persons whose consent is required under Section 7 of the Act or the rules and regulations of the Commission.</w:t>
      </w:r>
    </w:p>
    <w:p>
      <w:pPr>
        <w:spacing w:after="0" w:line="184"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We do not find it necessary for the purposes of this opinion, and accordingly we do not purport to cover herein, the application of the securities or “Blue Sky” laws of the various states to the offering of the Units.</w:t>
      </w:r>
    </w:p>
    <w:p>
      <w:pPr>
        <w:spacing w:after="0" w:line="170"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This opinion is limited to the specific issues addressed herein, and no opinion may be inferred or implied beyond that expressly stated herein. We assume no obligation to revise or supplement this opinion should the present laws of the State of New York be changed by legislative action, judicial decision or otherwise.</w:t>
      </w:r>
    </w:p>
    <w:p>
      <w:pPr>
        <w:sectPr>
          <w:pgSz w:w="11900" w:h="16838" w:orient="portrait"/>
          <w:cols w:equalWidth="0" w:num="1">
            <w:col w:w="11004"/>
          </w:cols>
          <w:pgMar w:left="436" w:top="274" w:right="459" w:bottom="1440" w:gutter="0" w:footer="0" w:header="0"/>
        </w:sectPr>
      </w:pPr>
    </w:p>
    <w:bookmarkStart w:id="339" w:name="page340"/>
    <w:bookmarkEnd w:id="33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opinion is furnished to you in connection with the filing of the Registration Statement and is not to be used, circulated, quoted or otherwise relied upon for any other purposes.</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Kirkland &amp; Ellis LLP</w:t>
      </w:r>
    </w:p>
    <w:p>
      <w:pPr>
        <w:sectPr>
          <w:pgSz w:w="11900" w:h="16838" w:orient="portrait"/>
          <w:cols w:equalWidth="0" w:num="1">
            <w:col w:w="10820"/>
          </w:cols>
          <w:pgMar w:left="440" w:top="274" w:right="6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011555" cy="9944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101155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
        <w:spacing w:after="0"/>
        <w:tabs>
          <w:tab w:leader="none" w:pos="3964" w:val="left"/>
        </w:tabs>
        <w:rPr>
          <w:sz w:val="20"/>
          <w:szCs w:val="20"/>
          <w:color w:val="auto"/>
        </w:rPr>
      </w:pPr>
      <w:r>
        <w:rPr>
          <w:rFonts w:ascii="Arial" w:cs="Arial" w:eastAsia="Arial" w:hAnsi="Arial"/>
          <w:sz w:val="18"/>
          <w:szCs w:val="18"/>
          <w:color w:val="auto"/>
        </w:rPr>
        <w:t>Our ref</w:t>
      </w:r>
      <w:r>
        <w:rPr>
          <w:sz w:val="20"/>
          <w:szCs w:val="20"/>
          <w:color w:val="auto"/>
        </w:rPr>
        <w:tab/>
      </w:r>
      <w:r>
        <w:rPr>
          <w:rFonts w:ascii="Arial" w:cs="Arial" w:eastAsia="Arial" w:hAnsi="Arial"/>
          <w:sz w:val="16"/>
          <w:szCs w:val="16"/>
          <w:color w:val="auto"/>
        </w:rPr>
        <w:t>KZR/782340-000001/65669416v1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ArcLight Clean Transition Corp. II</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PO Box 309, Ugland House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8, 2021</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ArcLight Clean Transition Corp. II</w:t>
      </w:r>
    </w:p>
    <w:p>
      <w:pPr>
        <w:spacing w:after="0" w:line="225" w:lineRule="exact"/>
        <w:rPr>
          <w:sz w:val="20"/>
          <w:szCs w:val="20"/>
          <w:color w:val="auto"/>
        </w:rPr>
      </w:pPr>
    </w:p>
    <w:p>
      <w:pPr>
        <w:ind w:left="4" w:right="60"/>
        <w:spacing w:after="0" w:line="281" w:lineRule="auto"/>
        <w:rPr>
          <w:sz w:val="20"/>
          <w:szCs w:val="20"/>
          <w:color w:val="auto"/>
        </w:rPr>
      </w:pPr>
      <w:r>
        <w:rPr>
          <w:rFonts w:ascii="Arial" w:cs="Arial" w:eastAsia="Arial" w:hAnsi="Arial"/>
          <w:sz w:val="17"/>
          <w:szCs w:val="17"/>
          <w:color w:val="auto"/>
        </w:rPr>
        <w:t>We have acted as counsel as to Cayman Islands law to ArcLight Clean Transition Corp. II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Company’s registration statement on Form S-1, including all amendments or supplements thereto, filed with the United States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under the United States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(including its exhibits,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for the purposes of, registering with the Commission under the Act, the offering and sale to the public of:</w:t>
      </w:r>
    </w:p>
    <w:p>
      <w:pPr>
        <w:spacing w:after="0" w:line="74" w:lineRule="exact"/>
        <w:rPr>
          <w:sz w:val="20"/>
          <w:szCs w:val="20"/>
          <w:color w:val="auto"/>
        </w:rPr>
      </w:pPr>
    </w:p>
    <w:p>
      <w:pPr>
        <w:jc w:val="both"/>
        <w:ind w:left="424" w:right="140" w:hanging="424"/>
        <w:spacing w:after="0" w:line="263" w:lineRule="auto"/>
        <w:tabs>
          <w:tab w:leader="none" w:pos="4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up to 28,750,000 units (including 3,750,000 units, which the several underwriters, for whom Citigroup Global Markets Inc. and Barclays Capital Inc. are acting as representatives (“</w:t>
      </w:r>
      <w:r>
        <w:rPr>
          <w:rFonts w:ascii="Arial" w:cs="Arial" w:eastAsia="Arial" w:hAnsi="Arial"/>
          <w:sz w:val="18"/>
          <w:szCs w:val="18"/>
          <w:b w:val="1"/>
          <w:bCs w:val="1"/>
          <w:color w:val="auto"/>
        </w:rPr>
        <w:t>Representatives</w:t>
      </w:r>
      <w:r>
        <w:rPr>
          <w:rFonts w:ascii="Arial" w:cs="Arial" w:eastAsia="Arial" w:hAnsi="Arial"/>
          <w:sz w:val="18"/>
          <w:szCs w:val="18"/>
          <w:color w:val="auto"/>
        </w:rPr>
        <w:t>”), will have a 45-day option to purchase from the Company to cover over-allotments, if any) (“</w:t>
      </w:r>
      <w:r>
        <w:rPr>
          <w:rFonts w:ascii="Arial" w:cs="Arial" w:eastAsia="Arial" w:hAnsi="Arial"/>
          <w:sz w:val="18"/>
          <w:szCs w:val="18"/>
          <w:b w:val="1"/>
          <w:bCs w:val="1"/>
          <w:color w:val="auto"/>
        </w:rPr>
        <w:t>Units</w:t>
      </w:r>
      <w:r>
        <w:rPr>
          <w:rFonts w:ascii="Arial" w:cs="Arial" w:eastAsia="Arial" w:hAnsi="Arial"/>
          <w:sz w:val="18"/>
          <w:szCs w:val="18"/>
          <w:color w:val="auto"/>
        </w:rPr>
        <w:t>”) at an offering price of US$10 per Unit, each Unit consisting of:</w:t>
      </w:r>
    </w:p>
    <w:p>
      <w:pPr>
        <w:spacing w:after="0" w:line="85" w:lineRule="exact"/>
        <w:rPr>
          <w:rFonts w:ascii="Arial" w:cs="Arial" w:eastAsia="Arial" w:hAnsi="Arial"/>
          <w:sz w:val="18"/>
          <w:szCs w:val="18"/>
          <w:color w:val="auto"/>
        </w:rPr>
      </w:pPr>
    </w:p>
    <w:p>
      <w:pPr>
        <w:ind w:left="964" w:hanging="532"/>
        <w:spacing w:after="0"/>
        <w:tabs>
          <w:tab w:leader="none" w:pos="96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one Class A ordinary share of a par value of US$0.0001 of the Company (“</w:t>
      </w:r>
      <w:r>
        <w:rPr>
          <w:rFonts w:ascii="Arial" w:cs="Arial" w:eastAsia="Arial" w:hAnsi="Arial"/>
          <w:sz w:val="18"/>
          <w:szCs w:val="18"/>
          <w:b w:val="1"/>
          <w:bCs w:val="1"/>
          <w:color w:val="auto"/>
        </w:rPr>
        <w:t>Ordinary Shares</w:t>
      </w:r>
      <w:r>
        <w:rPr>
          <w:rFonts w:ascii="Arial" w:cs="Arial" w:eastAsia="Arial" w:hAnsi="Arial"/>
          <w:sz w:val="18"/>
          <w:szCs w:val="18"/>
          <w:color w:val="auto"/>
        </w:rPr>
        <w:t>”); and</w:t>
      </w:r>
    </w:p>
    <w:p>
      <w:pPr>
        <w:spacing w:after="0" w:line="134" w:lineRule="exact"/>
        <w:rPr>
          <w:rFonts w:ascii="Arial" w:cs="Arial" w:eastAsia="Arial" w:hAnsi="Arial"/>
          <w:sz w:val="18"/>
          <w:szCs w:val="18"/>
          <w:color w:val="auto"/>
        </w:rPr>
      </w:pPr>
    </w:p>
    <w:p>
      <w:pPr>
        <w:ind w:left="964" w:right="140" w:hanging="532"/>
        <w:spacing w:after="0" w:line="277" w:lineRule="auto"/>
        <w:tabs>
          <w:tab w:leader="none" w:pos="96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one-fifth of one redeemable warrant, each whole warrant exercisable to purchase one Ordinary Share at a price of US$11.50 per Ordinary Share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all Ordinary Shares and Warrants issued as part of the Units.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opinion letter is given in accordance with the terms of the Legal Matters section of the Registration Statement.</w:t>
      </w:r>
    </w:p>
    <w:p>
      <w:pPr>
        <w:sectPr>
          <w:pgSz w:w="11900" w:h="16838" w:orient="portrait"/>
          <w:cols w:equalWidth="0" w:num="1">
            <w:col w:w="11024"/>
          </w:cols>
          <w:pgMar w:left="436" w:top="121" w:right="439" w:bottom="1440" w:gutter="0" w:footer="0" w:header="0"/>
        </w:sectPr>
      </w:pPr>
    </w:p>
    <w:bookmarkStart w:id="341" w:name="page342"/>
    <w:bookmarkEnd w:id="341"/>
    <w:p>
      <w:pPr>
        <w:ind w:left="424" w:hanging="424"/>
        <w:spacing w:after="0"/>
        <w:tabs>
          <w:tab w:leader="none" w:pos="424"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Documents Reviewed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have reviewed originals, copies, drafts or conformed copies of the following documents:</w:t>
      </w:r>
    </w:p>
    <w:p>
      <w:pPr>
        <w:spacing w:after="0" w:line="131" w:lineRule="exact"/>
        <w:rPr>
          <w:sz w:val="20"/>
          <w:szCs w:val="20"/>
          <w:color w:val="auto"/>
        </w:rPr>
      </w:pPr>
    </w:p>
    <w:p>
      <w:pPr>
        <w:ind w:left="424" w:right="180" w:hanging="431"/>
        <w:spacing w:after="0" w:line="277" w:lineRule="auto"/>
        <w:tabs>
          <w:tab w:leader="none" w:pos="404" w:val="left"/>
        </w:tabs>
        <w:rPr>
          <w:sz w:val="20"/>
          <w:szCs w:val="20"/>
          <w:color w:val="auto"/>
        </w:rPr>
      </w:pPr>
      <w:r>
        <w:rPr>
          <w:rFonts w:ascii="Arial" w:cs="Arial" w:eastAsia="Arial" w:hAnsi="Arial"/>
          <w:sz w:val="18"/>
          <w:szCs w:val="18"/>
          <w:color w:val="auto"/>
        </w:rPr>
        <w:t>1.1</w:t>
        <w:tab/>
        <w:t>The certificate of incorporation dated 13 January 2021 and the memorandum and articles of association of the Company as registered or adopted on 13 January 2021 (the “</w:t>
      </w:r>
      <w:r>
        <w:rPr>
          <w:rFonts w:ascii="Arial" w:cs="Arial" w:eastAsia="Arial" w:hAnsi="Arial"/>
          <w:sz w:val="18"/>
          <w:szCs w:val="18"/>
          <w:b w:val="1"/>
          <w:bCs w:val="1"/>
          <w:color w:val="auto"/>
        </w:rPr>
        <w:t>Memorandum and Articles</w:t>
      </w:r>
      <w:r>
        <w:rPr>
          <w:rFonts w:ascii="Arial" w:cs="Arial" w:eastAsia="Arial" w:hAnsi="Arial"/>
          <w:sz w:val="18"/>
          <w:szCs w:val="18"/>
          <w:color w:val="auto"/>
        </w:rPr>
        <w:t>”).</w:t>
      </w:r>
    </w:p>
    <w:p>
      <w:pPr>
        <w:spacing w:after="0" w:line="72" w:lineRule="exact"/>
        <w:rPr>
          <w:sz w:val="20"/>
          <w:szCs w:val="20"/>
          <w:color w:val="auto"/>
        </w:rPr>
      </w:pPr>
    </w:p>
    <w:p>
      <w:pPr>
        <w:ind w:left="424" w:right="80" w:hanging="431"/>
        <w:spacing w:after="0" w:line="282" w:lineRule="auto"/>
        <w:tabs>
          <w:tab w:leader="none" w:pos="404" w:val="left"/>
        </w:tabs>
        <w:rPr>
          <w:sz w:val="20"/>
          <w:szCs w:val="20"/>
          <w:color w:val="auto"/>
        </w:rPr>
      </w:pPr>
      <w:r>
        <w:rPr>
          <w:rFonts w:ascii="Arial" w:cs="Arial" w:eastAsia="Arial" w:hAnsi="Arial"/>
          <w:sz w:val="18"/>
          <w:szCs w:val="18"/>
          <w:color w:val="auto"/>
        </w:rPr>
        <w:t>1.2</w:t>
        <w:tab/>
        <w:t>The written resolutions of the board of directors of the Company dated 20 January 2021 and March 8, 2021 (the “</w:t>
      </w:r>
      <w:r>
        <w:rPr>
          <w:rFonts w:ascii="Arial" w:cs="Arial" w:eastAsia="Arial" w:hAnsi="Arial"/>
          <w:sz w:val="18"/>
          <w:szCs w:val="18"/>
          <w:b w:val="1"/>
          <w:bCs w:val="1"/>
          <w:color w:val="auto"/>
        </w:rPr>
        <w:t>Resolutions</w:t>
      </w:r>
      <w:r>
        <w:rPr>
          <w:rFonts w:ascii="Arial" w:cs="Arial" w:eastAsia="Arial" w:hAnsi="Arial"/>
          <w:sz w:val="18"/>
          <w:szCs w:val="18"/>
          <w:color w:val="auto"/>
        </w:rPr>
        <w:t>”) and the corporate records of the Company maintained at its registered office in the Cayman Islands.</w:t>
      </w:r>
    </w:p>
    <w:p>
      <w:pPr>
        <w:spacing w:after="0" w:line="6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 certificate of good standing with respect to the Company issued by the Registrar of Companies (the “</w:t>
      </w:r>
      <w:r>
        <w:rPr>
          <w:rFonts w:ascii="Arial" w:cs="Arial" w:eastAsia="Arial" w:hAnsi="Arial"/>
          <w:sz w:val="16"/>
          <w:szCs w:val="16"/>
          <w:b w:val="1"/>
          <w:bCs w:val="1"/>
          <w:color w:val="auto"/>
        </w:rPr>
        <w:t>Certificate of Good Standing</w:t>
      </w:r>
      <w:r>
        <w:rPr>
          <w:rFonts w:ascii="Arial" w:cs="Arial" w:eastAsia="Arial" w:hAnsi="Arial"/>
          <w:sz w:val="16"/>
          <w:szCs w:val="16"/>
          <w:color w:val="auto"/>
        </w:rPr>
        <w: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A certificate from a director of the Company a copy of which is attached to this opinion letter (the “</w:t>
      </w:r>
      <w:r>
        <w:rPr>
          <w:rFonts w:ascii="Arial" w:cs="Arial" w:eastAsia="Arial" w:hAnsi="Arial"/>
          <w:sz w:val="16"/>
          <w:szCs w:val="16"/>
          <w:b w:val="1"/>
          <w:bCs w:val="1"/>
          <w:color w:val="auto"/>
        </w:rPr>
        <w:t>Director’s Certificate</w:t>
      </w:r>
      <w:r>
        <w:rPr>
          <w:rFonts w:ascii="Arial" w:cs="Arial" w:eastAsia="Arial" w:hAnsi="Arial"/>
          <w:sz w:val="16"/>
          <w:szCs w:val="16"/>
          <w:color w:val="auto"/>
        </w:rPr>
        <w:t>”).</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Registration Statement.</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A draft of the form of the unit certificate representing the Units (the “</w:t>
      </w:r>
      <w:r>
        <w:rPr>
          <w:rFonts w:ascii="Arial" w:cs="Arial" w:eastAsia="Arial" w:hAnsi="Arial"/>
          <w:sz w:val="16"/>
          <w:szCs w:val="16"/>
          <w:b w:val="1"/>
          <w:bCs w:val="1"/>
          <w:color w:val="auto"/>
        </w:rPr>
        <w:t>Unit Certificate</w:t>
      </w:r>
      <w:r>
        <w:rPr>
          <w:rFonts w:ascii="Arial" w:cs="Arial" w:eastAsia="Arial" w:hAnsi="Arial"/>
          <w:sz w:val="16"/>
          <w:szCs w:val="16"/>
          <w:color w:val="auto"/>
        </w:rPr>
        <w: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A draft of the form of the warrant agreement and the warrant certificate constituting the Warrants (the “</w:t>
      </w:r>
      <w:r>
        <w:rPr>
          <w:rFonts w:ascii="Arial" w:cs="Arial" w:eastAsia="Arial" w:hAnsi="Arial"/>
          <w:sz w:val="16"/>
          <w:szCs w:val="16"/>
          <w:b w:val="1"/>
          <w:bCs w:val="1"/>
          <w:color w:val="auto"/>
        </w:rPr>
        <w:t>Warrant Documents</w:t>
      </w:r>
      <w:r>
        <w:rPr>
          <w:rFonts w:ascii="Arial" w:cs="Arial" w:eastAsia="Arial" w:hAnsi="Arial"/>
          <w:sz w:val="16"/>
          <w:szCs w:val="16"/>
          <w:color w:val="auto"/>
        </w:rPr>
        <w: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A draft of the underwriting agreement between the Company and the Representatives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documents listed in paragraphs 1.6 to 1.8 inclusive above shall be referred to collectively herein as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374" w:lineRule="exact"/>
        <w:rPr>
          <w:sz w:val="20"/>
          <w:szCs w:val="20"/>
          <w:color w:val="auto"/>
        </w:rPr>
      </w:pPr>
    </w:p>
    <w:p>
      <w:pPr>
        <w:ind w:left="424" w:hanging="424"/>
        <w:spacing w:after="0"/>
        <w:tabs>
          <w:tab w:leader="none" w:pos="42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121" w:lineRule="exact"/>
        <w:rPr>
          <w:sz w:val="20"/>
          <w:szCs w:val="20"/>
          <w:color w:val="auto"/>
        </w:rPr>
      </w:pPr>
    </w:p>
    <w:p>
      <w:pPr>
        <w:ind w:left="4" w:right="140"/>
        <w:spacing w:after="0" w:line="279" w:lineRule="auto"/>
        <w:rPr>
          <w:sz w:val="20"/>
          <w:szCs w:val="20"/>
          <w:color w:val="auto"/>
        </w:rPr>
      </w:pPr>
      <w:r>
        <w:rPr>
          <w:rFonts w:ascii="Arial" w:cs="Arial" w:eastAsia="Arial" w:hAnsi="Arial"/>
          <w:sz w:val="17"/>
          <w:szCs w:val="17"/>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 following opinions, we have relied (without further verification) upon the completeness and accuracy, as at the date of this opinion letter, of the Director’s Certificate and the Certificate of Good Standing. We have also relied upon the following assumptions, which we have not independently verified:</w:t>
      </w:r>
    </w:p>
    <w:p>
      <w:pPr>
        <w:spacing w:after="0" w:line="77" w:lineRule="exact"/>
        <w:rPr>
          <w:sz w:val="20"/>
          <w:szCs w:val="20"/>
          <w:color w:val="auto"/>
        </w:rPr>
      </w:pPr>
    </w:p>
    <w:p>
      <w:pPr>
        <w:ind w:left="424" w:right="700" w:hanging="431"/>
        <w:spacing w:after="0" w:line="308" w:lineRule="auto"/>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The Documents have been or will be authorised and duly executed and unconditionally delivered by or on behalf of all relevant parties in accordance with all relevant laws (other than, with respect to the Company, the laws of the Cayman Islands).</w:t>
      </w:r>
    </w:p>
    <w:p>
      <w:pPr>
        <w:spacing w:after="0" w:line="52" w:lineRule="exact"/>
        <w:rPr>
          <w:sz w:val="20"/>
          <w:szCs w:val="20"/>
          <w:color w:val="auto"/>
        </w:rPr>
      </w:pPr>
    </w:p>
    <w:p>
      <w:pPr>
        <w:ind w:left="424" w:right="240" w:hanging="431"/>
        <w:spacing w:after="0" w:line="263" w:lineRule="auto"/>
        <w:tabs>
          <w:tab w:leader="none" w:pos="404" w:val="left"/>
        </w:tabs>
        <w:rPr>
          <w:sz w:val="20"/>
          <w:szCs w:val="20"/>
          <w:color w:val="auto"/>
        </w:rPr>
      </w:pPr>
      <w:r>
        <w:rPr>
          <w:rFonts w:ascii="Arial" w:cs="Arial" w:eastAsia="Arial" w:hAnsi="Arial"/>
          <w:sz w:val="18"/>
          <w:szCs w:val="18"/>
          <w:color w:val="auto"/>
        </w:rPr>
        <w:t>2.2</w:t>
        <w:tab/>
        <w:t>The Documents are, or will be, legal, valid, binding and enforceable against all relevant parties in accordance with their terms under the laws of the State of New York (the “</w:t>
      </w:r>
      <w:r>
        <w:rPr>
          <w:rFonts w:ascii="Arial" w:cs="Arial" w:eastAsia="Arial" w:hAnsi="Arial"/>
          <w:sz w:val="18"/>
          <w:szCs w:val="18"/>
          <w:b w:val="1"/>
          <w:bCs w:val="1"/>
          <w:color w:val="auto"/>
        </w:rPr>
        <w:t>Relevant Law</w:t>
      </w:r>
      <w:r>
        <w:rPr>
          <w:rFonts w:ascii="Arial" w:cs="Arial" w:eastAsia="Arial" w:hAnsi="Arial"/>
          <w:sz w:val="18"/>
          <w:szCs w:val="18"/>
          <w:color w:val="auto"/>
        </w:rPr>
        <w:t>”) and all other relevant laws (other than, with respect to the Company, the laws of the Cayman Islands).</w:t>
      </w:r>
    </w:p>
    <w:p>
      <w:pPr>
        <w:spacing w:after="0" w:line="89" w:lineRule="exact"/>
        <w:rPr>
          <w:sz w:val="20"/>
          <w:szCs w:val="20"/>
          <w:color w:val="auto"/>
        </w:rPr>
      </w:pPr>
    </w:p>
    <w:p>
      <w:pPr>
        <w:ind w:left="424" w:right="40" w:hanging="431"/>
        <w:spacing w:after="0" w:line="263" w:lineRule="auto"/>
        <w:tabs>
          <w:tab w:leader="none" w:pos="404" w:val="left"/>
        </w:tabs>
        <w:rPr>
          <w:sz w:val="20"/>
          <w:szCs w:val="20"/>
          <w:color w:val="auto"/>
        </w:rPr>
      </w:pPr>
      <w:r>
        <w:rPr>
          <w:rFonts w:ascii="Arial" w:cs="Arial" w:eastAsia="Arial" w:hAnsi="Arial"/>
          <w:sz w:val="18"/>
          <w:szCs w:val="18"/>
          <w:color w:val="auto"/>
        </w:rPr>
        <w:t>2.3</w:t>
        <w:tab/>
        <w:t>The choice of the Relevant Law as the governing law of the Documents has been made in good faith and would be regarded as a valid and binding selection which will be upheld by the courts of the State of New York and any other relevant jurisdiction (other than the Cayman Islands) as a matter of the Relevant Law and all other relevant laws (other than the laws of the Cayman Islands).</w:t>
      </w:r>
    </w:p>
    <w:p>
      <w:pPr>
        <w:spacing w:after="0" w:line="89" w:lineRule="exact"/>
        <w:rPr>
          <w:sz w:val="20"/>
          <w:szCs w:val="20"/>
          <w:color w:val="auto"/>
        </w:rPr>
      </w:pPr>
    </w:p>
    <w:p>
      <w:pPr>
        <w:ind w:left="424" w:right="620" w:hanging="431"/>
        <w:spacing w:after="0" w:line="277" w:lineRule="auto"/>
        <w:tabs>
          <w:tab w:leader="none" w:pos="404" w:val="left"/>
        </w:tabs>
        <w:rPr>
          <w:sz w:val="20"/>
          <w:szCs w:val="20"/>
          <w:color w:val="auto"/>
        </w:rPr>
      </w:pPr>
      <w:r>
        <w:rPr>
          <w:rFonts w:ascii="Arial" w:cs="Arial" w:eastAsia="Arial" w:hAnsi="Arial"/>
          <w:sz w:val="18"/>
          <w:szCs w:val="18"/>
          <w:color w:val="auto"/>
        </w:rPr>
        <w:t>2.4</w:t>
        <w:tab/>
        <w:t>Copies of documents, conformed copies or drafts of documents provided to us are true and complete copies of, or in the final forms of, the originals.</w:t>
      </w:r>
    </w:p>
    <w:p>
      <w:pPr>
        <w:spacing w:after="0" w:line="10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KZR/782340-000001/65669416v1</w:t>
            </w:r>
          </w:p>
        </w:tc>
        <w:tc>
          <w:tcPr>
            <w:tcW w:w="432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024"/>
          </w:cols>
          <w:pgMar w:left="436" w:top="270" w:right="439" w:bottom="1440" w:gutter="0" w:footer="0" w:header="0"/>
        </w:sectPr>
      </w:pPr>
    </w:p>
    <w:bookmarkStart w:id="342" w:name="page343"/>
    <w:bookmarkEnd w:id="342"/>
    <w:p>
      <w:pPr>
        <w:ind w:left="4"/>
        <w:spacing w:after="0"/>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2.5</w:t>
      </w:r>
      <w:r>
        <w:rPr>
          <w:sz w:val="20"/>
          <w:szCs w:val="20"/>
          <w:color w:val="auto"/>
        </w:rPr>
        <w:tab/>
      </w:r>
      <w:r>
        <w:rPr>
          <w:rFonts w:ascii="Arial" w:cs="Arial" w:eastAsia="Arial" w:hAnsi="Arial"/>
          <w:sz w:val="16"/>
          <w:szCs w:val="16"/>
          <w:color w:val="auto"/>
        </w:rPr>
        <w:t>All signatures, initials and seals are genuine.</w:t>
      </w:r>
    </w:p>
    <w:p>
      <w:pPr>
        <w:spacing w:after="0" w:line="131" w:lineRule="exact"/>
        <w:rPr>
          <w:sz w:val="20"/>
          <w:szCs w:val="20"/>
          <w:color w:val="auto"/>
        </w:rPr>
      </w:pPr>
    </w:p>
    <w:p>
      <w:pPr>
        <w:ind w:left="424" w:right="260" w:hanging="431"/>
        <w:spacing w:after="0" w:line="263" w:lineRule="auto"/>
        <w:tabs>
          <w:tab w:leader="none" w:pos="404" w:val="left"/>
        </w:tabs>
        <w:rPr>
          <w:sz w:val="20"/>
          <w:szCs w:val="20"/>
          <w:color w:val="auto"/>
        </w:rPr>
      </w:pPr>
      <w:r>
        <w:rPr>
          <w:rFonts w:ascii="Arial" w:cs="Arial" w:eastAsia="Arial" w:hAnsi="Arial"/>
          <w:sz w:val="18"/>
          <w:szCs w:val="18"/>
          <w:color w:val="auto"/>
        </w:rPr>
        <w:t>2.6</w:t>
        <w:tab/>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Documents.</w:t>
      </w:r>
    </w:p>
    <w:p>
      <w:pPr>
        <w:spacing w:after="0" w:line="89" w:lineRule="exact"/>
        <w:rPr>
          <w:sz w:val="20"/>
          <w:szCs w:val="20"/>
          <w:color w:val="auto"/>
        </w:rPr>
      </w:pPr>
    </w:p>
    <w:p>
      <w:pPr>
        <w:ind w:left="424" w:right="180" w:hanging="431"/>
        <w:spacing w:after="0" w:line="277" w:lineRule="auto"/>
        <w:tabs>
          <w:tab w:leader="none" w:pos="404" w:val="left"/>
        </w:tabs>
        <w:rPr>
          <w:sz w:val="20"/>
          <w:szCs w:val="20"/>
          <w:color w:val="auto"/>
        </w:rPr>
      </w:pPr>
      <w:r>
        <w:rPr>
          <w:rFonts w:ascii="Arial" w:cs="Arial" w:eastAsia="Arial" w:hAnsi="Arial"/>
          <w:sz w:val="18"/>
          <w:szCs w:val="18"/>
          <w:color w:val="auto"/>
        </w:rPr>
        <w:t>2.7</w:t>
        <w:tab/>
        <w:t>No invitation has been or will be made by or on behalf of the Company to the public in the Cayman Islands to subscribe for any of the Units, the Warrants or the Ordinary Shares.</w:t>
      </w:r>
    </w:p>
    <w:p>
      <w:pPr>
        <w:spacing w:after="0" w:line="76" w:lineRule="exact"/>
        <w:rPr>
          <w:sz w:val="20"/>
          <w:szCs w:val="20"/>
          <w:color w:val="auto"/>
        </w:rPr>
      </w:pPr>
    </w:p>
    <w:p>
      <w:pPr>
        <w:ind w:left="424" w:right="60" w:hanging="431"/>
        <w:spacing w:after="0" w:line="277" w:lineRule="auto"/>
        <w:tabs>
          <w:tab w:leader="none" w:pos="404" w:val="left"/>
        </w:tabs>
        <w:rPr>
          <w:sz w:val="20"/>
          <w:szCs w:val="20"/>
          <w:color w:val="auto"/>
        </w:rPr>
      </w:pPr>
      <w:r>
        <w:rPr>
          <w:rFonts w:ascii="Arial" w:cs="Arial" w:eastAsia="Arial" w:hAnsi="Arial"/>
          <w:sz w:val="18"/>
          <w:szCs w:val="18"/>
          <w:color w:val="auto"/>
        </w:rPr>
        <w:t>2.8</w:t>
        <w:tab/>
        <w:t>There is no contractual or other prohibition or restriction (other than as arising under Cayman Islands law) binding on the Company prohibiting or restricting it from entering into and performing its obligations under the Documents.</w:t>
      </w:r>
    </w:p>
    <w:p>
      <w:pPr>
        <w:spacing w:after="0" w:line="76" w:lineRule="exact"/>
        <w:rPr>
          <w:sz w:val="20"/>
          <w:szCs w:val="20"/>
          <w:color w:val="auto"/>
        </w:rPr>
      </w:pPr>
    </w:p>
    <w:p>
      <w:pPr>
        <w:ind w:left="424" w:right="60" w:hanging="431"/>
        <w:spacing w:after="0" w:line="259" w:lineRule="auto"/>
        <w:tabs>
          <w:tab w:leader="none" w:pos="404" w:val="left"/>
        </w:tabs>
        <w:rPr>
          <w:sz w:val="20"/>
          <w:szCs w:val="20"/>
          <w:color w:val="auto"/>
        </w:rPr>
      </w:pPr>
      <w:r>
        <w:rPr>
          <w:rFonts w:ascii="Arial" w:cs="Arial" w:eastAsia="Arial" w:hAnsi="Arial"/>
          <w:sz w:val="18"/>
          <w:szCs w:val="18"/>
          <w:color w:val="auto"/>
        </w:rPr>
        <w:t>2.9</w:t>
        <w:tab/>
        <w:t>No monies paid to or for the account of any party under the Documents or any property received or disposed of by any party to the Documents in each case in connection with the Documents or the consummation of the transactions contemplated thereby represent or will represent proceeds of criminal conduct or criminal property or terrorist property (as defined in the Proceeds of Crime Act (As Revised) and the Terrorism Act (As Revised), respectively).</w:t>
      </w:r>
    </w:p>
    <w:p>
      <w:pPr>
        <w:spacing w:after="0" w:line="92" w:lineRule="exact"/>
        <w:rPr>
          <w:sz w:val="20"/>
          <w:szCs w:val="20"/>
          <w:color w:val="auto"/>
        </w:rPr>
      </w:pPr>
    </w:p>
    <w:p>
      <w:pPr>
        <w:ind w:left="424" w:right="160" w:hanging="431"/>
        <w:spacing w:after="0" w:line="277" w:lineRule="auto"/>
        <w:rPr>
          <w:sz w:val="20"/>
          <w:szCs w:val="20"/>
          <w:color w:val="auto"/>
        </w:rPr>
      </w:pPr>
      <w:r>
        <w:rPr>
          <w:rFonts w:ascii="Arial" w:cs="Arial" w:eastAsia="Arial" w:hAnsi="Arial"/>
          <w:sz w:val="18"/>
          <w:szCs w:val="18"/>
          <w:color w:val="auto"/>
        </w:rPr>
        <w:t>2.10 There is nothing under any law (other than the laws of the Cayman Islands) which would or might affect the opinions set out below. Specifically, we have made no independent investigation of the Relevant Law.</w:t>
      </w:r>
    </w:p>
    <w:p>
      <w:pPr>
        <w:spacing w:after="0" w:line="76" w:lineRule="exact"/>
        <w:rPr>
          <w:sz w:val="20"/>
          <w:szCs w:val="20"/>
          <w:color w:val="auto"/>
        </w:rPr>
      </w:pPr>
    </w:p>
    <w:p>
      <w:pPr>
        <w:ind w:left="424" w:right="60" w:hanging="431"/>
        <w:spacing w:after="0" w:line="277" w:lineRule="auto"/>
        <w:rPr>
          <w:sz w:val="20"/>
          <w:szCs w:val="20"/>
          <w:color w:val="auto"/>
        </w:rPr>
      </w:pPr>
      <w:r>
        <w:rPr>
          <w:rFonts w:ascii="Arial" w:cs="Arial" w:eastAsia="Arial" w:hAnsi="Arial"/>
          <w:sz w:val="18"/>
          <w:szCs w:val="18"/>
          <w:color w:val="auto"/>
        </w:rPr>
        <w:t>2.11 The Company will receive money or money’s worth in consideration for the issue of the Ordinary Shares and none of the Ordinary Shares were or will be issued for less than par value.</w:t>
      </w:r>
    </w:p>
    <w:p>
      <w:pPr>
        <w:spacing w:after="0" w:line="170"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Save as aforesaid we have not been instructed to undertake and have not undertaken any further enquiry or due diligence in relation to the transaction the subject of this opinion letter.</w:t>
      </w:r>
    </w:p>
    <w:p>
      <w:pPr>
        <w:spacing w:after="0" w:line="315" w:lineRule="exact"/>
        <w:rPr>
          <w:sz w:val="20"/>
          <w:szCs w:val="20"/>
          <w:color w:val="auto"/>
        </w:rPr>
      </w:pPr>
    </w:p>
    <w:p>
      <w:pPr>
        <w:ind w:left="424" w:hanging="424"/>
        <w:spacing w:after="0"/>
        <w:tabs>
          <w:tab w:leader="none" w:pos="424"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121"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Based upon, and subject to, the foregoing assumptions and the qualifications set out below, and having regard to such legal considerations as we deem relevant, we are of the opinion that:</w:t>
      </w:r>
    </w:p>
    <w:p>
      <w:pPr>
        <w:spacing w:after="0" w:line="76" w:lineRule="exact"/>
        <w:rPr>
          <w:sz w:val="20"/>
          <w:szCs w:val="20"/>
          <w:color w:val="auto"/>
        </w:rPr>
      </w:pPr>
    </w:p>
    <w:p>
      <w:pPr>
        <w:ind w:left="424" w:right="380" w:hanging="431"/>
        <w:spacing w:after="0" w:line="277" w:lineRule="auto"/>
        <w:tabs>
          <w:tab w:leader="none" w:pos="404" w:val="left"/>
        </w:tabs>
        <w:rPr>
          <w:sz w:val="20"/>
          <w:szCs w:val="20"/>
          <w:color w:val="auto"/>
        </w:rPr>
      </w:pPr>
      <w:r>
        <w:rPr>
          <w:rFonts w:ascii="Arial" w:cs="Arial" w:eastAsia="Arial" w:hAnsi="Arial"/>
          <w:sz w:val="18"/>
          <w:szCs w:val="18"/>
          <w:color w:val="auto"/>
        </w:rPr>
        <w:t>3.1</w:t>
        <w:tab/>
        <w:t>The Company has been duly incorporated as an exempted company with limited liability and is validly existing and in good standing with the Registrar of Companies under the laws of the Cayman Islands.</w:t>
      </w:r>
    </w:p>
    <w:p>
      <w:pPr>
        <w:spacing w:after="0" w:line="76" w:lineRule="exact"/>
        <w:rPr>
          <w:sz w:val="20"/>
          <w:szCs w:val="20"/>
          <w:color w:val="auto"/>
        </w:rPr>
      </w:pPr>
    </w:p>
    <w:p>
      <w:pPr>
        <w:ind w:left="424" w:right="20" w:hanging="431"/>
        <w:spacing w:after="0" w:line="273" w:lineRule="auto"/>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The Ordinary Shares to be offered and issued by the Company as contemplated by the Registration Statement (including the issuance of the Ordinary Shares upon the exercise of the Warrants in accordance with the Warrant Documents) have been duly authorised for issue, and when issued by the Company against payment in full of the consideration as set out in the Registration Statement (including the issuance of the Ordinary Shares upon the exercise of the Warrants in accordance with the Warrant Documents) and in accordance with the terms set out in the Registration Statement, such Ordinary Shares will be validly issued, fully paid and non-assessable. As a matter of Cayman Islands law, a share is only issued when it has been entered in the register of members (shareholders).</w:t>
      </w:r>
    </w:p>
    <w:p>
      <w:pPr>
        <w:spacing w:after="0" w:line="83" w:lineRule="exact"/>
        <w:rPr>
          <w:sz w:val="20"/>
          <w:szCs w:val="20"/>
          <w:color w:val="auto"/>
        </w:rPr>
      </w:pPr>
    </w:p>
    <w:p>
      <w:pPr>
        <w:ind w:left="424" w:right="100" w:hanging="431"/>
        <w:spacing w:after="0" w:line="259" w:lineRule="auto"/>
        <w:tabs>
          <w:tab w:leader="none" w:pos="404" w:val="left"/>
        </w:tabs>
        <w:rPr>
          <w:sz w:val="20"/>
          <w:szCs w:val="20"/>
          <w:color w:val="auto"/>
        </w:rPr>
      </w:pPr>
      <w:r>
        <w:rPr>
          <w:rFonts w:ascii="Arial" w:cs="Arial" w:eastAsia="Arial" w:hAnsi="Arial"/>
          <w:sz w:val="18"/>
          <w:szCs w:val="18"/>
          <w:color w:val="auto"/>
        </w:rPr>
        <w:t>3.3</w:t>
        <w:tab/>
        <w:t>The execution, delivery and performance of the Unit Certificate and the Warrant Documents have been authorised by and on behalf of the Company and, once the Unit Certificate and the Warrant Documents have been executed and delivered by any director or officer of the Company, the Unit Certificate and the Warrant Documents will be duly executed and delivered on behalf of the Company and will constitute the legal, valid and binding obligations of the Company enforceable in accordance with their terms.</w:t>
      </w:r>
    </w:p>
    <w:p>
      <w:pPr>
        <w:spacing w:after="0" w:line="119"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KZR/782340-000001/65669416v1</w:t>
            </w:r>
          </w:p>
        </w:tc>
        <w:tc>
          <w:tcPr>
            <w:tcW w:w="432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024"/>
          </w:cols>
          <w:pgMar w:left="436" w:top="274" w:right="439" w:bottom="1440" w:gutter="0" w:footer="0" w:header="0"/>
        </w:sectPr>
      </w:pPr>
    </w:p>
    <w:bookmarkStart w:id="343" w:name="page344"/>
    <w:bookmarkEnd w:id="343"/>
    <w:p>
      <w:pPr>
        <w:ind w:left="424" w:hanging="424"/>
        <w:spacing w:after="0"/>
        <w:tabs>
          <w:tab w:leader="none" w:pos="424"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Qualifications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opinions expressed above are subject to the following qualifications:</w:t>
      </w:r>
    </w:p>
    <w:p>
      <w:pPr>
        <w:spacing w:after="0" w:line="127" w:lineRule="exact"/>
        <w:rPr>
          <w:sz w:val="20"/>
          <w:szCs w:val="20"/>
          <w:color w:val="auto"/>
        </w:rPr>
      </w:pPr>
    </w:p>
    <w:p>
      <w:pPr>
        <w:jc w:val="both"/>
        <w:ind w:left="424" w:right="20" w:hanging="431"/>
        <w:spacing w:after="0" w:line="266" w:lineRule="auto"/>
        <w:tabs>
          <w:tab w:leader="none" w:pos="404" w:val="left"/>
        </w:tabs>
        <w:rPr>
          <w:sz w:val="20"/>
          <w:szCs w:val="20"/>
          <w:color w:val="auto"/>
        </w:rPr>
      </w:pPr>
      <w:r>
        <w:rPr>
          <w:rFonts w:ascii="Arial" w:cs="Arial" w:eastAsia="Arial" w:hAnsi="Arial"/>
          <w:sz w:val="18"/>
          <w:szCs w:val="18"/>
          <w:color w:val="auto"/>
        </w:rPr>
        <w:t>4.1</w:t>
        <w:tab/>
        <w:t>The term “</w:t>
      </w:r>
      <w:r>
        <w:rPr>
          <w:rFonts w:ascii="Arial" w:cs="Arial" w:eastAsia="Arial" w:hAnsi="Arial"/>
          <w:sz w:val="18"/>
          <w:szCs w:val="18"/>
          <w:b w:val="1"/>
          <w:bCs w:val="1"/>
          <w:color w:val="auto"/>
        </w:rPr>
        <w:t>enforceable</w:t>
      </w:r>
      <w:r>
        <w:rPr>
          <w:rFonts w:ascii="Arial" w:cs="Arial" w:eastAsia="Arial" w:hAnsi="Arial"/>
          <w:sz w:val="18"/>
          <w:szCs w:val="18"/>
          <w:color w:val="auto"/>
        </w:rPr>
        <w:t>” as used above means that the obligations assumed by the Company under the Documents are of a type which the courts of the Cayman Islands will enforce. It does not mean that those obligations will necessarily be enforced in all circumstances in accordance with their terms. In particular:</w:t>
      </w:r>
    </w:p>
    <w:p>
      <w:pPr>
        <w:spacing w:after="0" w:line="85" w:lineRule="exact"/>
        <w:rPr>
          <w:sz w:val="20"/>
          <w:szCs w:val="20"/>
          <w:color w:val="auto"/>
        </w:rPr>
      </w:pPr>
    </w:p>
    <w:p>
      <w:pPr>
        <w:ind w:left="964" w:right="200" w:hanging="532"/>
        <w:spacing w:after="0" w:line="277" w:lineRule="auto"/>
        <w:tabs>
          <w:tab w:leader="none" w:pos="96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enforcement may be limited by bankruptcy, insolvency, liquidation, reorganisation, readjustment of debts or moratorium or other laws of general application relating to or affecting the rights of creditors;</w:t>
      </w:r>
    </w:p>
    <w:p>
      <w:pPr>
        <w:spacing w:after="0" w:line="75" w:lineRule="exact"/>
        <w:rPr>
          <w:rFonts w:ascii="Arial" w:cs="Arial" w:eastAsia="Arial" w:hAnsi="Arial"/>
          <w:sz w:val="18"/>
          <w:szCs w:val="18"/>
          <w:color w:val="auto"/>
        </w:rPr>
      </w:pPr>
    </w:p>
    <w:p>
      <w:pPr>
        <w:ind w:left="964" w:right="380" w:hanging="532"/>
        <w:spacing w:after="0" w:line="277" w:lineRule="auto"/>
        <w:tabs>
          <w:tab w:leader="none" w:pos="96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enforcement may be limited by general principles of equity. For example, equitable remedies such as specific performance may not be available, </w:t>
      </w:r>
      <w:r>
        <w:rPr>
          <w:rFonts w:ascii="Arial" w:cs="Arial" w:eastAsia="Arial" w:hAnsi="Arial"/>
          <w:sz w:val="18"/>
          <w:szCs w:val="18"/>
          <w:i w:val="1"/>
          <w:iCs w:val="1"/>
          <w:color w:val="auto"/>
        </w:rPr>
        <w:t>inter alia</w:t>
      </w:r>
      <w:r>
        <w:rPr>
          <w:rFonts w:ascii="Arial" w:cs="Arial" w:eastAsia="Arial" w:hAnsi="Arial"/>
          <w:sz w:val="18"/>
          <w:szCs w:val="18"/>
          <w:color w:val="auto"/>
        </w:rPr>
        <w:t>, where damages are considered to be an adequate remedy;</w:t>
      </w:r>
    </w:p>
    <w:p>
      <w:pPr>
        <w:spacing w:after="0" w:line="75" w:lineRule="exact"/>
        <w:rPr>
          <w:rFonts w:ascii="Arial" w:cs="Arial" w:eastAsia="Arial" w:hAnsi="Arial"/>
          <w:sz w:val="18"/>
          <w:szCs w:val="18"/>
          <w:color w:val="auto"/>
        </w:rPr>
      </w:pPr>
    </w:p>
    <w:p>
      <w:pPr>
        <w:ind w:left="964" w:right="140" w:hanging="532"/>
        <w:spacing w:after="0" w:line="277" w:lineRule="auto"/>
        <w:tabs>
          <w:tab w:leader="none" w:pos="96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where obligations are to be performed in a jurisdiction outside the Cayman Islands, they may not be enforceable in the Cayman Islands to the extent that performance would be illegal under the laws of that jurisdiction; and</w:t>
      </w:r>
    </w:p>
    <w:p>
      <w:pPr>
        <w:spacing w:after="0" w:line="75" w:lineRule="exact"/>
        <w:rPr>
          <w:rFonts w:ascii="Arial" w:cs="Arial" w:eastAsia="Arial" w:hAnsi="Arial"/>
          <w:sz w:val="18"/>
          <w:szCs w:val="18"/>
          <w:color w:val="auto"/>
        </w:rPr>
      </w:pPr>
    </w:p>
    <w:p>
      <w:pPr>
        <w:ind w:left="964" w:right="340" w:hanging="532"/>
        <w:spacing w:after="0" w:line="277" w:lineRule="auto"/>
        <w:tabs>
          <w:tab w:leader="none" w:pos="96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some claims may become barred under relevant statutes of limitation or may be or become subject to defences of set off, counterclaim, estoppel and similar defences.</w:t>
      </w:r>
    </w:p>
    <w:p>
      <w:pPr>
        <w:spacing w:after="0" w:line="76" w:lineRule="exact"/>
        <w:rPr>
          <w:sz w:val="20"/>
          <w:szCs w:val="20"/>
          <w:color w:val="auto"/>
        </w:rPr>
      </w:pPr>
    </w:p>
    <w:p>
      <w:pPr>
        <w:ind w:left="424" w:right="40" w:hanging="431"/>
        <w:spacing w:after="0" w:line="277" w:lineRule="auto"/>
        <w:tabs>
          <w:tab w:leader="none" w:pos="404" w:val="left"/>
        </w:tabs>
        <w:rPr>
          <w:sz w:val="20"/>
          <w:szCs w:val="20"/>
          <w:color w:val="auto"/>
        </w:rPr>
      </w:pPr>
      <w:r>
        <w:rPr>
          <w:rFonts w:ascii="Arial" w:cs="Arial" w:eastAsia="Arial" w:hAnsi="Arial"/>
          <w:sz w:val="18"/>
          <w:szCs w:val="18"/>
          <w:color w:val="auto"/>
        </w:rPr>
        <w:t>4.2</w:t>
        <w:tab/>
        <w:t>To maintain the Company in good standing with the Registrar of Companies under the laws of the Cayman Islands, annual filing fees must be paid and returns made to the Registrar of Companies within the time frame prescribed by law.</w:t>
      </w:r>
    </w:p>
    <w:p>
      <w:pPr>
        <w:spacing w:after="0" w:line="76" w:lineRule="exact"/>
        <w:rPr>
          <w:sz w:val="20"/>
          <w:szCs w:val="20"/>
          <w:color w:val="auto"/>
        </w:rPr>
      </w:pPr>
    </w:p>
    <w:p>
      <w:pPr>
        <w:ind w:left="424" w:hanging="431"/>
        <w:spacing w:after="0" w:line="290" w:lineRule="auto"/>
        <w:tabs>
          <w:tab w:leader="none" w:pos="40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 xml:space="preserve">Under Cayman Islands law, the register of members (shareholders) is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title to shares and this register would not record a third party interest in such shares.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As far as we are aware, such applications are rarely made in the Cayman Islands and for the purposes of the opinion given in paragraph 3.2, there are no circumstances or matters of fact known to us on the date of this opinion letter which would properly form the basis for an application for an order for rectification of the register of members of the Company, but if such an application were made in respect of the Ordinary Shares, then the validity of such shares may be subject to re-examination by a Cayman Islands court.</w:t>
      </w:r>
    </w:p>
    <w:p>
      <w:pPr>
        <w:spacing w:after="0" w:line="71" w:lineRule="exact"/>
        <w:rPr>
          <w:sz w:val="20"/>
          <w:szCs w:val="20"/>
          <w:color w:val="auto"/>
        </w:rPr>
      </w:pPr>
    </w:p>
    <w:p>
      <w:pPr>
        <w:ind w:left="424" w:right="40" w:hanging="431"/>
        <w:spacing w:after="0" w:line="263" w:lineRule="auto"/>
        <w:tabs>
          <w:tab w:leader="none" w:pos="404" w:val="left"/>
        </w:tabs>
        <w:rPr>
          <w:sz w:val="20"/>
          <w:szCs w:val="20"/>
          <w:color w:val="auto"/>
        </w:rPr>
      </w:pPr>
      <w:r>
        <w:rPr>
          <w:rFonts w:ascii="Arial" w:cs="Arial" w:eastAsia="Arial" w:hAnsi="Arial"/>
          <w:sz w:val="18"/>
          <w:szCs w:val="18"/>
          <w:color w:val="auto"/>
        </w:rPr>
        <w:t>4.4</w:t>
        <w:tab/>
        <w:t>Except as specifically stated herein, we make no comment with respect to any representations and warranties which may be made by or with respect to the Company in any of the documents or instruments cited in this opinion letter or otherwise with respect to the commercial terms of the transactions the subject of this opinion letter.</w:t>
      </w:r>
    </w:p>
    <w:p>
      <w:pPr>
        <w:spacing w:after="0" w:line="89" w:lineRule="exact"/>
        <w:rPr>
          <w:sz w:val="20"/>
          <w:szCs w:val="20"/>
          <w:color w:val="auto"/>
        </w:rPr>
      </w:pPr>
    </w:p>
    <w:p>
      <w:pPr>
        <w:ind w:left="424" w:right="60" w:hanging="431"/>
        <w:spacing w:after="0" w:line="259" w:lineRule="auto"/>
        <w:tabs>
          <w:tab w:leader="none" w:pos="404" w:val="left"/>
        </w:tabs>
        <w:rPr>
          <w:sz w:val="20"/>
          <w:szCs w:val="20"/>
          <w:color w:val="auto"/>
        </w:rPr>
      </w:pPr>
      <w:r>
        <w:rPr>
          <w:rFonts w:ascii="Arial" w:cs="Arial" w:eastAsia="Arial" w:hAnsi="Arial"/>
          <w:sz w:val="18"/>
          <w:szCs w:val="18"/>
          <w:color w:val="auto"/>
        </w:rPr>
        <w:t>4.5</w:t>
        <w:tab/>
        <w:t>In this opinion letter, the phrase “non-assessable” means, with respect to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19"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KZR/782340-000001/65669416v1</w:t>
            </w:r>
          </w:p>
        </w:tc>
        <w:tc>
          <w:tcPr>
            <w:tcW w:w="432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024"/>
          </w:cols>
          <w:pgMar w:left="436" w:top="270" w:right="439" w:bottom="1440" w:gutter="0" w:footer="0" w:header="0"/>
        </w:sectPr>
      </w:pPr>
    </w:p>
    <w:bookmarkStart w:id="344" w:name="page345"/>
    <w:bookmarkEnd w:id="34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hereby consent to the filing of this opinion letter as an exhibit to the Registration Statement and to the references to our firm under the headings “Legal Matters”, “Risk Factors”, “Shareholders’ Suits” and “Enforcement of Civil Liabilities” in the prospectus included in the Registration Statement. In providing our consent, we do not thereby admit that we are in the category of persons whose consent is required under Section 7 of the Act or the Rules and Regulations of the Commission thereunder.</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opinion letter is addressed to you and may be relied upon by you, your counsel and purchasers of Units pursuant to the Registration Statement. This opinion letter is limited to the matters detailed herein and is not to be read as an opinion with respect to any other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Maples and Calder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Maples and Calder (Cayman) LLP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KZR/782340-000001/65669416v1</w:t>
            </w:r>
          </w:p>
        </w:tc>
        <w:tc>
          <w:tcPr>
            <w:tcW w:w="432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020"/>
          </w:cols>
          <w:pgMar w:left="440" w:top="274" w:right="439" w:bottom="1440" w:gutter="0" w:footer="0" w:header="0"/>
        </w:sectPr>
      </w:pPr>
    </w:p>
    <w:bookmarkStart w:id="345" w:name="page346"/>
    <w:bookmarkEnd w:id="345"/>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ArcLight Clean Transition Corp. II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PO Box 309, Ugland House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8, 2021</w:t>
      </w:r>
    </w:p>
    <w:p>
      <w:pPr>
        <w:spacing w:after="0" w:line="22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Maples and Calder (Cayman) LLP</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PO Box 309, Ugland House</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Cayman Islands</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ArcLight Clean Transition Corp. II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17"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8"/>
          <w:szCs w:val="18"/>
          <w:color w:val="auto"/>
        </w:rPr>
        <w:t>I, the undersigned, being a director of the Company, am aware that you are being asked to provide an opinion letter (the “</w:t>
      </w:r>
      <w:r>
        <w:rPr>
          <w:rFonts w:ascii="Arial" w:cs="Arial" w:eastAsia="Arial" w:hAnsi="Arial"/>
          <w:sz w:val="18"/>
          <w:szCs w:val="18"/>
          <w:b w:val="1"/>
          <w:bCs w:val="1"/>
          <w:color w:val="auto"/>
        </w:rPr>
        <w:t>Opinion</w:t>
      </w:r>
      <w:r>
        <w:rPr>
          <w:rFonts w:ascii="Arial" w:cs="Arial" w:eastAsia="Arial" w:hAnsi="Arial"/>
          <w:sz w:val="18"/>
          <w:szCs w:val="18"/>
          <w:color w:val="auto"/>
        </w:rPr>
        <w:t>”) in relation to certain aspects of Cayman Islands law. Unless otherwise defined herein, capitalised terms used in this certificate have the respective meanings given to them in the Opinion. I hereby certify that:</w:t>
      </w:r>
    </w:p>
    <w:p>
      <w:pPr>
        <w:spacing w:after="0" w:line="85" w:lineRule="exact"/>
        <w:rPr>
          <w:sz w:val="20"/>
          <w:szCs w:val="20"/>
          <w:color w:val="auto"/>
        </w:rPr>
      </w:pPr>
    </w:p>
    <w:p>
      <w:pPr>
        <w:ind w:left="424" w:hanging="424"/>
        <w:spacing w:after="0"/>
        <w:tabs>
          <w:tab w:leader="none" w:pos="42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Memorandum and Articles remain in full force and effect and are unamended.</w:t>
      </w:r>
    </w:p>
    <w:p>
      <w:pPr>
        <w:spacing w:after="0" w:line="131" w:lineRule="exact"/>
        <w:rPr>
          <w:sz w:val="20"/>
          <w:szCs w:val="20"/>
          <w:color w:val="auto"/>
        </w:rPr>
      </w:pPr>
    </w:p>
    <w:p>
      <w:pPr>
        <w:ind w:left="424" w:right="240" w:hanging="424"/>
        <w:spacing w:after="0" w:line="277" w:lineRule="auto"/>
        <w:tabs>
          <w:tab w:leader="none" w:pos="42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Company has not entered into any mortgages or charges over its property or assets other than those entered in the register of mortgages and charges of the Company.</w:t>
      </w:r>
    </w:p>
    <w:p>
      <w:pPr>
        <w:spacing w:after="0" w:line="76" w:lineRule="exact"/>
        <w:rPr>
          <w:sz w:val="20"/>
          <w:szCs w:val="20"/>
          <w:color w:val="auto"/>
        </w:rPr>
      </w:pPr>
    </w:p>
    <w:p>
      <w:pPr>
        <w:ind w:left="424" w:right="280" w:hanging="424"/>
        <w:spacing w:after="0" w:line="308" w:lineRule="auto"/>
        <w:tabs>
          <w:tab w:leader="none" w:pos="424"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Resolutions were duly passed in the manner prescribed in the Memorandum and Articles (including, without limitation, with respect to the disclosure of interests (if any) by directors of the Company) and have not been amended, varied or revoked in any respect.</w:t>
      </w:r>
    </w:p>
    <w:p>
      <w:pPr>
        <w:spacing w:after="0" w:line="52" w:lineRule="exact"/>
        <w:rPr>
          <w:sz w:val="20"/>
          <w:szCs w:val="20"/>
          <w:color w:val="auto"/>
        </w:rPr>
      </w:pPr>
    </w:p>
    <w:p>
      <w:pPr>
        <w:ind w:left="424" w:right="240" w:hanging="424"/>
        <w:spacing w:after="0" w:line="259" w:lineRule="auto"/>
        <w:tabs>
          <w:tab w:leader="none" w:pos="42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authorised share capital of the Company is US$55,500 divided into 500,000,000 Class A ordinary shares of a par value of US$0.0001 each, 50,000,000 Class B ordinary shares of a par value of US$0.0001 each and 5,000,000 preference shares of a par value of US$0.0001 each. The issued share capital of the Company is 7,187,500 Class B ordinary shares, which have been duly authorised and are validly issued as fully-paid and non-assessable.</w:t>
      </w:r>
    </w:p>
    <w:p>
      <w:pPr>
        <w:spacing w:after="0" w:line="88" w:lineRule="exact"/>
        <w:rPr>
          <w:sz w:val="20"/>
          <w:szCs w:val="20"/>
          <w:color w:val="auto"/>
        </w:rPr>
      </w:pPr>
    </w:p>
    <w:p>
      <w:pPr>
        <w:ind w:left="424" w:hanging="424"/>
        <w:spacing w:after="0"/>
        <w:tabs>
          <w:tab w:leader="none" w:pos="42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shareholders of the Company (the “</w:t>
      </w:r>
      <w:r>
        <w:rPr>
          <w:rFonts w:ascii="Arial" w:cs="Arial" w:eastAsia="Arial" w:hAnsi="Arial"/>
          <w:sz w:val="18"/>
          <w:szCs w:val="18"/>
          <w:b w:val="1"/>
          <w:bCs w:val="1"/>
          <w:color w:val="auto"/>
        </w:rPr>
        <w:t>Shareholders</w:t>
      </w:r>
      <w:r>
        <w:rPr>
          <w:rFonts w:ascii="Arial" w:cs="Arial" w:eastAsia="Arial" w:hAnsi="Arial"/>
          <w:sz w:val="18"/>
          <w:szCs w:val="18"/>
          <w:color w:val="auto"/>
        </w:rPr>
        <w:t>”) have not restricted the powers of the directors of the Company in any way.</w:t>
      </w:r>
    </w:p>
    <w:p>
      <w:pPr>
        <w:spacing w:after="0" w:line="135" w:lineRule="exact"/>
        <w:rPr>
          <w:sz w:val="20"/>
          <w:szCs w:val="20"/>
          <w:color w:val="auto"/>
        </w:rPr>
      </w:pPr>
    </w:p>
    <w:p>
      <w:pPr>
        <w:ind w:left="424" w:right="20" w:hanging="424"/>
        <w:spacing w:after="0" w:line="277" w:lineRule="auto"/>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directors of the Company at the date of the Resolutions and at the date of this certificate were and are as follows: John F. Erhard and Daniel R. Revers.</w:t>
      </w:r>
    </w:p>
    <w:p>
      <w:pPr>
        <w:spacing w:after="0" w:line="76" w:lineRule="exact"/>
        <w:rPr>
          <w:sz w:val="20"/>
          <w:szCs w:val="20"/>
          <w:color w:val="auto"/>
        </w:rPr>
      </w:pPr>
    </w:p>
    <w:p>
      <w:pPr>
        <w:ind w:left="424" w:right="60" w:hanging="424"/>
        <w:spacing w:after="0" w:line="279" w:lineRule="auto"/>
        <w:tabs>
          <w:tab w:leader="none" w:pos="424"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minute book and corporate records of the Company as maintained at its registered office in the Cayman Islands and made available to you are complete and accurate in all material respects, and all minutes and resolutions filed therein represent a complete and accurate record of all meetings of the Shareholders and directors (or any committee thereof) of the Company (duly convened in accordance with the Memorandum and Articles) and all resolutions passed at the meetings or passed by written resolution or consent, as the case may be.</w:t>
      </w:r>
    </w:p>
    <w:p>
      <w:pPr>
        <w:spacing w:after="0" w:line="77" w:lineRule="exact"/>
        <w:rPr>
          <w:sz w:val="20"/>
          <w:szCs w:val="20"/>
          <w:color w:val="auto"/>
        </w:rPr>
      </w:pPr>
    </w:p>
    <w:p>
      <w:pPr>
        <w:ind w:left="424" w:right="40" w:hanging="424"/>
        <w:spacing w:after="0" w:line="259" w:lineRule="auto"/>
        <w:tabs>
          <w:tab w:leader="none" w:pos="42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Prior to, at the time of, and immediately following the approval of the transactions contemplated by the Registration Statement, the Company was, or will be, able to pay its debts as they fell, or fall, due and has entered, or will enter, into the transactions contemplated by the Registration Statement for proper value and not with an intention to defraud or wilfully defeat an obligation owed to any creditor or with a view to giving a creditor a preference.</w:t>
      </w:r>
    </w:p>
    <w:p>
      <w:pPr>
        <w:spacing w:after="0" w:line="119"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KZR/782340-000001/65669416v1</w:t>
            </w:r>
          </w:p>
        </w:tc>
        <w:tc>
          <w:tcPr>
            <w:tcW w:w="432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024"/>
          </w:cols>
          <w:pgMar w:left="436" w:top="274" w:right="439" w:bottom="1440" w:gutter="0" w:footer="0" w:header="0"/>
        </w:sectPr>
      </w:pPr>
    </w:p>
    <w:bookmarkStart w:id="346" w:name="page347"/>
    <w:bookmarkEnd w:id="346"/>
    <w:p>
      <w:pPr>
        <w:jc w:val="both"/>
        <w:ind w:left="424" w:right="60" w:hanging="424"/>
        <w:spacing w:after="0" w:line="263" w:lineRule="auto"/>
        <w:tabs>
          <w:tab w:leader="none" w:pos="424"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director of the Company considers the transactions contemplated by the Registration Statement to be of commercial benefit to the Company and has acted in good faith in the best interests of the Company, and for a proper purpose of the Company, in relation to the transactions which are the subject of the Opinion.</w:t>
      </w:r>
    </w:p>
    <w:p>
      <w:pPr>
        <w:spacing w:after="0" w:line="89" w:lineRule="exact"/>
        <w:rPr>
          <w:sz w:val="20"/>
          <w:szCs w:val="20"/>
          <w:color w:val="auto"/>
        </w:rPr>
      </w:pPr>
    </w:p>
    <w:p>
      <w:pPr>
        <w:ind w:left="424" w:right="280" w:hanging="424"/>
        <w:spacing w:after="0" w:line="311" w:lineRule="auto"/>
        <w:tabs>
          <w:tab w:leader="none" w:pos="424"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To the best of my knowledge and belief, having made due inquiry, the Company is not the subject of legal, arbitral, administrative or other proceedings in any jurisdiction. Nor have the directors or Shareholders taken any steps to have the Company struck off or placed in liquidation, nor have any steps been taken to wind up the Company. Nor has any receiver been appointed over any of the Company’s property or assets.</w:t>
      </w:r>
    </w:p>
    <w:p>
      <w:pPr>
        <w:spacing w:after="0" w:line="54" w:lineRule="exact"/>
        <w:rPr>
          <w:rFonts w:ascii="Arial" w:cs="Arial" w:eastAsia="Arial" w:hAnsi="Arial"/>
          <w:sz w:val="16"/>
          <w:szCs w:val="16"/>
          <w:color w:val="auto"/>
        </w:rPr>
      </w:pPr>
    </w:p>
    <w:p>
      <w:pPr>
        <w:ind w:left="424" w:right="80" w:hanging="424"/>
        <w:spacing w:after="0" w:line="277" w:lineRule="auto"/>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the best of my knowledge and belief, having made due inquiry, there are no circumstances or matters of fact existing which may properly form the basis for an application for an order for rectification of the register of members of the Company.</w:t>
      </w:r>
    </w:p>
    <w:p>
      <w:pPr>
        <w:spacing w:after="0" w:line="75"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Registration Statement has been, or will be, authorised and duly executed and delivered by or on behalf of all relevant parties in accordance with all relevant laws.</w:t>
      </w:r>
    </w:p>
    <w:p>
      <w:pPr>
        <w:spacing w:after="0" w:line="75" w:lineRule="exact"/>
        <w:rPr>
          <w:rFonts w:ascii="Arial" w:cs="Arial" w:eastAsia="Arial" w:hAnsi="Arial"/>
          <w:sz w:val="18"/>
          <w:szCs w:val="18"/>
          <w:color w:val="auto"/>
        </w:rPr>
      </w:pPr>
    </w:p>
    <w:p>
      <w:pPr>
        <w:ind w:left="424" w:right="500" w:hanging="424"/>
        <w:spacing w:after="0" w:line="277" w:lineRule="auto"/>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 invitation has been made or will be made by or on behalf of the Company to the public in the Cayman Islands to subscribe for any of the Ordinary Shares.</w:t>
      </w:r>
    </w:p>
    <w:p>
      <w:pPr>
        <w:spacing w:after="0" w:line="75" w:lineRule="exact"/>
        <w:rPr>
          <w:rFonts w:ascii="Arial" w:cs="Arial" w:eastAsia="Arial" w:hAnsi="Arial"/>
          <w:sz w:val="18"/>
          <w:szCs w:val="18"/>
          <w:color w:val="auto"/>
        </w:rPr>
      </w:pPr>
    </w:p>
    <w:p>
      <w:pPr>
        <w:ind w:left="424" w:right="140" w:hanging="424"/>
        <w:spacing w:after="0" w:line="277" w:lineRule="auto"/>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Ordinary Shares to be issued pursuant to the Registration Statement have been, or will be, duly registered, and will continue to be registered, in the Company’s register of members (shareholders).</w:t>
      </w:r>
    </w:p>
    <w:p>
      <w:pPr>
        <w:spacing w:after="0" w:line="75" w:lineRule="exact"/>
        <w:rPr>
          <w:rFonts w:ascii="Arial" w:cs="Arial" w:eastAsia="Arial" w:hAnsi="Arial"/>
          <w:sz w:val="18"/>
          <w:szCs w:val="18"/>
          <w:color w:val="auto"/>
        </w:rPr>
      </w:pPr>
    </w:p>
    <w:p>
      <w:pPr>
        <w:ind w:left="424" w:right="460" w:hanging="424"/>
        <w:spacing w:after="0" w:line="277" w:lineRule="auto"/>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Company is not a central bank, monetary authority or other sovereign entity of any state and is not a subsidiary, direct or indirect, of any sovereign entity or state.</w:t>
      </w:r>
    </w:p>
    <w:p>
      <w:pPr>
        <w:spacing w:after="0" w:line="75"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There is no contractual or other prohibition or restriction (other than as arising under Cayman Islands law) binding on the Company prohibiting or restricting it from entering into and performing its obligations under the Documents.</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KZR/782340-000001/65669416v1</w:t>
            </w:r>
          </w:p>
        </w:tc>
        <w:tc>
          <w:tcPr>
            <w:tcW w:w="432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024"/>
          </w:cols>
          <w:pgMar w:left="436" w:top="274" w:right="439" w:bottom="1440" w:gutter="0" w:footer="0" w:header="0"/>
        </w:sectPr>
      </w:pPr>
    </w:p>
    <w:bookmarkStart w:id="347" w:name="page348"/>
    <w:bookmarkEnd w:id="347"/>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confirm that you may continue to rely on this certificate as being true and correct on the day that you issue the Opinion unless I shall have previously notified you in writing personally to the contrary.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Erhard</w:t>
            </w:r>
          </w:p>
        </w:tc>
        <w:tc>
          <w:tcPr>
            <w:tcW w:w="6620" w:type="dxa"/>
            <w:vAlign w:val="bottom"/>
          </w:tcPr>
          <w:p>
            <w:pPr>
              <w:spacing w:after="0"/>
              <w:rPr>
                <w:sz w:val="20"/>
                <w:szCs w:val="20"/>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3480" w:type="dxa"/>
            <w:vAlign w:val="bottom"/>
          </w:tcPr>
          <w:p>
            <w:pPr>
              <w:spacing w:after="0"/>
              <w:rPr>
                <w:sz w:val="20"/>
                <w:szCs w:val="20"/>
                <w:color w:val="auto"/>
              </w:rPr>
            </w:pPr>
            <w:r>
              <w:rPr>
                <w:rFonts w:ascii="Arial" w:cs="Arial" w:eastAsia="Arial" w:hAnsi="Arial"/>
                <w:sz w:val="18"/>
                <w:szCs w:val="18"/>
                <w:color w:val="auto"/>
              </w:rPr>
              <w:t>John F. Erhard</w:t>
            </w:r>
          </w:p>
        </w:tc>
        <w:tc>
          <w:tcPr>
            <w:tcW w:w="662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spacing w:after="0"/>
              <w:rPr>
                <w:sz w:val="20"/>
                <w:szCs w:val="20"/>
                <w:color w:val="auto"/>
              </w:rPr>
            </w:pPr>
            <w:r>
              <w:rPr>
                <w:rFonts w:ascii="Arial" w:cs="Arial" w:eastAsia="Arial" w:hAnsi="Arial"/>
                <w:sz w:val="18"/>
                <w:szCs w:val="18"/>
                <w:color w:val="auto"/>
              </w:rPr>
              <w:t>Director</w:t>
            </w:r>
          </w:p>
        </w:tc>
        <w:tc>
          <w:tcPr>
            <w:tcW w:w="6620" w:type="dxa"/>
            <w:vAlign w:val="bottom"/>
          </w:tcPr>
          <w:p>
            <w:pPr>
              <w:spacing w:after="0"/>
              <w:rPr>
                <w:sz w:val="20"/>
                <w:szCs w:val="20"/>
                <w:color w:val="auto"/>
              </w:rPr>
            </w:pPr>
          </w:p>
        </w:tc>
      </w:tr>
      <w:tr>
        <w:trPr>
          <w:trHeight w:val="364"/>
        </w:trPr>
        <w:tc>
          <w:tcPr>
            <w:tcW w:w="4400" w:type="dxa"/>
            <w:vAlign w:val="bottom"/>
            <w:gridSpan w:val="2"/>
          </w:tcPr>
          <w:p>
            <w:pPr>
              <w:spacing w:after="0"/>
              <w:rPr>
                <w:sz w:val="20"/>
                <w:szCs w:val="20"/>
                <w:color w:val="auto"/>
              </w:rPr>
            </w:pPr>
            <w:r>
              <w:rPr>
                <w:rFonts w:ascii="Arial" w:cs="Arial" w:eastAsia="Arial" w:hAnsi="Arial"/>
                <w:sz w:val="18"/>
                <w:szCs w:val="18"/>
                <w:color w:val="auto"/>
              </w:rPr>
              <w:t>KZR/782340-000001/65669416v1</w:t>
            </w:r>
          </w:p>
        </w:tc>
        <w:tc>
          <w:tcPr>
            <w:tcW w:w="662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020"/>
          </w:cols>
          <w:pgMar w:left="440" w:top="274" w:right="439"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ind w:left="4" w:right="60"/>
        <w:spacing w:after="0" w:line="342" w:lineRule="auto"/>
        <w:rPr>
          <w:sz w:val="20"/>
          <w:szCs w:val="20"/>
          <w:color w:val="auto"/>
        </w:rPr>
      </w:pPr>
      <w:r>
        <w:rPr>
          <w:rFonts w:ascii="Arial" w:cs="Arial" w:eastAsia="Arial" w:hAnsi="Arial"/>
          <w:sz w:val="16"/>
          <w:szCs w:val="16"/>
          <w:color w:val="auto"/>
        </w:rPr>
        <w:t>This Investment Management Trust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effective as of [•], 2021 by and between ArcLight Clean Transition Corp. II, a Cayman Islands exempted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a New York corporation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w:t>
      </w:r>
    </w:p>
    <w:p>
      <w:pPr>
        <w:spacing w:after="0" w:line="124"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WHEREAS, the Company’s registration statement on Form S-1, File No. 333-252730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and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 the initial public offering of the Company’s units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each of which consists of one of the Company’s Class A ordinary shares, par value $0.0001 per share (the “</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and one-fifth of one redeemable warrant, each whole warrant entitling the holder thereof to purchase one Ordinary Share (such initial public offering hereinafter referred to as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has been declared effective as of the date hereof by the U.S. Securities and Exchange Commission; and</w:t>
      </w:r>
    </w:p>
    <w:p>
      <w:pPr>
        <w:spacing w:after="0" w:line="188" w:lineRule="exact"/>
        <w:rPr>
          <w:sz w:val="20"/>
          <w:szCs w:val="20"/>
          <w:color w:val="auto"/>
        </w:rPr>
      </w:pPr>
    </w:p>
    <w:p>
      <w:pPr>
        <w:ind w:left="4" w:right="520"/>
        <w:spacing w:after="0" w:line="277" w:lineRule="auto"/>
        <w:rPr>
          <w:sz w:val="20"/>
          <w:szCs w:val="20"/>
          <w:color w:val="auto"/>
        </w:rPr>
      </w:pPr>
      <w:r>
        <w:rPr>
          <w:rFonts w:ascii="Arial" w:cs="Arial" w:eastAsia="Arial" w:hAnsi="Arial"/>
          <w:sz w:val="18"/>
          <w:szCs w:val="18"/>
          <w:color w:val="auto"/>
        </w:rPr>
        <w:t>WHEREAS, the Company has entered into an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with Citigroup Global Markets Inc. and Barclays Capital Inc.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and</w:t>
      </w:r>
    </w:p>
    <w:p>
      <w:pPr>
        <w:spacing w:after="0" w:line="170" w:lineRule="exact"/>
        <w:rPr>
          <w:sz w:val="20"/>
          <w:szCs w:val="20"/>
          <w:color w:val="auto"/>
        </w:rPr>
      </w:pPr>
    </w:p>
    <w:p>
      <w:pPr>
        <w:ind w:left="4" w:right="160"/>
        <w:spacing w:after="0" w:line="254" w:lineRule="auto"/>
        <w:rPr>
          <w:sz w:val="20"/>
          <w:szCs w:val="20"/>
          <w:color w:val="auto"/>
        </w:rPr>
      </w:pPr>
      <w:r>
        <w:rPr>
          <w:rFonts w:ascii="Arial" w:cs="Arial" w:eastAsia="Arial" w:hAnsi="Arial"/>
          <w:sz w:val="18"/>
          <w:szCs w:val="18"/>
          <w:color w:val="auto"/>
        </w:rPr>
        <w:t>WHEREAS, as described in the Prospectus, $250,000,000 of the gross proceeds of the Offering and sale of the Private Placement Warrants (as defined in the Underwriting Agreement) (or $287,500,000 if the Underwriters’ option to purchase additional units is exercised in full) will be delivered to the Trustee to be deposited and held in a segregated trust account located at all times in the United States (the “</w:t>
      </w:r>
      <w:r>
        <w:rPr>
          <w:rFonts w:ascii="Arial" w:cs="Arial" w:eastAsia="Arial" w:hAnsi="Arial"/>
          <w:sz w:val="18"/>
          <w:szCs w:val="18"/>
          <w:b w:val="1"/>
          <w:bCs w:val="1"/>
          <w:i w:val="1"/>
          <w:iCs w:val="1"/>
          <w:color w:val="auto"/>
        </w:rPr>
        <w:t>Trust Account</w:t>
      </w:r>
      <w:r>
        <w:rPr>
          <w:rFonts w:ascii="Arial" w:cs="Arial" w:eastAsia="Arial" w:hAnsi="Arial"/>
          <w:sz w:val="18"/>
          <w:szCs w:val="18"/>
          <w:color w:val="auto"/>
        </w:rPr>
        <w:t>”) for the benefit of the Company and the holders of the Ordinary Shares included in the Units issued in the Offering as hereinafter provided (the amount to be delivered to the Trustee (and any interest subsequently earned thereon) is referred to herein as the “</w:t>
      </w:r>
      <w:r>
        <w:rPr>
          <w:rFonts w:ascii="Arial" w:cs="Arial" w:eastAsia="Arial" w:hAnsi="Arial"/>
          <w:sz w:val="18"/>
          <w:szCs w:val="18"/>
          <w:b w:val="1"/>
          <w:bCs w:val="1"/>
          <w:i w:val="1"/>
          <w:iCs w:val="1"/>
          <w:color w:val="auto"/>
        </w:rPr>
        <w:t>Property</w:t>
      </w:r>
      <w:r>
        <w:rPr>
          <w:rFonts w:ascii="Arial" w:cs="Arial" w:eastAsia="Arial" w:hAnsi="Arial"/>
          <w:sz w:val="18"/>
          <w:szCs w:val="18"/>
          <w:i w:val="1"/>
          <w:iCs w:val="1"/>
          <w:color w:val="auto"/>
        </w:rPr>
        <w:t>,</w:t>
      </w:r>
      <w:r>
        <w:rPr>
          <w:rFonts w:ascii="Arial" w:cs="Arial" w:eastAsia="Arial" w:hAnsi="Arial"/>
          <w:sz w:val="18"/>
          <w:szCs w:val="18"/>
          <w:color w:val="auto"/>
        </w:rPr>
        <w:t>” the shareholders for whose benefit the Trustee shall hold the Property will be referred to as the “</w:t>
      </w:r>
      <w:r>
        <w:rPr>
          <w:rFonts w:ascii="Arial" w:cs="Arial" w:eastAsia="Arial" w:hAnsi="Arial"/>
          <w:sz w:val="18"/>
          <w:szCs w:val="18"/>
          <w:b w:val="1"/>
          <w:bCs w:val="1"/>
          <w:i w:val="1"/>
          <w:iCs w:val="1"/>
          <w:color w:val="auto"/>
        </w:rPr>
        <w:t>Public Shareholders</w:t>
      </w:r>
      <w:r>
        <w:rPr>
          <w:rFonts w:ascii="Arial" w:cs="Arial" w:eastAsia="Arial" w:hAnsi="Arial"/>
          <w:sz w:val="18"/>
          <w:szCs w:val="18"/>
          <w:i w:val="1"/>
          <w:iCs w:val="1"/>
          <w:color w:val="auto"/>
        </w:rPr>
        <w:t>,</w:t>
      </w:r>
      <w:r>
        <w:rPr>
          <w:rFonts w:ascii="Arial" w:cs="Arial" w:eastAsia="Arial" w:hAnsi="Arial"/>
          <w:sz w:val="18"/>
          <w:szCs w:val="18"/>
          <w:color w:val="auto"/>
        </w:rPr>
        <w:t>” and the Public Shareholders and the Company will be referred to together as the “</w:t>
      </w:r>
      <w:r>
        <w:rPr>
          <w:rFonts w:ascii="Arial" w:cs="Arial" w:eastAsia="Arial" w:hAnsi="Arial"/>
          <w:sz w:val="18"/>
          <w:szCs w:val="18"/>
          <w:b w:val="1"/>
          <w:bCs w:val="1"/>
          <w:i w:val="1"/>
          <w:iCs w:val="1"/>
          <w:color w:val="auto"/>
        </w:rPr>
        <w:t>Beneficiaries</w:t>
      </w:r>
      <w:r>
        <w:rPr>
          <w:rFonts w:ascii="Arial" w:cs="Arial" w:eastAsia="Arial" w:hAnsi="Arial"/>
          <w:sz w:val="18"/>
          <w:szCs w:val="18"/>
          <w:color w:val="auto"/>
        </w:rPr>
        <w:t>”); and</w:t>
      </w:r>
    </w:p>
    <w:p>
      <w:pPr>
        <w:spacing w:after="0" w:line="195" w:lineRule="exact"/>
        <w:rPr>
          <w:sz w:val="20"/>
          <w:szCs w:val="20"/>
          <w:color w:val="auto"/>
        </w:rPr>
      </w:pPr>
    </w:p>
    <w:p>
      <w:pPr>
        <w:ind w:left="4" w:right="80"/>
        <w:spacing w:after="0" w:line="286" w:lineRule="auto"/>
        <w:rPr>
          <w:sz w:val="20"/>
          <w:szCs w:val="20"/>
          <w:color w:val="auto"/>
        </w:rPr>
      </w:pPr>
      <w:r>
        <w:rPr>
          <w:rFonts w:ascii="Arial" w:cs="Arial" w:eastAsia="Arial" w:hAnsi="Arial"/>
          <w:sz w:val="17"/>
          <w:szCs w:val="17"/>
          <w:color w:val="auto"/>
        </w:rPr>
        <w:t>WHEREAS, pursuant to the Underwriting Agreement, a portion of the Property equal to $8,750,000, or $10,062,500 if the Underwriters’ option to purchase additional units is exercised in full, is attributable to deferred underwriting discounts and commissions that will be payable by the Company to the Underwriters upon the consummation of the Business Combination (as defined below) (the “</w:t>
      </w:r>
      <w:r>
        <w:rPr>
          <w:rFonts w:ascii="Arial" w:cs="Arial" w:eastAsia="Arial" w:hAnsi="Arial"/>
          <w:sz w:val="17"/>
          <w:szCs w:val="17"/>
          <w:b w:val="1"/>
          <w:bCs w:val="1"/>
          <w:i w:val="1"/>
          <w:iCs w:val="1"/>
          <w:color w:val="auto"/>
        </w:rPr>
        <w:t>Deferred Discount</w:t>
      </w:r>
      <w:r>
        <w:rPr>
          <w:rFonts w:ascii="Arial" w:cs="Arial" w:eastAsia="Arial" w:hAnsi="Arial"/>
          <w:sz w:val="17"/>
          <w:szCs w:val="17"/>
          <w:color w:val="auto"/>
        </w:rPr>
        <w:t>”); and</w:t>
      </w:r>
    </w:p>
    <w:p>
      <w:pPr>
        <w:spacing w:after="0" w:line="165"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NOW THEREFORE, IT IS AGREED: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117" w:lineRule="exact"/>
        <w:rPr>
          <w:sz w:val="20"/>
          <w:szCs w:val="20"/>
          <w:color w:val="auto"/>
        </w:rPr>
      </w:pPr>
    </w:p>
    <w:p>
      <w:pPr>
        <w:ind w:left="4" w:right="80" w:hanging="4"/>
        <w:spacing w:after="0" w:line="311" w:lineRule="auto"/>
        <w:tabs>
          <w:tab w:leader="none" w:pos="249" w:val="left"/>
        </w:tabs>
        <w:numPr>
          <w:ilvl w:val="0"/>
          <w:numId w:val="256"/>
        </w:numPr>
        <w:rPr>
          <w:rFonts w:ascii="Arial" w:cs="Arial" w:eastAsia="Arial" w:hAnsi="Arial"/>
          <w:sz w:val="16"/>
          <w:szCs w:val="16"/>
          <w:color w:val="auto"/>
        </w:rPr>
      </w:pPr>
      <w:r>
        <w:rPr>
          <w:rFonts w:ascii="Arial" w:cs="Arial" w:eastAsia="Arial" w:hAnsi="Arial"/>
          <w:sz w:val="16"/>
          <w:szCs w:val="16"/>
          <w:color w:val="auto"/>
        </w:rPr>
        <w:t>Hold the Property in trust for the Beneficiaries in accordance with the terms of this Agreement in the Trust Account established by the Trustee in the United States at J.P. Morgan Chase Bank, N.A. (or at another U.S. chartered commercial bank with consolidated assets of $100 billion or more) in the United States, maintained by Trustee and at a brokerage institution selected by the Trustee that is reasonably satisfactory to the Company;</w:t>
      </w:r>
    </w:p>
    <w:p>
      <w:pPr>
        <w:spacing w:after="0" w:line="40" w:lineRule="exact"/>
        <w:rPr>
          <w:rFonts w:ascii="Arial" w:cs="Arial" w:eastAsia="Arial" w:hAnsi="Arial"/>
          <w:sz w:val="16"/>
          <w:szCs w:val="16"/>
          <w:color w:val="auto"/>
        </w:rPr>
      </w:pPr>
    </w:p>
    <w:p>
      <w:pPr>
        <w:ind w:left="264" w:hanging="264"/>
        <w:spacing w:after="0"/>
        <w:tabs>
          <w:tab w:leader="none" w:pos="26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117" w:lineRule="exact"/>
        <w:rPr>
          <w:rFonts w:ascii="Arial" w:cs="Arial" w:eastAsia="Arial" w:hAnsi="Arial"/>
          <w:sz w:val="18"/>
          <w:szCs w:val="18"/>
          <w:color w:val="auto"/>
        </w:rPr>
      </w:pPr>
    </w:p>
    <w:p>
      <w:pPr>
        <w:ind w:left="4" w:right="60" w:hanging="4"/>
        <w:spacing w:after="0" w:line="273" w:lineRule="auto"/>
        <w:tabs>
          <w:tab w:leader="none" w:pos="249"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In a timely manner, upon the written instruction of the Company, invest and reinvest the Property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the Trustee may not invest in any other securities or assets, it being understood that the Trust Account will earn no interest while account funds are uninvested awaiting the Company’s instructions hereunder and the Trustee may earn bank credits or other consideration;</w:t>
      </w:r>
    </w:p>
    <w:p>
      <w:pPr>
        <w:sectPr>
          <w:pgSz w:w="11900" w:h="16838" w:orient="portrait"/>
          <w:cols w:equalWidth="0" w:num="1">
            <w:col w:w="11024"/>
          </w:cols>
          <w:pgMar w:left="436" w:top="121" w:right="439" w:bottom="1440" w:gutter="0" w:footer="0" w:header="0"/>
        </w:sectPr>
      </w:pPr>
    </w:p>
    <w:bookmarkStart w:id="349" w:name="page350"/>
    <w:bookmarkEnd w:id="349"/>
    <w:p>
      <w:pPr>
        <w:ind w:left="4" w:right="220" w:hanging="4"/>
        <w:spacing w:after="0" w:line="277" w:lineRule="auto"/>
        <w:tabs>
          <w:tab w:leader="none" w:pos="259"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Collect and receive, when due, all principal, interest or other income arising from the Property, which shall become part of the “</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as such term is used herein;</w:t>
      </w:r>
    </w:p>
    <w:p>
      <w:pPr>
        <w:spacing w:after="0" w:line="62" w:lineRule="exact"/>
        <w:rPr>
          <w:rFonts w:ascii="Arial" w:cs="Arial" w:eastAsia="Arial" w:hAnsi="Arial"/>
          <w:sz w:val="18"/>
          <w:szCs w:val="18"/>
          <w:color w:val="auto"/>
        </w:rPr>
      </w:pPr>
    </w:p>
    <w:p>
      <w:pPr>
        <w:ind w:left="4" w:right="180" w:hanging="4"/>
        <w:spacing w:after="0" w:line="277" w:lineRule="auto"/>
        <w:tabs>
          <w:tab w:leader="none" w:pos="24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Promptly notify the Company and the Underwriters of all communications received by the Trustee with respect to any Property requiring action by the Company;</w:t>
      </w:r>
    </w:p>
    <w:p>
      <w:pPr>
        <w:spacing w:after="0" w:line="62" w:lineRule="exact"/>
        <w:rPr>
          <w:rFonts w:ascii="Arial" w:cs="Arial" w:eastAsia="Arial" w:hAnsi="Arial"/>
          <w:sz w:val="18"/>
          <w:szCs w:val="18"/>
          <w:color w:val="auto"/>
        </w:rPr>
      </w:pPr>
    </w:p>
    <w:p>
      <w:pPr>
        <w:ind w:left="4" w:right="220" w:hanging="4"/>
        <w:spacing w:after="0" w:line="277" w:lineRule="auto"/>
        <w:tabs>
          <w:tab w:leader="none" w:pos="22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62" w:lineRule="exact"/>
        <w:rPr>
          <w:rFonts w:ascii="Arial" w:cs="Arial" w:eastAsia="Arial" w:hAnsi="Arial"/>
          <w:sz w:val="18"/>
          <w:szCs w:val="18"/>
          <w:color w:val="auto"/>
        </w:rPr>
      </w:pPr>
    </w:p>
    <w:p>
      <w:pPr>
        <w:ind w:left="4" w:right="440" w:hanging="4"/>
        <w:spacing w:after="0" w:line="277" w:lineRule="auto"/>
        <w:tabs>
          <w:tab w:leader="none" w:pos="25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62" w:lineRule="exact"/>
        <w:rPr>
          <w:rFonts w:ascii="Arial" w:cs="Arial" w:eastAsia="Arial" w:hAnsi="Arial"/>
          <w:sz w:val="18"/>
          <w:szCs w:val="18"/>
          <w:color w:val="auto"/>
        </w:rPr>
      </w:pPr>
    </w:p>
    <w:p>
      <w:pPr>
        <w:ind w:left="4" w:right="160" w:hanging="4"/>
        <w:spacing w:after="0" w:line="277" w:lineRule="auto"/>
        <w:tabs>
          <w:tab w:leader="none" w:pos="25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62" w:lineRule="exact"/>
        <w:rPr>
          <w:rFonts w:ascii="Arial" w:cs="Arial" w:eastAsia="Arial" w:hAnsi="Arial"/>
          <w:sz w:val="18"/>
          <w:szCs w:val="18"/>
          <w:color w:val="auto"/>
        </w:rPr>
      </w:pPr>
    </w:p>
    <w:p>
      <w:pPr>
        <w:ind w:left="4" w:hanging="4"/>
        <w:spacing w:after="0" w:line="268" w:lineRule="auto"/>
        <w:tabs>
          <w:tab w:leader="none" w:pos="219" w:val="left"/>
        </w:tabs>
        <w:numPr>
          <w:ilvl w:val="0"/>
          <w:numId w:val="257"/>
        </w:numPr>
        <w:rPr>
          <w:rFonts w:ascii="Arial" w:cs="Arial" w:eastAsia="Arial" w:hAnsi="Arial"/>
          <w:sz w:val="17"/>
          <w:szCs w:val="17"/>
          <w:color w:val="auto"/>
        </w:rPr>
      </w:pPr>
      <w:r>
        <w:rPr>
          <w:rFonts w:ascii="Arial" w:cs="Arial" w:eastAsia="Arial" w:hAnsi="Arial"/>
          <w:sz w:val="17"/>
          <w:szCs w:val="17"/>
          <w:color w:val="auto"/>
        </w:rPr>
        <w:t>Commence liquidation of the Trust Account only after and promptly after (x) receipt of, and only in accordance with, the terms of a letter from the Company (“</w:t>
      </w:r>
      <w:r>
        <w:rPr>
          <w:rFonts w:ascii="Arial" w:cs="Arial" w:eastAsia="Arial" w:hAnsi="Arial"/>
          <w:sz w:val="17"/>
          <w:szCs w:val="17"/>
          <w:b w:val="1"/>
          <w:bCs w:val="1"/>
          <w:i w:val="1"/>
          <w:iCs w:val="1"/>
          <w:color w:val="auto"/>
        </w:rPr>
        <w:t>Termination Letter</w:t>
      </w:r>
      <w:r>
        <w:rPr>
          <w:rFonts w:ascii="Arial" w:cs="Arial" w:eastAsia="Arial" w:hAnsi="Arial"/>
          <w:sz w:val="17"/>
          <w:szCs w:val="17"/>
          <w:color w:val="auto"/>
        </w:rPr>
        <w:t xml:space="preserve">”) in a form substantially similar to that attached hereto as either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as applicable, signed on behalf of the Company by its Chief Executive Officer, Chief Financial Officer or other authorized officer of the Company, and complete the liquidation of the Trust Account and distribute the Property in the Trust Account, including interest earned on the funds held in the Trust Account and not previously released to us to pay our income taxes (less up to $100,000 of interest to pay dissolution expenses), only as directed in the Termination Letter and the other documents referred to therein, or (y) upon the date which is the later of (1) 24 months after the closing of the Offering, or 30 months from the closing of the offering if if the Company has executed a letter of intent, agreement in principle or definitive agreement for an initial business combination within 24 months from the closing of the offering and (2) such later date as may be approved by the Company’s shareholders in accordance with the Company’s amended and restated memorandum and articles of association,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the Property in the Trust Account, including interest earned on the funds held in the Trust Account and not previously released to the Company to pay its income taxes (less up to $100,000 of interest to pay dissolution expenses), shall be distributed to the Public Shareholders of record as of such date;</w:t>
      </w:r>
    </w:p>
    <w:p>
      <w:pPr>
        <w:spacing w:after="0" w:line="78" w:lineRule="exact"/>
        <w:rPr>
          <w:rFonts w:ascii="Arial" w:cs="Arial" w:eastAsia="Arial" w:hAnsi="Arial"/>
          <w:sz w:val="17"/>
          <w:szCs w:val="17"/>
          <w:color w:val="auto"/>
        </w:rPr>
      </w:pPr>
    </w:p>
    <w:p>
      <w:pPr>
        <w:ind w:left="4" w:hanging="4"/>
        <w:spacing w:after="0" w:line="269" w:lineRule="auto"/>
        <w:tabs>
          <w:tab w:leader="none" w:pos="219"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Upon written request from the Company, which may be given from time to time in a form substantially similar to that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Tax Payment Withdrawal Instruction</w:t>
      </w:r>
      <w:r>
        <w:rPr>
          <w:rFonts w:ascii="Arial" w:cs="Arial" w:eastAsia="Arial" w:hAnsi="Arial"/>
          <w:sz w:val="17"/>
          <w:szCs w:val="17"/>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so long as there is no reduction in the principal amount per share initially deposited in the Trust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there is not sufficient cash in the Trust Account to pay such tax obligation, the Trustee shall liquidate such assets held in the Trust Account as shall be designated by the Company in writing to make such distribution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77" w:lineRule="exact"/>
        <w:rPr>
          <w:rFonts w:ascii="Arial" w:cs="Arial" w:eastAsia="Arial" w:hAnsi="Arial"/>
          <w:sz w:val="17"/>
          <w:szCs w:val="17"/>
          <w:color w:val="auto"/>
        </w:rPr>
      </w:pPr>
    </w:p>
    <w:p>
      <w:pPr>
        <w:ind w:left="4" w:right="20" w:hanging="4"/>
        <w:spacing w:after="0" w:line="259" w:lineRule="auto"/>
        <w:tabs>
          <w:tab w:leader="none" w:pos="25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Upon written request from the Company, which may be given from time to time in a form substantially similar to that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 “</w:t>
      </w:r>
      <w:r>
        <w:rPr>
          <w:rFonts w:ascii="Arial" w:cs="Arial" w:eastAsia="Arial" w:hAnsi="Arial"/>
          <w:sz w:val="18"/>
          <w:szCs w:val="18"/>
          <w:b w:val="1"/>
          <w:bCs w:val="1"/>
          <w:i w:val="1"/>
          <w:iCs w:val="1"/>
          <w:color w:val="auto"/>
        </w:rPr>
        <w:t>Shareholder Redemption Withdrawal Instruction</w:t>
      </w:r>
      <w:r>
        <w:rPr>
          <w:rFonts w:ascii="Arial" w:cs="Arial" w:eastAsia="Arial" w:hAnsi="Arial"/>
          <w:sz w:val="18"/>
          <w:szCs w:val="18"/>
          <w:color w:val="auto"/>
        </w:rPr>
        <w:t>”), the Trustee shall distribute to the remitting brokers on behalf of Public Shareholders redeeming Ordinary Shares the amount required to pay redeemed Ordinary Shares from Public Shareholders pursuant to the Company’s amended and restated memorandum and articles of association; and</w:t>
      </w:r>
    </w:p>
    <w:p>
      <w:pPr>
        <w:spacing w:after="0" w:line="78" w:lineRule="exact"/>
        <w:rPr>
          <w:rFonts w:ascii="Arial" w:cs="Arial" w:eastAsia="Arial" w:hAnsi="Arial"/>
          <w:sz w:val="18"/>
          <w:szCs w:val="18"/>
          <w:color w:val="auto"/>
        </w:rPr>
      </w:pPr>
    </w:p>
    <w:p>
      <w:pPr>
        <w:ind w:left="224" w:hanging="224"/>
        <w:spacing w:after="0"/>
        <w:tabs>
          <w:tab w:leader="none" w:pos="2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Not make any withdrawals or distributions from the Trust Account other than 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above.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117" w:lineRule="exact"/>
        <w:rPr>
          <w:sz w:val="20"/>
          <w:szCs w:val="20"/>
          <w:color w:val="auto"/>
        </w:rPr>
      </w:pPr>
    </w:p>
    <w:p>
      <w:pPr>
        <w:ind w:left="4" w:right="100" w:hanging="4"/>
        <w:spacing w:after="0" w:line="257" w:lineRule="auto"/>
        <w:tabs>
          <w:tab w:leader="none" w:pos="24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Give all instructions to the Trustee hereunder in writing, signed by the Company’s Chief Executive Officer, Chief Financial Officer or other authorized officer of the Company. In addition, except with respect to its duties under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ectPr>
          <w:pgSz w:w="11900" w:h="16838" w:orient="portrait"/>
          <w:cols w:equalWidth="0" w:num="1">
            <w:col w:w="11004"/>
          </w:cols>
          <w:pgMar w:left="436" w:top="274" w:right="459" w:bottom="1440" w:gutter="0" w:footer="0" w:header="0"/>
        </w:sectPr>
      </w:pPr>
    </w:p>
    <w:bookmarkStart w:id="350" w:name="page351"/>
    <w:bookmarkEnd w:id="350"/>
    <w:p>
      <w:pPr>
        <w:ind w:left="4" w:right="60" w:hanging="4"/>
        <w:spacing w:after="0" w:line="288" w:lineRule="auto"/>
        <w:tabs>
          <w:tab w:leader="none" w:pos="259" w:val="left"/>
        </w:tabs>
        <w:numPr>
          <w:ilvl w:val="0"/>
          <w:numId w:val="2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16"/>
          <w:szCs w:val="16"/>
          <w:u w:val="single" w:color="auto"/>
          <w:color w:val="auto"/>
        </w:rPr>
        <w:t>Section 2(b)</w:t>
      </w:r>
      <w:r>
        <w:rPr>
          <w:rFonts w:ascii="Arial" w:cs="Arial" w:eastAsia="Arial" w:hAnsi="Arial"/>
          <w:sz w:val="16"/>
          <w:szCs w:val="16"/>
          <w:color w:val="auto"/>
        </w:rPr>
        <w:t>, it shall notify the Company in writing of such claim (hereinafter referred to as the “</w:t>
      </w:r>
      <w:r>
        <w:rPr>
          <w:rFonts w:ascii="Arial" w:cs="Arial" w:eastAsia="Arial" w:hAnsi="Arial"/>
          <w:sz w:val="16"/>
          <w:szCs w:val="16"/>
          <w:b w:val="1"/>
          <w:bCs w:val="1"/>
          <w:i w:val="1"/>
          <w:iCs w:val="1"/>
          <w:color w:val="auto"/>
        </w:rPr>
        <w:t>Indemnified Claim</w:t>
      </w:r>
      <w:r>
        <w:rPr>
          <w:rFonts w:ascii="Arial" w:cs="Arial" w:eastAsia="Arial" w:hAnsi="Arial"/>
          <w:sz w:val="16"/>
          <w:szCs w:val="16"/>
          <w:color w:val="auto"/>
        </w:rPr>
        <w:t xml:space="preserve">”). The Trustee shall have the right to conduct and manage the defense against such Indemnified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60" w:lineRule="exact"/>
        <w:rPr>
          <w:rFonts w:ascii="Arial" w:cs="Arial" w:eastAsia="Arial" w:hAnsi="Arial"/>
          <w:sz w:val="16"/>
          <w:szCs w:val="16"/>
          <w:color w:val="auto"/>
        </w:rPr>
      </w:pPr>
    </w:p>
    <w:p>
      <w:pPr>
        <w:ind w:left="4" w:right="80" w:hanging="4"/>
        <w:spacing w:after="0" w:line="275" w:lineRule="auto"/>
        <w:tabs>
          <w:tab w:leader="none" w:pos="249"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Pay the Trustee the fees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w:t>
      </w:r>
      <w:r>
        <w:rPr>
          <w:rFonts w:ascii="Arial" w:cs="Arial" w:eastAsia="Arial" w:hAnsi="Arial"/>
          <w:sz w:val="17"/>
          <w:szCs w:val="17"/>
          <w:u w:val="single" w:color="auto"/>
          <w:color w:val="auto"/>
        </w:rPr>
        <w:t>Sections 1(i)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1(k)</w:t>
      </w:r>
      <w:r>
        <w:rPr>
          <w:rFonts w:ascii="Arial" w:cs="Arial" w:eastAsia="Arial" w:hAnsi="Arial"/>
          <w:sz w:val="17"/>
          <w:szCs w:val="17"/>
          <w:color w:val="auto"/>
        </w:rPr>
        <w:t xml:space="preserve"> hereof. The Company shall pay the Trustee the initial acceptance fee and the first annual administration fee at the consummation of the Offering. The Company shall not be responsible for any other fees or charges of the Trustee except as set forth in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and as may be provided in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hereof;</w:t>
      </w:r>
    </w:p>
    <w:p>
      <w:pPr>
        <w:spacing w:after="0" w:line="68" w:lineRule="exact"/>
        <w:rPr>
          <w:rFonts w:ascii="Arial" w:cs="Arial" w:eastAsia="Arial" w:hAnsi="Arial"/>
          <w:sz w:val="17"/>
          <w:szCs w:val="17"/>
          <w:color w:val="auto"/>
        </w:rPr>
      </w:pPr>
    </w:p>
    <w:p>
      <w:pPr>
        <w:jc w:val="both"/>
        <w:ind w:left="4" w:right="120" w:hanging="4"/>
        <w:spacing w:after="0" w:line="311" w:lineRule="auto"/>
        <w:tabs>
          <w:tab w:leader="none" w:pos="259"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In connection with any vote of the Company’s shareholders regarding a merger, share exchange, asset acquisition, share purchase, reorganization or similar business combination involving the Company and one or more businesses (the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provide to the Trustee an affidavit or certificate of the inspector of elections for the shareholder meeting verifying the vote of such shareholders regarding such Business Combination;</w:t>
      </w:r>
    </w:p>
    <w:p>
      <w:pPr>
        <w:spacing w:after="0" w:line="40" w:lineRule="exact"/>
        <w:rPr>
          <w:rFonts w:ascii="Arial" w:cs="Arial" w:eastAsia="Arial" w:hAnsi="Arial"/>
          <w:sz w:val="16"/>
          <w:szCs w:val="16"/>
          <w:color w:val="auto"/>
        </w:rPr>
      </w:pPr>
    </w:p>
    <w:p>
      <w:pPr>
        <w:ind w:left="4" w:right="320" w:hanging="4"/>
        <w:spacing w:after="0" w:line="277" w:lineRule="auto"/>
        <w:tabs>
          <w:tab w:leader="none" w:pos="24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Provide the Underwriters with a copy of any Termination Letter(s) and/or any other correspondence that is sent to the Trustee with respect to any proposed withdrawal from the Trust Account promptly after it issues the same;</w:t>
      </w:r>
    </w:p>
    <w:p>
      <w:pPr>
        <w:spacing w:after="0" w:line="62" w:lineRule="exact"/>
        <w:rPr>
          <w:rFonts w:ascii="Arial" w:cs="Arial" w:eastAsia="Arial" w:hAnsi="Arial"/>
          <w:sz w:val="18"/>
          <w:szCs w:val="18"/>
          <w:color w:val="auto"/>
        </w:rPr>
      </w:pPr>
    </w:p>
    <w:p>
      <w:pPr>
        <w:ind w:left="4" w:right="160" w:hanging="4"/>
        <w:spacing w:after="0" w:line="286" w:lineRule="auto"/>
        <w:tabs>
          <w:tab w:leader="none" w:pos="229"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Unless otherwise agreed between the Company and the Underwriters, ensure that any Instruction Letter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delivered in connection with a Termination Letter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expressly provides that the Deferred Discount is paid directly to the account or accounts directed by the Underwriters prior to any transfer of the funds held in the Trust Account to the Company or any other person;</w:t>
      </w:r>
    </w:p>
    <w:p>
      <w:pPr>
        <w:spacing w:after="0" w:line="57" w:lineRule="exact"/>
        <w:rPr>
          <w:rFonts w:ascii="Arial" w:cs="Arial" w:eastAsia="Arial" w:hAnsi="Arial"/>
          <w:sz w:val="17"/>
          <w:szCs w:val="17"/>
          <w:color w:val="auto"/>
        </w:rPr>
      </w:pPr>
    </w:p>
    <w:p>
      <w:pPr>
        <w:ind w:left="4" w:right="240" w:hanging="4"/>
        <w:spacing w:after="0" w:line="277" w:lineRule="auto"/>
        <w:tabs>
          <w:tab w:leader="none" w:pos="25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Instruct the Trustee to make only those distributions that are permitted under this Agreement, and refrain from instructing the Trustee to make any distributions that are not permitted under this Agreement;</w:t>
      </w:r>
    </w:p>
    <w:p>
      <w:pPr>
        <w:spacing w:after="0" w:line="62" w:lineRule="exact"/>
        <w:rPr>
          <w:rFonts w:ascii="Arial" w:cs="Arial" w:eastAsia="Arial" w:hAnsi="Arial"/>
          <w:sz w:val="18"/>
          <w:szCs w:val="18"/>
          <w:color w:val="auto"/>
        </w:rPr>
      </w:pPr>
    </w:p>
    <w:p>
      <w:pPr>
        <w:ind w:left="4" w:right="60" w:hanging="4"/>
        <w:spacing w:after="0" w:line="293" w:lineRule="auto"/>
        <w:tabs>
          <w:tab w:leader="none" w:pos="259"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If the Company seeks to amend any provisions of its amended and restated memorandum and articles of association (A) to modify the substance or timing of the Company’s obligation to provide holders of the Ordinary Shares the right to have their shares redeemed in connection with the Company’s initial Business Combination or to redeem 100% of the Ordinary Shares if the Company does not complete its initial Business Combination within the time period set forth therein or (B) with respect to any other provision relating to the rights of holders of the Ordinary Shares (in each case, an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the Company will provide the Trustee with a letter (an “</w:t>
      </w:r>
      <w:r>
        <w:rPr>
          <w:rFonts w:ascii="Arial" w:cs="Arial" w:eastAsia="Arial" w:hAnsi="Arial"/>
          <w:sz w:val="16"/>
          <w:szCs w:val="16"/>
          <w:b w:val="1"/>
          <w:bCs w:val="1"/>
          <w:i w:val="1"/>
          <w:iCs w:val="1"/>
          <w:color w:val="auto"/>
        </w:rPr>
        <w:t>Amendment Notification Letter</w:t>
      </w:r>
      <w:r>
        <w:rPr>
          <w:rFonts w:ascii="Arial" w:cs="Arial" w:eastAsia="Arial" w:hAnsi="Arial"/>
          <w:sz w:val="16"/>
          <w:szCs w:val="16"/>
          <w:color w:val="auto"/>
        </w:rPr>
        <w:t xml:space="preserve">”)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providing instructions for the distribution of funds to Public Shareholders who exercise their redemption option in connection with such Amendment; and</w:t>
      </w:r>
    </w:p>
    <w:p>
      <w:pPr>
        <w:spacing w:after="0" w:line="56" w:lineRule="exact"/>
        <w:rPr>
          <w:rFonts w:ascii="Arial" w:cs="Arial" w:eastAsia="Arial" w:hAnsi="Arial"/>
          <w:sz w:val="16"/>
          <w:szCs w:val="16"/>
          <w:color w:val="auto"/>
        </w:rPr>
      </w:pPr>
    </w:p>
    <w:p>
      <w:pPr>
        <w:ind w:left="4" w:right="300" w:hanging="4"/>
        <w:spacing w:after="0" w:line="308" w:lineRule="auto"/>
        <w:tabs>
          <w:tab w:leader="none" w:pos="219" w:val="left"/>
        </w:tabs>
        <w:numPr>
          <w:ilvl w:val="0"/>
          <w:numId w:val="259"/>
        </w:numPr>
        <w:rPr>
          <w:rFonts w:ascii="Arial" w:cs="Arial" w:eastAsia="Arial" w:hAnsi="Arial"/>
          <w:sz w:val="17"/>
          <w:szCs w:val="17"/>
          <w:color w:val="auto"/>
        </w:rPr>
      </w:pPr>
      <w:r>
        <w:rPr>
          <w:rFonts w:ascii="Arial" w:cs="Arial" w:eastAsia="Arial" w:hAnsi="Arial"/>
          <w:sz w:val="17"/>
          <w:szCs w:val="17"/>
          <w:color w:val="auto"/>
        </w:rPr>
        <w:t>Within five (5) business days after the Underwriters exercise their option to purchase additional units (or any unexercised portion thereof) or such option to purchase additional units expires, provide the Trustee with a notice in writing of the total amount of the Deferred Discount.</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117" w:lineRule="exact"/>
        <w:rPr>
          <w:sz w:val="20"/>
          <w:szCs w:val="20"/>
          <w:color w:val="auto"/>
        </w:rPr>
      </w:pPr>
    </w:p>
    <w:p>
      <w:pPr>
        <w:ind w:left="4" w:hanging="4"/>
        <w:spacing w:after="0" w:line="277" w:lineRule="auto"/>
        <w:tabs>
          <w:tab w:leader="none" w:pos="24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ectPr>
          <w:pgSz w:w="11900" w:h="16838" w:orient="portrait"/>
          <w:cols w:equalWidth="0" w:num="1">
            <w:col w:w="11004"/>
          </w:cols>
          <w:pgMar w:left="436" w:top="274" w:right="459" w:bottom="1440" w:gutter="0" w:footer="0" w:header="0"/>
        </w:sectPr>
      </w:pPr>
    </w:p>
    <w:bookmarkStart w:id="351" w:name="page352"/>
    <w:bookmarkEnd w:id="351"/>
    <w:p>
      <w:pPr>
        <w:ind w:left="4" w:right="460" w:hanging="4"/>
        <w:spacing w:after="0" w:line="277" w:lineRule="auto"/>
        <w:tabs>
          <w:tab w:leader="none" w:pos="259" w:val="left"/>
        </w:tabs>
        <w:numPr>
          <w:ilvl w:val="0"/>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Take any action with respect to the Property, other than as directed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and the Trustee shall have no liability to any third party except for liability arising out of the Trustee’s gross negligence, fraud or willful misconduct;</w:t>
      </w:r>
    </w:p>
    <w:p>
      <w:pPr>
        <w:spacing w:after="0" w:line="62" w:lineRule="exact"/>
        <w:rPr>
          <w:rFonts w:ascii="Arial" w:cs="Arial" w:eastAsia="Arial" w:hAnsi="Arial"/>
          <w:sz w:val="18"/>
          <w:szCs w:val="18"/>
          <w:color w:val="auto"/>
        </w:rPr>
      </w:pPr>
    </w:p>
    <w:p>
      <w:pPr>
        <w:ind w:left="4" w:right="20" w:hanging="4"/>
        <w:spacing w:after="0" w:line="263" w:lineRule="auto"/>
        <w:tabs>
          <w:tab w:leader="none" w:pos="24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written instructions from the Company given as provided herein to do so and the Company shall have advanced or guaranteed to it funds sufficient to pay any expenses incident thereto;</w:t>
      </w:r>
    </w:p>
    <w:p>
      <w:pPr>
        <w:spacing w:after="0" w:line="75" w:lineRule="exact"/>
        <w:rPr>
          <w:rFonts w:ascii="Arial" w:cs="Arial" w:eastAsia="Arial" w:hAnsi="Arial"/>
          <w:sz w:val="18"/>
          <w:szCs w:val="18"/>
          <w:color w:val="auto"/>
        </w:rPr>
      </w:pPr>
    </w:p>
    <w:p>
      <w:pPr>
        <w:ind w:left="264" w:hanging="264"/>
        <w:spacing w:after="0"/>
        <w:tabs>
          <w:tab w:leader="none" w:pos="26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Change the investment of any Property, other than in compliance with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244" w:hanging="244"/>
        <w:spacing w:after="0"/>
        <w:tabs>
          <w:tab w:leader="none" w:pos="24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117" w:lineRule="exact"/>
        <w:rPr>
          <w:rFonts w:ascii="Arial" w:cs="Arial" w:eastAsia="Arial" w:hAnsi="Arial"/>
          <w:sz w:val="18"/>
          <w:szCs w:val="18"/>
          <w:color w:val="auto"/>
        </w:rPr>
      </w:pPr>
    </w:p>
    <w:p>
      <w:pPr>
        <w:ind w:left="4" w:right="60" w:hanging="4"/>
        <w:spacing w:after="0" w:line="277" w:lineRule="auto"/>
        <w:tabs>
          <w:tab w:leader="none" w:pos="21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62" w:lineRule="exact"/>
        <w:rPr>
          <w:rFonts w:ascii="Arial" w:cs="Arial" w:eastAsia="Arial" w:hAnsi="Arial"/>
          <w:sz w:val="18"/>
          <w:szCs w:val="18"/>
          <w:color w:val="auto"/>
        </w:rPr>
      </w:pPr>
    </w:p>
    <w:p>
      <w:pPr>
        <w:ind w:left="4" w:right="160" w:hanging="4"/>
        <w:spacing w:after="0" w:line="270" w:lineRule="auto"/>
        <w:tabs>
          <w:tab w:leader="none" w:pos="25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72" w:lineRule="exact"/>
        <w:rPr>
          <w:rFonts w:ascii="Arial" w:cs="Arial" w:eastAsia="Arial" w:hAnsi="Arial"/>
          <w:sz w:val="17"/>
          <w:szCs w:val="17"/>
          <w:color w:val="auto"/>
        </w:rPr>
      </w:pPr>
    </w:p>
    <w:p>
      <w:pPr>
        <w:ind w:left="264" w:hanging="264"/>
        <w:spacing w:after="0"/>
        <w:tabs>
          <w:tab w:leader="none" w:pos="26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Verify the accuracy of the information contained in the Registration Statement;</w:t>
      </w:r>
    </w:p>
    <w:p>
      <w:pPr>
        <w:spacing w:after="0" w:line="117" w:lineRule="exact"/>
        <w:rPr>
          <w:rFonts w:ascii="Arial" w:cs="Arial" w:eastAsia="Arial" w:hAnsi="Arial"/>
          <w:sz w:val="18"/>
          <w:szCs w:val="18"/>
          <w:color w:val="auto"/>
        </w:rPr>
      </w:pPr>
    </w:p>
    <w:p>
      <w:pPr>
        <w:ind w:left="4" w:right="100" w:hanging="4"/>
        <w:spacing w:after="0" w:line="277" w:lineRule="auto"/>
        <w:tabs>
          <w:tab w:leader="none" w:pos="21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62" w:lineRule="exact"/>
        <w:rPr>
          <w:rFonts w:ascii="Arial" w:cs="Arial" w:eastAsia="Arial" w:hAnsi="Arial"/>
          <w:sz w:val="18"/>
          <w:szCs w:val="18"/>
          <w:color w:val="auto"/>
        </w:rPr>
      </w:pPr>
    </w:p>
    <w:p>
      <w:pPr>
        <w:ind w:left="4" w:right="240" w:hanging="4"/>
        <w:spacing w:after="0" w:line="308" w:lineRule="auto"/>
        <w:tabs>
          <w:tab w:leader="none" w:pos="21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38" w:lineRule="exact"/>
        <w:rPr>
          <w:rFonts w:ascii="Arial" w:cs="Arial" w:eastAsia="Arial" w:hAnsi="Arial"/>
          <w:sz w:val="17"/>
          <w:szCs w:val="17"/>
          <w:color w:val="auto"/>
        </w:rPr>
      </w:pPr>
    </w:p>
    <w:p>
      <w:pPr>
        <w:ind w:left="4" w:right="220" w:hanging="4"/>
        <w:spacing w:after="0" w:line="263" w:lineRule="auto"/>
        <w:tabs>
          <w:tab w:leader="none" w:pos="25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income tax obligations, except 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hereof; or</w:t>
      </w:r>
    </w:p>
    <w:p>
      <w:pPr>
        <w:spacing w:after="0" w:line="75" w:lineRule="exact"/>
        <w:rPr>
          <w:rFonts w:ascii="Arial" w:cs="Arial" w:eastAsia="Arial" w:hAnsi="Arial"/>
          <w:sz w:val="18"/>
          <w:szCs w:val="18"/>
          <w:color w:val="auto"/>
        </w:rPr>
      </w:pPr>
    </w:p>
    <w:p>
      <w:pPr>
        <w:ind w:left="224" w:hanging="224"/>
        <w:spacing w:after="0"/>
        <w:tabs>
          <w:tab w:leader="none" w:pos="224"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Verify calculations, qualify or otherwise approve the Company’s written requests for distributions pursuant to </w:t>
      </w:r>
      <w:r>
        <w:rPr>
          <w:rFonts w:ascii="Arial" w:cs="Arial" w:eastAsia="Arial" w:hAnsi="Arial"/>
          <w:sz w:val="17"/>
          <w:szCs w:val="17"/>
          <w:u w:val="single" w:color="auto"/>
          <w:color w:val="auto"/>
        </w:rPr>
        <w:t>Sections 1(i)</w:t>
      </w:r>
      <w:r>
        <w:rPr>
          <w:rFonts w:ascii="Arial" w:cs="Arial" w:eastAsia="Arial" w:hAnsi="Arial"/>
          <w:sz w:val="17"/>
          <w:szCs w:val="17"/>
          <w:color w:val="auto"/>
        </w:rPr>
        <w:t xml:space="preserve">, </w:t>
      </w:r>
      <w:r>
        <w:rPr>
          <w:rFonts w:ascii="Arial" w:cs="Arial" w:eastAsia="Arial" w:hAnsi="Arial"/>
          <w:sz w:val="17"/>
          <w:szCs w:val="17"/>
          <w:u w:val="single" w:color="auto"/>
          <w:color w:val="auto"/>
        </w:rPr>
        <w:t>1(j)</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1(k)</w:t>
      </w:r>
      <w:r>
        <w:rPr>
          <w:rFonts w:ascii="Arial" w:cs="Arial" w:eastAsia="Arial" w:hAnsi="Arial"/>
          <w:sz w:val="17"/>
          <w:szCs w:val="17"/>
          <w:color w:val="auto"/>
        </w:rPr>
        <w:t xml:space="preserve"> hereof.</w:t>
      </w:r>
    </w:p>
    <w:p>
      <w:pPr>
        <w:spacing w:after="0" w:line="129" w:lineRule="exact"/>
        <w:rPr>
          <w:sz w:val="20"/>
          <w:szCs w:val="20"/>
          <w:color w:val="auto"/>
        </w:rPr>
      </w:pPr>
    </w:p>
    <w:p>
      <w:pPr>
        <w:ind w:left="4" w:right="140" w:hanging="4"/>
        <w:spacing w:after="0" w:line="257" w:lineRule="auto"/>
        <w:tabs>
          <w:tab w:leader="none" w:pos="184"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hereof, the Trustee shall pursue such Claim solely against the Company and its assets outside the Trust Account and not against the Property or any monies in the Trust Account.</w:t>
      </w:r>
    </w:p>
    <w:p>
      <w:pPr>
        <w:spacing w:after="0" w:line="79" w:lineRule="exact"/>
        <w:rPr>
          <w:rFonts w:ascii="Arial" w:cs="Arial" w:eastAsia="Arial" w:hAnsi="Arial"/>
          <w:sz w:val="18"/>
          <w:szCs w:val="18"/>
          <w:color w:val="auto"/>
        </w:rPr>
      </w:pPr>
    </w:p>
    <w:p>
      <w:pPr>
        <w:ind w:left="184" w:hanging="184"/>
        <w:spacing w:after="0"/>
        <w:tabs>
          <w:tab w:leader="none" w:pos="184"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117" w:lineRule="exact"/>
        <w:rPr>
          <w:sz w:val="20"/>
          <w:szCs w:val="20"/>
          <w:color w:val="auto"/>
        </w:rPr>
      </w:pPr>
    </w:p>
    <w:p>
      <w:pPr>
        <w:ind w:left="4" w:hanging="4"/>
        <w:spacing w:after="0" w:line="271" w:lineRule="auto"/>
        <w:tabs>
          <w:tab w:leader="none" w:pos="249"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ectPr>
          <w:pgSz w:w="11900" w:h="16838" w:orient="portrait"/>
          <w:cols w:equalWidth="0" w:num="1">
            <w:col w:w="11004"/>
          </w:cols>
          <w:pgMar w:left="436" w:top="274" w:right="459" w:bottom="1440" w:gutter="0" w:footer="0" w:header="0"/>
        </w:sectPr>
      </w:pPr>
    </w:p>
    <w:bookmarkStart w:id="352" w:name="page353"/>
    <w:bookmarkEnd w:id="352"/>
    <w:p>
      <w:pPr>
        <w:ind w:left="4" w:right="60" w:hanging="4"/>
        <w:spacing w:after="0" w:line="263" w:lineRule="auto"/>
        <w:tabs>
          <w:tab w:leader="none" w:pos="259" w:val="left"/>
        </w:tabs>
        <w:numPr>
          <w:ilvl w:val="0"/>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At such time that the Trustee has completed the liquidation of the Trust Account and its obligations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76" w:lineRule="exact"/>
        <w:rPr>
          <w:sz w:val="20"/>
          <w:szCs w:val="20"/>
          <w:color w:val="auto"/>
        </w:rPr>
      </w:pPr>
    </w:p>
    <w:p>
      <w:pPr>
        <w:ind w:left="184" w:hanging="184"/>
        <w:spacing w:after="0"/>
        <w:tabs>
          <w:tab w:leader="none" w:pos="184"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4" w:hanging="4"/>
        <w:spacing w:after="0" w:line="272" w:lineRule="auto"/>
        <w:tabs>
          <w:tab w:leader="none" w:pos="249"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69" w:lineRule="exact"/>
        <w:rPr>
          <w:rFonts w:ascii="Arial" w:cs="Arial" w:eastAsia="Arial" w:hAnsi="Arial"/>
          <w:sz w:val="17"/>
          <w:szCs w:val="17"/>
          <w:color w:val="auto"/>
        </w:rPr>
      </w:pPr>
    </w:p>
    <w:p>
      <w:pPr>
        <w:ind w:left="4" w:hanging="4"/>
        <w:spacing w:after="0" w:line="286" w:lineRule="auto"/>
        <w:tabs>
          <w:tab w:leader="none" w:pos="259"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giving effect to conflicts of law principles that would result in the application of the substantive laws of another jurisdiction. This Agreement may be executed in several original or facsimile counterparts, each one of which shall constitute an original, and together shall constitute but one instrument.</w:t>
      </w:r>
    </w:p>
    <w:p>
      <w:pPr>
        <w:spacing w:after="0" w:line="57" w:lineRule="exact"/>
        <w:rPr>
          <w:rFonts w:ascii="Arial" w:cs="Arial" w:eastAsia="Arial" w:hAnsi="Arial"/>
          <w:sz w:val="17"/>
          <w:szCs w:val="17"/>
          <w:color w:val="auto"/>
        </w:rPr>
      </w:pPr>
    </w:p>
    <w:p>
      <w:pPr>
        <w:ind w:left="244" w:hanging="244"/>
        <w:spacing w:after="0"/>
        <w:tabs>
          <w:tab w:leader="none" w:pos="244"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This Agreement contains the entire agreement and understanding of the parties hereto with respect to the subject matter hereof. Except for</w:t>
      </w:r>
    </w:p>
    <w:p>
      <w:pPr>
        <w:spacing w:after="0" w:line="35" w:lineRule="exact"/>
        <w:rPr>
          <w:sz w:val="20"/>
          <w:szCs w:val="20"/>
          <w:color w:val="auto"/>
        </w:rPr>
      </w:pPr>
    </w:p>
    <w:p>
      <w:pPr>
        <w:ind w:left="4"/>
        <w:spacing w:after="0" w:line="251" w:lineRule="auto"/>
        <w:rPr>
          <w:sz w:val="20"/>
          <w:szCs w:val="20"/>
          <w:color w:val="auto"/>
        </w:rPr>
      </w:pP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1(k)</w:t>
      </w:r>
      <w:r>
        <w:rPr>
          <w:rFonts w:ascii="Arial" w:cs="Arial" w:eastAsia="Arial" w:hAnsi="Arial"/>
          <w:sz w:val="18"/>
          <w:szCs w:val="18"/>
          <w:color w:val="auto"/>
        </w:rPr>
        <w:t xml:space="preserve"> hereof (which sections may not be modified, amended or deleted without the affirmative vote of sixty-five percent (65%) of the then outstanding Ordinary Shares and Class B ordinary shares, par value $0.0001 per share, of the Company, voting together as a single class;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such amendment will affect any Public Shareholder who has properly elected to redeem his or her Ordinary Shares in connection with a shareholder vote to amend this Agreement to modify the substance or timing of the Company’s obligation to provide for the redemption of the Public Shares in connection with an initial Business Combination or an Amendment or to redeem 100% of its Ordinary Shares if the Company does not complete its initial Business Combination within the time frame specified in the Company’s amended and restated memorandum and articles of association), this Agreement or any provision hereof may only be changed, amended or modified (other than to correct a typographical error) by a writing signed by each of the parties hereto.</w:t>
      </w:r>
    </w:p>
    <w:p>
      <w:pPr>
        <w:spacing w:after="0" w:line="90" w:lineRule="exact"/>
        <w:rPr>
          <w:sz w:val="20"/>
          <w:szCs w:val="20"/>
          <w:color w:val="auto"/>
        </w:rPr>
      </w:pPr>
    </w:p>
    <w:p>
      <w:pPr>
        <w:ind w:left="4" w:right="280" w:hanging="4"/>
        <w:spacing w:after="0" w:line="263" w:lineRule="auto"/>
        <w:tabs>
          <w:tab w:leader="none" w:pos="25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75" w:lineRule="exact"/>
        <w:rPr>
          <w:rFonts w:ascii="Arial" w:cs="Arial" w:eastAsia="Arial" w:hAnsi="Arial"/>
          <w:sz w:val="18"/>
          <w:szCs w:val="18"/>
          <w:color w:val="auto"/>
        </w:rPr>
      </w:pPr>
    </w:p>
    <w:p>
      <w:pPr>
        <w:ind w:left="4" w:right="200" w:hanging="4"/>
        <w:spacing w:after="0" w:line="308" w:lineRule="auto"/>
        <w:tabs>
          <w:tab w:leader="none" w:pos="249"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the Trustee, 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Francis E. Wolf, Jr. &amp; Celeste Gonzalez</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fwolf@continentalstock.com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cgonzalez@continentalstock.com</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ArcLight Clean Transition Corp. II</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Boston, MA 02116</w:t>
      </w:r>
    </w:p>
    <w:p>
      <w:pPr>
        <w:sectPr>
          <w:pgSz w:w="11900" w:h="16838" w:orient="portrait"/>
          <w:cols w:equalWidth="0" w:num="1">
            <w:col w:w="11004"/>
          </w:cols>
          <w:pgMar w:left="436" w:top="274" w:right="459" w:bottom="1440" w:gutter="0" w:footer="0" w:header="0"/>
        </w:sectPr>
      </w:pPr>
    </w:p>
    <w:bookmarkStart w:id="353" w:name="page354"/>
    <w:bookmarkEnd w:id="35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Attn: Jake Erhard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jerhard@arclightcapital.com</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each case, with copies 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Christian O. Nagler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James S. Rowe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cnagler@kirkland.com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james.rowe@kirkland.com</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Aaron Bloch</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aaron.bloch@citi.com</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745 7th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Emily Markham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Emily. markham@barclays.com</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Joel L. Rubinstein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joel.rubinstein@whitecase.com</w:t>
      </w:r>
    </w:p>
    <w:p>
      <w:pPr>
        <w:spacing w:after="0" w:line="103" w:lineRule="exact"/>
        <w:rPr>
          <w:sz w:val="20"/>
          <w:szCs w:val="20"/>
          <w:color w:val="auto"/>
        </w:rPr>
      </w:pPr>
    </w:p>
    <w:p>
      <w:pPr>
        <w:ind w:left="4" w:hanging="4"/>
        <w:spacing w:after="0" w:line="311" w:lineRule="auto"/>
        <w:tabs>
          <w:tab w:leader="none" w:pos="22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40" w:lineRule="exact"/>
        <w:rPr>
          <w:rFonts w:ascii="Arial" w:cs="Arial" w:eastAsia="Arial" w:hAnsi="Arial"/>
          <w:sz w:val="16"/>
          <w:szCs w:val="16"/>
          <w:color w:val="auto"/>
        </w:rPr>
      </w:pPr>
    </w:p>
    <w:p>
      <w:pPr>
        <w:ind w:left="4" w:right="680" w:hanging="4"/>
        <w:spacing w:after="0" w:line="277" w:lineRule="auto"/>
        <w:tabs>
          <w:tab w:leader="none" w:pos="25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62" w:lineRule="exact"/>
        <w:rPr>
          <w:rFonts w:ascii="Arial" w:cs="Arial" w:eastAsia="Arial" w:hAnsi="Arial"/>
          <w:sz w:val="18"/>
          <w:szCs w:val="18"/>
          <w:color w:val="auto"/>
        </w:rPr>
      </w:pPr>
    </w:p>
    <w:p>
      <w:pPr>
        <w:ind w:left="4" w:right="300" w:hanging="4"/>
        <w:spacing w:after="0" w:line="263" w:lineRule="auto"/>
        <w:tabs>
          <w:tab w:leader="none" w:pos="25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75" w:lineRule="exact"/>
        <w:rPr>
          <w:rFonts w:ascii="Arial" w:cs="Arial" w:eastAsia="Arial" w:hAnsi="Arial"/>
          <w:sz w:val="18"/>
          <w:szCs w:val="18"/>
          <w:color w:val="auto"/>
        </w:rPr>
      </w:pPr>
    </w:p>
    <w:p>
      <w:pPr>
        <w:ind w:left="4" w:right="760" w:hanging="4"/>
        <w:spacing w:after="0" w:line="277" w:lineRule="auto"/>
        <w:tabs>
          <w:tab w:leader="none" w:pos="21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acknowledges and agrees that the Underwriters on behalf of the Underwriters is a third-party beneficiary of this Agreement.</w:t>
      </w:r>
    </w:p>
    <w:p>
      <w:pPr>
        <w:spacing w:after="0" w:line="62" w:lineRule="exact"/>
        <w:rPr>
          <w:rFonts w:ascii="Arial" w:cs="Arial" w:eastAsia="Arial" w:hAnsi="Arial"/>
          <w:sz w:val="18"/>
          <w:szCs w:val="18"/>
          <w:color w:val="auto"/>
        </w:rPr>
      </w:pPr>
    </w:p>
    <w:p>
      <w:pPr>
        <w:ind w:left="224" w:hanging="224"/>
        <w:spacing w:after="0"/>
        <w:tabs>
          <w:tab w:leader="none" w:pos="224" w:val="left"/>
        </w:tabs>
        <w:numPr>
          <w:ilvl w:val="0"/>
          <w:numId w:val="268"/>
        </w:numPr>
        <w:rPr>
          <w:rFonts w:ascii="Arial" w:cs="Arial" w:eastAsia="Arial" w:hAnsi="Arial"/>
          <w:sz w:val="17"/>
          <w:szCs w:val="17"/>
          <w:color w:val="auto"/>
        </w:rPr>
      </w:pPr>
      <w:r>
        <w:rPr>
          <w:rFonts w:ascii="Arial" w:cs="Arial" w:eastAsia="Arial" w:hAnsi="Arial"/>
          <w:sz w:val="17"/>
          <w:szCs w:val="17"/>
          <w:color w:val="auto"/>
        </w:rPr>
        <w:t>Except as specified herein, no party to this Agreement may assign its rights or delegate its obligations hereunder to any other person or entity.</w:t>
      </w:r>
    </w:p>
    <w:p>
      <w:pPr>
        <w:spacing w:after="0" w:line="12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44"/>
          </w:cols>
          <w:pgMar w:left="436" w:top="274" w:right="519" w:bottom="1440" w:gutter="0" w:footer="0" w:header="0"/>
        </w:sectPr>
      </w:pPr>
    </w:p>
    <w:bookmarkStart w:id="354" w:name="page355"/>
    <w:bookmarkEnd w:id="35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7"/>
          <w:szCs w:val="17"/>
          <w:color w:val="auto"/>
        </w:rPr>
        <w:t>, the parties have duly executed this Investment Management Trust Agreement as of the date first written above.</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CONTINENTAL STOCK TRANSFER &amp; TRUST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Francis Wolf</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Investment Management Trust Agreement</w:t>
      </w:r>
      <w:r>
        <w:rPr>
          <w:rFonts w:ascii="Arial" w:cs="Arial" w:eastAsia="Arial" w:hAnsi="Arial"/>
          <w:sz w:val="18"/>
          <w:szCs w:val="18"/>
          <w:color w:val="auto"/>
        </w:rPr>
        <w:t>]</w:t>
      </w:r>
    </w:p>
    <w:p>
      <w:pPr>
        <w:sectPr>
          <w:pgSz w:w="11900" w:h="16838" w:orient="portrait"/>
          <w:cols w:equalWidth="0" w:num="1">
            <w:col w:w="10460"/>
          </w:cols>
          <w:pgMar w:left="440" w:top="270" w:right="999" w:bottom="1440" w:gutter="0" w:footer="0" w:header="0"/>
        </w:sectPr>
      </w:pPr>
    </w:p>
    <w:bookmarkStart w:id="355" w:name="page356"/>
    <w:bookmarkEnd w:id="35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Fee Item</w:t>
            </w:r>
          </w:p>
        </w:tc>
        <w:tc>
          <w:tcPr>
            <w:tcW w:w="4660" w:type="dxa"/>
            <w:vAlign w:val="bottom"/>
          </w:tcPr>
          <w:p>
            <w:pPr>
              <w:spacing w:after="0"/>
              <w:rPr>
                <w:sz w:val="16"/>
                <w:szCs w:val="16"/>
                <w:color w:val="auto"/>
              </w:rPr>
            </w:pPr>
          </w:p>
        </w:tc>
        <w:tc>
          <w:tcPr>
            <w:tcW w:w="4920" w:type="dxa"/>
            <w:vAlign w:val="bottom"/>
            <w:gridSpan w:val="2"/>
          </w:tcPr>
          <w:p>
            <w:pPr>
              <w:ind w:left="1500"/>
              <w:spacing w:after="0"/>
              <w:rPr>
                <w:sz w:val="20"/>
                <w:szCs w:val="20"/>
                <w:color w:val="auto"/>
              </w:rPr>
            </w:pPr>
            <w:r>
              <w:rPr>
                <w:rFonts w:ascii="Arial" w:cs="Arial" w:eastAsia="Arial" w:hAnsi="Arial"/>
                <w:sz w:val="14"/>
                <w:szCs w:val="14"/>
                <w:b w:val="1"/>
                <w:bCs w:val="1"/>
                <w:color w:val="auto"/>
              </w:rPr>
              <w:t>Time and method of payment</w:t>
            </w:r>
          </w:p>
        </w:tc>
        <w:tc>
          <w:tcPr>
            <w:tcW w:w="10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Initial acceptance fee</w:t>
            </w:r>
          </w:p>
        </w:tc>
        <w:tc>
          <w:tcPr>
            <w:tcW w:w="48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Initial closing of IPO by wire transfer</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5200" w:type="dxa"/>
            <w:vAlign w:val="bottom"/>
            <w:gridSpan w:val="2"/>
          </w:tcPr>
          <w:p>
            <w:pPr>
              <w:spacing w:after="0" w:line="201" w:lineRule="exact"/>
              <w:rPr>
                <w:sz w:val="20"/>
                <w:szCs w:val="20"/>
                <w:color w:val="auto"/>
              </w:rPr>
            </w:pPr>
            <w:r>
              <w:rPr>
                <w:rFonts w:ascii="Arial" w:cs="Arial" w:eastAsia="Arial" w:hAnsi="Arial"/>
                <w:sz w:val="18"/>
                <w:szCs w:val="18"/>
                <w:color w:val="auto"/>
              </w:rPr>
              <w:t>Annual fee</w:t>
            </w:r>
          </w:p>
        </w:tc>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w w:val="95"/>
              </w:rPr>
              <w:t>First year, initial closing of IPO by wire transfer; thereafter on the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6"/>
              </w:rPr>
              <w:t>anniversary of the effective date of the IPO by wire transfer or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check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10,000.00</w:t>
            </w:r>
          </w:p>
        </w:tc>
      </w:tr>
      <w:tr>
        <w:trPr>
          <w:trHeight w:val="202"/>
        </w:trPr>
        <w:tc>
          <w:tcPr>
            <w:tcW w:w="5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Transaction processing fee for disbursements to Company under</w:t>
            </w:r>
          </w:p>
        </w:tc>
        <w:tc>
          <w:tcPr>
            <w:tcW w:w="4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Sections 1(i), (j), and (k)</w:t>
            </w: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Billed by Trustee to Company under Section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r>
      <w:tr>
        <w:trPr>
          <w:trHeight w:val="202"/>
        </w:trPr>
        <w:tc>
          <w:tcPr>
            <w:tcW w:w="5200" w:type="dxa"/>
            <w:vAlign w:val="bottom"/>
            <w:gridSpan w:val="2"/>
          </w:tcPr>
          <w:p>
            <w:pPr>
              <w:spacing w:after="0" w:line="201" w:lineRule="exact"/>
              <w:rPr>
                <w:sz w:val="20"/>
                <w:szCs w:val="20"/>
                <w:color w:val="auto"/>
              </w:rPr>
            </w:pPr>
            <w:r>
              <w:rPr>
                <w:rFonts w:ascii="Arial" w:cs="Arial" w:eastAsia="Arial" w:hAnsi="Arial"/>
                <w:sz w:val="18"/>
                <w:szCs w:val="18"/>
                <w:color w:val="auto"/>
                <w:w w:val="96"/>
              </w:rPr>
              <w:t>Paying Agent services as required pursuant to Section 1(i) and 1(k)</w:t>
            </w:r>
          </w:p>
        </w:tc>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Billed to Company upon delivery of service pursuant to</w:t>
            </w:r>
          </w:p>
        </w:tc>
        <w:tc>
          <w:tcPr>
            <w:tcW w:w="100" w:type="dxa"/>
            <w:vAlign w:val="bottom"/>
          </w:tcPr>
          <w:p>
            <w:pPr>
              <w:spacing w:after="0"/>
              <w:rPr>
                <w:sz w:val="17"/>
                <w:szCs w:val="17"/>
                <w:color w:val="auto"/>
              </w:rPr>
            </w:pPr>
          </w:p>
        </w:tc>
        <w:tc>
          <w:tcPr>
            <w:tcW w:w="80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3"/>
              </w:rPr>
              <w:t>Prevailing</w:t>
            </w:r>
          </w:p>
        </w:tc>
      </w:tr>
      <w:tr>
        <w:trPr>
          <w:trHeight w:val="230"/>
        </w:trPr>
        <w:tc>
          <w:tcPr>
            <w:tcW w:w="5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Section 1(i) and 1(k)</w:t>
            </w:r>
          </w:p>
        </w:tc>
        <w:tc>
          <w:tcPr>
            <w:tcW w:w="100" w:type="dxa"/>
            <w:vAlign w:val="bottom"/>
          </w:tcPr>
          <w:p>
            <w:pPr>
              <w:spacing w:after="0"/>
              <w:rPr>
                <w:sz w:val="20"/>
                <w:szCs w:val="20"/>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rates</w:t>
            </w:r>
          </w:p>
        </w:tc>
      </w:tr>
    </w:tbl>
    <w:p>
      <w:pPr>
        <w:sectPr>
          <w:pgSz w:w="11900" w:h="16838" w:orient="portrait"/>
          <w:cols w:equalWidth="0" w:num="1">
            <w:col w:w="11020"/>
          </w:cols>
          <w:pgMar w:left="440" w:top="270" w:right="439" w:bottom="1440" w:gutter="0" w:footer="0" w:header="0"/>
        </w:sectPr>
      </w:pPr>
    </w:p>
    <w:bookmarkStart w:id="356" w:name="page357"/>
    <w:bookmarkEnd w:id="35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Francis Wolf &amp; Celeste Gonzalez</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Termination Letter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Mr. Wolf and Ms. Gonzalez:</w:t>
      </w:r>
    </w:p>
    <w:p>
      <w:pPr>
        <w:spacing w:after="0" w:line="117"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the Investment Management Trust Agreement between ArcLight Clean Transition Corp. II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 2021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this is to advise you that the Company has entered into an agreement with ___________ (the “</w:t>
      </w:r>
      <w:r>
        <w:rPr>
          <w:rFonts w:ascii="Arial" w:cs="Arial" w:eastAsia="Arial" w:hAnsi="Arial"/>
          <w:sz w:val="16"/>
          <w:szCs w:val="16"/>
          <w:b w:val="1"/>
          <w:bCs w:val="1"/>
          <w:i w:val="1"/>
          <w:iCs w:val="1"/>
          <w:color w:val="auto"/>
        </w:rPr>
        <w:t>Target Business</w:t>
      </w:r>
      <w:r>
        <w:rPr>
          <w:rFonts w:ascii="Arial" w:cs="Arial" w:eastAsia="Arial" w:hAnsi="Arial"/>
          <w:sz w:val="16"/>
          <w:szCs w:val="16"/>
          <w:color w:val="auto"/>
        </w:rPr>
        <w:t>”) to consummate a business combination with Target Business (the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on or</w:t>
      </w:r>
    </w:p>
    <w:p>
      <w:pPr>
        <w:spacing w:after="0" w:line="2"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 xml:space="preserve">about </w:t>
      </w:r>
      <w:r>
        <w:rPr>
          <w:rFonts w:ascii="Arial" w:cs="Arial" w:eastAsia="Arial" w:hAnsi="Arial"/>
          <w:sz w:val="18"/>
          <w:szCs w:val="18"/>
          <w:b w:val="1"/>
          <w:bCs w:val="1"/>
          <w:color w:val="auto"/>
        </w:rPr>
        <w:t>[insert date]</w:t>
      </w:r>
      <w:r>
        <w:rPr>
          <w:rFonts w:ascii="Arial" w:cs="Arial" w:eastAsia="Arial" w:hAnsi="Arial"/>
          <w:sz w:val="18"/>
          <w:szCs w:val="18"/>
          <w:color w:val="auto"/>
        </w:rPr>
        <w:t>. The Company shall notify you at least seventy-two (72) hours in advance of the actual date (or such shorter time period as you may agree) of the consummation of the Business Combination (the “</w:t>
      </w:r>
      <w:r>
        <w:rPr>
          <w:rFonts w:ascii="Arial" w:cs="Arial" w:eastAsia="Arial" w:hAnsi="Arial"/>
          <w:sz w:val="18"/>
          <w:szCs w:val="18"/>
          <w:b w:val="1"/>
          <w:bCs w:val="1"/>
          <w:i w:val="1"/>
          <w:iCs w:val="1"/>
          <w:color w:val="auto"/>
        </w:rPr>
        <w:t>Consummation Date</w:t>
      </w:r>
      <w:r>
        <w:rPr>
          <w:rFonts w:ascii="Arial" w:cs="Arial" w:eastAsia="Arial" w:hAnsi="Arial"/>
          <w:sz w:val="18"/>
          <w:szCs w:val="18"/>
          <w:color w:val="auto"/>
        </w:rPr>
        <w:t>”). Capitalized terms used but not defined herein shall have the meanings set forth in the Trust Agreement.</w:t>
      </w:r>
    </w:p>
    <w:p>
      <w:pPr>
        <w:spacing w:after="0" w:line="190" w:lineRule="exact"/>
        <w:rPr>
          <w:sz w:val="20"/>
          <w:szCs w:val="20"/>
          <w:color w:val="auto"/>
        </w:rPr>
      </w:pPr>
    </w:p>
    <w:p>
      <w:pPr>
        <w:ind w:left="4" w:right="40"/>
        <w:spacing w:after="0" w:line="296" w:lineRule="auto"/>
        <w:rPr>
          <w:sz w:val="20"/>
          <w:szCs w:val="20"/>
          <w:color w:val="auto"/>
        </w:rPr>
      </w:pPr>
      <w:r>
        <w:rPr>
          <w:rFonts w:ascii="Arial" w:cs="Arial" w:eastAsia="Arial" w:hAnsi="Arial"/>
          <w:sz w:val="16"/>
          <w:szCs w:val="16"/>
          <w:color w:val="auto"/>
        </w:rPr>
        <w:t>In accordance with the terms of the Trust Agreement, we hereby authorize you to commence to liquidate all of the assets of the Trust Account, and to transfer the proceeds into the trust operating account at J.P. Morgan Chase Bank N.A. to the effect that, on the Consummation Date, all of the funds held in the Trust Account will be immediately available for transfer to the account or accounts that the Underwriters (with respect to the Deferred Discount) and the Company shall direct on the Consummation Date. It is acknowledged and agreed that while the funds are on deposit in said trust operating account at J.P. Morgan Chase Bank, N.A. awaiting distribution, neither the Company nor the Underwriters will earn any interest or dividends.</w:t>
      </w:r>
    </w:p>
    <w:p>
      <w:pPr>
        <w:spacing w:after="0" w:line="161"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On the Consummation Date (i) counsel for the Company shall deliver to you written notification that the Business Combination has been consummated, or will be consummated substantially concurrently with your transfer of funds to the accounts as directed by the Company (the “</w:t>
      </w:r>
      <w:r>
        <w:rPr>
          <w:rFonts w:ascii="Arial" w:cs="Arial" w:eastAsia="Arial" w:hAnsi="Arial"/>
          <w:sz w:val="16"/>
          <w:szCs w:val="16"/>
          <w:b w:val="1"/>
          <w:bCs w:val="1"/>
          <w:i w:val="1"/>
          <w:iCs w:val="1"/>
          <w:color w:val="auto"/>
        </w:rPr>
        <w:t>Notification</w:t>
      </w:r>
      <w:r>
        <w:rPr>
          <w:rFonts w:ascii="Arial" w:cs="Arial" w:eastAsia="Arial" w:hAnsi="Arial"/>
          <w:sz w:val="16"/>
          <w:szCs w:val="16"/>
          <w:color w:val="auto"/>
        </w:rPr>
        <w:t>”), and</w:t>
      </w:r>
    </w:p>
    <w:p>
      <w:pPr>
        <w:ind w:left="4" w:right="60" w:hanging="4"/>
        <w:spacing w:after="0" w:line="268" w:lineRule="auto"/>
        <w:tabs>
          <w:tab w:leader="none" w:pos="269"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Company shall deliver to you (a) a certificate of the Chief Executive Officer, Chief Financial Officer or other authorized officer of the Company, which verifies that the Business Combination has been approved by a vote of the Company’s shareholders, if a vote is held and (b) joint written instruction signed by the Company and the Underwriters with respect to the transfer of the funds held in the Trust Account, including payment of the Deferred Discount from the Trust Account (the “</w:t>
      </w:r>
      <w:r>
        <w:rPr>
          <w:rFonts w:ascii="Arial" w:cs="Arial" w:eastAsia="Arial" w:hAnsi="Arial"/>
          <w:sz w:val="17"/>
          <w:szCs w:val="17"/>
          <w:b w:val="1"/>
          <w:bCs w:val="1"/>
          <w:i w:val="1"/>
          <w:iCs w:val="1"/>
          <w:color w:val="auto"/>
        </w:rPr>
        <w:t>Instruction Letter</w:t>
      </w:r>
      <w:r>
        <w:rPr>
          <w:rFonts w:ascii="Arial" w:cs="Arial" w:eastAsia="Arial" w:hAnsi="Arial"/>
          <w:sz w:val="17"/>
          <w:szCs w:val="17"/>
          <w:color w:val="auto"/>
        </w:rPr>
        <w:t>”).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18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Section 1(c) of the Trust Agreement on the business day immediately following the Consummation Date as set forth in such notice as soon thereafter as possible.</w:t>
      </w:r>
    </w:p>
    <w:p>
      <w:pPr>
        <w:spacing w:after="0" w:line="21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ArcLight Clean Transition Corp. II</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14605</wp:posOffset>
            </wp:positionV>
            <wp:extent cx="233997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24" w:hanging="424"/>
        <w:spacing w:after="0"/>
        <w:tabs>
          <w:tab w:leader="none" w:pos="42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Citigroup Global Markets Inc. and Barclays Capital Inc.</w:t>
      </w:r>
    </w:p>
    <w:p>
      <w:pPr>
        <w:sectPr>
          <w:pgSz w:w="11900" w:h="16838" w:orient="portrait"/>
          <w:cols w:equalWidth="0" w:num="1">
            <w:col w:w="11004"/>
          </w:cols>
          <w:pgMar w:left="436" w:top="270" w:right="459" w:bottom="1440" w:gutter="0" w:footer="0" w:header="0"/>
        </w:sectPr>
      </w:pPr>
    </w:p>
    <w:bookmarkStart w:id="357" w:name="page358"/>
    <w:bookmarkEnd w:id="357"/>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Francis Wolf &amp; Celeste Gonzalez</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Termination Letter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1(i)</w:t>
      </w:r>
      <w:r>
        <w:rPr>
          <w:rFonts w:ascii="Arial" w:cs="Arial" w:eastAsia="Arial" w:hAnsi="Arial"/>
          <w:sz w:val="17"/>
          <w:szCs w:val="17"/>
          <w:color w:val="auto"/>
        </w:rPr>
        <w:t xml:space="preserve"> of the Investment Management Trust Agreement between ArcLight Clean Transition Corp. II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Continental Stock Transfer &amp; Trust Company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dated as of [•], 2021 (the “</w:t>
      </w:r>
      <w:r>
        <w:rPr>
          <w:rFonts w:ascii="Arial" w:cs="Arial" w:eastAsia="Arial" w:hAnsi="Arial"/>
          <w:sz w:val="17"/>
          <w:szCs w:val="17"/>
          <w:b w:val="1"/>
          <w:bCs w:val="1"/>
          <w:i w:val="1"/>
          <w:iCs w:val="1"/>
          <w:color w:val="auto"/>
        </w:rPr>
        <w:t>Trust Agreement</w:t>
      </w:r>
      <w:r>
        <w:rPr>
          <w:rFonts w:ascii="Arial" w:cs="Arial" w:eastAsia="Arial" w:hAnsi="Arial"/>
          <w:sz w:val="17"/>
          <w:szCs w:val="17"/>
          <w:color w:val="auto"/>
        </w:rPr>
        <w:t>”), this is to advise you that the Company has been unable to effect a business combination with a Target Business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within the time frame specified in the Company’s Amended and Restated Memorandum and Articles of Association, as described in the Company’s Prospectus relating to the Offering. Capitalized terms used but not defined herein shall have the meanings set forth in the Trust Agreement.</w:t>
      </w:r>
    </w:p>
    <w:p>
      <w:pPr>
        <w:spacing w:after="0" w:line="176"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all of the assets in the Trust Account and to transfer the total proceeds into the trust operating account at J.P. Morgan Chase Bank, N.A. to await distribution to the Public Shareholders. The Company has selected</w:t>
      </w:r>
    </w:p>
    <w:p>
      <w:pPr>
        <w:ind w:left="4"/>
        <w:spacing w:after="0"/>
        <w:rPr>
          <w:sz w:val="20"/>
          <w:szCs w:val="20"/>
          <w:color w:val="auto"/>
        </w:rPr>
      </w:pPr>
      <w:r>
        <w:rPr>
          <w:rFonts w:ascii="Arial" w:cs="Arial" w:eastAsia="Arial" w:hAnsi="Arial"/>
          <w:sz w:val="16"/>
          <w:szCs w:val="16"/>
          <w:color w:val="auto"/>
        </w:rPr>
        <w:t>__________ as the effective date for the purpose of determining the Public Shareholders that will be entitled to receive their share of the liquidation</w:t>
      </w:r>
    </w:p>
    <w:p>
      <w:pPr>
        <w:spacing w:after="0" w:line="32" w:lineRule="exact"/>
        <w:rPr>
          <w:sz w:val="20"/>
          <w:szCs w:val="20"/>
          <w:color w:val="auto"/>
        </w:rPr>
      </w:pPr>
    </w:p>
    <w:p>
      <w:pPr>
        <w:ind w:left="4" w:right="80"/>
        <w:spacing w:after="0" w:line="252" w:lineRule="auto"/>
        <w:rPr>
          <w:sz w:val="20"/>
          <w:szCs w:val="20"/>
          <w:color w:val="auto"/>
        </w:rPr>
      </w:pPr>
      <w:r>
        <w:rPr>
          <w:rFonts w:ascii="Arial" w:cs="Arial" w:eastAsia="Arial" w:hAnsi="Arial"/>
          <w:sz w:val="18"/>
          <w:szCs w:val="18"/>
          <w:color w:val="auto"/>
        </w:rPr>
        <w:t xml:space="preserve">proceeds. It is acknowledged that no interest will be earned by the Company on the liquidation proceeds while on deposit in the trust operating account You agree to be the Paying Agent of record and, in your separate capacity as Paying Agent, agree to distribute said funds directly to the Company’s Public Shareholders in accordance with the terms of the Trust Agreement and the Amended and Restated Memorandum and Articles of Association of the Company.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of the Trust Agreement.</w:t>
      </w:r>
    </w:p>
    <w:p>
      <w:pPr>
        <w:spacing w:after="0" w:line="22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ArcLight Clean Transition Corp. II</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14605</wp:posOffset>
            </wp:positionV>
            <wp:extent cx="24003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24" w:hanging="424"/>
        <w:spacing w:after="0"/>
        <w:tabs>
          <w:tab w:leader="none" w:pos="42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Citigroup Global Markets Inc. and Barclays Capital Inc.</w:t>
      </w:r>
    </w:p>
    <w:p>
      <w:pPr>
        <w:sectPr>
          <w:pgSz w:w="11900" w:h="16838" w:orient="portrait"/>
          <w:cols w:equalWidth="0" w:num="1">
            <w:col w:w="10964"/>
          </w:cols>
          <w:pgMar w:left="436" w:top="270" w:right="499" w:bottom="1440" w:gutter="0" w:footer="0" w:header="0"/>
        </w:sectPr>
      </w:pPr>
    </w:p>
    <w:bookmarkStart w:id="358" w:name="page359"/>
    <w:bookmarkEnd w:id="35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Francis E. Wolf, Jr. &amp; Celeste Gonzalez</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Tax Payment Withdrawal Instruction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Mr. Wolf and Ms. Gonzalez:</w:t>
      </w:r>
    </w:p>
    <w:p>
      <w:pPr>
        <w:spacing w:after="0" w:line="117"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of the Investment Management Trust Agreement between ArcLight Clean Transition Corp. II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dated as of [•], 2021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the Company hereby requests that you deliver to the Company $___________ of the interest income earned on the Property as of the date hereof. Capitalized terms used but not defined herein shall have the meanings set forth in the Trust Agreement.</w:t>
      </w:r>
    </w:p>
    <w:p>
      <w:pPr>
        <w:spacing w:after="0" w:line="187"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[WIRE INSTRUCTION INFORMATION]</w:t>
      </w:r>
    </w:p>
    <w:p>
      <w:pPr>
        <w:spacing w:after="0" w:line="25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ArcLight Clean Transition Corp. II</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14605</wp:posOffset>
            </wp:positionV>
            <wp:extent cx="24003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3">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24" w:hanging="424"/>
        <w:spacing w:after="0"/>
        <w:tabs>
          <w:tab w:leader="none" w:pos="42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Citigroup Global Markets Inc. and Barclays Capital Inc.</w:t>
      </w:r>
    </w:p>
    <w:p>
      <w:pPr>
        <w:sectPr>
          <w:pgSz w:w="11900" w:h="16838" w:orient="portrait"/>
          <w:cols w:equalWidth="0" w:num="1">
            <w:col w:w="11004"/>
          </w:cols>
          <w:pgMar w:left="436" w:top="270" w:right="459" w:bottom="1440" w:gutter="0" w:footer="0" w:header="0"/>
        </w:sectPr>
      </w:pPr>
    </w:p>
    <w:bookmarkStart w:id="359" w:name="page360"/>
    <w:bookmarkEnd w:id="359"/>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Francis Wolf &amp; Celeste Gonzalez</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Shareholder Redemption Withdrawal Instruction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Mr. Wolf and Ms. Gonzalez:</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1(k)</w:t>
      </w:r>
      <w:r>
        <w:rPr>
          <w:rFonts w:ascii="Arial" w:cs="Arial" w:eastAsia="Arial" w:hAnsi="Arial"/>
          <w:sz w:val="17"/>
          <w:szCs w:val="17"/>
          <w:color w:val="auto"/>
        </w:rPr>
        <w:t xml:space="preserve"> of the Investment Management Trust Agreement between Citigroup Global Markets Inc. and Barclays Capital Inc. (the</w:t>
      </w:r>
    </w:p>
    <w:p>
      <w:pPr>
        <w:spacing w:after="0" w:line="35" w:lineRule="exact"/>
        <w:rPr>
          <w:sz w:val="20"/>
          <w:szCs w:val="20"/>
          <w:color w:val="auto"/>
        </w:rPr>
      </w:pPr>
    </w:p>
    <w:p>
      <w:pPr>
        <w:ind w:left="4"/>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Continental Stock Transfer &amp; Trust Company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dated as of [•], 2021 (the “</w:t>
      </w:r>
      <w:r>
        <w:rPr>
          <w:rFonts w:ascii="Arial" w:cs="Arial" w:eastAsia="Arial" w:hAnsi="Arial"/>
          <w:sz w:val="17"/>
          <w:szCs w:val="17"/>
          <w:b w:val="1"/>
          <w:bCs w:val="1"/>
          <w:i w:val="1"/>
          <w:iCs w:val="1"/>
          <w:color w:val="auto"/>
        </w:rPr>
        <w:t>Trust Agreement</w:t>
      </w:r>
      <w:r>
        <w:rPr>
          <w:rFonts w:ascii="Arial" w:cs="Arial" w:eastAsia="Arial" w:hAnsi="Arial"/>
          <w:sz w:val="17"/>
          <w:szCs w:val="17"/>
          <w:color w:val="auto"/>
        </w:rPr>
        <w:t>”), the Company hereby requests that you deliver to the Company’s shareholders $___________ of the principal and interest income earned on the Property as of the date hereof. Capitalized terms used but not defined herein shall have the meanings set forth in the Trust Agreement.</w:t>
      </w:r>
    </w:p>
    <w:p>
      <w:pPr>
        <w:spacing w:after="0" w:line="173"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Pursuant to Section 1(k) of the Trust Agreement, this is to advise you that the Company has sought an Amendment. Accordingly, in accordance with the terms of the Trust Agreement, we hereby authorize you to liquidate a sufficient portion of the Trust Account and to transfer $[•] of the proceeds of the Trust Account to the trust operating account at J.P. Morgan Chase Bank N.A. for distribution to the shareholders that have requested redemption of their shares in connection with such Amendment.</w:t>
      </w:r>
    </w:p>
    <w:p>
      <w:pPr>
        <w:spacing w:after="0" w:line="21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ArcLight Clean Transition Corp. II</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24" w:hanging="424"/>
        <w:spacing w:after="0"/>
        <w:tabs>
          <w:tab w:leader="none" w:pos="42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Citigroup Global Markets Inc. and Barclays Capital Inc.</w:t>
      </w:r>
    </w:p>
    <w:p>
      <w:pPr>
        <w:sectPr>
          <w:pgSz w:w="11900" w:h="16838" w:orient="portrait"/>
          <w:cols w:equalWidth="0" w:num="1">
            <w:col w:w="10984"/>
          </w:cols>
          <w:pgMar w:left="436" w:top="270" w:right="479" w:bottom="1440" w:gutter="0" w:footer="0" w:header="0"/>
        </w:sectPr>
      </w:pPr>
    </w:p>
    <w:bookmarkStart w:id="360" w:name="page361"/>
    <w:bookmarkEnd w:id="360"/>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AND SHAREHOLDER RIGHTS AGREEMENT</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REGISTRATION AND SHAREHOLDER RIGHTS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2021, is made and entered into by and among ArcLight Clean Transition Corp. II,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ArcLight CTC Holdings II, L.P., a Delaware limited partnership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xml:space="preserve">”), and the undersigned parties listed under Holder on the signature page hereto (each such party, together with the Sponsor and any person or entity who hereafter becomes a party to this Agreement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of this Agreement,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52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Sponsor currently owns 7,047,500 Class B ordinary shares of the Company, par value $0.0001 per share (the “</w:t>
      </w:r>
      <w:r>
        <w:rPr>
          <w:rFonts w:ascii="Arial" w:cs="Arial" w:eastAsia="Arial" w:hAnsi="Arial"/>
          <w:sz w:val="16"/>
          <w:szCs w:val="16"/>
          <w:b w:val="1"/>
          <w:bCs w:val="1"/>
          <w:i w:val="1"/>
          <w:iCs w:val="1"/>
          <w:color w:val="auto"/>
        </w:rPr>
        <w:t>Class B Ordinary</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and the other Holders currently own an aggregate of 937,500 Class B Ordinary Shares, which were received from the Sponsor;</w:t>
      </w:r>
    </w:p>
    <w:p>
      <w:pPr>
        <w:spacing w:after="0" w:line="116" w:lineRule="exact"/>
        <w:rPr>
          <w:sz w:val="20"/>
          <w:szCs w:val="20"/>
          <w:color w:val="auto"/>
        </w:rPr>
      </w:pPr>
    </w:p>
    <w:p>
      <w:pPr>
        <w:jc w:val="both"/>
        <w:ind w:right="44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Class B Ordinary Shares are convertible into the Company’s Class A ordinary shares, par value $0.0001 per share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Ordinary</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at the time of the initial Business Combination on a one-for-one basis, subject to adjustment, on the terms and conditions provided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amended and restated memorandum and articles of association, as may be amended from time to time;</w:t>
      </w:r>
    </w:p>
    <w:p>
      <w:pPr>
        <w:spacing w:after="0" w:line="142"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on [•], 2021, the Company and the Sponsor entered into that certain Private Placement Warrants Purchase Agreement, pursuant to which</w:t>
      </w:r>
      <w:r>
        <w:rPr>
          <w:rFonts w:ascii="Arial" w:cs="Arial" w:eastAsia="Arial" w:hAnsi="Arial"/>
          <w:sz w:val="17"/>
          <w:szCs w:val="17"/>
          <w:b w:val="1"/>
          <w:bCs w:val="1"/>
          <w:color w:val="auto"/>
        </w:rPr>
        <w:t xml:space="preserve"> </w:t>
      </w:r>
      <w:r>
        <w:rPr>
          <w:rFonts w:ascii="Arial" w:cs="Arial" w:eastAsia="Arial" w:hAnsi="Arial"/>
          <w:sz w:val="17"/>
          <w:szCs w:val="17"/>
          <w:color w:val="auto"/>
        </w:rPr>
        <w:t>the Sponsor agreed to purchase 8,000,000 warrants (or up to 8,750,000 warrants if the Underwriters’ (as defined below) option to purchase additional units in connection with the Company’s initial public offering is exercised in full) (the “</w:t>
      </w:r>
      <w:r>
        <w:rPr>
          <w:rFonts w:ascii="Arial" w:cs="Arial" w:eastAsia="Arial" w:hAnsi="Arial"/>
          <w:sz w:val="17"/>
          <w:szCs w:val="17"/>
          <w:b w:val="1"/>
          <w:bCs w:val="1"/>
          <w:i w:val="1"/>
          <w:iCs w:val="1"/>
          <w:color w:val="auto"/>
        </w:rPr>
        <w:t>Private Placement Warrants</w:t>
      </w:r>
      <w:r>
        <w:rPr>
          <w:rFonts w:ascii="Arial" w:cs="Arial" w:eastAsia="Arial" w:hAnsi="Arial"/>
          <w:sz w:val="17"/>
          <w:szCs w:val="17"/>
          <w:color w:val="auto"/>
        </w:rPr>
        <w:t>”), in a private placement transaction occurring simultaneously with the closing of the Company’s initial public offering;</w:t>
      </w:r>
    </w:p>
    <w:p>
      <w:pPr>
        <w:spacing w:after="0" w:line="165"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order to finance the Company’s transaction costs in connection with an intended Business Combination (as defined below), the Sponsor</w:t>
      </w:r>
      <w:r>
        <w:rPr>
          <w:rFonts w:ascii="Arial" w:cs="Arial" w:eastAsia="Arial" w:hAnsi="Arial"/>
          <w:sz w:val="16"/>
          <w:szCs w:val="16"/>
          <w:b w:val="1"/>
          <w:bCs w:val="1"/>
          <w:color w:val="auto"/>
        </w:rPr>
        <w:t xml:space="preserve"> </w:t>
      </w:r>
      <w:r>
        <w:rPr>
          <w:rFonts w:ascii="Arial" w:cs="Arial" w:eastAsia="Arial" w:hAnsi="Arial"/>
          <w:sz w:val="16"/>
          <w:szCs w:val="16"/>
          <w:color w:val="auto"/>
        </w:rPr>
        <w:t>or certain of the Company’s officers or directors may, but are not obligated to, loan the Company funds as the Company may require, of which up to $1,500,000 of such loans may be convertible into an additional 1,500,000 Private Placement Warrants (the “</w:t>
      </w:r>
      <w:r>
        <w:rPr>
          <w:rFonts w:ascii="Arial" w:cs="Arial" w:eastAsia="Arial" w:hAnsi="Arial"/>
          <w:sz w:val="16"/>
          <w:szCs w:val="16"/>
          <w:b w:val="1"/>
          <w:bCs w:val="1"/>
          <w:i w:val="1"/>
          <w:iCs w:val="1"/>
          <w:color w:val="auto"/>
        </w:rPr>
        <w:t>Working Capital Warrants</w:t>
      </w:r>
      <w:r>
        <w:rPr>
          <w:rFonts w:ascii="Arial" w:cs="Arial" w:eastAsia="Arial" w:hAnsi="Arial"/>
          <w:sz w:val="16"/>
          <w:szCs w:val="16"/>
          <w:color w:val="auto"/>
        </w:rPr>
        <w:t>”); and</w:t>
      </w:r>
    </w:p>
    <w:p>
      <w:pPr>
        <w:spacing w:after="0" w:line="142"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enter into this Agreement, pursuant to which the Company shall grant the Holders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with respect to certain securities of the Company, as set forth in this Agreement.</w:t>
      </w:r>
    </w:p>
    <w:p>
      <w:pPr>
        <w:spacing w:after="0" w:line="162" w:lineRule="exact"/>
        <w:rPr>
          <w:sz w:val="20"/>
          <w:szCs w:val="20"/>
          <w:color w:val="auto"/>
        </w:rPr>
      </w:pPr>
    </w:p>
    <w:p>
      <w:pPr>
        <w:jc w:val="both"/>
        <w:ind w:right="100"/>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mutual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The terms defined in this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Article I</w:t>
      </w:r>
      <w:r>
        <w:rPr>
          <w:rFonts w:ascii="Arial" w:cs="Arial" w:eastAsia="Arial" w:hAnsi="Arial"/>
          <w:sz w:val="16"/>
          <w:szCs w:val="16"/>
          <w:color w:val="auto"/>
        </w:rPr>
        <w:t xml:space="preserve"> </w:t>
      </w:r>
      <w:r>
        <w:rPr>
          <w:rFonts w:ascii="Arial" w:cs="Arial" w:eastAsia="Arial" w:hAnsi="Arial"/>
          <w:sz w:val="16"/>
          <w:szCs w:val="16"/>
          <w:b w:val="1"/>
          <w:bCs w:val="1"/>
          <w:color w:val="auto"/>
        </w:rPr>
        <w:t>shall, for all purposes of this Agreement, have the respective meanings set forth below:</w:t>
      </w:r>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shall mean any public disclosure of material non-public information, which disclosure, in the good faith judgment of the principal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ectPr>
          <w:pgSz w:w="11900" w:h="16838" w:orient="portrait"/>
          <w:cols w:equalWidth="0" w:num="1">
            <w:col w:w="11020"/>
          </w:cols>
          <w:pgMar w:left="440" w:top="121" w:right="43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any merger, share exchange, asset acquisition, share purchase, reorganization or other similar business combination with one or more businesses, involving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U.S.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shall mean the Class B Ordinary Shares and shall be deemed to include the Ordinary Shares issuable upon conversion thereof.</w:t>
      </w:r>
    </w:p>
    <w:p>
      <w:pPr>
        <w:spacing w:after="0" w:line="24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Founder Shares Lock-up Period</w:t>
      </w:r>
      <w:r>
        <w:rPr>
          <w:rFonts w:ascii="Arial" w:cs="Arial" w:eastAsia="Arial" w:hAnsi="Arial"/>
          <w:sz w:val="16"/>
          <w:szCs w:val="16"/>
          <w:color w:val="auto"/>
        </w:rPr>
        <w:t>” shall mean, with respect to the Founder Shares, the period ending on the earlier of (A) one year after the completion of the Company’s initial Business Combination and (B) subsequent to the Business Combination, (x) if the last reported sales price of the Ordinary Shares equals or exceeds $12.00 per share (as adjusted for share sub-divisions, share capitalizations, reorganizations, recapitalizations and the like) for any 20 trading days within any 30-trading day period commencing at least 150 days after the Company’s initial Business Combination or (y) the date on which the Company completes a liquidation, merger, share exchange, reorganization or other similar transaction that results in all of the Company’s shareholders having the right to exchange their Ordinary Shares for cash, securities or other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the date hereof, by and between the Company, the Sponsor and each of the Company’s officers, directors and director nominees.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Nominee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Transferees</w:t>
      </w:r>
      <w:r>
        <w:rPr>
          <w:rFonts w:ascii="Arial" w:cs="Arial" w:eastAsia="Arial" w:hAnsi="Arial"/>
          <w:sz w:val="17"/>
          <w:szCs w:val="17"/>
          <w:color w:val="auto"/>
        </w:rPr>
        <w:t>” shall mean a person or entity to whom a Holder of Registrable Securities is permitted to transfer such Registrable Securities prior to the expiration of the Founder Shares Lock-up Period or Private Placement Lock-up Period, as the case may be, under the Insider Letter and any other applicable agreement between such Holder and the Company, and to any transferee thereafter.</w:t>
      </w:r>
    </w:p>
    <w:p>
      <w:pPr>
        <w:sectPr>
          <w:pgSz w:w="11900" w:h="16838" w:orient="portrait"/>
          <w:cols w:equalWidth="0" w:num="1">
            <w:col w:w="11000"/>
          </w:cols>
          <w:pgMar w:left="440" w:top="274" w:right="459" w:bottom="1440" w:gutter="0" w:footer="0" w:header="0"/>
        </w:sectPr>
      </w:pPr>
    </w:p>
    <w:bookmarkStart w:id="362" w:name="page363"/>
    <w:bookmarkEnd w:id="36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jc w:val="both"/>
        <w:ind w:left="4" w:right="3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Private Placement Warrants that are held by the initial purchasers of such Private Placement Warrants or their Permitted Transferees, and any of the Ordinary Shares issued or issuable upon the exercise or conversion of the Private Placement Warrants and that are held by the initial purchasers of the Private Placement Warrants or their Permitted Transferees, the period ending 30 days after the completion of the Company’s initial Business Combination.</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ind w:left="4" w:right="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Security</w:t>
      </w:r>
      <w:r>
        <w:rPr>
          <w:rFonts w:ascii="Arial" w:cs="Arial" w:eastAsia="Arial" w:hAnsi="Arial"/>
          <w:sz w:val="16"/>
          <w:szCs w:val="16"/>
          <w:color w:val="auto"/>
        </w:rPr>
        <w:t xml:space="preserve">” shall mean (a) the Founder Shares (including any Ordinary Shares or other equivalent equity security issued or issuable upon the conversion of any such Founder Shares or exercisable for Ordinary Shares), (b) the Private Placement Warrants (including any Ordinary Shares issued or issuable upon the exercise of any such Private Placement Warrants), (c) the Working Capital Warrants (including any Ordinary Shares issued or issuable upon the conversion of working capital loans), (d) any outstanding Ordinary Shares or any other equity security (including the Ordinary Shares issued or issuable upon the exercise of any other equity security) of the Company held by a Holder as of the date of this Agreement, and (e) any other equity security of the Company issued or issuable with respect to any such Ordinary Shares by way of a share capitalization or share sub-division or in connection with a combination of shares, recapitalization, merger, consolidation or reorganization;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(iii) such securities shall have ceased to be outstanding; or (iv) such securities have been sold to, or through, a broker, dealer or underwriter in a public distribution or other public securities transaction.</w:t>
      </w:r>
    </w:p>
    <w:p>
      <w:pPr>
        <w:spacing w:after="0" w:line="174" w:lineRule="exact"/>
        <w:rPr>
          <w:sz w:val="20"/>
          <w:szCs w:val="20"/>
          <w:color w:val="auto"/>
        </w:rPr>
      </w:pPr>
    </w:p>
    <w:p>
      <w:pPr>
        <w:ind w:left="4" w:right="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117" w:lineRule="exact"/>
        <w:rPr>
          <w:sz w:val="20"/>
          <w:szCs w:val="20"/>
          <w:color w:val="auto"/>
        </w:rPr>
      </w:pPr>
    </w:p>
    <w:p>
      <w:pPr>
        <w:ind w:left="4" w:right="80" w:hanging="4"/>
        <w:spacing w:after="0" w:line="277" w:lineRule="auto"/>
        <w:tabs>
          <w:tab w:leader="none" w:pos="29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Ordinary Shares are then listed;</w:t>
      </w:r>
    </w:p>
    <w:p>
      <w:pPr>
        <w:spacing w:after="0" w:line="62" w:lineRule="exact"/>
        <w:rPr>
          <w:rFonts w:ascii="Arial" w:cs="Arial" w:eastAsia="Arial" w:hAnsi="Arial"/>
          <w:sz w:val="18"/>
          <w:szCs w:val="18"/>
          <w:color w:val="auto"/>
        </w:rPr>
      </w:pPr>
    </w:p>
    <w:p>
      <w:pPr>
        <w:ind w:left="4" w:right="260" w:hanging="4"/>
        <w:spacing w:after="0" w:line="277" w:lineRule="auto"/>
        <w:tabs>
          <w:tab w:leader="none" w:pos="28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62" w:lineRule="exact"/>
        <w:rPr>
          <w:rFonts w:ascii="Arial" w:cs="Arial" w:eastAsia="Arial" w:hAnsi="Arial"/>
          <w:sz w:val="18"/>
          <w:szCs w:val="18"/>
          <w:color w:val="auto"/>
        </w:rPr>
      </w:pPr>
    </w:p>
    <w:p>
      <w:pPr>
        <w:ind w:left="284" w:hanging="284"/>
        <w:spacing w:after="0"/>
        <w:tabs>
          <w:tab w:leader="none" w:pos="28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117" w:lineRule="exact"/>
        <w:rPr>
          <w:rFonts w:ascii="Arial" w:cs="Arial" w:eastAsia="Arial" w:hAnsi="Arial"/>
          <w:sz w:val="18"/>
          <w:szCs w:val="18"/>
          <w:color w:val="auto"/>
        </w:rPr>
      </w:pPr>
    </w:p>
    <w:p>
      <w:pPr>
        <w:ind w:left="4" w:right="280" w:hanging="4"/>
        <w:spacing w:after="0" w:line="277" w:lineRule="auto"/>
        <w:tabs>
          <w:tab w:leader="none" w:pos="27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62" w:lineRule="exact"/>
        <w:rPr>
          <w:rFonts w:ascii="Arial" w:cs="Arial" w:eastAsia="Arial" w:hAnsi="Arial"/>
          <w:sz w:val="18"/>
          <w:szCs w:val="18"/>
          <w:color w:val="auto"/>
        </w:rPr>
      </w:pPr>
    </w:p>
    <w:p>
      <w:pPr>
        <w:ind w:left="4" w:right="540" w:hanging="4"/>
        <w:spacing w:after="0" w:line="263" w:lineRule="auto"/>
        <w:tabs>
          <w:tab w:leader="none" w:pos="26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initiating a Demand Registration to be registered for offer and sale in the applicable Registration or the Takedown Requesting Holder initiating an Underwritten Shelf Takedown.</w:t>
      </w:r>
    </w:p>
    <w:p>
      <w:pPr>
        <w:sectPr>
          <w:pgSz w:w="11900" w:h="16838" w:orient="portrait"/>
          <w:cols w:equalWidth="0" w:num="1">
            <w:col w:w="11004"/>
          </w:cols>
          <w:pgMar w:left="436" w:top="274" w:right="459" w:bottom="1440" w:gutter="0" w:footer="0" w:header="0"/>
        </w:sectPr>
      </w:pPr>
    </w:p>
    <w:bookmarkStart w:id="363" w:name="page364"/>
    <w:bookmarkEnd w:id="363"/>
    <w:p>
      <w:pPr>
        <w:ind w:left="4" w:right="4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2.3.1</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Director</w:t>
      </w:r>
      <w:r>
        <w:rPr>
          <w:rFonts w:ascii="Arial" w:cs="Arial" w:eastAsia="Arial" w:hAnsi="Arial"/>
          <w:sz w:val="18"/>
          <w:szCs w:val="18"/>
          <w:color w:val="auto"/>
        </w:rPr>
        <w:t>” means an individual elected to the Board that has been nominated by the Sponsor pursuant to this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Shelf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2.3.2</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Takedown 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2.3.3</w:t>
      </w:r>
      <w:r>
        <w:rPr>
          <w:rFonts w:ascii="Arial" w:cs="Arial" w:eastAsia="Arial" w:hAnsi="Arial"/>
          <w:sz w:val="18"/>
          <w:szCs w:val="18"/>
          <w:color w:val="auto"/>
        </w:rPr>
        <w:t>.</w:t>
      </w:r>
    </w:p>
    <w:p>
      <w:pPr>
        <w:spacing w:after="0" w:line="22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Shelf Takedown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2.3.3</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Warrants</w:t>
      </w:r>
      <w:r>
        <w:rPr>
          <w:rFonts w:ascii="Arial" w:cs="Arial" w:eastAsia="Arial" w:hAnsi="Arial"/>
          <w:sz w:val="18"/>
          <w:szCs w:val="18"/>
          <w:color w:val="auto"/>
        </w:rPr>
        <w:t>” shall have the meaning given in the Recitals hereto.</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REGISTRATIONS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p>
    <w:p>
      <w:pPr>
        <w:spacing w:after="0" w:line="117"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at any time and from time to time on or after the date the Company consummates the Business Combination, the Holders of at least a majority in interest of the then-outstanding number of Registrable Securities (the “</w:t>
      </w:r>
      <w:r>
        <w:rPr>
          <w:rFonts w:ascii="Arial" w:cs="Arial" w:eastAsia="Arial" w:hAnsi="Arial"/>
          <w:sz w:val="16"/>
          <w:szCs w:val="16"/>
          <w:b w:val="1"/>
          <w:bCs w:val="1"/>
          <w:i w:val="1"/>
          <w:iCs w:val="1"/>
          <w:color w:val="auto"/>
        </w:rPr>
        <w:t>Demanding Holders</w:t>
      </w:r>
      <w:r>
        <w:rPr>
          <w:rFonts w:ascii="Arial" w:cs="Arial" w:eastAsia="Arial" w:hAnsi="Arial"/>
          <w:sz w:val="16"/>
          <w:szCs w:val="16"/>
          <w:color w:val="auto"/>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The Company shall, within five (5)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shall so notify the Company, in writing, within three (3) business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w:t>
      </w:r>
    </w:p>
    <w:p>
      <w:pPr>
        <w:spacing w:after="0" w:line="2" w:lineRule="exact"/>
        <w:rPr>
          <w:sz w:val="20"/>
          <w:szCs w:val="20"/>
          <w:color w:val="auto"/>
        </w:rPr>
      </w:pPr>
    </w:p>
    <w:p>
      <w:pPr>
        <w:ind w:left="4" w:right="20" w:hanging="4"/>
        <w:spacing w:after="0" w:line="255" w:lineRule="auto"/>
        <w:tabs>
          <w:tab w:leader="none" w:pos="25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Registrations pursuant to a Demand Registration under this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with respect to any or all Registrable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Registration shall not be counted for such purposes unless a Form S-1 or any similar long-form registration statement that may be available at such time (“</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w:t>
      </w:r>
    </w:p>
    <w:p>
      <w:pPr>
        <w:sectPr>
          <w:pgSz w:w="11900" w:h="16838" w:orient="portrait"/>
          <w:cols w:equalWidth="0" w:num="1">
            <w:col w:w="11004"/>
          </w:cols>
          <w:pgMar w:left="436" w:top="274" w:right="459" w:bottom="1440" w:gutter="0" w:footer="0" w:header="0"/>
        </w:sectPr>
      </w:pPr>
    </w:p>
    <w:bookmarkStart w:id="364" w:name="page365"/>
    <w:bookmarkEnd w:id="364"/>
    <w:p>
      <w:pPr>
        <w:jc w:val="both"/>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 Underwritten Shelf Takedown shall not count as a Demand Registration.</w:t>
      </w:r>
    </w:p>
    <w:p>
      <w:pPr>
        <w:spacing w:after="0" w:line="7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5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Underwritten Offering</w:t>
      </w:r>
      <w:r>
        <w:rPr>
          <w:rFonts w:ascii="Arial" w:cs="Arial" w:eastAsia="Arial" w:hAnsi="Arial"/>
          <w:sz w:val="16"/>
          <w:szCs w:val="16"/>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6"/>
          <w:szCs w:val="16"/>
          <w:b w:val="1"/>
          <w:bCs w:val="1"/>
          <w:i w:val="1"/>
          <w:iCs w:val="1"/>
          <w:color w:val="auto"/>
        </w:rPr>
        <w:t>Maximum Number of Securities</w:t>
      </w:r>
      <w:r>
        <w:rPr>
          <w:rFonts w:ascii="Arial" w:cs="Arial" w:eastAsia="Arial" w:hAnsi="Arial"/>
          <w:sz w:val="16"/>
          <w:szCs w:val="16"/>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Arial" w:cs="Arial" w:eastAsia="Arial" w:hAnsi="Arial"/>
          <w:sz w:val="16"/>
          <w:szCs w:val="16"/>
          <w:b w:val="1"/>
          <w:bCs w:val="1"/>
          <w:i w:val="1"/>
          <w:iCs w:val="1"/>
          <w:color w:val="auto"/>
        </w:rPr>
        <w:t>Pro Rata</w:t>
      </w:r>
      <w:r>
        <w:rPr>
          <w:rFonts w:ascii="Arial" w:cs="Arial" w:eastAsia="Arial" w:hAnsi="Arial"/>
          <w:sz w:val="16"/>
          <w:szCs w:val="16"/>
          <w:color w:val="auto"/>
        </w:rPr>
        <w:t>”))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2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Demanding Holders initiating a Demand Registration or a majority-in-interest of the Requesting Holders (if any), pursuant to a Registration under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shall have the right to withdraw from a Registration pursuant to such Demand</w:t>
      </w:r>
    </w:p>
    <w:p>
      <w:pPr>
        <w:sectPr>
          <w:pgSz w:w="11900" w:h="16838" w:orient="portrait"/>
          <w:cols w:equalWidth="0" w:num="1">
            <w:col w:w="11000"/>
          </w:cols>
          <w:pgMar w:left="440" w:top="274" w:right="459" w:bottom="1440" w:gutter="0" w:footer="0" w:header="0"/>
        </w:sectPr>
      </w:pPr>
    </w:p>
    <w:bookmarkStart w:id="365" w:name="page366"/>
    <w:bookmarkEnd w:id="365"/>
    <w:p>
      <w:pPr>
        <w:ind w:left="4"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p>
    <w:p>
      <w:pPr>
        <w:spacing w:after="0" w:line="117" w:lineRule="exact"/>
        <w:rPr>
          <w:sz w:val="20"/>
          <w:szCs w:val="20"/>
          <w:color w:val="auto"/>
        </w:rPr>
      </w:pPr>
    </w:p>
    <w:p>
      <w:pPr>
        <w:ind w:left="4" w:right="200"/>
        <w:spacing w:after="0" w:line="284"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shareholders of the Company (or by the Company and by the shareholders of the Company including, without limitation,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other than a Registration Statement (i) filed in connection with any employee share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seven</w:t>
      </w:r>
    </w:p>
    <w:p>
      <w:pPr>
        <w:spacing w:after="0" w:line="2" w:lineRule="exact"/>
        <w:rPr>
          <w:sz w:val="20"/>
          <w:szCs w:val="20"/>
          <w:color w:val="auto"/>
        </w:rPr>
      </w:pPr>
    </w:p>
    <w:p>
      <w:pPr>
        <w:ind w:left="4" w:right="40" w:hanging="4"/>
        <w:spacing w:after="0" w:line="285" w:lineRule="auto"/>
        <w:tabs>
          <w:tab w:leader="none" w:pos="259" w:val="left"/>
        </w:tabs>
        <w:numPr>
          <w:ilvl w:val="0"/>
          <w:numId w:val="276"/>
        </w:numPr>
        <w:rPr>
          <w:rFonts w:ascii="Arial" w:cs="Arial" w:eastAsia="Arial" w:hAnsi="Arial"/>
          <w:sz w:val="16"/>
          <w:szCs w:val="16"/>
          <w:color w:val="auto"/>
        </w:rPr>
      </w:pPr>
      <w:r>
        <w:rPr>
          <w:rFonts w:ascii="Arial" w:cs="Arial" w:eastAsia="Arial" w:hAnsi="Arial"/>
          <w:sz w:val="16"/>
          <w:szCs w:val="16"/>
          <w:color w:val="auto"/>
        </w:rPr>
        <w:t>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three (3) business days after receipt of such written notice (such Registration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enter into an underwriting agreement in customary form with the Underwriter(s) selected for such Underwritten Offering by the Company. The notice periods set forth in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not apply to an Underwritten Shelf Takedown conducted in accordance with </w:t>
      </w:r>
      <w:r>
        <w:rPr>
          <w:rFonts w:ascii="Arial" w:cs="Arial" w:eastAsia="Arial" w:hAnsi="Arial"/>
          <w:sz w:val="16"/>
          <w:szCs w:val="16"/>
          <w:u w:val="single" w:color="auto"/>
          <w:color w:val="auto"/>
        </w:rPr>
        <w:t>subsection 2.3.3.</w:t>
      </w:r>
    </w:p>
    <w:p>
      <w:pPr>
        <w:spacing w:after="0" w:line="66" w:lineRule="exact"/>
        <w:rPr>
          <w:sz w:val="20"/>
          <w:szCs w:val="20"/>
          <w:color w:val="auto"/>
        </w:rPr>
      </w:pPr>
    </w:p>
    <w:p>
      <w:pPr>
        <w:ind w:left="4" w:right="240"/>
        <w:spacing w:after="0" w:line="287"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Reduction of Piggyback Registration</w:t>
      </w:r>
      <w:r>
        <w:rPr>
          <w:rFonts w:ascii="Arial" w:cs="Arial" w:eastAsia="Arial" w:hAnsi="Arial"/>
          <w:sz w:val="16"/>
          <w:szCs w:val="16"/>
          <w:color w:val="auto"/>
        </w:rPr>
        <w:t>. If the managing Underwriter or Underwriters in an Underwritten Registration that is to be a Piggyback Registration (other than Underwritten Shelf Takedown), in good faith, advises the Company and the Holders of Registrable Securities participating in the Piggyback Registration in writing that the dollar amount or number of the Ordinary Shares that the Company desires to sell, taken together with</w:t>
      </w:r>
    </w:p>
    <w:p>
      <w:pPr>
        <w:spacing w:after="0" w:line="2" w:lineRule="exact"/>
        <w:rPr>
          <w:sz w:val="20"/>
          <w:szCs w:val="20"/>
          <w:color w:val="auto"/>
        </w:rPr>
      </w:pPr>
    </w:p>
    <w:p>
      <w:pPr>
        <w:ind w:left="4" w:right="80" w:hanging="4"/>
        <w:spacing w:after="0" w:line="273" w:lineRule="auto"/>
        <w:tabs>
          <w:tab w:leader="none" w:pos="219"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the Ordinary Shares, if any, as to which Registration has been demanded pursuant to separate written contractual arrangements with persons or entities other than the Holders of Registrable Securities hereunder, (ii) the Registrable Securities as to which registration has been requested pursuant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Ordinary Shares, if any, as to which Registration has been requested pursuant to separate written contractual piggy-back registration rights of other shareholders of the Company, exceeds the Maximum Number of Securities, then:</w:t>
      </w:r>
    </w:p>
    <w:p>
      <w:pPr>
        <w:spacing w:after="0" w:line="68" w:lineRule="exact"/>
        <w:rPr>
          <w:sz w:val="20"/>
          <w:szCs w:val="20"/>
          <w:color w:val="auto"/>
        </w:rPr>
      </w:pPr>
    </w:p>
    <w:p>
      <w:pPr>
        <w:ind w:left="4" w:hanging="4"/>
        <w:spacing w:after="0" w:line="284" w:lineRule="auto"/>
        <w:tabs>
          <w:tab w:leader="none" w:pos="249"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If the Registration is undertaken for the Company’s account, the Company shall include in any such Registration (A) first, the Ordinary Shares or other equity securities that the Company desires to sell, which can be sold without exceeding the Maximum Number of Securities; and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Pro Rata,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w:t>
      </w:r>
    </w:p>
    <w:p>
      <w:pPr>
        <w:spacing w:after="0" w:line="4" w:lineRule="exact"/>
        <w:rPr>
          <w:rFonts w:ascii="Arial" w:cs="Arial" w:eastAsia="Arial" w:hAnsi="Arial"/>
          <w:sz w:val="16"/>
          <w:szCs w:val="16"/>
          <w:color w:val="auto"/>
        </w:rPr>
      </w:pPr>
    </w:p>
    <w:p>
      <w:pPr>
        <w:ind w:left="4" w:right="20"/>
        <w:spacing w:after="0" w:line="277" w:lineRule="auto"/>
        <w:rPr>
          <w:rFonts w:ascii="Arial" w:cs="Arial" w:eastAsia="Arial" w:hAnsi="Arial"/>
          <w:sz w:val="16"/>
          <w:szCs w:val="16"/>
          <w:color w:val="auto"/>
        </w:rPr>
      </w:pPr>
      <w:r>
        <w:rPr>
          <w:rFonts w:ascii="Arial" w:cs="Arial" w:eastAsia="Arial" w:hAnsi="Arial"/>
          <w:sz w:val="17"/>
          <w:szCs w:val="17"/>
          <w:color w:val="auto"/>
        </w:rPr>
        <w:t>(D)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ectPr>
          <w:pgSz w:w="11900" w:h="16838" w:orient="portrait"/>
          <w:cols w:equalWidth="0" w:num="1">
            <w:col w:w="11004"/>
          </w:cols>
          <w:pgMar w:left="436" w:top="274" w:right="459" w:bottom="1440" w:gutter="0" w:footer="0" w:header="0"/>
        </w:sectPr>
      </w:pPr>
    </w:p>
    <w:bookmarkStart w:id="366" w:name="page367"/>
    <w:bookmarkEnd w:id="366"/>
    <w:p>
      <w:pPr>
        <w:ind w:left="4" w:right="140" w:hanging="4"/>
        <w:spacing w:after="0" w:line="263" w:lineRule="auto"/>
        <w:tabs>
          <w:tab w:leader="none" w:pos="259" w:val="left"/>
        </w:tabs>
        <w:numPr>
          <w:ilvl w:val="0"/>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Registration is pursuant to a request by persons or entities other than the Holders of Registrable Securities, then the Company shall include in any such Registration (A) first, the Ordinary Shares or other equity securities, if any, of such requesting persons or entities, other than the Holders of Registrable</w:t>
      </w:r>
    </w:p>
    <w:p>
      <w:pPr>
        <w:spacing w:after="0" w:line="184"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 xml:space="preserve">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Pro Rata,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70" w:lineRule="exact"/>
        <w:rPr>
          <w:sz w:val="20"/>
          <w:szCs w:val="20"/>
          <w:color w:val="auto"/>
        </w:rPr>
      </w:pPr>
    </w:p>
    <w:p>
      <w:pPr>
        <w:ind w:left="4" w:right="140"/>
        <w:spacing w:after="0" w:line="291"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subsection 2.2.3</w:t>
      </w:r>
      <w:r>
        <w:rPr>
          <w:rFonts w:ascii="Arial" w:cs="Arial" w:eastAsia="Arial" w:hAnsi="Arial"/>
          <w:sz w:val="16"/>
          <w:szCs w:val="16"/>
          <w:color w:val="auto"/>
        </w:rPr>
        <w:t>.</w:t>
      </w:r>
    </w:p>
    <w:p>
      <w:pPr>
        <w:spacing w:after="0" w:line="58"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Shelf Registrations.</w:t>
      </w:r>
    </w:p>
    <w:p>
      <w:pPr>
        <w:spacing w:after="0" w:line="117" w:lineRule="exact"/>
        <w:rPr>
          <w:sz w:val="20"/>
          <w:szCs w:val="20"/>
          <w:color w:val="auto"/>
        </w:rPr>
      </w:pPr>
    </w:p>
    <w:p>
      <w:pPr>
        <w:ind w:left="4" w:right="40"/>
        <w:spacing w:after="0" w:line="285" w:lineRule="auto"/>
        <w:rPr>
          <w:sz w:val="20"/>
          <w:szCs w:val="20"/>
          <w:color w:val="auto"/>
        </w:rPr>
      </w:pPr>
      <w:r>
        <w:rPr>
          <w:rFonts w:ascii="Arial" w:cs="Arial" w:eastAsia="Arial" w:hAnsi="Arial"/>
          <w:sz w:val="16"/>
          <w:szCs w:val="16"/>
          <w:color w:val="auto"/>
        </w:rPr>
        <w:t>2.3.1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xml:space="preserve">”), or if the Company is ineligible to use Form S-3, on Form S-1; a registration statement filed pursuant to this </w:t>
      </w:r>
      <w:r>
        <w:rPr>
          <w:rFonts w:ascii="Arial" w:cs="Arial" w:eastAsia="Arial" w:hAnsi="Arial"/>
          <w:sz w:val="16"/>
          <w:szCs w:val="16"/>
          <w:u w:val="single" w:color="auto"/>
          <w:color w:val="auto"/>
        </w:rPr>
        <w:t>subsection 2.3</w:t>
      </w:r>
      <w:r>
        <w:rPr>
          <w:rFonts w:ascii="Arial" w:cs="Arial" w:eastAsia="Arial" w:hAnsi="Arial"/>
          <w:sz w:val="16"/>
          <w:szCs w:val="16"/>
          <w:color w:val="auto"/>
        </w:rPr>
        <w:t>.1 (a “</w:t>
      </w:r>
      <w:r>
        <w:rPr>
          <w:rFonts w:ascii="Arial" w:cs="Arial" w:eastAsia="Arial" w:hAnsi="Arial"/>
          <w:sz w:val="16"/>
          <w:szCs w:val="16"/>
          <w:b w:val="1"/>
          <w:bCs w:val="1"/>
          <w:i w:val="1"/>
          <w:iCs w:val="1"/>
          <w:color w:val="auto"/>
        </w:rPr>
        <w:t>Shelf</w:t>
      </w:r>
      <w:r>
        <w:rPr>
          <w:rFonts w:ascii="Arial" w:cs="Arial" w:eastAsia="Arial" w:hAnsi="Arial"/>
          <w:sz w:val="16"/>
          <w:szCs w:val="16"/>
          <w:color w:val="auto"/>
        </w:rPr>
        <w:t xml:space="preserve">”) shall provide for the resale of the Registrable Securities included therein pursuant to any method or combination of methods legally available to, and requested by, any Holder. Within three (3) days of the Company’s receipt of a written request from a Holder or Holders of Registrable Securities for a Registration on a Shelf, the Company shall promptly give written notice of the proposed Registration to all other Holders of Registrable Securities, and each Holder of Registrable Securities who thereafter wishes to include all or a portion of such Holder’s Registrable Securities in such Registration shall so notify the Company, in writing, within three (3) business days after the receipt by the Holder of the notice from the Company. As soon as practicable thereafter, but not more than ten (10) days after the Company’s initial receipt of such written request for a Registration on a Shelf,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provided, however, that the Company shall not be obligated to effect any such Registration pursuant to this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if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 The Company shall maintain each Shelf in accordance with the terms hereof, and shall prepare and file with the SEC such amendments, including post-effective amendments, and supplements as may be necessary to keep such Shelf continuously effective, available for use and in compliance with the provisions of the Securities Act until such time as there are no longer any Registrable Securities included on such Shelf. In the event the Company files a Shelf on Form S-1, the Company shall use its commercially reasonable efforts to convert the Form S-1 to a Form S-3 as soon as practicable after the Company is eligible to use Form S-3.</w:t>
      </w:r>
    </w:p>
    <w:p>
      <w:pPr>
        <w:sectPr>
          <w:pgSz w:w="11900" w:h="16838" w:orient="portrait"/>
          <w:cols w:equalWidth="0" w:num="1">
            <w:col w:w="11004"/>
          </w:cols>
          <w:pgMar w:left="436" w:top="274" w:right="459" w:bottom="1440" w:gutter="0" w:footer="0" w:header="0"/>
        </w:sectPr>
      </w:pPr>
    </w:p>
    <w:bookmarkStart w:id="367" w:name="page368"/>
    <w:bookmarkEnd w:id="367"/>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2.3.2 If any Shelf ceases to be effective under the Securities Act for any reason at any time while Registrable Securities included thereon are still outstanding, the Company shall use its commercially reasonable efforts to as promptly as is reasonably practicable cause such Shelf to again become effective under the Securities Act (including obtaining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 “</w:t>
      </w:r>
      <w:r>
        <w:rPr>
          <w:rFonts w:ascii="Arial" w:cs="Arial" w:eastAsia="Arial" w:hAnsi="Arial"/>
          <w:sz w:val="16"/>
          <w:szCs w:val="16"/>
          <w:b w:val="1"/>
          <w:bCs w:val="1"/>
          <w:i w:val="1"/>
          <w:iCs w:val="1"/>
          <w:color w:val="auto"/>
        </w:rPr>
        <w:t>Subsequent Shelf Registration</w:t>
      </w:r>
      <w:r>
        <w:rPr>
          <w:rFonts w:ascii="Arial" w:cs="Arial" w:eastAsia="Arial" w:hAnsi="Arial"/>
          <w:sz w:val="16"/>
          <w:szCs w:val="16"/>
          <w:color w:val="auto"/>
        </w:rPr>
        <w:t xml:space="preserve">”) registering the resale of all Registrable Securities including on such Shelf, and pursuant to any method or combination of methods legally available to, and requested by, any Holder. If a Subsequent Shelf Registration is filed, the Company shall use its commercially reasonable efforts to (i) cause such Subsequent Shelf Registration to become effective under the Securities Act as promptly as is reasonably practicable after the filing thereof and (ii) keep such Subsequent Shelf Registration continuously effective, available for use and in compliance with the provisions of the Securities Act until such time as there are no longer any Registrable Securities included thereon. Any such Subsequent Shelf Registration shall be on Form S-3 to the extent that the Company is eligible to use such form. Otherwise, such Subsequent Shelf Registration shall be on another appropriate form. 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a Shelf (including by means of a post-effective amendment) or a Subsequent Shelf Registration and cause the same to become effective as soon as practicable after such filing and such Shelf or Subsequent Shelf Registration shall be subject to the terms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only be required to cause such Registrable Securities to be so covered once annually after inquiry of the Holders.</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2.3.3 At any time and from time to time after a Shelf has been declared effective by the Commission, the Sponsor may request to sell all or any portion of its Registrable Securities in an underwritten offering that is registered pursuant to the Shelf (each, an “</w:t>
      </w:r>
      <w:r>
        <w:rPr>
          <w:rFonts w:ascii="Arial" w:cs="Arial" w:eastAsia="Arial" w:hAnsi="Arial"/>
          <w:sz w:val="17"/>
          <w:szCs w:val="17"/>
          <w:b w:val="1"/>
          <w:bCs w:val="1"/>
          <w:i w:val="1"/>
          <w:iCs w:val="1"/>
          <w:color w:val="auto"/>
        </w:rPr>
        <w:t>Underwritten Shelf Takedown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only be obligated to effect an Underwritten Shelf Takedown if such offering shall include securities with a total offering price (including piggyback securities and before deduction of underwriting discounts) reasonably expected to exceed, in the aggregate, $10,000,000. All requests for Underwritten Shelf Takedowns shall be made by giving written notice to the Company at least 48 hours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include in any Underwritten Shelf Takedown the securities requested to be included by any holder (each a “</w:t>
      </w:r>
      <w:r>
        <w:rPr>
          <w:rFonts w:ascii="Arial" w:cs="Arial" w:eastAsia="Arial" w:hAnsi="Arial"/>
          <w:sz w:val="17"/>
          <w:szCs w:val="17"/>
          <w:b w:val="1"/>
          <w:bCs w:val="1"/>
          <w:i w:val="1"/>
          <w:iCs w:val="1"/>
          <w:color w:val="auto"/>
        </w:rPr>
        <w:t>Takedown Requesting Holder</w:t>
      </w:r>
      <w:r>
        <w:rPr>
          <w:rFonts w:ascii="Arial" w:cs="Arial" w:eastAsia="Arial" w:hAnsi="Arial"/>
          <w:sz w:val="17"/>
          <w:szCs w:val="17"/>
          <w:color w:val="auto"/>
        </w:rPr>
        <w:t xml:space="preserve">”) at least 24 hours prior to the public announcement of such Underwritten Shelf Takedown pursuant to written contractual piggyback registration rights of such holder (including to those set forth herein). The Sponsor shall have the right to select the underwriter(s) for such offering (which shall consist of one or more reputable nationally recognized investment banks), subject to the Company’s prior approval which shall not be unreasonably withheld, conditioned or delayed. For purposes of clarity, any Registration effected pursuant to this </w:t>
      </w:r>
      <w:r>
        <w:rPr>
          <w:rFonts w:ascii="Arial" w:cs="Arial" w:eastAsia="Arial" w:hAnsi="Arial"/>
          <w:sz w:val="17"/>
          <w:szCs w:val="17"/>
          <w:u w:val="single" w:color="auto"/>
          <w:color w:val="auto"/>
        </w:rPr>
        <w:t>subsection 2.3.3</w:t>
      </w:r>
      <w:r>
        <w:rPr>
          <w:rFonts w:ascii="Arial" w:cs="Arial" w:eastAsia="Arial" w:hAnsi="Arial"/>
          <w:sz w:val="17"/>
          <w:szCs w:val="17"/>
          <w:color w:val="auto"/>
        </w:rPr>
        <w:t xml:space="preserve"> shall not be counted as a Registration pursuant to a Demand Registration effected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w:t>
      </w:r>
    </w:p>
    <w:p>
      <w:pPr>
        <w:spacing w:after="0" w:line="7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2.3.4 If the managing Underwriter or Underwriters in an Underwritten Shelf Takedown, in good faith, advises the Company, the Sponsor and the Takedown Requesting Holders (if any) in writing that the dollar amount or number of Registrable Securities that the Sponsor and the Takedown Requesting Holders (if any) desire to sell, taken together with all other Ordinary Shares or other equity securities that the Company desires to sell, exceeds the Maximum Number of Securities, then the Company shall include in such Underwritten Shelf Takedown, as follows: (i) first, the Registrable Securities of the Sponsor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the Takedown Requesting Holders, if any, that can be sold without exceeding the Maximum Number of Securities, determined Pro Rata based on the respective number of Registrable Securities that each Takedown Requesting Holder has so requested to be included in such Underwritten Shelf Takedown.</w:t>
      </w:r>
    </w:p>
    <w:p>
      <w:pPr>
        <w:sectPr>
          <w:pgSz w:w="11900" w:h="16838" w:orient="portrait"/>
          <w:cols w:equalWidth="0" w:num="1">
            <w:col w:w="11000"/>
          </w:cols>
          <w:pgMar w:left="440" w:top="274" w:right="459" w:bottom="1440" w:gutter="0" w:footer="0" w:header="0"/>
        </w:sectPr>
      </w:pPr>
    </w:p>
    <w:bookmarkStart w:id="368" w:name="page369"/>
    <w:bookmarkEnd w:id="368"/>
    <w:p>
      <w:pPr>
        <w:ind w:left="4"/>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2.3.5 The Sponsor shall have the right to withdraw from an Underwritten Shelf Takedown for any or no reason whatsoever upon written notification to the Company and the Underwriter or Underwriters (if any) of its intention to withdraw from such Underwritten Shelf Takedown prior to the public announcement of such Underwritten Shelf Takedown. Notwithstanding anything to the contrary in this Agreement, the Company shall be responsible for the Registration Expenses incurred in connection with an Underwritten Shelf Takedown prior to a withdrawal under this </w:t>
      </w:r>
      <w:r>
        <w:rPr>
          <w:rFonts w:ascii="Arial" w:cs="Arial" w:eastAsia="Arial" w:hAnsi="Arial"/>
          <w:sz w:val="16"/>
          <w:szCs w:val="16"/>
          <w:u w:val="single" w:color="auto"/>
          <w:color w:val="auto"/>
        </w:rPr>
        <w:t>subsection 2.3.5</w:t>
      </w:r>
      <w:r>
        <w:rPr>
          <w:rFonts w:ascii="Arial" w:cs="Arial" w:eastAsia="Arial" w:hAnsi="Arial"/>
          <w:sz w:val="16"/>
          <w:szCs w:val="16"/>
          <w:color w:val="auto"/>
        </w:rPr>
        <w:t>.</w:t>
      </w:r>
    </w:p>
    <w:p>
      <w:pPr>
        <w:spacing w:after="0" w:line="49" w:lineRule="exact"/>
        <w:rPr>
          <w:sz w:val="20"/>
          <w:szCs w:val="20"/>
          <w:color w:val="auto"/>
        </w:rPr>
      </w:pPr>
    </w:p>
    <w:p>
      <w:pPr>
        <w:ind w:left="4" w:right="100"/>
        <w:spacing w:after="0" w:line="285"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subsection 2.1.1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w:t>
      </w:r>
    </w:p>
    <w:p>
      <w:pPr>
        <w:spacing w:after="0" w:line="2" w:lineRule="exact"/>
        <w:rPr>
          <w:sz w:val="20"/>
          <w:szCs w:val="20"/>
          <w:color w:val="auto"/>
        </w:rPr>
      </w:pPr>
    </w:p>
    <w:p>
      <w:pPr>
        <w:ind w:left="4" w:right="60" w:hanging="4"/>
        <w:spacing w:after="0" w:line="287" w:lineRule="auto"/>
        <w:tabs>
          <w:tab w:leader="none" w:pos="289"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provided, however, that the Company shall not defer its obligation in this manner more than once in any 12-month period. Notwithstanding anything to the contrary contained in this Agreement, no Registration shall be effected or permitted and no Registration Statement shall become effective, with respect to any Registrable Securities held by any Holder, until after the expiration of the Founder Shares Lock-Up Period or the Private Placement Lock-Up Period, as the case may be.</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COMPANY PROCEDURES</w:t>
      </w:r>
    </w:p>
    <w:p>
      <w:pPr>
        <w:spacing w:after="0" w:line="211" w:lineRule="exact"/>
        <w:rPr>
          <w:sz w:val="20"/>
          <w:szCs w:val="20"/>
          <w:color w:val="auto"/>
        </w:rPr>
      </w:pPr>
    </w:p>
    <w:p>
      <w:pPr>
        <w:ind w:left="4" w:right="120"/>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Procedure</w:t>
      </w:r>
      <w:r>
        <w:rPr>
          <w:rFonts w:ascii="Arial" w:cs="Arial" w:eastAsia="Arial" w:hAnsi="Arial"/>
          <w:sz w:val="16"/>
          <w:szCs w:val="16"/>
          <w:color w:val="auto"/>
        </w:rPr>
        <w:t>s.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41"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76"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80"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70" w:lineRule="exact"/>
        <w:rPr>
          <w:sz w:val="20"/>
          <w:szCs w:val="20"/>
          <w:color w:val="auto"/>
        </w:rPr>
      </w:pPr>
    </w:p>
    <w:p>
      <w:pPr>
        <w:ind w:left="4" w:right="580"/>
        <w:spacing w:after="0" w:line="311" w:lineRule="auto"/>
        <w:rPr>
          <w:sz w:val="20"/>
          <w:szCs w:val="20"/>
          <w:color w:val="auto"/>
        </w:rPr>
      </w:pPr>
      <w:r>
        <w:rPr>
          <w:rFonts w:ascii="Arial" w:cs="Arial" w:eastAsia="Arial" w:hAnsi="Arial"/>
          <w:sz w:val="16"/>
          <w:szCs w:val="16"/>
          <w:color w:val="auto"/>
        </w:rPr>
        <w:t>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w:t>
      </w:r>
    </w:p>
    <w:p>
      <w:pPr>
        <w:sectPr>
          <w:pgSz w:w="11900" w:h="16838" w:orient="portrait"/>
          <w:cols w:equalWidth="0" w:num="1">
            <w:col w:w="11004"/>
          </w:cols>
          <w:pgMar w:left="436" w:top="274" w:right="459" w:bottom="1440" w:gutter="0" w:footer="0" w:header="0"/>
        </w:sectPr>
      </w:pPr>
    </w:p>
    <w:bookmarkStart w:id="369" w:name="page370"/>
    <w:bookmarkEnd w:id="36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6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4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3.1.8 at least five (5) days prior to the filing of any Registration Statement or Prospectus or any amendment or supplement to such Registration Statement or Prospectus (other than by way of a document incorporated by reference) furnish a copy thereof to each seller of such Registrable Securities or its counsel;</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76"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 xml:space="preserve">3.1.10 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or Underwriters enter into a confidentiality agreement, in form and substance reasonably satisfactory to the Company, prior to the release or disclosure of any such information;</w:t>
      </w:r>
    </w:p>
    <w:p>
      <w:pPr>
        <w:spacing w:after="0" w:line="6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7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6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4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the Underwriter in any Underwritten Offering; and</w:t>
      </w:r>
    </w:p>
    <w:p>
      <w:pPr>
        <w:sectPr>
          <w:pgSz w:w="11900" w:h="16838" w:orient="portrait"/>
          <w:cols w:equalWidth="0" w:num="1">
            <w:col w:w="11000"/>
          </w:cols>
          <w:pgMar w:left="440" w:top="274" w:right="459" w:bottom="1440" w:gutter="0" w:footer="0" w:header="0"/>
        </w:sectPr>
      </w:pPr>
    </w:p>
    <w:bookmarkStart w:id="370" w:name="page371"/>
    <w:bookmarkEnd w:id="370"/>
    <w:p>
      <w:pPr>
        <w:ind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3.1.16 otherwise, in good faith, cooperate reasonably with, and take such customary actions as may reasonably be requested by the Holders, in connection with such Registration.</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Section 3.4.</w:t>
      </w:r>
    </w:p>
    <w:p>
      <w:pPr>
        <w:spacing w:after="0" w:line="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Reporting Obligations</w:t>
      </w:r>
      <w:r>
        <w:rPr>
          <w:rFonts w:ascii="Arial" w:cs="Arial" w:eastAsia="Arial" w:hAnsi="Arial"/>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Ordinary Shares held by such Holder without registration under the Securities Act within the limitation of the exemptions provided by Rule 144 promulgated under the Securities Act (or any successor rule promulgated thereafter by the Commission, to the extent that such rule or such successor rule is available to the Company), including providing any legal opinions. Upon the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CONTRIBUTION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w:t>
      </w:r>
    </w:p>
    <w:p>
      <w:pPr>
        <w:sectPr>
          <w:pgSz w:w="11900" w:h="16838" w:orient="portrait"/>
          <w:cols w:equalWidth="0" w:num="1">
            <w:col w:w="11000"/>
          </w:cols>
          <w:pgMar w:left="440" w:top="274" w:right="459" w:bottom="1440" w:gutter="0" w:footer="0" w:header="0"/>
        </w:sectPr>
      </w:pPr>
    </w:p>
    <w:bookmarkStart w:id="371" w:name="page372"/>
    <w:bookmarkEnd w:id="371"/>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7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6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7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4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4.1.5 If the indemnification provided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liability of any Holder under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shall be limited to the amount</w:t>
      </w:r>
    </w:p>
    <w:p>
      <w:pPr>
        <w:sectPr>
          <w:pgSz w:w="11900" w:h="16838" w:orient="portrait"/>
          <w:cols w:equalWidth="0" w:num="1">
            <w:col w:w="11000"/>
          </w:cols>
          <w:pgMar w:left="440" w:top="274" w:right="459" w:bottom="1440" w:gutter="0" w:footer="0" w:header="0"/>
        </w:sectPr>
      </w:pPr>
    </w:p>
    <w:bookmarkStart w:id="372" w:name="page373"/>
    <w:bookmarkEnd w:id="372"/>
    <w:p>
      <w:pPr>
        <w:ind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7"/>
          <w:szCs w:val="17"/>
          <w:u w:val="single" w:color="auto"/>
          <w:color w:val="auto"/>
        </w:rPr>
        <w:t>subsections 4.1.1</w:t>
      </w:r>
      <w:r>
        <w:rPr>
          <w:rFonts w:ascii="Arial" w:cs="Arial" w:eastAsia="Arial" w:hAnsi="Arial"/>
          <w:sz w:val="17"/>
          <w:szCs w:val="17"/>
          <w:color w:val="auto"/>
        </w:rPr>
        <w:t xml:space="preserve">, </w:t>
      </w:r>
      <w:r>
        <w:rPr>
          <w:rFonts w:ascii="Arial" w:cs="Arial" w:eastAsia="Arial" w:hAnsi="Arial"/>
          <w:sz w:val="17"/>
          <w:szCs w:val="17"/>
          <w:u w:val="single" w:color="auto"/>
          <w:color w:val="auto"/>
        </w:rPr>
        <w:t>4.1.2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4.1.3</w:t>
      </w:r>
      <w:r>
        <w:rPr>
          <w:rFonts w:ascii="Arial" w:cs="Arial" w:eastAsia="Arial" w:hAnsi="Arial"/>
          <w:sz w:val="17"/>
          <w:szCs w:val="17"/>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No person guilty of fraudulent misrepresentation (within the meaning of Section 11(f) of the Securities Act) shall be entitled to contribution pursuant to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from any person who was not guilty of such fraudulent misrepresentation.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SHAREHOLDER RIGHTS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5.1 Subject to the terms and conditions of this Agreement, at any time and from time to time on or after the date that the Company consummates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and for so long as the Sponsor holds any Registrable Securities:</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5.1.1 The Sponsor shall have the right, but not the obligation, to designate three individuals to be appointed or nominated, as the case may be, for election to the Board (including any successor, each, a “</w:t>
      </w:r>
      <w:r>
        <w:rPr>
          <w:rFonts w:ascii="Arial" w:cs="Arial" w:eastAsia="Arial" w:hAnsi="Arial"/>
          <w:sz w:val="18"/>
          <w:szCs w:val="18"/>
          <w:b w:val="1"/>
          <w:bCs w:val="1"/>
          <w:i w:val="1"/>
          <w:iCs w:val="1"/>
          <w:color w:val="auto"/>
        </w:rPr>
        <w:t>Nominee</w:t>
      </w:r>
      <w:r>
        <w:rPr>
          <w:rFonts w:ascii="Arial" w:cs="Arial" w:eastAsia="Arial" w:hAnsi="Arial"/>
          <w:sz w:val="18"/>
          <w:szCs w:val="18"/>
          <w:color w:val="auto"/>
        </w:rPr>
        <w:t>”) by giving written notice to the Company on or before the time such information is reasonably requested by the Board or the Nominating Committee of the Board, as applicable, for inclusion in a proxy statement for a meeting of shareholders provided to the Sponsor.</w:t>
      </w:r>
    </w:p>
    <w:p>
      <w:pPr>
        <w:spacing w:after="0" w:line="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5.1.2 The Company will, as promptly as practicable, use its best efforts to take all necessary and desirable actions (including, without limitation, calling special meetings of the Board and the shareholders and recommending, supporting and soliciting proxies) so that there are three Sponsor Directors serving on the Board at all times.</w:t>
      </w:r>
    </w:p>
    <w:p>
      <w:pPr>
        <w:spacing w:after="0" w:line="7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5.1.3 The Company shall, to the fullest extent permitted by applicable law, use its best efforts to take all actions necessary to ensure that: (i) each Nominee is included in the Board’s slate of nominees to the shareholders of the Company for each election of Directors; and (ii) each Nominee is included in the proxy statement prepared by management of the Company in connection with soliciting proxies for every meeting of the shareholders of the Company called with respect to the election of members of the Board, and at every adjournment or postponement thereof, and on every action or approval by written consent of the shareholders of the Company or the Board with respect to the election of members of the Board.</w:t>
      </w:r>
    </w:p>
    <w:p>
      <w:pPr>
        <w:spacing w:after="0" w:line="5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5.1.4 If a vacancy occurs because of the death, disability, disqualification, resignation, or removal of a Sponsor Director or for any other reason, the Sponsor shall be entitled to designate such person’s successor, and the Company will, as promptly as practicable following such designation, use its best efforts to take all necessary and desirable actions, to the fullest extent permitted by law, within its control such that such vacancy shall be filled with such successor Nominee.</w:t>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5.1.5 If a Nominee is not elected because of such Nominee’s death, disability, disqualification, withdrawal as a nominee or for any other reason, the Sponsor shall be entitled to designate promptly another Nominee and the Company will take all necessary and desirable actions within its control such that the director position for which such Nominee was nominated shall not be filled pending such designation or the size of the Board shall be increased by one and such vacancy shall be filled with such successor Nominee as promptly as practicable following such designation.</w:t>
      </w:r>
    </w:p>
    <w:p>
      <w:pPr>
        <w:spacing w:after="0" w:line="6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5.1.6 As promptly as reasonably practicable following the request of any Sponsor Director, the Company shall enter into an indemnification agreement with such Sponsor Director, in the form entered into with the other members of the Board. The Company shall pay the reasonable, documented out-of-pocket expenses incurred by the Sponsor Director in connection with his or her services provided to or on behalf of the Company, including attending meetings or events attended explicitly on behalf of the Company at the Company’s request.</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5.1.7 The Company shall (i) purchase directors’ and officers’ liability insurance in an amount determined by the Board to be reasonable and customary and (ii) for so long as a Sponsor Director serves as a Director of the Company, maintain such coverage with respect to such Sponsor Director;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upon removal or resignation of such Sponsor Director for any reason, the Company shall take all actions reasonably necessary to extend such</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officers’ liability insurance coverage for a period of not less than six years from any such event in respect of any act or omission occurring at or prior to such event.</w:t>
      </w:r>
    </w:p>
    <w:p>
      <w:pPr>
        <w:sectPr>
          <w:pgSz w:w="11900" w:h="16838" w:orient="portrait"/>
          <w:cols w:equalWidth="0" w:num="1">
            <w:col w:w="11000"/>
          </w:cols>
          <w:pgMar w:left="440" w:top="274" w:right="459" w:bottom="1440" w:gutter="0" w:footer="0" w:header="0"/>
        </w:sectPr>
      </w:pPr>
    </w:p>
    <w:bookmarkStart w:id="373" w:name="page374"/>
    <w:bookmarkEnd w:id="373"/>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5.1.8 For so long as a Sponsor Director serves as a Director of the Company, the Company shall not amend, alter or repeal any right to indemnification or exculpation covering or benefiting any Director nominated pursuant to this Agreement as and to the extent consistent with applicable law, whether such right is contained in the Company’s amended and restated memorandum and articles of association, each as amended, or another document (except to the extent such amendment or alteration permits the Company to provide broader indemnification or exculpation rights on a retroactive basis than permitted prior thereto).</w:t>
      </w:r>
    </w:p>
    <w:p>
      <w:pPr>
        <w:spacing w:after="0" w:line="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5.1.9 Each Nominee may, but does not need to qualify as “independent” pursuant to listing standards of the New York Stock Exchange (or such other national securities exchange upon which the Company’s securities are then listed).</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5.1.10 Any Nominee will be subject to the Company’s customary due diligence process, including its review of a completed questionnaire and a background check. Based on the foregoing, the Company may object to any Nominee provided (a) it does so in good faith, and (b) such objection is based upon any of the following: (i) such Nominee was convicted in a criminal proceeding or is a named subject of a pending criminal proceeding (excluding traffic violations and other minor offenses), (ii) such Nominee was the subject of any order, judgment, or decree not subsequently reversed, suspended or vacated of any court of competent jurisdiction, permanently or temporarily enjoining such proposed director from, or otherwise limiting, the following activities: (A) engaging in any type of business practice, or (B) engaging in any activity in connection with the purchase or sale of any security or in connection with any violation of federal or state securities laws, (iii) such Nominee was the subject of any order, judgment or decree, not subsequently reversed, suspended or vacated, of any federal or state authority barring, suspending or otherwise limiting for more than 60 days the right of such person to engage in any activity described in clause (ii)(B), or to be associated with persons engaged in such activity, (iv) such proposed director was found by a court of competent jurisdiction in a civil action or by the Commission to have violated any federal or state securities law, and the judgment in such civil action or finding by the Commission has not been subsequently reversed, suspended or vacated, or (v) such proposed director was the subject of, or a party to any federal or state judicial or administrative order, judgment, decree, or finding, not subsequently reversed, suspended or vacated, relating to a violation of any federal or state securities laws or regulations. In the event the Board reasonably finds the Nominee to be unsuitable based upon one or more of the foregoing clauses (i) through (v) and reasonably objects to the identified director, Sponsor shall be entitled to propose a different nominee to the Board within 30 calendar days of the Company’s notice to Sponsor of its objection to the Nominee and such replacement Nominee shall be subject to the review process outlined above.</w:t>
      </w:r>
    </w:p>
    <w:p>
      <w:pPr>
        <w:spacing w:after="0" w:line="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5.1.11 The Company shall take all necessary action to cause a Nominee chosen by the Sponsor, at the request of such Nominee to be elected to the board of directors (or similar governing body) of each material operating subsidiary of the Company. The Nominee, as applicable, shall have the right to attend (in person or remotely) any meetings of the board of directors (or similar governing body or committee thereof) of each subsidiary of the Company.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Notices</w:t>
      </w:r>
      <w:r>
        <w:rPr>
          <w:rFonts w:ascii="Arial" w:cs="Arial" w:eastAsia="Arial" w:hAnsi="Arial"/>
          <w:sz w:val="17"/>
          <w:szCs w:val="17"/>
          <w:color w:val="auto"/>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200 Clarendon Street, 55th Floor, Boston, MA 02116, Attention: Christine Miller, with copy to: Kirkland &amp; Ellis LLP, 601 Lexington Avenue, New York, New York 10022, Attention: Christian O. Nagler and James S. Rowe,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Section 6.1.</w:t>
      </w:r>
    </w:p>
    <w:p>
      <w:pPr>
        <w:sectPr>
          <w:pgSz w:w="11900" w:h="16838" w:orient="portrait"/>
          <w:cols w:equalWidth="0" w:num="1">
            <w:col w:w="11000"/>
          </w:cols>
          <w:pgMar w:left="440" w:top="274" w:right="459"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6.2 </w:t>
      </w:r>
      <w:r>
        <w:rPr>
          <w:rFonts w:ascii="Arial" w:cs="Arial" w:eastAsia="Arial" w:hAnsi="Arial"/>
          <w:sz w:val="18"/>
          <w:szCs w:val="18"/>
          <w:u w:val="single" w:color="auto"/>
          <w:color w:val="auto"/>
        </w:rPr>
        <w:t>Assignment; No Third Party Beneficiaries.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6.2.1 This Agreement and the rights, duties and obligations of the Company hereunder may not be assigned or delegated by the Company in whole or in part.</w:t>
      </w:r>
    </w:p>
    <w:p>
      <w:pPr>
        <w:spacing w:after="0" w:line="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6.2.2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w:t>
      </w:r>
    </w:p>
    <w:p>
      <w:pPr>
        <w:spacing w:after="0" w:line="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6.2.3 This Agreement and the provisions hereof shall be binding upon and shall inure to the benefit of each of the parties and its successors and the permitted assigns of the Holders, which shall include Permitted Transferees.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6.2.4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hereof.</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6.2.5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be null and void.</w:t>
      </w:r>
    </w:p>
    <w:p>
      <w:pPr>
        <w:spacing w:after="0" w:line="8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6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5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Governing Law; Venue</w:t>
      </w:r>
      <w:r>
        <w:rPr>
          <w:rFonts w:ascii="Arial" w:cs="Arial" w:eastAsia="Arial" w:hAnsi="Arial"/>
          <w:sz w:val="17"/>
          <w:szCs w:val="17"/>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w:t>
      </w:r>
    </w:p>
    <w:p>
      <w:pPr>
        <w:spacing w:after="0" w:line="5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u w:val="single" w:color="auto"/>
          <w:color w:val="auto"/>
        </w:rPr>
        <w:t>WAIVER OF TRIAL BY JURY</w:t>
      </w:r>
      <w:r>
        <w:rPr>
          <w:rFonts w:ascii="Arial" w:cs="Arial" w:eastAsia="Arial" w:hAnsi="Arial"/>
          <w:sz w:val="18"/>
          <w:szCs w:val="18"/>
          <w:b w:val="1"/>
          <w:bCs w:val="1"/>
          <w:color w:val="auto"/>
        </w:rPr>
        <w:t>. EACH PARTY HEREBY IRREVOCABLY AND UNCONDITIONALLY WAIVES THE RIGHT TO A</w:t>
      </w:r>
      <w:r>
        <w:rPr>
          <w:rFonts w:ascii="Arial" w:cs="Arial" w:eastAsia="Arial" w:hAnsi="Arial"/>
          <w:sz w:val="18"/>
          <w:szCs w:val="18"/>
          <w:color w:val="auto"/>
        </w:rPr>
        <w:t xml:space="preserve"> </w:t>
      </w:r>
      <w:r>
        <w:rPr>
          <w:rFonts w:ascii="Arial" w:cs="Arial" w:eastAsia="Arial" w:hAnsi="Arial"/>
          <w:sz w:val="18"/>
          <w:szCs w:val="18"/>
          <w:b w:val="1"/>
          <w:bCs w:val="1"/>
          <w:color w:val="auto"/>
        </w:rPr>
        <w:t>TRIAL BY JURY IN ANY ACTION, SUIT, COUNTERCLAIM OR OTHER PROCEEDING (WHETHER BASED ON CONTRACT, TORT OR OTHERWISE) ARISING OUT OF, CONNECTED WITH OR RELATING TO THIS AGREEMENT, THE TRANSACTIONS CONTEMPLATED HEREBY, OR THE ACTIONS OF THE SPONSOR IN THE NEGOTIATION, ADMINISTRATION, PERFORMANCE OR ENFORCEMENT HEREOF.</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its capacity as a holder of the shares of the Company, in a manner that is materially different from the other Holders (in such capacity) shall require the consent of the Holder so</w:t>
      </w:r>
    </w:p>
    <w:p>
      <w:pPr>
        <w:sectPr>
          <w:pgSz w:w="11900" w:h="16838" w:orient="portrait"/>
          <w:cols w:equalWidth="0" w:num="1">
            <w:col w:w="11000"/>
          </w:cols>
          <w:pgMar w:left="440" w:top="274" w:right="459" w:bottom="1440" w:gutter="0" w:footer="0" w:header="0"/>
        </w:sectPr>
      </w:pPr>
    </w:p>
    <w:bookmarkStart w:id="375" w:name="page376"/>
    <w:bookmarkEnd w:id="375"/>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7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Waivers and Extensions</w:t>
      </w:r>
      <w:r>
        <w:rPr>
          <w:rFonts w:ascii="Arial" w:cs="Arial" w:eastAsia="Arial" w:hAnsi="Arial"/>
          <w:sz w:val="17"/>
          <w:szCs w:val="17"/>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In the event that the Company fails to observe or perform any covenant or agreement to be observed or performed under this Agreement, the Holders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6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upon the earlier of (i) the tenth anniversary of the date of this Agreement and (ii) the date as of which no Registrable Securities remain outstanding. The provisions of Section 3.5 and </w:t>
      </w:r>
      <w:r>
        <w:rPr>
          <w:rFonts w:ascii="Arial" w:cs="Arial" w:eastAsia="Arial" w:hAnsi="Arial"/>
          <w:sz w:val="18"/>
          <w:szCs w:val="18"/>
          <w:i w:val="1"/>
          <w:iCs w:val="1"/>
          <w:color w:val="auto"/>
        </w:rPr>
        <w:t>Article IV</w:t>
      </w:r>
      <w:r>
        <w:rPr>
          <w:rFonts w:ascii="Arial" w:cs="Arial" w:eastAsia="Arial" w:hAnsi="Arial"/>
          <w:sz w:val="18"/>
          <w:szCs w:val="18"/>
          <w:color w:val="auto"/>
        </w:rPr>
        <w:t xml:space="preserve"> shall survive any termination.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undersigned have caused this Agreement to be executed as of the date first written above.</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and Shareholder Rights Agreement</w:t>
      </w:r>
      <w:r>
        <w:rPr>
          <w:rFonts w:ascii="Arial" w:cs="Arial" w:eastAsia="Arial" w:hAnsi="Arial"/>
          <w:sz w:val="18"/>
          <w:szCs w:val="18"/>
          <w:color w:val="auto"/>
        </w:rPr>
        <w:t>]</w:t>
      </w:r>
    </w:p>
    <w:p>
      <w:pPr>
        <w:sectPr>
          <w:pgSz w:w="11900" w:h="16838" w:orient="portrait"/>
          <w:cols w:equalWidth="0" w:num="1">
            <w:col w:w="10220"/>
          </w:cols>
          <w:pgMar w:left="440" w:top="270" w:right="1239" w:bottom="1440" w:gutter="0" w:footer="0" w:header="0"/>
        </w:sectPr>
      </w:pPr>
    </w:p>
    <w:bookmarkStart w:id="377" w:name="page378"/>
    <w:bookmarkEnd w:id="37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HOLDERS: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ARCLIGHT CTC HOLDINGS II, L.P., </w:t>
      </w:r>
      <w:r>
        <w:rPr>
          <w:rFonts w:ascii="Arial" w:cs="Arial" w:eastAsia="Arial" w:hAnsi="Arial"/>
          <w:sz w:val="18"/>
          <w:szCs w:val="18"/>
          <w:color w:val="auto"/>
        </w:rPr>
        <w:t>a Delaware</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 partnership</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ACTC HOLDINGS GP II, LLC, its general partner</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ArcLight Capital Holdings, LLC, its Manager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ACHP II, L.P., its Managing Member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ACH GP, LLC, its 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Daniel R. Revers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Managert</w:t>
      </w:r>
    </w:p>
    <w:p>
      <w:pPr>
        <w:spacing w:after="0" w:line="21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and Shareholder Rights Agreement</w:t>
      </w:r>
      <w:r>
        <w:rPr>
          <w:rFonts w:ascii="Arial" w:cs="Arial" w:eastAsia="Arial" w:hAnsi="Arial"/>
          <w:sz w:val="18"/>
          <w:szCs w:val="18"/>
          <w:color w:val="auto"/>
        </w:rPr>
        <w:t>]</w:t>
      </w:r>
    </w:p>
    <w:p>
      <w:pPr>
        <w:sectPr>
          <w:pgSz w:w="11900" w:h="16838" w:orient="portrait"/>
          <w:cols w:equalWidth="0" w:num="1">
            <w:col w:w="9620"/>
          </w:cols>
          <w:pgMar w:left="1440" w:top="274" w:right="839" w:bottom="1440" w:gutter="0" w:footer="0" w:header="0"/>
        </w:sectPr>
      </w:pPr>
    </w:p>
    <w:bookmarkStart w:id="378" w:name="page379"/>
    <w:bookmarkEnd w:id="37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Arno Harris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and Shareholder Rights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79" w:name="page380"/>
    <w:bookmarkEnd w:id="37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Ja-Chin Audrey Lee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and Shareholder Rights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80" w:name="page381"/>
    <w:bookmarkEnd w:id="38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Brian Goncher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and Shareholder Rights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81" w:name="page382"/>
    <w:bookmarkEnd w:id="38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Steven Berkenfeld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and Shareholder Rights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PRIVATE PLACEMENT WARRANTS PURCHASE AGREEMENT</w:t>
      </w:r>
    </w:p>
    <w:p>
      <w:pPr>
        <w:spacing w:after="0" w:line="229" w:lineRule="exact"/>
        <w:rPr>
          <w:sz w:val="20"/>
          <w:szCs w:val="20"/>
          <w:color w:val="auto"/>
        </w:rPr>
      </w:pPr>
    </w:p>
    <w:p>
      <w:pPr>
        <w:ind w:left="4" w:right="580"/>
        <w:spacing w:after="0" w:line="286" w:lineRule="auto"/>
        <w:rPr>
          <w:sz w:val="20"/>
          <w:szCs w:val="20"/>
          <w:color w:val="auto"/>
        </w:rPr>
      </w:pPr>
      <w:r>
        <w:rPr>
          <w:rFonts w:ascii="Arial" w:cs="Arial" w:eastAsia="Arial" w:hAnsi="Arial"/>
          <w:sz w:val="17"/>
          <w:szCs w:val="17"/>
          <w:color w:val="auto"/>
        </w:rPr>
        <w:t>THIS PRIVATE PLACEMENT WARRANTS PURCHASE AGREEMENT (as it may from time to time be amended and including all exhibits referenced herein,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 2021, is entered into by and between ArcLight Clean Transition Corp. II,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ArcLight CTC Holdings II, L.P., a Delaware limited partnership (the “</w:t>
      </w:r>
      <w:r>
        <w:rPr>
          <w:rFonts w:ascii="Arial" w:cs="Arial" w:eastAsia="Arial" w:hAnsi="Arial"/>
          <w:sz w:val="17"/>
          <w:szCs w:val="17"/>
          <w:b w:val="1"/>
          <w:bCs w:val="1"/>
          <w:i w:val="1"/>
          <w:iCs w:val="1"/>
          <w:color w:val="auto"/>
        </w:rPr>
        <w:t>Purchaser</w:t>
      </w:r>
      <w:r>
        <w:rPr>
          <w:rFonts w:ascii="Arial" w:cs="Arial" w:eastAsia="Arial" w:hAnsi="Arial"/>
          <w:sz w:val="17"/>
          <w:szCs w:val="17"/>
          <w:color w:val="auto"/>
        </w:rPr>
        <w:t>”).</w:t>
      </w:r>
    </w:p>
    <w:p>
      <w:pPr>
        <w:spacing w:after="0" w:line="165" w:lineRule="exact"/>
        <w:rPr>
          <w:sz w:val="20"/>
          <w:szCs w:val="20"/>
          <w:color w:val="auto"/>
        </w:rPr>
      </w:pPr>
    </w:p>
    <w:p>
      <w:pPr>
        <w:ind w:left="4" w:right="120"/>
        <w:spacing w:after="0" w:line="257" w:lineRule="auto"/>
        <w:rPr>
          <w:sz w:val="20"/>
          <w:szCs w:val="20"/>
          <w:color w:val="auto"/>
        </w:rPr>
      </w:pPr>
      <w:r>
        <w:rPr>
          <w:rFonts w:ascii="Arial" w:cs="Arial" w:eastAsia="Arial" w:hAnsi="Arial"/>
          <w:sz w:val="18"/>
          <w:szCs w:val="18"/>
          <w:color w:val="auto"/>
        </w:rPr>
        <w:t>WHEREAS, the Company intends to consummate an initial public offering of the Company’s units (the “</w:t>
      </w:r>
      <w:r>
        <w:rPr>
          <w:rFonts w:ascii="Arial" w:cs="Arial" w:eastAsia="Arial" w:hAnsi="Arial"/>
          <w:sz w:val="18"/>
          <w:szCs w:val="18"/>
          <w:b w:val="1"/>
          <w:bCs w:val="1"/>
          <w:i w:val="1"/>
          <w:iCs w:val="1"/>
          <w:color w:val="auto"/>
        </w:rPr>
        <w:t>Public Offering</w:t>
      </w:r>
      <w:r>
        <w:rPr>
          <w:rFonts w:ascii="Arial" w:cs="Arial" w:eastAsia="Arial" w:hAnsi="Arial"/>
          <w:sz w:val="18"/>
          <w:szCs w:val="18"/>
          <w:color w:val="auto"/>
        </w:rPr>
        <w:t>”), each unit consisting of one Class A ordinary share of the Company, par value $0.0001 per share (each, a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and one-fifth of one redeemable warrant, each whole warrant entitling the holder to purchase one Share at an exercise price of $11.50 per Share, as set forth in the Company’s Registration Statement on Form S-1, filed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File Number 333-252730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88" w:lineRule="exact"/>
        <w:rPr>
          <w:sz w:val="20"/>
          <w:szCs w:val="20"/>
          <w:color w:val="auto"/>
        </w:rPr>
      </w:pPr>
    </w:p>
    <w:p>
      <w:pPr>
        <w:ind w:left="4" w:right="560"/>
        <w:spacing w:after="0" w:line="259" w:lineRule="auto"/>
        <w:rPr>
          <w:sz w:val="20"/>
          <w:szCs w:val="20"/>
          <w:color w:val="auto"/>
        </w:rPr>
      </w:pPr>
      <w:r>
        <w:rPr>
          <w:rFonts w:ascii="Arial" w:cs="Arial" w:eastAsia="Arial" w:hAnsi="Arial"/>
          <w:sz w:val="18"/>
          <w:szCs w:val="18"/>
          <w:color w:val="auto"/>
        </w:rPr>
        <w:t>WHEREAS, the Purchaser has agreed to purchase an aggregate of 8,000,000 warrants (and up to 8,750,000 additional redeemable warrants if the underwriters in the Public Offering exercises their option to purchase additional units in full) (the “</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each Private Placement Warrant entitling the holder to purchase one Share at an exercise price of $11.50 per Share, at a price of $1.00 per warrant, subject to adjustment.</w:t>
      </w:r>
    </w:p>
    <w:p>
      <w:pPr>
        <w:spacing w:after="0" w:line="187" w:lineRule="exact"/>
        <w:rPr>
          <w:sz w:val="20"/>
          <w:szCs w:val="20"/>
          <w:color w:val="auto"/>
        </w:rPr>
      </w:pPr>
    </w:p>
    <w:p>
      <w:pPr>
        <w:ind w:left="4" w:right="240"/>
        <w:spacing w:after="0" w:line="342" w:lineRule="auto"/>
        <w:rPr>
          <w:sz w:val="20"/>
          <w:szCs w:val="20"/>
          <w:color w:val="auto"/>
        </w:rPr>
      </w:pPr>
      <w:r>
        <w:rPr>
          <w:rFonts w:ascii="Arial" w:cs="Arial" w:eastAsia="Arial" w:hAnsi="Arial"/>
          <w:sz w:val="16"/>
          <w:szCs w:val="16"/>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340"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AGREEMENT</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 Authorization, Purchase and Sale; Terms of the Private Placement Warrants</w:t>
      </w:r>
      <w:r>
        <w:rPr>
          <w:rFonts w:ascii="Arial" w:cs="Arial" w:eastAsia="Arial" w:hAnsi="Arial"/>
          <w:sz w:val="18"/>
          <w:szCs w:val="18"/>
          <w:color w:val="auto"/>
        </w:rPr>
        <w:t>.</w:t>
      </w:r>
    </w:p>
    <w:p>
      <w:pPr>
        <w:spacing w:after="0" w:line="121"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Authorization of the Private Placement Warrants</w:t>
      </w:r>
      <w:r>
        <w:rPr>
          <w:rFonts w:ascii="Arial" w:cs="Arial" w:eastAsia="Arial" w:hAnsi="Arial"/>
          <w:sz w:val="18"/>
          <w:szCs w:val="18"/>
          <w:color w:val="auto"/>
        </w:rPr>
        <w:t>. The Company has duly authorized the issuance and sale of the Private Placement Warrants to the Purchaser.</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Purchase and Sale of the Private Placement Warrants</w:t>
      </w:r>
      <w:r>
        <w:rPr>
          <w:rFonts w:ascii="Arial" w:cs="Arial" w:eastAsia="Arial" w:hAnsi="Arial"/>
          <w:sz w:val="18"/>
          <w:szCs w:val="18"/>
          <w:color w:val="auto"/>
        </w:rPr>
        <w:t>.</w:t>
      </w:r>
    </w:p>
    <w:p>
      <w:pPr>
        <w:spacing w:after="0" w:line="117" w:lineRule="exact"/>
        <w:rPr>
          <w:sz w:val="20"/>
          <w:szCs w:val="20"/>
          <w:color w:val="auto"/>
        </w:rPr>
      </w:pPr>
    </w:p>
    <w:p>
      <w:pPr>
        <w:ind w:left="4" w:right="220" w:hanging="4"/>
        <w:spacing w:after="0" w:line="290" w:lineRule="auto"/>
        <w:tabs>
          <w:tab w:leader="none" w:pos="219" w:val="left"/>
        </w:tabs>
        <w:numPr>
          <w:ilvl w:val="0"/>
          <w:numId w:val="281"/>
        </w:numPr>
        <w:rPr>
          <w:rFonts w:ascii="Arial" w:cs="Arial" w:eastAsia="Arial" w:hAnsi="Arial"/>
          <w:sz w:val="16"/>
          <w:szCs w:val="16"/>
          <w:color w:val="auto"/>
        </w:rPr>
      </w:pPr>
      <w:r>
        <w:rPr>
          <w:rFonts w:ascii="Arial" w:cs="Arial" w:eastAsia="Arial" w:hAnsi="Arial"/>
          <w:sz w:val="16"/>
          <w:szCs w:val="16"/>
          <w:color w:val="auto"/>
        </w:rPr>
        <w:t>On the date of the consummation of the Public Offering (the “</w:t>
      </w:r>
      <w:r>
        <w:rPr>
          <w:rFonts w:ascii="Arial" w:cs="Arial" w:eastAsia="Arial" w:hAnsi="Arial"/>
          <w:sz w:val="16"/>
          <w:szCs w:val="16"/>
          <w:b w:val="1"/>
          <w:bCs w:val="1"/>
          <w:i w:val="1"/>
          <w:iCs w:val="1"/>
          <w:color w:val="auto"/>
        </w:rPr>
        <w:t>IPO Closing Date</w:t>
      </w:r>
      <w:r>
        <w:rPr>
          <w:rFonts w:ascii="Arial" w:cs="Arial" w:eastAsia="Arial" w:hAnsi="Arial"/>
          <w:sz w:val="16"/>
          <w:szCs w:val="16"/>
          <w:color w:val="auto"/>
        </w:rPr>
        <w:t>”), the Company shall issue and sell to the Purchaser, and the Purchaser shall purchase from the Company, 8,000,000 Private Placement Warrants at a price of $1.00 per warrant for an aggregate purchase price of $8,000,000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The Purchaser shall pay the Purchase Price by wire transfer of immediately available funds in the following amounts: (i) $1,550,000 to the Company at a financial institution to be chosen by the Company, and (ii) $6,450,000 to the trust account maintained by Continental Stock Transfer &amp; Trust Company, acting as trustee (the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in each case in accordance with the Company’s wiring instructions, at least one (1) business day prior to the IPO Closing Date. On the IPO Closing Date, subject to the receipt of funds pursuant to the immediately prior sentence, the Company, at its option, shall deliver a certificate evidencing the Private Placement Warrants purchased on such date duly registered in the Purchaser’s name to the Purchaser or effect such delivery in book-entry form.</w:t>
      </w:r>
    </w:p>
    <w:p>
      <w:pPr>
        <w:spacing w:after="0" w:line="57" w:lineRule="exact"/>
        <w:rPr>
          <w:rFonts w:ascii="Arial" w:cs="Arial" w:eastAsia="Arial" w:hAnsi="Arial"/>
          <w:sz w:val="16"/>
          <w:szCs w:val="16"/>
          <w:color w:val="auto"/>
        </w:rPr>
      </w:pPr>
    </w:p>
    <w:p>
      <w:pPr>
        <w:ind w:left="4" w:right="60" w:hanging="4"/>
        <w:spacing w:after="0" w:line="289" w:lineRule="auto"/>
        <w:tabs>
          <w:tab w:leader="none" w:pos="269" w:val="left"/>
        </w:tabs>
        <w:numPr>
          <w:ilvl w:val="0"/>
          <w:numId w:val="281"/>
        </w:numPr>
        <w:rPr>
          <w:rFonts w:ascii="Arial" w:cs="Arial" w:eastAsia="Arial" w:hAnsi="Arial"/>
          <w:sz w:val="16"/>
          <w:szCs w:val="16"/>
          <w:color w:val="auto"/>
        </w:rPr>
      </w:pPr>
      <w:r>
        <w:rPr>
          <w:rFonts w:ascii="Arial" w:cs="Arial" w:eastAsia="Arial" w:hAnsi="Arial"/>
          <w:sz w:val="16"/>
          <w:szCs w:val="16"/>
          <w:color w:val="auto"/>
        </w:rPr>
        <w:t>On the date of the closing of the option to purchase additional units, if any, in connection with the Public Offering or on such earlier time and date as may be mutually agreed by the Purchaser and the Company (the “</w:t>
      </w:r>
      <w:r>
        <w:rPr>
          <w:rFonts w:ascii="Arial" w:cs="Arial" w:eastAsia="Arial" w:hAnsi="Arial"/>
          <w:sz w:val="16"/>
          <w:szCs w:val="16"/>
          <w:b w:val="1"/>
          <w:bCs w:val="1"/>
          <w:i w:val="1"/>
          <w:iCs w:val="1"/>
          <w:color w:val="auto"/>
        </w:rPr>
        <w:t>Option Closing Date</w:t>
      </w:r>
      <w:r>
        <w:rPr>
          <w:rFonts w:ascii="Arial" w:cs="Arial" w:eastAsia="Arial" w:hAnsi="Arial"/>
          <w:sz w:val="16"/>
          <w:szCs w:val="16"/>
          <w:color w:val="auto"/>
        </w:rPr>
        <w:t>”, and each Option Closing Date (if any) and the IPO Closing Date, a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the Company shall issue and sell to the Purchaser, and the Purchaser shall purchase from the Company, up to 500,000 Private Placement Warrants (or, to the extent the option to purchase additional units is not exercised in full, a lesser number of Private Placement Warrants in proportion to portion of the option that is exercised) at a price of $1.00 per warrant for an aggregate purchase price of up to $750,000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The Purchaser shall pay the Option Purchase Price in accordance with the Company’s wire instruction by wire transfer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immediately available funds to the Trust Account, at least one (1) business day prior to the Option Closing Date. On the Option Closing Date, subject to the receipt of funds pursuant to the immediately prior sentence, the Company shall, at its option, deliver a certificate evidencing the Private Placement Warrants purchased on such date duly registered in the Purchaser’s name to the Purchaser or effect such delivery in book-entry form.</w:t>
      </w:r>
    </w:p>
    <w:p>
      <w:pPr>
        <w:sectPr>
          <w:pgSz w:w="11900" w:h="16838" w:orient="portrait"/>
          <w:cols w:equalWidth="0" w:num="1">
            <w:col w:w="11024"/>
          </w:cols>
          <w:pgMar w:left="436" w:top="121" w:right="439" w:bottom="1440" w:gutter="0" w:footer="0" w:header="0"/>
        </w:sectPr>
      </w:pPr>
    </w:p>
    <w:bookmarkStart w:id="383" w:name="page384"/>
    <w:bookmarkEnd w:id="38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 </w:t>
      </w:r>
      <w:r>
        <w:rPr>
          <w:rFonts w:ascii="Arial" w:cs="Arial" w:eastAsia="Arial" w:hAnsi="Arial"/>
          <w:sz w:val="18"/>
          <w:szCs w:val="18"/>
          <w:u w:val="single" w:color="auto"/>
          <w:color w:val="auto"/>
        </w:rPr>
        <w:t>Terms of the Private Placement Warrants</w:t>
      </w:r>
      <w:r>
        <w:rPr>
          <w:rFonts w:ascii="Arial" w:cs="Arial" w:eastAsia="Arial" w:hAnsi="Arial"/>
          <w:sz w:val="18"/>
          <w:szCs w:val="18"/>
          <w:color w:val="auto"/>
        </w:rPr>
        <w:t>.</w:t>
      </w:r>
    </w:p>
    <w:p>
      <w:pPr>
        <w:spacing w:after="0" w:line="117" w:lineRule="exact"/>
        <w:rPr>
          <w:sz w:val="20"/>
          <w:szCs w:val="20"/>
          <w:color w:val="auto"/>
        </w:rPr>
      </w:pPr>
    </w:p>
    <w:p>
      <w:pPr>
        <w:ind w:left="4" w:right="60" w:hanging="4"/>
        <w:spacing w:after="0" w:line="277" w:lineRule="auto"/>
        <w:tabs>
          <w:tab w:leader="none" w:pos="219"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Private Placement Warrant shall have the terms set forth in a Warrant Agreement to be entered into by the Company and a warrant agent on the IPO Closing Date, in connection with the Public Offering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right="20" w:hanging="4"/>
        <w:spacing w:after="0" w:line="263" w:lineRule="auto"/>
        <w:tabs>
          <w:tab w:leader="none" w:pos="269" w:val="left"/>
        </w:tabs>
        <w:numPr>
          <w:ilvl w:val="0"/>
          <w:numId w:val="282"/>
        </w:numPr>
        <w:rPr>
          <w:rFonts w:ascii="Arial" w:cs="Arial" w:eastAsia="Arial" w:hAnsi="Arial"/>
          <w:sz w:val="18"/>
          <w:szCs w:val="18"/>
          <w:color w:val="auto"/>
        </w:rPr>
      </w:pPr>
      <w:r>
        <w:rPr>
          <w:rFonts w:ascii="Arial" w:cs="Arial" w:eastAsia="Arial" w:hAnsi="Arial"/>
          <w:sz w:val="18"/>
          <w:szCs w:val="18"/>
          <w:color w:val="auto"/>
        </w:rPr>
        <w:t>On the IPO Closing Date, the Company and the Purchaser shall enter into a registration and shareholder rights agreement (the “</w:t>
      </w:r>
      <w:r>
        <w:rPr>
          <w:rFonts w:ascii="Arial" w:cs="Arial" w:eastAsia="Arial" w:hAnsi="Arial"/>
          <w:sz w:val="18"/>
          <w:szCs w:val="18"/>
          <w:b w:val="1"/>
          <w:bCs w:val="1"/>
          <w:i w:val="1"/>
          <w:iCs w:val="1"/>
          <w:color w:val="auto"/>
        </w:rPr>
        <w:t>Registration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Shareholder Rights Agreement</w:t>
      </w:r>
      <w:r>
        <w:rPr>
          <w:rFonts w:ascii="Arial" w:cs="Arial" w:eastAsia="Arial" w:hAnsi="Arial"/>
          <w:sz w:val="18"/>
          <w:szCs w:val="18"/>
          <w:color w:val="auto"/>
        </w:rPr>
        <w:t>”) pursuant to which the Company will grant certain registration rights to the Purchaser relating to the Private Placement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and the Shares underlying the Private Placement Warrants.</w:t>
      </w:r>
    </w:p>
    <w:p>
      <w:pPr>
        <w:spacing w:after="0" w:line="180" w:lineRule="exact"/>
        <w:rPr>
          <w:sz w:val="20"/>
          <w:szCs w:val="20"/>
          <w:color w:val="auto"/>
        </w:rPr>
      </w:pPr>
    </w:p>
    <w:p>
      <w:pPr>
        <w:ind w:left="4"/>
        <w:spacing w:after="0" w:line="266" w:lineRule="auto"/>
        <w:rPr>
          <w:sz w:val="20"/>
          <w:szCs w:val="20"/>
          <w:color w:val="auto"/>
        </w:rPr>
      </w:pPr>
      <w:r>
        <w:rPr>
          <w:rFonts w:ascii="Arial" w:cs="Arial" w:eastAsia="Arial" w:hAnsi="Arial"/>
          <w:sz w:val="18"/>
          <w:szCs w:val="18"/>
          <w:b w:val="1"/>
          <w:bCs w:val="1"/>
          <w:color w:val="auto"/>
        </w:rPr>
        <w:t xml:space="preserve">Section 2. Representations and Warranties of the Company. </w:t>
      </w:r>
      <w:r>
        <w:rPr>
          <w:rFonts w:ascii="Arial" w:cs="Arial" w:eastAsia="Arial" w:hAnsi="Arial"/>
          <w:sz w:val="18"/>
          <w:szCs w:val="18"/>
          <w:color w:val="auto"/>
        </w:rPr>
        <w:t>As a material inducement to the Purchaser to enter into this Agreement and purchase the</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Placement Warrants, the Company hereby represents and warrants to the Purchaser (which representations and warranties shall survive each Closing Date) that:</w:t>
      </w:r>
    </w:p>
    <w:p>
      <w:pPr>
        <w:spacing w:after="0" w:line="72" w:lineRule="exact"/>
        <w:rPr>
          <w:sz w:val="20"/>
          <w:szCs w:val="20"/>
          <w:color w:val="auto"/>
        </w:rPr>
      </w:pPr>
    </w:p>
    <w:p>
      <w:pPr>
        <w:ind w:left="4" w:right="60"/>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Incorporation and Corporate Power</w:t>
      </w:r>
      <w:r>
        <w:rPr>
          <w:rFonts w:ascii="Arial" w:cs="Arial" w:eastAsia="Arial" w:hAnsi="Arial"/>
          <w:sz w:val="17"/>
          <w:szCs w:val="17"/>
          <w:color w:val="auto"/>
        </w:rPr>
        <w:t>. The Company is an exempted company duly incorporated, validly existing and in good standing under the laws of the Cayman Islands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Warrant Agreement.</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117" w:lineRule="exact"/>
        <w:rPr>
          <w:sz w:val="20"/>
          <w:szCs w:val="20"/>
          <w:color w:val="auto"/>
        </w:rPr>
      </w:pPr>
    </w:p>
    <w:p>
      <w:pPr>
        <w:ind w:left="4" w:right="20" w:hanging="4"/>
        <w:spacing w:after="0" w:line="273" w:lineRule="auto"/>
        <w:tabs>
          <w:tab w:leader="none" w:pos="219"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and the Private Placement Warrants have been duly authorized by the Company as of the Closing Date. This Agreement constitutes the valid and binding obligation of the Company,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 Upon issuance in accordance with, and payment pursuant to, the terms of the Warrant Agreement and this Agreement, the Private Placement Warrants will constitute valid and binding obligations of the Company, enforceable in accordance with their terms as of the Closing Date.</w:t>
      </w:r>
    </w:p>
    <w:p>
      <w:pPr>
        <w:spacing w:after="0" w:line="69" w:lineRule="exact"/>
        <w:rPr>
          <w:rFonts w:ascii="Arial" w:cs="Arial" w:eastAsia="Arial" w:hAnsi="Arial"/>
          <w:sz w:val="17"/>
          <w:szCs w:val="17"/>
          <w:color w:val="auto"/>
        </w:rPr>
      </w:pPr>
    </w:p>
    <w:p>
      <w:pPr>
        <w:ind w:left="4" w:right="20" w:hanging="4"/>
        <w:spacing w:after="0" w:line="270" w:lineRule="auto"/>
        <w:tabs>
          <w:tab w:leader="none" w:pos="269"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execution and delivery by the Company of this Agreement and the Private Placement Warrants, the issuance and sale of the Private Placement Warrants, the issuance of the Shares upon exercise of the Private Placement Warrants and the fulfillment of and compliance with the respective terms hereof and thereof by the Company, do not and will not as of the Closing Date (a) conflict with or result in a breach of the terms, conditions or provisions of, (b) constitute a default under, (c) result in the creation of any lien, security interest, charge or encumbrance upon the Company’s share capital or assets under, (d) result in a violation of, or (e) require any authorization, consent, approval, exemption or other action by or notice or declaration to, or filing with, any court or administrative or governmental body or agency pursuant to the memorandum and articles of association of the Company (in effect on the date hereof or as may be amended prior to completion of the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73" w:lineRule="exact"/>
        <w:rPr>
          <w:sz w:val="20"/>
          <w:szCs w:val="20"/>
          <w:color w:val="auto"/>
        </w:rPr>
      </w:pPr>
    </w:p>
    <w:p>
      <w:pPr>
        <w:ind w:left="4" w:right="80"/>
        <w:spacing w:after="0" w:line="270"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Title to Securities</w:t>
      </w:r>
      <w:r>
        <w:rPr>
          <w:rFonts w:ascii="Arial" w:cs="Arial" w:eastAsia="Arial" w:hAnsi="Arial"/>
          <w:sz w:val="17"/>
          <w:szCs w:val="17"/>
          <w:color w:val="auto"/>
        </w:rPr>
        <w:t>. Upon issuance in accordance with, and payment pursuant to, the terms hereof and the Warrant Agreement and the amended and restate memorandum and articles of association of the Company, and upon registration in the Company’s register of members, the Shares issuable upon exercise of the Private Placement Warrants will be duly and validly issued, fully paid and nonassessable. On the date of issuance of the Private Placement Warrants, the Shares issuable upon exercise of the Private Placement Warrants shall have been reserved for issuance. Upon issuance in accordance with, and payment pursuant to, the terms hereof and the Warrant Agreement, and upon registration in the Company’s register of members, the Purchaser will have good title to the Private Placement Warrants purchased by it and the Shares issuable upon exercise of such Private Placement Warrants,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w:t>
      </w:r>
    </w:p>
    <w:p>
      <w:pPr>
        <w:sectPr>
          <w:pgSz w:w="11900" w:h="16838" w:orient="portrait"/>
          <w:cols w:equalWidth="0" w:num="1">
            <w:col w:w="10984"/>
          </w:cols>
          <w:pgMar w:left="436" w:top="274" w:right="479" w:bottom="1440" w:gutter="0" w:footer="0" w:header="0"/>
        </w:sectPr>
      </w:pPr>
    </w:p>
    <w:bookmarkStart w:id="384" w:name="page385"/>
    <w:bookmarkEnd w:id="384"/>
    <w:p>
      <w:pPr>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 </w:t>
      </w:r>
      <w:r>
        <w:rPr>
          <w:rFonts w:ascii="Arial" w:cs="Arial" w:eastAsia="Arial" w:hAnsi="Arial"/>
          <w:sz w:val="18"/>
          <w:szCs w:val="18"/>
          <w:u w:val="single" w:color="auto"/>
          <w:color w:val="auto"/>
        </w:rPr>
        <w:t>Governmental Consents</w:t>
      </w:r>
      <w:r>
        <w:rPr>
          <w:rFonts w:ascii="Arial" w:cs="Arial" w:eastAsia="Arial" w:hAnsi="Arial"/>
          <w:sz w:val="18"/>
          <w:szCs w:val="18"/>
          <w:color w:val="auto"/>
        </w:rPr>
        <w:t>.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76"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Regulation D Qualification</w:t>
      </w:r>
      <w:r>
        <w:rPr>
          <w:rFonts w:ascii="Arial" w:cs="Arial" w:eastAsia="Arial" w:hAnsi="Arial"/>
          <w:sz w:val="18"/>
          <w:szCs w:val="18"/>
          <w:color w:val="auto"/>
        </w:rPr>
        <w:t>. Neither the Company nor, to its actual knowledge, any of its affiliates, members, officers, directors or beneficial shareholders of 20% or more of its outstanding securities, has experienced a disqualifying event as enumerated pursuant to Rule 506(d) of Regulation D under the Securities Act.</w:t>
      </w:r>
    </w:p>
    <w:p>
      <w:pPr>
        <w:spacing w:after="0" w:line="72" w:lineRule="exact"/>
        <w:rPr>
          <w:sz w:val="20"/>
          <w:szCs w:val="20"/>
          <w:color w:val="auto"/>
        </w:rPr>
      </w:pPr>
    </w:p>
    <w:p>
      <w:pPr>
        <w:ind w:left="4" w:right="220"/>
        <w:spacing w:after="0" w:line="266" w:lineRule="auto"/>
        <w:rPr>
          <w:sz w:val="20"/>
          <w:szCs w:val="20"/>
          <w:color w:val="auto"/>
        </w:rPr>
      </w:pPr>
      <w:r>
        <w:rPr>
          <w:rFonts w:ascii="Arial" w:cs="Arial" w:eastAsia="Arial" w:hAnsi="Arial"/>
          <w:sz w:val="18"/>
          <w:szCs w:val="18"/>
          <w:b w:val="1"/>
          <w:bCs w:val="1"/>
          <w:color w:val="auto"/>
        </w:rPr>
        <w:t xml:space="preserve">Section 3. Representations and Warranties of the Purchaser. </w:t>
      </w:r>
      <w:r>
        <w:rPr>
          <w:rFonts w:ascii="Arial" w:cs="Arial" w:eastAsia="Arial" w:hAnsi="Arial"/>
          <w:sz w:val="18"/>
          <w:szCs w:val="18"/>
          <w:color w:val="auto"/>
        </w:rPr>
        <w:t>As a material inducement to the Company to enter into this Agreement and issue and</w:t>
      </w:r>
      <w:r>
        <w:rPr>
          <w:rFonts w:ascii="Arial" w:cs="Arial" w:eastAsia="Arial" w:hAnsi="Arial"/>
          <w:sz w:val="18"/>
          <w:szCs w:val="18"/>
          <w:b w:val="1"/>
          <w:bCs w:val="1"/>
          <w:color w:val="auto"/>
        </w:rPr>
        <w:t xml:space="preserve"> </w:t>
      </w:r>
      <w:r>
        <w:rPr>
          <w:rFonts w:ascii="Arial" w:cs="Arial" w:eastAsia="Arial" w:hAnsi="Arial"/>
          <w:sz w:val="18"/>
          <w:szCs w:val="18"/>
          <w:color w:val="auto"/>
        </w:rPr>
        <w:t>sell the Private Placement Warrants to the Purchaser, the Purchaser hereby represents and warrants to the Company (which representations and warranties shall survive each Closing Date) that:</w:t>
      </w:r>
    </w:p>
    <w:p>
      <w:pPr>
        <w:spacing w:after="0" w:line="72"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Organization and Requisite Authority</w:t>
      </w:r>
      <w:r>
        <w:rPr>
          <w:rFonts w:ascii="Arial" w:cs="Arial" w:eastAsia="Arial" w:hAnsi="Arial"/>
          <w:sz w:val="18"/>
          <w:szCs w:val="18"/>
          <w:color w:val="auto"/>
        </w:rPr>
        <w:t>. The Purchaser possesses all requisite power and authority necessary to carry out the transactions contemplated by this Agreement.</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117" w:lineRule="exact"/>
        <w:rPr>
          <w:sz w:val="20"/>
          <w:szCs w:val="20"/>
          <w:color w:val="auto"/>
        </w:rPr>
      </w:pPr>
    </w:p>
    <w:p>
      <w:pPr>
        <w:ind w:left="4" w:right="280" w:hanging="4"/>
        <w:spacing w:after="0" w:line="263" w:lineRule="auto"/>
        <w:tabs>
          <w:tab w:leader="none" w:pos="21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75" w:lineRule="exact"/>
        <w:rPr>
          <w:rFonts w:ascii="Arial" w:cs="Arial" w:eastAsia="Arial" w:hAnsi="Arial"/>
          <w:sz w:val="18"/>
          <w:szCs w:val="18"/>
          <w:color w:val="auto"/>
        </w:rPr>
      </w:pPr>
    </w:p>
    <w:p>
      <w:pPr>
        <w:ind w:left="4" w:right="20" w:hanging="4"/>
        <w:spacing w:after="0" w:line="254" w:lineRule="auto"/>
        <w:tabs>
          <w:tab w:leader="none" w:pos="269"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execution and delivery by the Purchaser of this Agreement and the fulfillment of and compliance with the terms hereof by the Purchaser does not and shall not as of each Closing Date (a) conflict with or result in a breach by the Purchaser of the terms, conditions or provisions of, (b) constitute a default under, (c) result in the creation of any lien, security interest, charge or encumbrance upon the Purchaser’s equity or assets under, (d) result in a violation of, or (e) require authorization, consent, approval, exemption or other action by or notice or declaration to, or filing with, any court or administrative or governmental body or agency pursuant to the Purchaser’s organizational documents in effect on the date hereof or as may be amended prior to completion of the contemplated Public Offering, or any material law, statute, rule or regulation to which the Purchaser is subject, or any agreement, instrument, order, judgment or decree to which the Purchaser is subject, except for any filings required after the date hereof under federal or state securities laws.</w:t>
      </w:r>
    </w:p>
    <w:p>
      <w:pPr>
        <w:spacing w:after="0" w:line="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w:t>
      </w:r>
    </w:p>
    <w:p>
      <w:pPr>
        <w:spacing w:after="0" w:line="117" w:lineRule="exact"/>
        <w:rPr>
          <w:sz w:val="20"/>
          <w:szCs w:val="20"/>
          <w:color w:val="auto"/>
        </w:rPr>
      </w:pPr>
    </w:p>
    <w:p>
      <w:pPr>
        <w:ind w:left="4" w:right="80" w:hanging="4"/>
        <w:spacing w:after="0" w:line="263" w:lineRule="auto"/>
        <w:tabs>
          <w:tab w:leader="none" w:pos="21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Purchaser is acquiring the Private Placement Warrants and, upon exercise of the Private Placement Warrants, the Shares issuable upon such exercise (collectively,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for its own account, for investment purposes only and not with a view towards, or for resale in connection with, any public sale or distribution thereof.</w:t>
      </w:r>
    </w:p>
    <w:p>
      <w:pPr>
        <w:spacing w:after="0" w:line="75" w:lineRule="exact"/>
        <w:rPr>
          <w:rFonts w:ascii="Arial" w:cs="Arial" w:eastAsia="Arial" w:hAnsi="Arial"/>
          <w:sz w:val="18"/>
          <w:szCs w:val="18"/>
          <w:color w:val="auto"/>
        </w:rPr>
      </w:pPr>
    </w:p>
    <w:p>
      <w:pPr>
        <w:ind w:left="4" w:right="540" w:hanging="4"/>
        <w:spacing w:after="0" w:line="277" w:lineRule="auto"/>
        <w:tabs>
          <w:tab w:leader="none" w:pos="26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Purchaser is an “</w:t>
      </w:r>
      <w:r>
        <w:rPr>
          <w:rFonts w:ascii="Arial" w:cs="Arial" w:eastAsia="Arial" w:hAnsi="Arial"/>
          <w:sz w:val="18"/>
          <w:szCs w:val="18"/>
          <w:b w:val="1"/>
          <w:bCs w:val="1"/>
          <w:i w:val="1"/>
          <w:iCs w:val="1"/>
          <w:color w:val="auto"/>
        </w:rPr>
        <w:t>accredited investor</w:t>
      </w:r>
      <w:r>
        <w:rPr>
          <w:rFonts w:ascii="Arial" w:cs="Arial" w:eastAsia="Arial" w:hAnsi="Arial"/>
          <w:sz w:val="18"/>
          <w:szCs w:val="18"/>
          <w:color w:val="auto"/>
        </w:rPr>
        <w:t>” as such term is defined in Rule 501(a)(3) of Regulation D, and the Purchaser has not experienced a disqualifying event as enumerated pursuant to Rule 506(d) of Regulation D under the Securities Act.</w:t>
      </w:r>
    </w:p>
    <w:p>
      <w:pPr>
        <w:spacing w:after="0" w:line="62" w:lineRule="exact"/>
        <w:rPr>
          <w:rFonts w:ascii="Arial" w:cs="Arial" w:eastAsia="Arial" w:hAnsi="Arial"/>
          <w:sz w:val="18"/>
          <w:szCs w:val="18"/>
          <w:color w:val="auto"/>
        </w:rPr>
      </w:pPr>
    </w:p>
    <w:p>
      <w:pPr>
        <w:ind w:left="4" w:right="160" w:hanging="4"/>
        <w:spacing w:after="0" w:line="259" w:lineRule="auto"/>
        <w:tabs>
          <w:tab w:leader="none" w:pos="31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Purchaser understands that the Securities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Securities.</w:t>
      </w:r>
    </w:p>
    <w:p>
      <w:pPr>
        <w:spacing w:after="0" w:line="78" w:lineRule="exact"/>
        <w:rPr>
          <w:rFonts w:ascii="Arial" w:cs="Arial" w:eastAsia="Arial" w:hAnsi="Arial"/>
          <w:sz w:val="18"/>
          <w:szCs w:val="18"/>
          <w:color w:val="auto"/>
        </w:rPr>
      </w:pPr>
    </w:p>
    <w:p>
      <w:pPr>
        <w:ind w:left="4" w:right="200" w:hanging="4"/>
        <w:spacing w:after="0" w:line="277" w:lineRule="auto"/>
        <w:tabs>
          <w:tab w:leader="none" w:pos="30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Purchaser did not decide to enter into this Agreement as a result of any general solicitation or general advertising within the meaning of Rule 502(c) under the Securities Act.</w:t>
      </w:r>
    </w:p>
    <w:p>
      <w:pPr>
        <w:spacing w:after="0" w:line="62" w:lineRule="exact"/>
        <w:rPr>
          <w:rFonts w:ascii="Arial" w:cs="Arial" w:eastAsia="Arial" w:hAnsi="Arial"/>
          <w:sz w:val="18"/>
          <w:szCs w:val="18"/>
          <w:color w:val="auto"/>
        </w:rPr>
      </w:pPr>
    </w:p>
    <w:p>
      <w:pPr>
        <w:ind w:left="4" w:right="20" w:hanging="4"/>
        <w:spacing w:after="0" w:line="257" w:lineRule="auto"/>
        <w:tabs>
          <w:tab w:leader="none" w:pos="25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Purchaser has been furnished with all materials relating to the business, finances and operations of the Company and materials relating to the offer and sale of the Securities which have been requested by the Purchaser. The Purchaser has been afforded the opportunity to ask questions of the executive officers and directors of the Company. The Purchaser understands that its investment in the Securities involves a high degree of risk and it has sought such accounting, legal and tax advice as it has considered necessary to make an informed investment decision with respect to the acquisition of the Securities.</w:t>
      </w:r>
    </w:p>
    <w:p>
      <w:pPr>
        <w:spacing w:after="0" w:line="79" w:lineRule="exact"/>
        <w:rPr>
          <w:rFonts w:ascii="Arial" w:cs="Arial" w:eastAsia="Arial" w:hAnsi="Arial"/>
          <w:sz w:val="18"/>
          <w:szCs w:val="18"/>
          <w:color w:val="auto"/>
        </w:rPr>
      </w:pPr>
    </w:p>
    <w:p>
      <w:pPr>
        <w:jc w:val="both"/>
        <w:ind w:left="4" w:right="260" w:hanging="4"/>
        <w:spacing w:after="0" w:line="263" w:lineRule="auto"/>
        <w:tabs>
          <w:tab w:leader="none" w:pos="30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Purchaser understands that no United States federal or state agency or any other government or governmental agency has passed on or made any recommendation or endorsement of the Securities or the fairness or suitability of the investment in the Securities by the Purchaser nor have such authorities passed upon or endorsed the merits of the offering of the Securities.</w:t>
      </w:r>
    </w:p>
    <w:p>
      <w:pPr>
        <w:sectPr>
          <w:pgSz w:w="11900" w:h="16838" w:orient="portrait"/>
          <w:cols w:equalWidth="0" w:num="1">
            <w:col w:w="10984"/>
          </w:cols>
          <w:pgMar w:left="436" w:top="274" w:right="479" w:bottom="1440" w:gutter="0" w:footer="0" w:header="0"/>
        </w:sectPr>
      </w:pPr>
    </w:p>
    <w:bookmarkStart w:id="385" w:name="page386"/>
    <w:bookmarkEnd w:id="385"/>
    <w:p>
      <w:pPr>
        <w:ind w:left="4" w:right="200" w:hanging="4"/>
        <w:spacing w:after="0" w:line="289" w:lineRule="auto"/>
        <w:tabs>
          <w:tab w:leader="none" w:pos="359" w:val="left"/>
        </w:tabs>
        <w:numPr>
          <w:ilvl w:val="0"/>
          <w:numId w:val="2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Purchaser understands that: (a) the Securities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and Shareholder Rights Agreement, neither the Company nor any other person is under any obligation to register the Securities under the Securities Act or any state securities laws or to comply with the terms and conditions of any exemption thereunder. In this regard, the Purchaser understands that the SEC has taken the position that promoters or affiliates of a blank check company and their transferees, both before and after an initial Business Combination, are deemed to be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under the Securities Act when reselling the securities of a blank check company. Based on that position, Rule 144 adopted pursuant to the Securities Act would not be available for resale transactions of the Securities despite technical compliance with the requirements of such Rule, and the Securities can be resold only through a registered offering or in reliance upon another exemption from the registration requirements of the Securities Act.</w:t>
      </w:r>
    </w:p>
    <w:p>
      <w:pPr>
        <w:spacing w:after="0" w:line="58" w:lineRule="exact"/>
        <w:rPr>
          <w:rFonts w:ascii="Arial" w:cs="Arial" w:eastAsia="Arial" w:hAnsi="Arial"/>
          <w:sz w:val="16"/>
          <w:szCs w:val="16"/>
          <w:color w:val="auto"/>
        </w:rPr>
      </w:pPr>
    </w:p>
    <w:p>
      <w:pPr>
        <w:ind w:left="4" w:hanging="4"/>
        <w:spacing w:after="0" w:line="255" w:lineRule="auto"/>
        <w:tabs>
          <w:tab w:leader="none" w:pos="40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Purchaser has such knowledge and experience in financial and business matters, knowledge of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Securities. The Purchaser can afford a complete loss of its investments in the Securities.</w:t>
      </w:r>
    </w:p>
    <w:p>
      <w:pPr>
        <w:spacing w:after="0" w:line="84" w:lineRule="exact"/>
        <w:rPr>
          <w:rFonts w:ascii="Arial" w:cs="Arial" w:eastAsia="Arial" w:hAnsi="Arial"/>
          <w:sz w:val="18"/>
          <w:szCs w:val="18"/>
          <w:color w:val="auto"/>
        </w:rPr>
      </w:pPr>
    </w:p>
    <w:p>
      <w:pPr>
        <w:ind w:left="304" w:hanging="304"/>
        <w:spacing w:after="0"/>
        <w:tabs>
          <w:tab w:leader="none" w:pos="304"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Purchaser understands that the Private Placement Warrants shall bear the legend substantially in the form set forth in the Warrant Agreement.</w:t>
      </w:r>
    </w:p>
    <w:p>
      <w:pPr>
        <w:spacing w:after="0" w:line="244" w:lineRule="exact"/>
        <w:rPr>
          <w:sz w:val="20"/>
          <w:szCs w:val="20"/>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 xml:space="preserve">Section 4. Conditions of the Purchaser’s Obligations. </w:t>
      </w:r>
      <w:r>
        <w:rPr>
          <w:rFonts w:ascii="Arial" w:cs="Arial" w:eastAsia="Arial" w:hAnsi="Arial"/>
          <w:sz w:val="18"/>
          <w:szCs w:val="18"/>
          <w:color w:val="auto"/>
        </w:rPr>
        <w:t>The obligations of the Purchaser to purchase and pay for the Private Placement Warrants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fulfillment, on or before each Closing Date, of each of the following conditions:</w:t>
      </w:r>
    </w:p>
    <w:p>
      <w:pPr>
        <w:spacing w:after="0" w:line="58"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Company contained in Section 2 shall be true and correct at and as of the Closing Date as though then made.</w:t>
      </w:r>
    </w:p>
    <w:p>
      <w:pPr>
        <w:spacing w:after="0" w:line="62"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The Company shall have performed and complied with all agreements, obligations and conditions contained in this Agreement that are required to be performed or complied with by it on or before such Closing Date.</w:t>
      </w:r>
    </w:p>
    <w:p>
      <w:pPr>
        <w:spacing w:after="0" w:line="62" w:lineRule="exact"/>
        <w:rPr>
          <w:sz w:val="20"/>
          <w:szCs w:val="20"/>
          <w:color w:val="auto"/>
        </w:rPr>
      </w:pPr>
    </w:p>
    <w:p>
      <w:pPr>
        <w:jc w:val="both"/>
        <w:ind w:left="4" w:right="220"/>
        <w:spacing w:after="0" w:line="31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No Injunction</w:t>
      </w:r>
      <w:r>
        <w:rPr>
          <w:rFonts w:ascii="Arial" w:cs="Arial" w:eastAsia="Arial" w:hAnsi="Arial"/>
          <w:sz w:val="16"/>
          <w:szCs w:val="16"/>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41" w:lineRule="exact"/>
        <w:rPr>
          <w:sz w:val="20"/>
          <w:szCs w:val="20"/>
          <w:color w:val="auto"/>
        </w:rPr>
      </w:pPr>
    </w:p>
    <w:p>
      <w:pPr>
        <w:jc w:val="both"/>
        <w:ind w:left="4" w:right="160"/>
        <w:spacing w:after="0" w:line="263"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Warrant Agreement and Registration and Shareholder Rights Agreement</w:t>
      </w:r>
      <w:r>
        <w:rPr>
          <w:rFonts w:ascii="Arial" w:cs="Arial" w:eastAsia="Arial" w:hAnsi="Arial"/>
          <w:sz w:val="18"/>
          <w:szCs w:val="18"/>
          <w:color w:val="auto"/>
        </w:rPr>
        <w:t>. The Company shall have entered into the Warrant Agreement, in the form of Exhibit A hereto, and the Registration and Shareholder Rights Agreement, in the form of Exhibit B hereto, in each case on terms satisfactory to the Purchaser.</w:t>
      </w:r>
    </w:p>
    <w:p>
      <w:pPr>
        <w:spacing w:after="0" w:line="180" w:lineRule="exact"/>
        <w:rPr>
          <w:sz w:val="20"/>
          <w:szCs w:val="20"/>
          <w:color w:val="auto"/>
        </w:rPr>
      </w:pPr>
    </w:p>
    <w:p>
      <w:pPr>
        <w:ind w:left="4" w:right="560"/>
        <w:spacing w:after="0" w:line="282" w:lineRule="auto"/>
        <w:rPr>
          <w:sz w:val="20"/>
          <w:szCs w:val="20"/>
          <w:color w:val="auto"/>
        </w:rPr>
      </w:pPr>
      <w:r>
        <w:rPr>
          <w:rFonts w:ascii="Arial" w:cs="Arial" w:eastAsia="Arial" w:hAnsi="Arial"/>
          <w:sz w:val="18"/>
          <w:szCs w:val="18"/>
          <w:b w:val="1"/>
          <w:bCs w:val="1"/>
          <w:color w:val="auto"/>
        </w:rPr>
        <w:t xml:space="preserve">Section 5. Conditions of the Company’s Obligations. </w:t>
      </w:r>
      <w:r>
        <w:rPr>
          <w:rFonts w:ascii="Arial" w:cs="Arial" w:eastAsia="Arial" w:hAnsi="Arial"/>
          <w:sz w:val="18"/>
          <w:szCs w:val="18"/>
          <w:color w:val="auto"/>
        </w:rPr>
        <w:t>The obligations of the Company to the Purchaser under this Agreement are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fulfillment, on or before each Closing Date, of each of the following conditions:</w:t>
      </w:r>
    </w:p>
    <w:p>
      <w:pPr>
        <w:spacing w:after="0" w:line="58"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Purchaser contained in Section 3 shall be true and correct at and as of such Closing Date as though then made.</w:t>
      </w:r>
    </w:p>
    <w:p>
      <w:pPr>
        <w:spacing w:after="0" w:line="62"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The Purchaser shall have performed and complied with all agreements, obligations and conditions contained in this Agreement that are required to be performed or complied with by the Purchaser on or before such Closing Date.</w:t>
      </w:r>
    </w:p>
    <w:p>
      <w:pPr>
        <w:spacing w:after="0" w:line="62"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Corporate Consents</w:t>
      </w:r>
      <w:r>
        <w:rPr>
          <w:rFonts w:ascii="Arial" w:cs="Arial" w:eastAsia="Arial" w:hAnsi="Arial"/>
          <w:sz w:val="18"/>
          <w:szCs w:val="18"/>
          <w:color w:val="auto"/>
        </w:rPr>
        <w:t>. The Company shall have obtained the consent of its Board of Directors authorizing the execution, delivery and performance of this Agreement and the Warrant Agreement and the issuance and sale of the Private Placement Warrants hereunder.</w:t>
      </w:r>
    </w:p>
    <w:p>
      <w:pPr>
        <w:sectPr>
          <w:pgSz w:w="11900" w:h="16838" w:orient="portrait"/>
          <w:cols w:equalWidth="0" w:num="1">
            <w:col w:w="11004"/>
          </w:cols>
          <w:pgMar w:left="436" w:top="274" w:right="459" w:bottom="1440" w:gutter="0" w:footer="0" w:header="0"/>
        </w:sectPr>
      </w:pPr>
    </w:p>
    <w:bookmarkStart w:id="386" w:name="page387"/>
    <w:bookmarkEnd w:id="386"/>
    <w:p>
      <w:pPr>
        <w:jc w:val="both"/>
        <w:ind w:right="2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 </w:t>
      </w:r>
      <w:r>
        <w:rPr>
          <w:rFonts w:ascii="Arial" w:cs="Arial" w:eastAsia="Arial" w:hAnsi="Arial"/>
          <w:sz w:val="16"/>
          <w:szCs w:val="16"/>
          <w:u w:val="single" w:color="auto"/>
          <w:color w:val="auto"/>
        </w:rPr>
        <w:t>No Injunction</w:t>
      </w:r>
      <w:r>
        <w:rPr>
          <w:rFonts w:ascii="Arial" w:cs="Arial" w:eastAsia="Arial" w:hAnsi="Arial"/>
          <w:sz w:val="16"/>
          <w:szCs w:val="16"/>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Warrant Agreement</w:t>
      </w:r>
      <w:r>
        <w:rPr>
          <w:rFonts w:ascii="Arial" w:cs="Arial" w:eastAsia="Arial" w:hAnsi="Arial"/>
          <w:sz w:val="18"/>
          <w:szCs w:val="18"/>
          <w:color w:val="auto"/>
        </w:rPr>
        <w:t>. The Company shall have entered into the Warrant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Miscellaneous</w:t>
      </w:r>
      <w:r>
        <w:rPr>
          <w:rFonts w:ascii="Arial" w:cs="Arial" w:eastAsia="Arial" w:hAnsi="Arial"/>
          <w:sz w:val="18"/>
          <w:szCs w:val="18"/>
          <w:color w:val="auto"/>
        </w:rPr>
        <w: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other than assignments by the Purchaser to affiliates thereof (including, without limitation one or more of its members).</w:t>
      </w:r>
    </w:p>
    <w:p>
      <w:pPr>
        <w:spacing w:after="0" w:line="7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two or more counterparts, none of which need contain the signatures of more than one party, but all such counterparts taken together shall constitute one and the same agreement. Signatures to this Agreement transmitted via facsimile or e-mail shall be valid and effective to bind the party so signing.</w:t>
      </w:r>
    </w:p>
    <w:p>
      <w:pPr>
        <w:spacing w:after="0" w:line="76"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Descriptive Headings; Interpretation</w:t>
      </w:r>
      <w:r>
        <w:rPr>
          <w:rFonts w:ascii="Arial" w:cs="Arial" w:eastAsia="Arial" w:hAnsi="Arial"/>
          <w:sz w:val="16"/>
          <w:szCs w:val="16"/>
          <w:color w:val="auto"/>
        </w:rPr>
        <w:t>. The descriptive headings of this Agreement are inserted for convenience only and do not constitute a substantive part of this Agreement. The use of the word “including” in this Agreement shall be by way of example rather than by limitation.</w:t>
      </w:r>
    </w:p>
    <w:p>
      <w:pPr>
        <w:spacing w:after="0" w:line="1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deemed to be a contract made under the laws of the State of New York and for all purposes shall be construed in accordance with the internal laws of the State of New York, without giving effect to conflicts of law principles that would result in the application of the laws of another jurisdiction.</w:t>
      </w:r>
    </w:p>
    <w:p>
      <w:pPr>
        <w:spacing w:after="0" w:line="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amended, modified or waived as to any particular provision, except by a written instrument executed by the parties 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387" w:name="page388"/>
    <w:bookmarkEnd w:id="3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PURCHASER: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ARCLIGHT CTC HOLDINGS II, L.P.</w:t>
      </w:r>
      <w:r>
        <w:rPr>
          <w:rFonts w:ascii="Arial" w:cs="Arial" w:eastAsia="Arial" w:hAnsi="Arial"/>
          <w:sz w:val="17"/>
          <w:szCs w:val="17"/>
          <w:color w:val="auto"/>
        </w:rPr>
        <w:t>, a Delaware</w:t>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limited partnership</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ACTC Holdings GP II, LLC, its general partner</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ArcLight Capital Holdings, LLC, its Manager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ACHP II, L.P., its Managing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ACH GP, LLC, 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Daniel R. Revers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Manager</w:t>
      </w:r>
    </w:p>
    <w:p>
      <w:pPr>
        <w:sectPr>
          <w:pgSz w:w="11900" w:h="16838" w:orient="portrait"/>
          <w:cols w:equalWidth="0" w:num="1">
            <w:col w:w="10520"/>
          </w:cols>
          <w:pgMar w:left="440" w:top="274" w:right="939" w:bottom="1440" w:gutter="0" w:footer="0" w:header="0"/>
        </w:sectPr>
      </w:pPr>
    </w:p>
    <w:bookmarkStart w:id="388" w:name="page389"/>
    <w:bookmarkEnd w:id="3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Warrant Agreement</w:t>
      </w:r>
    </w:p>
    <w:p>
      <w:pPr>
        <w:sectPr>
          <w:pgSz w:w="11900" w:h="16838" w:orient="portrait"/>
          <w:cols w:equalWidth="0" w:num="1">
            <w:col w:w="9019"/>
          </w:cols>
          <w:pgMar w:left="1440" w:top="270" w:right="1440" w:bottom="1440" w:gutter="0" w:footer="0" w:header="0"/>
        </w:sectPr>
      </w:pPr>
    </w:p>
    <w:bookmarkStart w:id="389" w:name="page390"/>
    <w:bookmarkEnd w:id="3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Registration and Shareholder Rights Agreement</w:t>
      </w:r>
    </w:p>
    <w:p>
      <w:pPr>
        <w:sectPr>
          <w:pgSz w:w="11900" w:h="16838" w:orient="portrait"/>
          <w:cols w:equalWidth="0" w:num="1">
            <w:col w:w="9019"/>
          </w:cols>
          <w:pgMar w:left="1440" w:top="270" w:right="1440" w:bottom="1440" w:gutter="0" w:footer="0" w:header="0"/>
        </w:sectPr>
      </w:pPr>
    </w:p>
    <w:bookmarkStart w:id="390" w:name="page391"/>
    <w:bookmarkEnd w:id="390"/>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INDEMNITY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THIS INDEMNITY AGREEMENT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as of [•], 2021, by and between ArcLight Clean Transition Corp. II, a Cayman</w:t>
      </w:r>
    </w:p>
    <w:p>
      <w:pPr>
        <w:spacing w:after="0" w:line="39"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w:t>
      </w:r>
    </w:p>
    <w:p>
      <w:pPr>
        <w:spacing w:after="0" w:line="207" w:lineRule="exact"/>
        <w:rPr>
          <w:sz w:val="20"/>
          <w:szCs w:val="20"/>
          <w:color w:val="auto"/>
        </w:rPr>
      </w:pPr>
    </w:p>
    <w:p>
      <w:pPr>
        <w:jc w:val="both"/>
        <w:ind w:right="80" w:firstLine="440"/>
        <w:spacing w:after="0" w:line="289"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highly competent persons have become more reluctant to serve publicly-held companies and corporations as directors, officers or in</w:t>
      </w:r>
      <w:r>
        <w:rPr>
          <w:rFonts w:ascii="Arial" w:cs="Arial" w:eastAsia="Arial" w:hAnsi="Arial"/>
          <w:sz w:val="17"/>
          <w:szCs w:val="17"/>
          <w:b w:val="1"/>
          <w:bCs w:val="1"/>
          <w:color w:val="auto"/>
        </w:rPr>
        <w:t xml:space="preserve"> </w:t>
      </w:r>
      <w:r>
        <w:rPr>
          <w:rFonts w:ascii="Arial" w:cs="Arial" w:eastAsia="Arial" w:hAnsi="Arial"/>
          <w:sz w:val="17"/>
          <w:szCs w:val="17"/>
          <w:color w:val="auto"/>
        </w:rPr>
        <w:t>other capacities unless they are provided with adequate protection through insurance or adequate indemnification against inordinate risks of claims and actions against them arising out of their service to and activities on behalf of such companies and corporations;</w:t>
      </w:r>
    </w:p>
    <w:p>
      <w:pPr>
        <w:spacing w:after="0" w:line="158"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in order to attract and retain qualified individuals,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attempt to maintain on an ongoing basis, at its sole expense, liability insurance to protect persons serving the Company and its subsidiaries from certain liabilities. The amended and restated memorandum and articles of association of the Company (the “</w:t>
      </w:r>
      <w:r>
        <w:rPr>
          <w:rFonts w:ascii="Arial" w:cs="Arial" w:eastAsia="Arial" w:hAnsi="Arial"/>
          <w:sz w:val="18"/>
          <w:szCs w:val="18"/>
          <w:b w:val="1"/>
          <w:bCs w:val="1"/>
          <w:i w:val="1"/>
          <w:iCs w:val="1"/>
          <w:color w:val="auto"/>
        </w:rPr>
        <w:t>Articles</w:t>
      </w:r>
      <w:r>
        <w:rPr>
          <w:rFonts w:ascii="Arial" w:cs="Arial" w:eastAsia="Arial" w:hAnsi="Arial"/>
          <w:sz w:val="18"/>
          <w:szCs w:val="18"/>
          <w:color w:val="auto"/>
        </w:rPr>
        <w:t>”) provide for the indemnification of the officers and directors of the Company. Indemnitee may also be entitled to indemnification pursuant to applicable Cayman Islands law. The Articles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89"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uncertainties relating to such insurance and to indemnification have increased the difficulty of attracting and retaining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persons;</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has determined that the increased difficulty in attracting and retaining such persons is detrimental to the best interests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shareholders and that the Company should act to assure such persons that there will be increased certainty of such protection in the future;</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and the Articles so that they will serve or continue to serve the Company free from undue concern that they will not be so protected against liabilities;</w:t>
      </w:r>
    </w:p>
    <w:p>
      <w:pPr>
        <w:spacing w:after="0" w:line="176"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this Agreement is a supplement to and in furtherance of the Articles of the Company and any resolutions adopted pursuant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 be deemed a substitute therefor, nor to diminish or abrogate any rights of Indemnitee thereunder; and</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Indemnitee may not be willing to serve as an officer or director without adequate protection, and the Company desires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Indemnitee is willing to serve, continue to serve and to take on additional service for or on behalf of the Company on the condition that he or she be so indemnified.</w:t>
      </w:r>
    </w:p>
    <w:p>
      <w:pPr>
        <w:sectPr>
          <w:pgSz w:w="11900" w:h="16838" w:orient="portrait"/>
          <w:cols w:equalWidth="0" w:num="1">
            <w:col w:w="11020"/>
          </w:cols>
          <w:pgMar w:left="440" w:top="121" w:right="439" w:bottom="1440" w:gutter="0" w:footer="0" w:header="0"/>
        </w:sectPr>
      </w:pPr>
    </w:p>
    <w:bookmarkStart w:id="391" w:name="page392"/>
    <w:bookmarkEnd w:id="391"/>
    <w:p>
      <w:pPr>
        <w:ind w:left="4" w:right="1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NOW, THEREFORE, </w:t>
      </w:r>
      <w:r>
        <w:rPr>
          <w:rFonts w:ascii="Arial" w:cs="Arial" w:eastAsia="Arial" w:hAnsi="Arial"/>
          <w:sz w:val="18"/>
          <w:szCs w:val="18"/>
          <w:color w:val="auto"/>
        </w:rPr>
        <w:t>in consideration of the premises and the covenants contained herein and subject to the provisions of the letter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 2021, the Company and Indemnitee do hereby covenant and agree as follows:</w:t>
      </w:r>
    </w:p>
    <w:p>
      <w:pPr>
        <w:spacing w:after="0" w:line="310" w:lineRule="exact"/>
        <w:rPr>
          <w:sz w:val="20"/>
          <w:szCs w:val="20"/>
          <w:color w:val="auto"/>
        </w:rPr>
      </w:pPr>
    </w:p>
    <w:p>
      <w:pPr>
        <w:ind w:left="424" w:hanging="424"/>
        <w:spacing w:after="0"/>
        <w:tabs>
          <w:tab w:leader="none" w:pos="424"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SERVICES TO THE COMPANY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In consideration of the Company’s covenants and obligations hereunder, Indemnitee will serve or continue to serve as an officer, director, advisor,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key employee or in any other capacity of the Company, as applicable, for so long as Indemnitee is duly elected or appointed or retained or until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Indemnitee tenders his or her resignation or until Indemnitee is removed. The foregoing notwithstanding, this Agreement shall continue in full force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effect after Indemnitee has ceased to serve as a director, officer, advisor, key employee or in any other capacity of the Company, as provided in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17. This Agreement, however, shall not impose any obligation on Indemnitee or the Company to continue Indemnitee’s service to the Company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beyond any period otherwise required by law or by other agreements or commitments of the parties, if any.</w:t>
      </w:r>
    </w:p>
    <w:p>
      <w:pPr>
        <w:spacing w:after="0" w:line="355" w:lineRule="exact"/>
        <w:rPr>
          <w:sz w:val="20"/>
          <w:szCs w:val="20"/>
          <w:color w:val="auto"/>
        </w:rPr>
      </w:pPr>
    </w:p>
    <w:p>
      <w:pPr>
        <w:ind w:left="424" w:hanging="424"/>
        <w:spacing w:after="0"/>
        <w:tabs>
          <w:tab w:leader="none" w:pos="424"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As used in this Agreement:</w:t>
      </w:r>
    </w:p>
    <w:p>
      <w:pPr>
        <w:spacing w:after="0" w:line="131" w:lineRule="exact"/>
        <w:rPr>
          <w:sz w:val="20"/>
          <w:szCs w:val="20"/>
          <w:color w:val="auto"/>
        </w:rPr>
      </w:pPr>
    </w:p>
    <w:p>
      <w:pPr>
        <w:ind w:left="424" w:hanging="424"/>
        <w:spacing w:after="0" w:line="279" w:lineRule="auto"/>
        <w:tabs>
          <w:tab w:leader="none" w:pos="424" w:val="left"/>
        </w:tabs>
        <w:numPr>
          <w:ilvl w:val="0"/>
          <w:numId w:val="289"/>
        </w:numPr>
        <w:rPr>
          <w:rFonts w:ascii="Arial" w:cs="Arial" w:eastAsia="Arial" w:hAnsi="Arial"/>
          <w:sz w:val="17"/>
          <w:szCs w:val="17"/>
          <w:color w:val="auto"/>
        </w:rPr>
      </w:pPr>
      <w:r>
        <w:rPr>
          <w:rFonts w:ascii="Arial" w:cs="Arial" w:eastAsia="Arial" w:hAnsi="Arial"/>
          <w:sz w:val="17"/>
          <w:szCs w:val="17"/>
          <w:color w:val="auto"/>
        </w:rPr>
        <w:t>References to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company or corporation, partnership, limited liability company, joint venture, trust or other enterprise at the request of, for the convenience of, or to represent the interests of the Company or a subsidiary of the Company.</w:t>
      </w:r>
    </w:p>
    <w:p>
      <w:pPr>
        <w:spacing w:after="0" w:line="76" w:lineRule="exact"/>
        <w:rPr>
          <w:rFonts w:ascii="Arial" w:cs="Arial" w:eastAsia="Arial" w:hAnsi="Arial"/>
          <w:sz w:val="17"/>
          <w:szCs w:val="17"/>
          <w:color w:val="auto"/>
        </w:rPr>
      </w:pPr>
    </w:p>
    <w:p>
      <w:pPr>
        <w:ind w:left="424" w:right="20" w:hanging="424"/>
        <w:spacing w:after="0" w:line="277" w:lineRule="auto"/>
        <w:tabs>
          <w:tab w:leader="none" w:pos="42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in effect on the date hereof.</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9"/>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142" w:lineRule="exact"/>
        <w:rPr>
          <w:rFonts w:ascii="Arial" w:cs="Arial" w:eastAsia="Arial" w:hAnsi="Arial"/>
          <w:sz w:val="17"/>
          <w:szCs w:val="17"/>
          <w:color w:val="auto"/>
        </w:rPr>
      </w:pPr>
    </w:p>
    <w:p>
      <w:pPr>
        <w:ind w:left="964" w:right="40" w:hanging="532"/>
        <w:spacing w:after="0" w:line="293" w:lineRule="auto"/>
        <w:tabs>
          <w:tab w:leader="none" w:pos="964" w:val="left"/>
        </w:tabs>
        <w:numPr>
          <w:ilvl w:val="1"/>
          <w:numId w:val="289"/>
        </w:numPr>
        <w:rPr>
          <w:rFonts w:ascii="Arial" w:cs="Arial" w:eastAsia="Arial" w:hAnsi="Arial"/>
          <w:sz w:val="16"/>
          <w:szCs w:val="16"/>
          <w:color w:val="auto"/>
        </w:rPr>
      </w:pPr>
      <w:r>
        <w:rPr>
          <w:rFonts w:ascii="Arial" w:cs="Arial" w:eastAsia="Arial" w:hAnsi="Arial"/>
          <w:sz w:val="16"/>
          <w:szCs w:val="16"/>
          <w:u w:val="single" w:color="auto"/>
          <w:color w:val="auto"/>
        </w:rPr>
        <w:t>Acquisition of Shares by Third Party</w:t>
      </w:r>
      <w:r>
        <w:rPr>
          <w:rFonts w:ascii="Arial" w:cs="Arial" w:eastAsia="Arial" w:hAnsi="Arial"/>
          <w:sz w:val="16"/>
          <w:szCs w:val="16"/>
          <w:color w:val="auto"/>
        </w:rPr>
        <w:t>. Other than an affiliate of ArcLight CTC Holdings II, L.P.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any Person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in Control under part (iii) of this definition;</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392" w:name="page393"/>
    <w:bookmarkEnd w:id="392"/>
    <w:p>
      <w:pPr>
        <w:ind w:left="540" w:right="80" w:hanging="532"/>
        <w:spacing w:after="0" w:line="279" w:lineRule="auto"/>
        <w:tabs>
          <w:tab w:leader="none" w:pos="540"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 in Board of Directors</w:t>
      </w:r>
      <w:r>
        <w:rPr>
          <w:rFonts w:ascii="Arial" w:cs="Arial" w:eastAsia="Arial" w:hAnsi="Arial"/>
          <w:sz w:val="17"/>
          <w:szCs w:val="17"/>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or nomination for election was previously so approved (collectively, the “</w:t>
      </w:r>
      <w:r>
        <w:rPr>
          <w:rFonts w:ascii="Arial" w:cs="Arial" w:eastAsia="Arial" w:hAnsi="Arial"/>
          <w:sz w:val="17"/>
          <w:szCs w:val="17"/>
          <w:b w:val="1"/>
          <w:bCs w:val="1"/>
          <w:i w:val="1"/>
          <w:iCs w:val="1"/>
          <w:color w:val="auto"/>
        </w:rPr>
        <w:t>Continuing Directors</w:t>
      </w:r>
      <w:r>
        <w:rPr>
          <w:rFonts w:ascii="Arial" w:cs="Arial" w:eastAsia="Arial" w:hAnsi="Arial"/>
          <w:sz w:val="17"/>
          <w:szCs w:val="17"/>
          <w:color w:val="auto"/>
        </w:rPr>
        <w:t>”), cease for any reason to constitute at least a majority of the members of the Board;</w:t>
      </w:r>
    </w:p>
    <w:p>
      <w:pPr>
        <w:spacing w:after="0" w:line="76" w:lineRule="exact"/>
        <w:rPr>
          <w:rFonts w:ascii="Arial" w:cs="Arial" w:eastAsia="Arial" w:hAnsi="Arial"/>
          <w:sz w:val="17"/>
          <w:szCs w:val="17"/>
          <w:color w:val="auto"/>
        </w:rPr>
      </w:pPr>
    </w:p>
    <w:p>
      <w:pPr>
        <w:ind w:left="540" w:hanging="532"/>
        <w:spacing w:after="0" w:line="286" w:lineRule="auto"/>
        <w:tabs>
          <w:tab w:leader="none" w:pos="540"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The effective date of a merger, share exchange, asset acquisition, share purchase, reorganization or similar business combination, involving the Company and one or more businesses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company or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 affiliate of the Sponsor, no Person (excluding any company or corporation resulting from such Business Combination) is the Beneficial Owner, directly or indirectly, of 15% or more of the combined voting power of the then outstanding securities entitled to vote generally in the election of directors of the surviving company or corporation except to the extent that such ownership existed prior to the Business Combination; and (3) at least a majority of the board of directors of the company or corporation resulting from such Business Combination were Continuing Directors at the time of the execution of the initial agreement, or of the action of the Board, providing for such Business Combination;</w:t>
      </w:r>
    </w:p>
    <w:p>
      <w:pPr>
        <w:spacing w:after="0" w:line="76" w:lineRule="exact"/>
        <w:rPr>
          <w:rFonts w:ascii="Arial" w:cs="Arial" w:eastAsia="Arial" w:hAnsi="Arial"/>
          <w:sz w:val="16"/>
          <w:szCs w:val="16"/>
          <w:color w:val="auto"/>
        </w:rPr>
      </w:pPr>
    </w:p>
    <w:p>
      <w:pPr>
        <w:ind w:left="540" w:right="380" w:hanging="532"/>
        <w:spacing w:after="0" w:line="279" w:lineRule="auto"/>
        <w:tabs>
          <w:tab w:leader="none" w:pos="540"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76" w:lineRule="exact"/>
        <w:rPr>
          <w:rFonts w:ascii="Arial" w:cs="Arial" w:eastAsia="Arial" w:hAnsi="Arial"/>
          <w:sz w:val="17"/>
          <w:szCs w:val="17"/>
          <w:color w:val="auto"/>
        </w:rPr>
      </w:pPr>
    </w:p>
    <w:p>
      <w:pPr>
        <w:jc w:val="both"/>
        <w:ind w:left="540" w:right="140" w:hanging="532"/>
        <w:spacing w:after="0" w:line="263" w:lineRule="auto"/>
        <w:tabs>
          <w:tab w:leader="none" w:pos="54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60" w:top="274" w:right="479" w:bottom="1440" w:gutter="0" w:footer="0" w:header="0"/>
        </w:sectPr>
      </w:pPr>
    </w:p>
    <w:bookmarkStart w:id="393" w:name="page394"/>
    <w:bookmarkEnd w:id="393"/>
    <w:p>
      <w:pPr>
        <w:ind w:left="424" w:right="500" w:hanging="424"/>
        <w:spacing w:after="0" w:line="342" w:lineRule="auto"/>
        <w:tabs>
          <w:tab w:leader="none" w:pos="424" w:val="left"/>
        </w:tabs>
        <w:numPr>
          <w:ilvl w:val="0"/>
          <w:numId w:val="2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29" w:lineRule="exact"/>
        <w:rPr>
          <w:rFonts w:ascii="Arial" w:cs="Arial" w:eastAsia="Arial" w:hAnsi="Arial"/>
          <w:sz w:val="16"/>
          <w:szCs w:val="16"/>
          <w:color w:val="auto"/>
        </w:rPr>
      </w:pPr>
    </w:p>
    <w:p>
      <w:pPr>
        <w:ind w:left="424" w:right="1020" w:hanging="424"/>
        <w:spacing w:after="0" w:line="277" w:lineRule="auto"/>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in respect of which indemnification is sought by Indemnitee.</w:t>
      </w:r>
    </w:p>
    <w:p>
      <w:pPr>
        <w:spacing w:after="0" w:line="75" w:lineRule="exact"/>
        <w:rPr>
          <w:rFonts w:ascii="Arial" w:cs="Arial" w:eastAsia="Arial" w:hAnsi="Arial"/>
          <w:sz w:val="18"/>
          <w:szCs w:val="18"/>
          <w:color w:val="auto"/>
        </w:rPr>
      </w:pPr>
    </w:p>
    <w:p>
      <w:pPr>
        <w:ind w:left="424" w:right="60" w:hanging="424"/>
        <w:spacing w:after="0" w:line="279" w:lineRule="auto"/>
        <w:tabs>
          <w:tab w:leader="none" w:pos="42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Enterprise</w:t>
      </w:r>
      <w:r>
        <w:rPr>
          <w:rFonts w:ascii="Arial" w:cs="Arial" w:eastAsia="Arial" w:hAnsi="Arial"/>
          <w:sz w:val="17"/>
          <w:szCs w:val="17"/>
          <w:color w:val="auto"/>
        </w:rPr>
        <w:t>” shall mean the Company and any other company or corporation, constituent company or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76" w:lineRule="exact"/>
        <w:rPr>
          <w:rFonts w:ascii="Arial" w:cs="Arial" w:eastAsia="Arial" w:hAnsi="Arial"/>
          <w:sz w:val="17"/>
          <w:szCs w:val="17"/>
          <w:color w:val="auto"/>
        </w:rPr>
      </w:pPr>
    </w:p>
    <w:p>
      <w:pPr>
        <w:ind w:left="424" w:hanging="424"/>
        <w:spacing w:after="0"/>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130"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99" w:lineRule="exact"/>
        <w:rPr>
          <w:rFonts w:ascii="Arial" w:cs="Arial" w:eastAsia="Arial" w:hAnsi="Arial"/>
          <w:sz w:val="18"/>
          <w:szCs w:val="18"/>
          <w:color w:val="auto"/>
        </w:rPr>
      </w:pPr>
    </w:p>
    <w:p>
      <w:pPr>
        <w:ind w:left="424" w:hanging="424"/>
        <w:spacing w:after="0"/>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w:t>
      </w:r>
    </w:p>
    <w:p>
      <w:pPr>
        <w:spacing w:after="0" w:line="130" w:lineRule="exact"/>
        <w:rPr>
          <w:rFonts w:ascii="Arial" w:cs="Arial" w:eastAsia="Arial" w:hAnsi="Arial"/>
          <w:sz w:val="18"/>
          <w:szCs w:val="18"/>
          <w:color w:val="auto"/>
        </w:rPr>
      </w:pPr>
    </w:p>
    <w:p>
      <w:pPr>
        <w:ind w:left="424" w:right="240" w:hanging="424"/>
        <w:spacing w:after="0" w:line="275" w:lineRule="auto"/>
        <w:tabs>
          <w:tab w:leader="none" w:pos="42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References to “</w:t>
      </w:r>
      <w:r>
        <w:rPr>
          <w:rFonts w:ascii="Arial" w:cs="Arial" w:eastAsia="Arial" w:hAnsi="Arial"/>
          <w:sz w:val="17"/>
          <w:szCs w:val="17"/>
          <w:b w:val="1"/>
          <w:bCs w:val="1"/>
          <w:i w:val="1"/>
          <w:iCs w:val="1"/>
          <w:color w:val="auto"/>
        </w:rPr>
        <w:t>serving at the request of the Company</w:t>
      </w:r>
      <w:r>
        <w:rPr>
          <w:rFonts w:ascii="Arial" w:cs="Arial" w:eastAsia="Arial" w:hAnsi="Arial"/>
          <w:sz w:val="17"/>
          <w:szCs w:val="17"/>
          <w:color w:val="auto"/>
        </w:rPr>
        <w:t>”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7"/>
          <w:szCs w:val="17"/>
          <w:b w:val="1"/>
          <w:bCs w:val="1"/>
          <w:i w:val="1"/>
          <w:iCs w:val="1"/>
          <w:color w:val="auto"/>
        </w:rPr>
        <w:t>not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opposed to the best interests of the Company</w:t>
      </w:r>
      <w:r>
        <w:rPr>
          <w:rFonts w:ascii="Arial" w:cs="Arial" w:eastAsia="Arial" w:hAnsi="Arial"/>
          <w:sz w:val="17"/>
          <w:szCs w:val="17"/>
          <w:color w:val="auto"/>
        </w:rPr>
        <w:t>” as referred to in this Agreement.</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4" w:right="499" w:bottom="1440" w:gutter="0" w:footer="0" w:header="0"/>
        </w:sectPr>
      </w:pPr>
    </w:p>
    <w:bookmarkStart w:id="394" w:name="page395"/>
    <w:bookmarkEnd w:id="394"/>
    <w:p>
      <w:pPr>
        <w:ind w:left="424" w:hanging="424"/>
        <w:spacing w:after="0" w:line="293" w:lineRule="auto"/>
        <w:tabs>
          <w:tab w:leader="none" w:pos="424" w:val="left"/>
        </w:tabs>
        <w:numPr>
          <w:ilvl w:val="0"/>
          <w:numId w:val="2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69" w:lineRule="exact"/>
        <w:rPr>
          <w:rFonts w:ascii="Arial" w:cs="Arial" w:eastAsia="Arial" w:hAnsi="Arial"/>
          <w:sz w:val="16"/>
          <w:szCs w:val="16"/>
          <w:color w:val="auto"/>
        </w:rPr>
      </w:pPr>
    </w:p>
    <w:p>
      <w:pPr>
        <w:ind w:left="424" w:right="60" w:hanging="424"/>
        <w:spacing w:after="0" w:line="273" w:lineRule="auto"/>
        <w:tabs>
          <w:tab w:leader="none" w:pos="424"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have the meaning as set forth in Sections 13(d) and 14(d) of the Exchange Act as in effect on the date hereof; provided, however, that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exclude: (i) the Company; (ii) any Subsidiaries of the Company; (iii) any employment benefit plan of the Company or of a Subsidiary of the Company or of any company or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of the Company or of a company or corporation owned directly or indirectly by the shareholders of the Company in substantially the same proportions as their ownership of shares of the Company.</w:t>
      </w:r>
    </w:p>
    <w:p>
      <w:pPr>
        <w:spacing w:after="0" w:line="83" w:lineRule="exact"/>
        <w:rPr>
          <w:rFonts w:ascii="Arial" w:cs="Arial" w:eastAsia="Arial" w:hAnsi="Arial"/>
          <w:sz w:val="17"/>
          <w:szCs w:val="17"/>
          <w:color w:val="auto"/>
        </w:rPr>
      </w:pPr>
    </w:p>
    <w:p>
      <w:pPr>
        <w:ind w:left="424" w:right="60" w:hanging="424"/>
        <w:spacing w:after="0" w:line="270" w:lineRule="auto"/>
        <w:tabs>
          <w:tab w:leader="none" w:pos="424"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86" w:lineRule="exact"/>
        <w:rPr>
          <w:rFonts w:ascii="Arial" w:cs="Arial" w:eastAsia="Arial" w:hAnsi="Arial"/>
          <w:sz w:val="17"/>
          <w:szCs w:val="17"/>
          <w:color w:val="auto"/>
        </w:rPr>
      </w:pPr>
    </w:p>
    <w:p>
      <w:pPr>
        <w:ind w:left="424" w:hanging="424"/>
        <w:spacing w:after="0" w:line="263" w:lineRule="auto"/>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with respect to any Person, shall mean any company or corporation, limited liability company, partnership, joint venture, trust or other entity of which a majority of the voting power of the voting equity securities or equity interest is owned, directly or indirectly, by that Person.</w:t>
      </w:r>
    </w:p>
    <w:p>
      <w:pPr>
        <w:spacing w:after="0" w:line="89" w:lineRule="exact"/>
        <w:rPr>
          <w:rFonts w:ascii="Arial" w:cs="Arial" w:eastAsia="Arial" w:hAnsi="Arial"/>
          <w:sz w:val="18"/>
          <w:szCs w:val="18"/>
          <w:color w:val="auto"/>
        </w:rPr>
      </w:pPr>
    </w:p>
    <w:p>
      <w:pPr>
        <w:ind w:left="424" w:right="640" w:hanging="424"/>
        <w:spacing w:after="0" w:line="263" w:lineRule="auto"/>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phrase “</w:t>
      </w:r>
      <w:r>
        <w:rPr>
          <w:rFonts w:ascii="Arial" w:cs="Arial" w:eastAsia="Arial" w:hAnsi="Arial"/>
          <w:sz w:val="18"/>
          <w:szCs w:val="18"/>
          <w:b w:val="1"/>
          <w:bCs w:val="1"/>
          <w:i w:val="1"/>
          <w:iCs w:val="1"/>
          <w:color w:val="auto"/>
        </w:rPr>
        <w:t>to the fullest extent permitted by applicable law and the Articles</w:t>
      </w:r>
      <w:r>
        <w:rPr>
          <w:rFonts w:ascii="Arial" w:cs="Arial" w:eastAsia="Arial" w:hAnsi="Arial"/>
          <w:sz w:val="18"/>
          <w:szCs w:val="18"/>
          <w:color w:val="auto"/>
        </w:rPr>
        <w:t>” shall include, but not be limited to: (a) to the fullest extent authorized or permitted by the provision of applicable Cayman Islands law that authorizes or contemplates additional indemnification by agreement, or the corresponding provision of any amendment to or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95" w:name="page396"/>
    <w:bookmarkEnd w:id="395"/>
    <w:p>
      <w:pPr>
        <w:ind w:left="424" w:right="4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replacement of applicable Cayman Islands law, and (b) to the fullest extent authorized or permitted by any amendments to or replacements of applicable Cayman Islands law adopted after the date of this Agreement that increase the extent to which a company or corporation may indemnify its officers and directors.</w:t>
      </w:r>
    </w:p>
    <w:p>
      <w:pPr>
        <w:spacing w:after="0" w:line="328" w:lineRule="exact"/>
        <w:rPr>
          <w:sz w:val="20"/>
          <w:szCs w:val="20"/>
          <w:color w:val="auto"/>
        </w:rPr>
      </w:pPr>
    </w:p>
    <w:p>
      <w:pPr>
        <w:ind w:left="424" w:hanging="424"/>
        <w:spacing w:after="0"/>
        <w:tabs>
          <w:tab w:leader="none" w:pos="424"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IN THIRD-PARTY PROCEEDINGS</w:t>
      </w:r>
    </w:p>
    <w:p>
      <w:pPr>
        <w:spacing w:after="0" w:line="121"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To the fullest extent permitted by applicable law and the Articles,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or her own actual fraud or intentional misconduct. Indemnitee shall not be found to have committed actual fraud or intentional misconduct for any purpose of this Agreement unless or until a court of competent jurisdiction shall have made a finding to that effect.</w:t>
      </w:r>
    </w:p>
    <w:p>
      <w:pPr>
        <w:spacing w:after="0" w:line="312" w:lineRule="exact"/>
        <w:rPr>
          <w:sz w:val="20"/>
          <w:szCs w:val="20"/>
          <w:color w:val="auto"/>
        </w:rPr>
      </w:pPr>
    </w:p>
    <w:p>
      <w:pPr>
        <w:ind w:left="424" w:hanging="424"/>
        <w:spacing w:after="0"/>
        <w:tabs>
          <w:tab w:leader="none" w:pos="424"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IN PROCEEDINGS BY OR IN THE RIGHT OF THE COMPANY</w:t>
      </w:r>
    </w:p>
    <w:p>
      <w:pPr>
        <w:spacing w:after="0" w:line="121"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To the fullest extent permitted by applicable law and the Articles,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396" w:name="page397"/>
    <w:bookmarkEnd w:id="396"/>
    <w:p>
      <w:pPr>
        <w:ind w:left="424" w:hanging="424"/>
        <w:spacing w:after="0"/>
        <w:tabs>
          <w:tab w:leader="none" w:pos="424"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 FOR EXPENSES OF A PARTY WHO IS WHOLLY OR PARTLY SUCCESSFUL</w:t>
      </w:r>
    </w:p>
    <w:p>
      <w:pPr>
        <w:spacing w:after="0" w:line="121"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Notwithstanding any other provisions of this Agreement, but subject to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and the Articles,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and the Articles,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and the Articles,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316" w:lineRule="exact"/>
        <w:rPr>
          <w:sz w:val="20"/>
          <w:szCs w:val="20"/>
          <w:color w:val="auto"/>
        </w:rPr>
      </w:pPr>
    </w:p>
    <w:p>
      <w:pPr>
        <w:ind w:left="424" w:hanging="424"/>
        <w:spacing w:after="0"/>
        <w:tabs>
          <w:tab w:leader="none" w:pos="424"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FOR EXPENSES OF A WITNESS</w:t>
      </w:r>
    </w:p>
    <w:p>
      <w:pPr>
        <w:spacing w:after="0" w:line="121"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Notwithstanding any other provision of this Agreement, but subject to Section 27, to the extent that Indemnitee is, by reason of his or her Corporate Status, a witness or deponent in any Proceeding to which Indemnitee is not a party or threatened to be made a party, he or she shall, to the fullest extent permitted by applicable law and the Articles, be indemnified, held harmless and exonerated against all Expenses actually and reasonably incurred by him or her or on his or her behalf in connection therewith.</w:t>
      </w:r>
    </w:p>
    <w:p>
      <w:pPr>
        <w:spacing w:after="0" w:line="331" w:lineRule="exact"/>
        <w:rPr>
          <w:sz w:val="20"/>
          <w:szCs w:val="20"/>
          <w:color w:val="auto"/>
        </w:rPr>
      </w:pPr>
    </w:p>
    <w:p>
      <w:pPr>
        <w:ind w:left="424" w:hanging="424"/>
        <w:spacing w:after="0"/>
        <w:tabs>
          <w:tab w:leader="none" w:pos="424"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INDEMNIFICATION, HOLD HARMLESS AND EXONERATION RIGHTS</w:t>
      </w:r>
    </w:p>
    <w:p>
      <w:pPr>
        <w:spacing w:after="0" w:line="121"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Notwithstanding any limitation in Sections 3, 4 or 5, but subject to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397" w:name="page398"/>
    <w:bookmarkEnd w:id="397"/>
    <w:p>
      <w:pPr>
        <w:ind w:left="424" w:hanging="424"/>
        <w:spacing w:after="0"/>
        <w:tabs>
          <w:tab w:leader="none" w:pos="424"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CONTRIBUTION IN THE EVENT OF JOINT LIABILITY</w:t>
      </w:r>
    </w:p>
    <w:p>
      <w:pPr>
        <w:spacing w:after="0" w:line="135" w:lineRule="exact"/>
        <w:rPr>
          <w:sz w:val="20"/>
          <w:szCs w:val="20"/>
          <w:color w:val="auto"/>
        </w:rPr>
      </w:pPr>
    </w:p>
    <w:p>
      <w:pPr>
        <w:ind w:left="424" w:hanging="424"/>
        <w:spacing w:after="0" w:line="255" w:lineRule="auto"/>
        <w:tabs>
          <w:tab w:leader="none" w:pos="42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To the fullest extent permissible under applicable law and the Articles,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97"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51" w:lineRule="exact"/>
        <w:rPr>
          <w:rFonts w:ascii="Arial" w:cs="Arial" w:eastAsia="Arial" w:hAnsi="Arial"/>
          <w:sz w:val="17"/>
          <w:szCs w:val="17"/>
          <w:color w:val="auto"/>
        </w:rPr>
      </w:pPr>
    </w:p>
    <w:p>
      <w:pPr>
        <w:ind w:left="424" w:right="120" w:hanging="424"/>
        <w:spacing w:after="0" w:line="259" w:lineRule="auto"/>
        <w:tabs>
          <w:tab w:leader="none" w:pos="42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 Indemnitee shall seek payments or advances from the Company only to the extent that such payments or advances are unavailable from any insurance policy of the Company covering Indemnitee.</w:t>
      </w:r>
    </w:p>
    <w:p>
      <w:pPr>
        <w:spacing w:after="0" w:line="331" w:lineRule="exact"/>
        <w:rPr>
          <w:sz w:val="20"/>
          <w:szCs w:val="20"/>
          <w:color w:val="auto"/>
        </w:rPr>
      </w:pPr>
    </w:p>
    <w:p>
      <w:pPr>
        <w:ind w:left="424" w:hanging="424"/>
        <w:spacing w:after="0"/>
        <w:tabs>
          <w:tab w:leader="none" w:pos="424"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p>
    <w:p>
      <w:pPr>
        <w:spacing w:after="0" w:line="121" w:lineRule="exact"/>
        <w:rPr>
          <w:sz w:val="20"/>
          <w:szCs w:val="20"/>
          <w:color w:val="auto"/>
        </w:rPr>
      </w:pPr>
    </w:p>
    <w:p>
      <w:pPr>
        <w:ind w:left="4" w:right="260" w:firstLine="440"/>
        <w:spacing w:after="0" w:line="308" w:lineRule="auto"/>
        <w:rPr>
          <w:sz w:val="20"/>
          <w:szCs w:val="20"/>
          <w:color w:val="auto"/>
        </w:rPr>
      </w:pPr>
      <w:r>
        <w:rPr>
          <w:rFonts w:ascii="Arial" w:cs="Arial" w:eastAsia="Arial" w:hAnsi="Arial"/>
          <w:sz w:val="17"/>
          <w:szCs w:val="17"/>
          <w:color w:val="auto"/>
        </w:rPr>
        <w:t>Notwithstanding any provision in this Agreement, but subject to Section 27, the Company shall not be obligated under this Agreement to make any indemnification, advance Expenses, hold harmless or exoneration payment in connection with any claim made against Indemnitee:</w:t>
      </w:r>
    </w:p>
    <w:p>
      <w:pPr>
        <w:spacing w:after="0" w:line="52" w:lineRule="exact"/>
        <w:rPr>
          <w:sz w:val="20"/>
          <w:szCs w:val="20"/>
          <w:color w:val="auto"/>
        </w:rPr>
      </w:pPr>
    </w:p>
    <w:p>
      <w:pPr>
        <w:ind w:left="424" w:hanging="424"/>
        <w:spacing w:after="0" w:line="263" w:lineRule="auto"/>
        <w:tabs>
          <w:tab w:leader="none" w:pos="42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89" w:lineRule="exact"/>
        <w:rPr>
          <w:rFonts w:ascii="Arial" w:cs="Arial" w:eastAsia="Arial" w:hAnsi="Arial"/>
          <w:sz w:val="18"/>
          <w:szCs w:val="18"/>
          <w:color w:val="auto"/>
        </w:rPr>
      </w:pPr>
    </w:p>
    <w:p>
      <w:pPr>
        <w:ind w:left="424" w:right="600" w:hanging="424"/>
        <w:spacing w:after="0" w:line="342" w:lineRule="auto"/>
        <w:tabs>
          <w:tab w:leader="none" w:pos="42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29" w:lineRule="exact"/>
        <w:rPr>
          <w:rFonts w:ascii="Arial" w:cs="Arial" w:eastAsia="Arial" w:hAnsi="Arial"/>
          <w:sz w:val="16"/>
          <w:szCs w:val="16"/>
          <w:color w:val="auto"/>
        </w:rPr>
      </w:pPr>
    </w:p>
    <w:p>
      <w:pPr>
        <w:ind w:left="424" w:right="80" w:hanging="424"/>
        <w:spacing w:after="0" w:line="257" w:lineRule="auto"/>
        <w:tabs>
          <w:tab w:leader="none" w:pos="42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and the Articles.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398" w:name="page399"/>
    <w:bookmarkEnd w:id="398"/>
    <w:p>
      <w:pPr>
        <w:ind w:left="424" w:hanging="424"/>
        <w:spacing w:after="0"/>
        <w:tabs>
          <w:tab w:leader="none" w:pos="424"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ADVANCES OF EXPENSES; DEFENSE OF CLAIM</w:t>
      </w:r>
    </w:p>
    <w:p>
      <w:pPr>
        <w:spacing w:after="0" w:line="135" w:lineRule="exact"/>
        <w:rPr>
          <w:sz w:val="20"/>
          <w:szCs w:val="20"/>
          <w:color w:val="auto"/>
        </w:rPr>
      </w:pPr>
    </w:p>
    <w:p>
      <w:pPr>
        <w:ind w:left="424" w:hanging="424"/>
        <w:spacing w:after="0" w:line="286" w:lineRule="auto"/>
        <w:tabs>
          <w:tab w:leader="none" w:pos="424" w:val="left"/>
        </w:tabs>
        <w:numPr>
          <w:ilvl w:val="0"/>
          <w:numId w:val="303"/>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but subject to Section 27, and to the fullest extent not prohibited by applicable law and the Articles,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and the Articles,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applicable law and the Articles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hold harmless or exoneration payment is excluded pursuant to Section 9, but shall apply to any Proceeding referenced in Section 9(b) prior to a final determination that Indemnitee is liable therefor.</w:t>
      </w:r>
    </w:p>
    <w:p>
      <w:pPr>
        <w:spacing w:after="0" w:line="72" w:lineRule="exact"/>
        <w:rPr>
          <w:rFonts w:ascii="Arial" w:cs="Arial" w:eastAsia="Arial" w:hAnsi="Arial"/>
          <w:sz w:val="16"/>
          <w:szCs w:val="16"/>
          <w:color w:val="auto"/>
        </w:rPr>
      </w:pPr>
    </w:p>
    <w:p>
      <w:pPr>
        <w:ind w:left="424" w:hanging="424"/>
        <w:spacing w:after="0"/>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130" w:lineRule="exact"/>
        <w:rPr>
          <w:rFonts w:ascii="Arial" w:cs="Arial" w:eastAsia="Arial" w:hAnsi="Arial"/>
          <w:sz w:val="18"/>
          <w:szCs w:val="18"/>
          <w:color w:val="auto"/>
        </w:rPr>
      </w:pPr>
    </w:p>
    <w:p>
      <w:pPr>
        <w:ind w:left="424" w:right="180" w:hanging="424"/>
        <w:spacing w:after="0" w:line="277" w:lineRule="auto"/>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fine, penalty or limitation on Indemnitee without Indemnitee’s prior written consent.</w:t>
      </w:r>
    </w:p>
    <w:p>
      <w:pPr>
        <w:spacing w:after="0" w:line="315" w:lineRule="exact"/>
        <w:rPr>
          <w:sz w:val="20"/>
          <w:szCs w:val="20"/>
          <w:color w:val="auto"/>
        </w:rPr>
      </w:pPr>
    </w:p>
    <w:p>
      <w:pPr>
        <w:ind w:left="424" w:hanging="424"/>
        <w:spacing w:after="0"/>
        <w:tabs>
          <w:tab w:leader="none" w:pos="424"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FOR NOTIFICATION AND APPLICATION FOR INDEMNIFICATION</w:t>
      </w:r>
    </w:p>
    <w:p>
      <w:pPr>
        <w:spacing w:after="0" w:line="135" w:lineRule="exact"/>
        <w:rPr>
          <w:sz w:val="20"/>
          <w:szCs w:val="20"/>
          <w:color w:val="auto"/>
        </w:rPr>
      </w:pPr>
    </w:p>
    <w:p>
      <w:pPr>
        <w:ind w:left="424" w:right="160" w:hanging="424"/>
        <w:spacing w:after="0" w:line="279" w:lineRule="auto"/>
        <w:tabs>
          <w:tab w:leader="none" w:pos="424" w:val="left"/>
        </w:tabs>
        <w:numPr>
          <w:ilvl w:val="0"/>
          <w:numId w:val="305"/>
        </w:numPr>
        <w:rPr>
          <w:rFonts w:ascii="Arial" w:cs="Arial" w:eastAsia="Arial" w:hAnsi="Arial"/>
          <w:sz w:val="17"/>
          <w:szCs w:val="17"/>
          <w:color w:val="auto"/>
        </w:rPr>
      </w:pPr>
      <w:r>
        <w:rPr>
          <w:rFonts w:ascii="Arial" w:cs="Arial" w:eastAsia="Arial" w:hAnsi="Arial"/>
          <w:sz w:val="17"/>
          <w:szCs w:val="17"/>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sectPr>
      </w:pPr>
    </w:p>
    <w:bookmarkStart w:id="399" w:name="page400"/>
    <w:bookmarkEnd w:id="399"/>
    <w:p>
      <w:pPr>
        <w:ind w:left="424" w:right="580" w:hanging="424"/>
        <w:spacing w:after="0" w:line="259" w:lineRule="auto"/>
        <w:tabs>
          <w:tab w:leader="none" w:pos="424" w:val="left"/>
        </w:tabs>
        <w:numPr>
          <w:ilvl w:val="0"/>
          <w:numId w:val="3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331" w:lineRule="exact"/>
        <w:rPr>
          <w:sz w:val="20"/>
          <w:szCs w:val="20"/>
          <w:color w:val="auto"/>
        </w:rPr>
      </w:pPr>
    </w:p>
    <w:p>
      <w:pPr>
        <w:ind w:left="424" w:hanging="424"/>
        <w:spacing w:after="0"/>
        <w:tabs>
          <w:tab w:leader="none" w:pos="424"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UPON APPLICATION FOR INDEMNIFICATION</w:t>
      </w:r>
    </w:p>
    <w:p>
      <w:pPr>
        <w:spacing w:after="0" w:line="135" w:lineRule="exact"/>
        <w:rPr>
          <w:sz w:val="20"/>
          <w:szCs w:val="20"/>
          <w:color w:val="auto"/>
        </w:rPr>
      </w:pPr>
    </w:p>
    <w:p>
      <w:pPr>
        <w:ind w:left="424" w:right="40" w:hanging="424"/>
        <w:spacing w:after="0" w:line="268" w:lineRule="auto"/>
        <w:tabs>
          <w:tab w:leader="none" w:pos="424" w:val="left"/>
        </w:tabs>
        <w:numPr>
          <w:ilvl w:val="0"/>
          <w:numId w:val="308"/>
        </w:numPr>
        <w:rPr>
          <w:rFonts w:ascii="Arial" w:cs="Arial" w:eastAsia="Arial" w:hAnsi="Arial"/>
          <w:sz w:val="17"/>
          <w:szCs w:val="17"/>
          <w:color w:val="auto"/>
        </w:rPr>
      </w:pPr>
      <w:r>
        <w:rPr>
          <w:rFonts w:ascii="Arial" w:cs="Arial" w:eastAsia="Arial" w:hAnsi="Arial"/>
          <w:sz w:val="17"/>
          <w:szCs w:val="17"/>
          <w:color w:val="auto"/>
        </w:rPr>
        <w:t>A determination, if required by applicable law and the Articles,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by ordinary resolution.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89" w:lineRule="exact"/>
        <w:rPr>
          <w:rFonts w:ascii="Arial" w:cs="Arial" w:eastAsia="Arial" w:hAnsi="Arial"/>
          <w:sz w:val="17"/>
          <w:szCs w:val="17"/>
          <w:color w:val="auto"/>
        </w:rPr>
      </w:pPr>
    </w:p>
    <w:p>
      <w:pPr>
        <w:ind w:left="424" w:hanging="424"/>
        <w:spacing w:after="0" w:line="269" w:lineRule="auto"/>
        <w:tabs>
          <w:tab w:leader="none" w:pos="424" w:val="left"/>
        </w:tabs>
        <w:numPr>
          <w:ilvl w:val="0"/>
          <w:numId w:val="308"/>
        </w:numPr>
        <w:rPr>
          <w:rFonts w:ascii="Arial" w:cs="Arial" w:eastAsia="Arial" w:hAnsi="Arial"/>
          <w:sz w:val="17"/>
          <w:szCs w:val="17"/>
          <w:color w:val="auto"/>
        </w:rPr>
      </w:pPr>
      <w:r>
        <w:rPr>
          <w:rFonts w:ascii="Arial" w:cs="Arial" w:eastAsia="Arial" w:hAnsi="Arial"/>
          <w:sz w:val="17"/>
          <w:szCs w:val="17"/>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w:t>
      </w:r>
      <w:r>
        <w:rPr>
          <w:rFonts w:ascii="Arial" w:cs="Arial" w:eastAsia="Arial" w:hAnsi="Arial"/>
          <w:sz w:val="17"/>
          <w:szCs w:val="17"/>
          <w:b w:val="1"/>
          <w:bCs w:val="1"/>
          <w:i w:val="1"/>
          <w:iCs w:val="1"/>
          <w:color w:val="auto"/>
        </w:rPr>
        <w:t>Independent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Counsel</w:t>
      </w:r>
      <w:r>
        <w:rPr>
          <w:rFonts w:ascii="Arial" w:cs="Arial" w:eastAsia="Arial" w:hAnsi="Arial"/>
          <w:sz w:val="17"/>
          <w:szCs w:val="17"/>
          <w:color w:val="auto"/>
        </w:rPr>
        <w:t>” as defined in Section 2 of this Agreement. If the Independent Counsel is selected by the Board, the Company shall give written notice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Indemnitee advising him or her of the identity of the Independent Counsel so selected and certifying that the Independent Counsel so selected meets the requirements of “</w:t>
      </w:r>
      <w:r>
        <w:rPr>
          <w:rFonts w:ascii="Arial" w:cs="Arial" w:eastAsia="Arial" w:hAnsi="Arial"/>
          <w:sz w:val="17"/>
          <w:szCs w:val="17"/>
          <w:b w:val="1"/>
          <w:bCs w:val="1"/>
          <w:i w:val="1"/>
          <w:iCs w:val="1"/>
          <w:color w:val="auto"/>
        </w:rPr>
        <w:t>Independent Counsel</w:t>
      </w:r>
      <w:r>
        <w:rPr>
          <w:rFonts w:ascii="Arial" w:cs="Arial" w:eastAsia="Arial" w:hAnsi="Arial"/>
          <w:sz w:val="17"/>
          <w:szCs w:val="17"/>
          <w:color w:val="auto"/>
        </w:rPr>
        <w:t>”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w:t>
      </w:r>
      <w:r>
        <w:rPr>
          <w:rFonts w:ascii="Arial" w:cs="Arial" w:eastAsia="Arial" w:hAnsi="Arial"/>
          <w:sz w:val="17"/>
          <w:szCs w:val="17"/>
          <w:b w:val="1"/>
          <w:bCs w:val="1"/>
          <w:i w:val="1"/>
          <w:iCs w:val="1"/>
          <w:color w:val="auto"/>
        </w:rPr>
        <w:t>Independent Counsel</w:t>
      </w:r>
      <w:r>
        <w:rPr>
          <w:rFonts w:ascii="Arial" w:cs="Arial" w:eastAsia="Arial" w:hAnsi="Arial"/>
          <w:sz w:val="17"/>
          <w:szCs w:val="17"/>
          <w:color w:val="auto"/>
        </w:rPr>
        <w:t>” as defined in Section 2 of this Agreement, and the objection shall set forth with particularity the</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400" w:name="page401"/>
    <w:bookmarkEnd w:id="400"/>
    <w:p>
      <w:pPr>
        <w:ind w:left="42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91" w:lineRule="exact"/>
        <w:rPr>
          <w:sz w:val="20"/>
          <w:szCs w:val="20"/>
          <w:color w:val="auto"/>
        </w:rPr>
      </w:pPr>
    </w:p>
    <w:p>
      <w:pPr>
        <w:ind w:left="424" w:right="40" w:hanging="424"/>
        <w:spacing w:after="0" w:line="263" w:lineRule="auto"/>
        <w:tabs>
          <w:tab w:leader="none" w:pos="42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328" w:lineRule="exact"/>
        <w:rPr>
          <w:sz w:val="20"/>
          <w:szCs w:val="20"/>
          <w:color w:val="auto"/>
        </w:rPr>
      </w:pPr>
    </w:p>
    <w:p>
      <w:pPr>
        <w:ind w:left="424" w:hanging="424"/>
        <w:spacing w:after="0"/>
        <w:tabs>
          <w:tab w:leader="none" w:pos="424"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PRESUMPTIONS AND EFFECT OF CERTAIN PROCEEDINGS</w:t>
      </w:r>
    </w:p>
    <w:p>
      <w:pPr>
        <w:spacing w:after="0" w:line="135" w:lineRule="exact"/>
        <w:rPr>
          <w:sz w:val="20"/>
          <w:szCs w:val="20"/>
          <w:color w:val="auto"/>
        </w:rPr>
      </w:pPr>
    </w:p>
    <w:p>
      <w:pPr>
        <w:ind w:left="424" w:hanging="424"/>
        <w:spacing w:after="0" w:line="290" w:lineRule="auto"/>
        <w:tabs>
          <w:tab w:leader="none" w:pos="424"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70" w:lineRule="exact"/>
        <w:rPr>
          <w:rFonts w:ascii="Arial" w:cs="Arial" w:eastAsia="Arial" w:hAnsi="Arial"/>
          <w:sz w:val="16"/>
          <w:szCs w:val="16"/>
          <w:color w:val="auto"/>
        </w:rPr>
      </w:pPr>
    </w:p>
    <w:p>
      <w:pPr>
        <w:ind w:left="424" w:right="20" w:hanging="424"/>
        <w:spacing w:after="0" w:line="296" w:lineRule="auto"/>
        <w:tabs>
          <w:tab w:leader="none" w:pos="424"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401" w:name="page402"/>
    <w:bookmarkEnd w:id="401"/>
    <w:p>
      <w:pPr>
        <w:ind w:left="424"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determination that any or all such indemnification is expressly prohibited under applicable law and the Articles;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92" w:lineRule="exact"/>
        <w:rPr>
          <w:sz w:val="20"/>
          <w:szCs w:val="20"/>
          <w:color w:val="auto"/>
        </w:rPr>
      </w:pPr>
    </w:p>
    <w:p>
      <w:pPr>
        <w:ind w:left="424" w:right="80" w:hanging="424"/>
        <w:spacing w:after="0" w:line="257" w:lineRule="auto"/>
        <w:tabs>
          <w:tab w:leader="none" w:pos="42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93" w:lineRule="exact"/>
        <w:rPr>
          <w:rFonts w:ascii="Arial" w:cs="Arial" w:eastAsia="Arial" w:hAnsi="Arial"/>
          <w:sz w:val="18"/>
          <w:szCs w:val="18"/>
          <w:color w:val="auto"/>
        </w:rPr>
      </w:pPr>
    </w:p>
    <w:p>
      <w:pPr>
        <w:ind w:left="424" w:hanging="424"/>
        <w:spacing w:after="0" w:line="290" w:lineRule="auto"/>
        <w:tabs>
          <w:tab w:leader="none" w:pos="42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70" w:lineRule="exact"/>
        <w:rPr>
          <w:rFonts w:ascii="Arial" w:cs="Arial" w:eastAsia="Arial" w:hAnsi="Arial"/>
          <w:sz w:val="16"/>
          <w:szCs w:val="16"/>
          <w:color w:val="auto"/>
        </w:rPr>
      </w:pPr>
    </w:p>
    <w:p>
      <w:pPr>
        <w:jc w:val="both"/>
        <w:ind w:left="424" w:right="360" w:hanging="424"/>
        <w:spacing w:after="0" w:line="342" w:lineRule="auto"/>
        <w:tabs>
          <w:tab w:leader="none" w:pos="42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268" w:lineRule="exact"/>
        <w:rPr>
          <w:sz w:val="20"/>
          <w:szCs w:val="20"/>
          <w:color w:val="auto"/>
        </w:rPr>
      </w:pPr>
    </w:p>
    <w:p>
      <w:pPr>
        <w:ind w:left="424" w:hanging="424"/>
        <w:spacing w:after="0"/>
        <w:tabs>
          <w:tab w:leader="none" w:pos="424"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p>
    <w:p>
      <w:pPr>
        <w:spacing w:after="0" w:line="135" w:lineRule="exact"/>
        <w:rPr>
          <w:sz w:val="20"/>
          <w:szCs w:val="20"/>
          <w:color w:val="auto"/>
        </w:rPr>
      </w:pPr>
    </w:p>
    <w:p>
      <w:pPr>
        <w:ind w:left="424" w:right="100" w:hanging="424"/>
        <w:spacing w:after="0" w:line="254" w:lineRule="auto"/>
        <w:tabs>
          <w:tab w:leader="none" w:pos="42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and the Articles,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Sections 5, 6, 7 or the last sentence of Section 12(a) of this Agreement within ten (10) days after receipt by the Company of a written request therefor, (v) a contribution payment is not made in a timely manner pursuant to Section 8 of this Agreement, (vi) payment of indemnification</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402" w:name="page403"/>
    <w:bookmarkEnd w:id="402"/>
    <w:p>
      <w:pPr>
        <w:ind w:left="424"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within ten (10) days after receipt by the Company of a written request therefor,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Commercial Arbitration Rules and Mediation Procedures of the American Arbitration Association shall apply to any such arbitration. The Company shall not oppose Indemnitee’s right to seek any such adjudication or award in arbitration.</w:t>
      </w:r>
    </w:p>
    <w:p>
      <w:pPr>
        <w:spacing w:after="0" w:line="84" w:lineRule="exact"/>
        <w:rPr>
          <w:sz w:val="20"/>
          <w:szCs w:val="20"/>
          <w:color w:val="auto"/>
        </w:rPr>
      </w:pPr>
    </w:p>
    <w:p>
      <w:pPr>
        <w:ind w:left="424" w:right="40" w:hanging="424"/>
        <w:spacing w:after="0" w:line="263" w:lineRule="auto"/>
        <w:tabs>
          <w:tab w:leader="none" w:pos="42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89" w:lineRule="exact"/>
        <w:rPr>
          <w:rFonts w:ascii="Arial" w:cs="Arial" w:eastAsia="Arial" w:hAnsi="Arial"/>
          <w:sz w:val="18"/>
          <w:szCs w:val="18"/>
          <w:color w:val="auto"/>
        </w:rPr>
      </w:pPr>
    </w:p>
    <w:p>
      <w:pPr>
        <w:ind w:left="424" w:hanging="424"/>
        <w:spacing w:after="0" w:line="272" w:lineRule="auto"/>
        <w:tabs>
          <w:tab w:leader="none" w:pos="424"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82" w:lineRule="exact"/>
        <w:rPr>
          <w:rFonts w:ascii="Arial" w:cs="Arial" w:eastAsia="Arial" w:hAnsi="Arial"/>
          <w:sz w:val="17"/>
          <w:szCs w:val="17"/>
          <w:color w:val="auto"/>
        </w:rPr>
      </w:pPr>
    </w:p>
    <w:p>
      <w:pPr>
        <w:ind w:left="424" w:right="140" w:hanging="424"/>
        <w:spacing w:after="0" w:line="301" w:lineRule="auto"/>
        <w:tabs>
          <w:tab w:leader="none" w:pos="424" w:val="left"/>
        </w:tabs>
        <w:numPr>
          <w:ilvl w:val="0"/>
          <w:numId w:val="315"/>
        </w:numPr>
        <w:rPr>
          <w:rFonts w:ascii="Arial" w:cs="Arial" w:eastAsia="Arial" w:hAnsi="Arial"/>
          <w:sz w:val="16"/>
          <w:szCs w:val="16"/>
          <w:color w:val="auto"/>
        </w:rPr>
      </w:pPr>
      <w:r>
        <w:rPr>
          <w:rFonts w:ascii="Arial" w:cs="Arial" w:eastAsia="Arial" w:hAnsi="Arial"/>
          <w:sz w:val="16"/>
          <w:szCs w:val="16"/>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 and the Articles.</w:t>
      </w:r>
    </w:p>
    <w:p>
      <w:pPr>
        <w:spacing w:after="0" w:line="62" w:lineRule="exact"/>
        <w:rPr>
          <w:rFonts w:ascii="Arial" w:cs="Arial" w:eastAsia="Arial" w:hAnsi="Arial"/>
          <w:sz w:val="16"/>
          <w:szCs w:val="16"/>
          <w:color w:val="auto"/>
        </w:rPr>
      </w:pPr>
    </w:p>
    <w:p>
      <w:pPr>
        <w:ind w:left="424" w:right="340" w:hanging="424"/>
        <w:spacing w:after="0" w:line="263" w:lineRule="auto"/>
        <w:tabs>
          <w:tab w:leader="none" w:pos="42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403" w:name="page404"/>
    <w:bookmarkEnd w:id="403"/>
    <w:p>
      <w:pPr>
        <w:ind w:left="424" w:right="20" w:hanging="424"/>
        <w:spacing w:after="0" w:line="290" w:lineRule="auto"/>
        <w:tabs>
          <w:tab w:leader="none" w:pos="424" w:val="left"/>
        </w:tabs>
        <w:numPr>
          <w:ilvl w:val="0"/>
          <w:numId w:val="3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and the Articles,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70" w:lineRule="exact"/>
        <w:rPr>
          <w:rFonts w:ascii="Arial" w:cs="Arial" w:eastAsia="Arial" w:hAnsi="Arial"/>
          <w:sz w:val="16"/>
          <w:szCs w:val="16"/>
          <w:color w:val="auto"/>
        </w:rPr>
      </w:pPr>
    </w:p>
    <w:p>
      <w:pPr>
        <w:ind w:left="424" w:right="20" w:hanging="424"/>
        <w:spacing w:after="0" w:line="279" w:lineRule="auto"/>
        <w:tabs>
          <w:tab w:leader="none" w:pos="424" w:val="left"/>
        </w:tabs>
        <w:numPr>
          <w:ilvl w:val="0"/>
          <w:numId w:val="316"/>
        </w:numPr>
        <w:rPr>
          <w:rFonts w:ascii="Arial" w:cs="Arial" w:eastAsia="Arial" w:hAnsi="Arial"/>
          <w:sz w:val="17"/>
          <w:szCs w:val="17"/>
          <w:color w:val="auto"/>
        </w:rPr>
      </w:pPr>
      <w:r>
        <w:rPr>
          <w:rFonts w:ascii="Arial" w:cs="Arial" w:eastAsia="Arial" w:hAnsi="Arial"/>
          <w:sz w:val="17"/>
          <w:szCs w:val="17"/>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316" w:lineRule="exact"/>
        <w:rPr>
          <w:sz w:val="20"/>
          <w:szCs w:val="20"/>
          <w:color w:val="auto"/>
        </w:rPr>
      </w:pPr>
    </w:p>
    <w:p>
      <w:pPr>
        <w:ind w:left="424" w:hanging="424"/>
        <w:spacing w:after="0"/>
        <w:tabs>
          <w:tab w:leader="none" w:pos="424"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121" w:lineRule="exact"/>
        <w:rPr>
          <w:sz w:val="20"/>
          <w:szCs w:val="20"/>
          <w:color w:val="auto"/>
        </w:rPr>
      </w:pPr>
    </w:p>
    <w:p>
      <w:pPr>
        <w:jc w:val="both"/>
        <w:ind w:left="4" w:right="120" w:firstLine="440"/>
        <w:spacing w:after="0" w:line="259" w:lineRule="auto"/>
        <w:rPr>
          <w:sz w:val="20"/>
          <w:szCs w:val="20"/>
          <w:color w:val="auto"/>
        </w:rPr>
      </w:pPr>
      <w:r>
        <w:rPr>
          <w:rFonts w:ascii="Arial" w:cs="Arial" w:eastAsia="Arial" w:hAnsi="Arial"/>
          <w:sz w:val="18"/>
          <w:szCs w:val="18"/>
          <w:color w:val="auto"/>
        </w:rPr>
        <w:t>Notwithstanding anything herein to the contrary, but subject to Section 27,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331" w:lineRule="exact"/>
        <w:rPr>
          <w:sz w:val="20"/>
          <w:szCs w:val="20"/>
          <w:color w:val="auto"/>
        </w:rPr>
      </w:pPr>
    </w:p>
    <w:p>
      <w:pPr>
        <w:ind w:left="424" w:hanging="424"/>
        <w:spacing w:after="0"/>
        <w:tabs>
          <w:tab w:leader="none" w:pos="424"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 PRIORITY OF OBLIGATIONS</w:t>
      </w:r>
    </w:p>
    <w:p>
      <w:pPr>
        <w:spacing w:after="0" w:line="135" w:lineRule="exact"/>
        <w:rPr>
          <w:sz w:val="20"/>
          <w:szCs w:val="20"/>
          <w:color w:val="auto"/>
        </w:rPr>
      </w:pPr>
    </w:p>
    <w:p>
      <w:pPr>
        <w:ind w:left="424" w:hanging="424"/>
        <w:spacing w:after="0" w:line="269" w:lineRule="auto"/>
        <w:tabs>
          <w:tab w:leader="none" w:pos="424"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Articles, any agreement, a vote of shareholders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and the Articles, whether by statute or judicial decision, permits greater indemnification, hold harmless or exoneration rights or advancement of Expenses than would be afforded currently under the Articles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404" w:name="page405"/>
    <w:bookmarkEnd w:id="404"/>
    <w:p>
      <w:pPr>
        <w:ind w:left="424" w:right="40" w:hanging="424"/>
        <w:spacing w:after="0" w:line="290" w:lineRule="auto"/>
        <w:tabs>
          <w:tab w:leader="none" w:pos="424" w:val="left"/>
        </w:tabs>
        <w:numPr>
          <w:ilvl w:val="0"/>
          <w:numId w:val="3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Articles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color w:val="auto"/>
        </w:rPr>
        <w:t>”) on behalf of Indemnitee against any liability asserted against him or her or incurred by or on behalf of him or in such capacity as a director, officer, employee or agent of the Company, or arising out of his or her status as such, whether or not the Company would have the power to indemnify him or her against such liability under the provisions of this Agreement and the Articles.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70" w:lineRule="exact"/>
        <w:rPr>
          <w:rFonts w:ascii="Arial" w:cs="Arial" w:eastAsia="Arial" w:hAnsi="Arial"/>
          <w:sz w:val="16"/>
          <w:szCs w:val="16"/>
          <w:color w:val="auto"/>
        </w:rPr>
      </w:pPr>
    </w:p>
    <w:p>
      <w:pPr>
        <w:ind w:left="424" w:hanging="424"/>
        <w:spacing w:after="0" w:line="270" w:lineRule="auto"/>
        <w:tabs>
          <w:tab w:leader="none" w:pos="424"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86" w:lineRule="exact"/>
        <w:rPr>
          <w:rFonts w:ascii="Arial" w:cs="Arial" w:eastAsia="Arial" w:hAnsi="Arial"/>
          <w:sz w:val="17"/>
          <w:szCs w:val="17"/>
          <w:color w:val="auto"/>
        </w:rPr>
      </w:pPr>
    </w:p>
    <w:p>
      <w:pPr>
        <w:ind w:left="424" w:right="200" w:hanging="424"/>
        <w:spacing w:after="0" w:line="259" w:lineRule="auto"/>
        <w:tabs>
          <w:tab w:leader="none" w:pos="42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92" w:lineRule="exact"/>
        <w:rPr>
          <w:rFonts w:ascii="Arial" w:cs="Arial" w:eastAsia="Arial" w:hAnsi="Arial"/>
          <w:sz w:val="18"/>
          <w:szCs w:val="18"/>
          <w:color w:val="auto"/>
        </w:rPr>
      </w:pPr>
    </w:p>
    <w:p>
      <w:pPr>
        <w:ind w:left="424" w:right="200" w:hanging="424"/>
        <w:spacing w:after="0" w:line="279" w:lineRule="auto"/>
        <w:tabs>
          <w:tab w:leader="none" w:pos="424"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405" w:name="page406"/>
    <w:bookmarkEnd w:id="405"/>
    <w:p>
      <w:pPr>
        <w:ind w:left="42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contrary, but subject to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67" w:lineRule="exact"/>
        <w:rPr>
          <w:sz w:val="20"/>
          <w:szCs w:val="20"/>
          <w:color w:val="auto"/>
        </w:rPr>
      </w:pPr>
    </w:p>
    <w:p>
      <w:pPr>
        <w:ind w:left="424" w:right="280" w:hanging="424"/>
        <w:spacing w:after="0" w:line="277" w:lineRule="auto"/>
        <w:tabs>
          <w:tab w:leader="none" w:pos="424" w:val="left"/>
        </w:tabs>
        <w:numPr>
          <w:ilvl w:val="0"/>
          <w:numId w:val="321"/>
        </w:numPr>
        <w:rPr>
          <w:rFonts w:ascii="Arial" w:cs="Arial" w:eastAsia="Arial" w:hAnsi="Arial"/>
          <w:sz w:val="18"/>
          <w:szCs w:val="18"/>
          <w:color w:val="auto"/>
        </w:rPr>
      </w:pPr>
      <w:r>
        <w:rPr>
          <w:rFonts w:ascii="Arial" w:cs="Arial" w:eastAsia="Arial" w:hAnsi="Arial"/>
          <w:sz w:val="18"/>
          <w:szCs w:val="18"/>
          <w:color w:val="auto"/>
        </w:rPr>
        <w:t>Notwithstanding anything contained herein, the Company is the primary indemnitor, and any indemnification or advancement obligation of the Sponsor or its affiliates or members or any other Person is secondary.</w:t>
      </w:r>
    </w:p>
    <w:p>
      <w:pPr>
        <w:spacing w:after="0" w:line="315" w:lineRule="exact"/>
        <w:rPr>
          <w:sz w:val="20"/>
          <w:szCs w:val="20"/>
          <w:color w:val="auto"/>
        </w:rPr>
      </w:pPr>
    </w:p>
    <w:p>
      <w:pPr>
        <w:ind w:left="424" w:hanging="424"/>
        <w:spacing w:after="0"/>
        <w:tabs>
          <w:tab w:leader="none" w:pos="424"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AGREEMENT</w:t>
      </w:r>
    </w:p>
    <w:p>
      <w:pPr>
        <w:spacing w:after="0" w:line="121"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All agreements and obligations of the Company contained herein shall continue during the period 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 or expense is incurred for which indemnification or advancement can be provided under this Agreement.</w:t>
      </w:r>
    </w:p>
    <w:p>
      <w:pPr>
        <w:spacing w:after="0" w:line="309" w:lineRule="exact"/>
        <w:rPr>
          <w:sz w:val="20"/>
          <w:szCs w:val="20"/>
          <w:color w:val="auto"/>
        </w:rPr>
      </w:pPr>
    </w:p>
    <w:p>
      <w:pPr>
        <w:ind w:left="424" w:hanging="424"/>
        <w:spacing w:after="0"/>
        <w:tabs>
          <w:tab w:leader="none" w:pos="424"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the Articles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406" w:name="page407"/>
    <w:bookmarkEnd w:id="406"/>
    <w:p>
      <w:pPr>
        <w:ind w:left="424" w:hanging="424"/>
        <w:spacing w:after="0"/>
        <w:tabs>
          <w:tab w:leader="none" w:pos="424"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ENFORCEMENT AND BINDING EFFECT</w:t>
      </w:r>
    </w:p>
    <w:p>
      <w:pPr>
        <w:spacing w:after="0" w:line="135" w:lineRule="exact"/>
        <w:rPr>
          <w:sz w:val="20"/>
          <w:szCs w:val="20"/>
          <w:color w:val="auto"/>
        </w:rPr>
      </w:pPr>
    </w:p>
    <w:p>
      <w:pPr>
        <w:ind w:left="424" w:hanging="424"/>
        <w:spacing w:after="0" w:line="263" w:lineRule="auto"/>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89" w:lineRule="exact"/>
        <w:rPr>
          <w:rFonts w:ascii="Arial" w:cs="Arial" w:eastAsia="Arial" w:hAnsi="Arial"/>
          <w:sz w:val="18"/>
          <w:szCs w:val="18"/>
          <w:color w:val="auto"/>
        </w:rPr>
      </w:pPr>
    </w:p>
    <w:p>
      <w:pPr>
        <w:ind w:left="424" w:right="260" w:hanging="424"/>
        <w:spacing w:after="0" w:line="286" w:lineRule="auto"/>
        <w:tabs>
          <w:tab w:leader="none" w:pos="424" w:val="left"/>
        </w:tabs>
        <w:numPr>
          <w:ilvl w:val="0"/>
          <w:numId w:val="325"/>
        </w:numPr>
        <w:rPr>
          <w:rFonts w:ascii="Arial" w:cs="Arial" w:eastAsia="Arial" w:hAnsi="Arial"/>
          <w:sz w:val="17"/>
          <w:szCs w:val="17"/>
          <w:color w:val="auto"/>
        </w:rPr>
      </w:pPr>
      <w:r>
        <w:rPr>
          <w:rFonts w:ascii="Arial" w:cs="Arial" w:eastAsia="Arial" w:hAnsi="Arial"/>
          <w:sz w:val="17"/>
          <w:szCs w:val="17"/>
          <w:color w:val="auto"/>
        </w:rPr>
        <w:t>Without limiting any of the rights of Indemnitee under the Articles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70" w:lineRule="exact"/>
        <w:rPr>
          <w:rFonts w:ascii="Arial" w:cs="Arial" w:eastAsia="Arial" w:hAnsi="Arial"/>
          <w:sz w:val="17"/>
          <w:szCs w:val="17"/>
          <w:color w:val="auto"/>
        </w:rPr>
      </w:pPr>
    </w:p>
    <w:p>
      <w:pPr>
        <w:ind w:left="424" w:right="20" w:hanging="424"/>
        <w:spacing w:after="0" w:line="293" w:lineRule="auto"/>
        <w:tabs>
          <w:tab w:leader="none" w:pos="42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69" w:lineRule="exact"/>
        <w:rPr>
          <w:rFonts w:ascii="Arial" w:cs="Arial" w:eastAsia="Arial" w:hAnsi="Arial"/>
          <w:sz w:val="16"/>
          <w:szCs w:val="16"/>
          <w:color w:val="auto"/>
        </w:rPr>
      </w:pPr>
    </w:p>
    <w:p>
      <w:pPr>
        <w:ind w:left="424" w:right="340" w:hanging="424"/>
        <w:spacing w:after="0" w:line="259" w:lineRule="auto"/>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92" w:lineRule="exact"/>
        <w:rPr>
          <w:rFonts w:ascii="Arial" w:cs="Arial" w:eastAsia="Arial" w:hAnsi="Arial"/>
          <w:sz w:val="18"/>
          <w:szCs w:val="18"/>
          <w:color w:val="auto"/>
        </w:rPr>
      </w:pPr>
    </w:p>
    <w:p>
      <w:pPr>
        <w:ind w:left="424" w:right="80" w:hanging="424"/>
        <w:spacing w:after="0" w:line="269" w:lineRule="auto"/>
        <w:tabs>
          <w:tab w:leader="none" w:pos="424"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law.</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0" w:right="459" w:bottom="1440" w:gutter="0" w:footer="0" w:header="0"/>
        </w:sectPr>
      </w:pPr>
    </w:p>
    <w:bookmarkStart w:id="407" w:name="page408"/>
    <w:bookmarkEnd w:id="407"/>
    <w:p>
      <w:pPr>
        <w:ind w:left="424" w:hanging="424"/>
        <w:spacing w:after="0"/>
        <w:tabs>
          <w:tab w:leader="none" w:pos="424"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MODIFICATION AND WAIVER</w:t>
      </w:r>
    </w:p>
    <w:p>
      <w:pPr>
        <w:spacing w:after="0" w:line="121"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No supplement, modification or amendment of this Agreement shall be binding unless executed in writing by the parties hereto. No waiver of any of the provisions of this Agreement shall be deemed or shall constitute a waiver of any other provisions of this Agreement nor shall any waiver constitute a continuing waiver.</w:t>
      </w:r>
    </w:p>
    <w:p>
      <w:pPr>
        <w:spacing w:after="0" w:line="328" w:lineRule="exact"/>
        <w:rPr>
          <w:sz w:val="20"/>
          <w:szCs w:val="20"/>
          <w:color w:val="auto"/>
        </w:rPr>
      </w:pPr>
    </w:p>
    <w:p>
      <w:pPr>
        <w:ind w:left="424" w:hanging="424"/>
        <w:spacing w:after="0"/>
        <w:tabs>
          <w:tab w:leader="none" w:pos="424"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All notices, requests, demands and other communications under this Agreement shall be in writing and shall be deemed to have been duly given</w:t>
      </w:r>
    </w:p>
    <w:p>
      <w:pPr>
        <w:spacing w:after="0" w:line="46" w:lineRule="exact"/>
        <w:rPr>
          <w:sz w:val="20"/>
          <w:szCs w:val="20"/>
          <w:color w:val="auto"/>
        </w:rPr>
      </w:pPr>
    </w:p>
    <w:p>
      <w:pPr>
        <w:ind w:left="4" w:right="60" w:hanging="4"/>
        <w:spacing w:after="0" w:line="260" w:lineRule="auto"/>
        <w:tabs>
          <w:tab w:leader="none" w:pos="219"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91" w:lineRule="exact"/>
        <w:rPr>
          <w:sz w:val="20"/>
          <w:szCs w:val="20"/>
          <w:color w:val="auto"/>
        </w:rPr>
      </w:pPr>
    </w:p>
    <w:p>
      <w:pPr>
        <w:ind w:left="424" w:right="140" w:hanging="424"/>
        <w:spacing w:after="0" w:line="277" w:lineRule="auto"/>
        <w:tabs>
          <w:tab w:leader="none" w:pos="42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rFonts w:ascii="Arial" w:cs="Arial" w:eastAsia="Arial" w:hAnsi="Arial"/>
          <w:sz w:val="18"/>
          <w:szCs w:val="18"/>
          <w:color w:val="auto"/>
        </w:rPr>
      </w:pPr>
    </w:p>
    <w:p>
      <w:pPr>
        <w:ind w:left="444" w:right="8040"/>
        <w:spacing w:after="0" w:line="275" w:lineRule="auto"/>
        <w:rPr>
          <w:rFonts w:ascii="Arial" w:cs="Arial" w:eastAsia="Arial" w:hAnsi="Arial"/>
          <w:sz w:val="18"/>
          <w:szCs w:val="18"/>
          <w:color w:val="auto"/>
        </w:rPr>
      </w:pPr>
      <w:r>
        <w:rPr>
          <w:rFonts w:ascii="Arial" w:cs="Arial" w:eastAsia="Arial" w:hAnsi="Arial"/>
          <w:sz w:val="17"/>
          <w:szCs w:val="17"/>
          <w:color w:val="auto"/>
        </w:rPr>
        <w:t>ArcLight Clean Transition Corp. II c/o ArcLight Capital Partners 200 Clarendon Street, 55th Floor Boston, Massachusetts 02116 Attention: General Counsel</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44"/>
        <w:spacing w:after="0"/>
        <w:tabs>
          <w:tab w:leader="none" w:pos="964"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Christian O. Nagler</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James S. Rowe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370" w:lineRule="exact"/>
        <w:rPr>
          <w:sz w:val="20"/>
          <w:szCs w:val="20"/>
          <w:color w:val="auto"/>
        </w:rPr>
      </w:pPr>
    </w:p>
    <w:p>
      <w:pPr>
        <w:ind w:left="424" w:hanging="424"/>
        <w:spacing w:after="0"/>
        <w:tabs>
          <w:tab w:leader="none" w:pos="424"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THE ARTICLES AND CONSENT TO JURISDICTION</w:t>
      </w:r>
    </w:p>
    <w:p>
      <w:pPr>
        <w:spacing w:after="0" w:line="121" w:lineRule="exact"/>
        <w:rPr>
          <w:sz w:val="20"/>
          <w:szCs w:val="20"/>
          <w:color w:val="auto"/>
        </w:rPr>
      </w:pPr>
    </w:p>
    <w:p>
      <w:pPr>
        <w:ind w:left="4" w:right="300" w:firstLine="440"/>
        <w:spacing w:after="0" w:line="291" w:lineRule="auto"/>
        <w:rPr>
          <w:sz w:val="20"/>
          <w:szCs w:val="20"/>
          <w:color w:val="auto"/>
        </w:rPr>
      </w:pPr>
      <w:r>
        <w:rPr>
          <w:rFonts w:ascii="Arial" w:cs="Arial" w:eastAsia="Arial" w:hAnsi="Arial"/>
          <w:sz w:val="16"/>
          <w:szCs w:val="16"/>
          <w:color w:val="auto"/>
        </w:rPr>
        <w:t>This Agreement and the legal relations among the parties shall be governed by, and construed and enforced in accordance with, the laws of the State of Delaware, without regard to its conflict of laws rules. Except with respect to any arbitration commenced by Indemnitee pursuant to</w:t>
      </w:r>
    </w:p>
    <w:p>
      <w:pPr>
        <w:ind w:left="4"/>
        <w:spacing w:after="0" w:line="253" w:lineRule="auto"/>
        <w:rPr>
          <w:sz w:val="20"/>
          <w:szCs w:val="20"/>
          <w:color w:val="auto"/>
        </w:rPr>
      </w:pPr>
      <w:r>
        <w:rPr>
          <w:rFonts w:ascii="Arial" w:cs="Arial" w:eastAsia="Arial" w:hAnsi="Arial"/>
          <w:sz w:val="18"/>
          <w:szCs w:val="18"/>
          <w:color w:val="auto"/>
        </w:rPr>
        <w:t>Section 14(a)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408" w:name="page409"/>
    <w:bookmarkEnd w:id="408"/>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331" w:lineRule="exact"/>
        <w:rPr>
          <w:sz w:val="20"/>
          <w:szCs w:val="20"/>
          <w:color w:val="auto"/>
        </w:rPr>
      </w:pPr>
    </w:p>
    <w:p>
      <w:pPr>
        <w:ind w:left="424" w:hanging="424"/>
        <w:spacing w:after="0"/>
        <w:tabs>
          <w:tab w:leader="none" w:pos="424"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p>
    <w:p>
      <w:pPr>
        <w:spacing w:after="0" w:line="121"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328" w:lineRule="exact"/>
        <w:rPr>
          <w:sz w:val="20"/>
          <w:szCs w:val="20"/>
          <w:color w:val="auto"/>
        </w:rPr>
      </w:pPr>
    </w:p>
    <w:p>
      <w:pPr>
        <w:ind w:left="424" w:hanging="424"/>
        <w:spacing w:after="0"/>
        <w:tabs>
          <w:tab w:leader="none" w:pos="424"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The headings of the paragraphs of this Agreement are inserted for convenience only and shall not be deemed to constitute part of this Agreement or to affect the construction thereof.</w:t>
      </w:r>
    </w:p>
    <w:p>
      <w:pPr>
        <w:spacing w:after="0" w:line="315" w:lineRule="exact"/>
        <w:rPr>
          <w:sz w:val="20"/>
          <w:szCs w:val="20"/>
          <w:color w:val="auto"/>
        </w:rPr>
      </w:pPr>
    </w:p>
    <w:p>
      <w:pPr>
        <w:ind w:left="424" w:hanging="424"/>
        <w:spacing w:after="0"/>
        <w:tabs>
          <w:tab w:leader="none" w:pos="424"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p>
    <w:p>
      <w:pPr>
        <w:spacing w:after="0" w:line="121"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332" w:lineRule="exact"/>
        <w:rPr>
          <w:sz w:val="20"/>
          <w:szCs w:val="20"/>
          <w:color w:val="auto"/>
        </w:rPr>
      </w:pPr>
    </w:p>
    <w:p>
      <w:pPr>
        <w:ind w:left="424" w:hanging="424"/>
        <w:spacing w:after="0"/>
        <w:tabs>
          <w:tab w:leader="none" w:pos="424"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p>
    <w:p>
      <w:pPr>
        <w:spacing w:after="0" w:line="121" w:lineRule="exact"/>
        <w:rPr>
          <w:sz w:val="20"/>
          <w:szCs w:val="20"/>
          <w:color w:val="auto"/>
        </w:rPr>
      </w:pPr>
    </w:p>
    <w:p>
      <w:pPr>
        <w:jc w:val="both"/>
        <w:ind w:left="4" w:right="380" w:firstLine="440"/>
        <w:spacing w:after="0" w:line="263" w:lineRule="auto"/>
        <w:rPr>
          <w:sz w:val="20"/>
          <w:szCs w:val="20"/>
          <w:color w:val="auto"/>
        </w:rPr>
      </w:pPr>
      <w:r>
        <w:rPr>
          <w:rFonts w:ascii="Arial" w:cs="Arial" w:eastAsia="Arial" w:hAnsi="Arial"/>
          <w:sz w:val="18"/>
          <w:szCs w:val="18"/>
          <w:color w:val="auto"/>
        </w:rPr>
        <w:t>If for the validation of any of the provisions in this Agreement any act, resolution, approval or other procedure is 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328" w:lineRule="exact"/>
        <w:rPr>
          <w:sz w:val="20"/>
          <w:szCs w:val="20"/>
          <w:color w:val="auto"/>
        </w:rPr>
      </w:pPr>
    </w:p>
    <w:p>
      <w:pPr>
        <w:ind w:left="424" w:hanging="424"/>
        <w:spacing w:after="0"/>
        <w:tabs>
          <w:tab w:leader="none" w:pos="424"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p>
    <w:p>
      <w:pPr>
        <w:spacing w:after="0" w:line="121"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Notwithstanding anything contained herein to the contrary, Indemnitee hereby agrees that it does not have any right, title, interest or claim of any kind (each, a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 Business Combination.</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409" w:name="page410"/>
    <w:bookmarkEnd w:id="409"/>
    <w:p>
      <w:pPr>
        <w:ind w:left="424" w:hanging="424"/>
        <w:spacing w:after="0"/>
        <w:tabs>
          <w:tab w:leader="none" w:pos="424"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MAINTENANCE OF INSURANCE</w:t>
      </w:r>
    </w:p>
    <w:p>
      <w:pPr>
        <w:spacing w:after="0" w:line="121"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The Company shall use commercially reasonable efforts to 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410" w:name="page411"/>
    <w:bookmarkEnd w:id="4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Indemnity Agreement to be signed as of the day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7"/>
          <w:szCs w:val="17"/>
          <w:color w:val="auto"/>
        </w:rPr>
        <w:t>Title:</w:t>
        <w:tab/>
        <w:t>President and Chief Executive Officer</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Indemnity Agreement</w:t>
      </w:r>
      <w:r>
        <w:rPr>
          <w:rFonts w:ascii="Arial" w:cs="Arial" w:eastAsia="Arial" w:hAnsi="Arial"/>
          <w:sz w:val="18"/>
          <w:szCs w:val="18"/>
          <w:color w:val="auto"/>
        </w:rPr>
        <w:t>]</w:t>
      </w:r>
    </w:p>
    <w:p>
      <w:pPr>
        <w:sectPr>
          <w:pgSz w:w="11900" w:h="16838" w:orient="portrait"/>
          <w:cols w:equalWidth="0" w:num="1">
            <w:col w:w="10040"/>
          </w:cols>
          <w:pgMar w:left="880" w:top="274" w:right="979" w:bottom="1440" w:gutter="0" w:footer="0" w:header="0"/>
        </w:sectPr>
      </w:pPr>
    </w:p>
    <w:bookmarkStart w:id="411" w:name="page412"/>
    <w:bookmarkEnd w:id="411"/>
    <w:p>
      <w:pPr>
        <w:jc w:val="right"/>
        <w:ind w:right="2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Indemnity Agreement</w:t>
      </w:r>
      <w:r>
        <w:rPr>
          <w:rFonts w:ascii="Arial" w:cs="Arial" w:eastAsia="Arial" w:hAnsi="Arial"/>
          <w:sz w:val="16"/>
          <w:szCs w:val="16"/>
          <w:color w:val="auto"/>
        </w:rPr>
        <w:t>]</w:t>
      </w:r>
    </w:p>
    <w:p>
      <w:pPr>
        <w:sectPr>
          <w:pgSz w:w="11900" w:h="16838" w:orient="portrait"/>
          <w:cols w:equalWidth="0" w:num="1">
            <w:col w:w="9019"/>
          </w:cols>
          <w:pgMar w:left="1440" w:top="270" w:right="1440"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Boston, MA 02116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ArcLight CTC Holdings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letter will confirm our agreement that, commencing on the effective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of the registration statement (the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for the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securities of ArcLight Clean Transition Corp. II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continuing until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earlier of (i) the consummation by the Company of an initial business combination and (ii) the Company’s liquidation (in each case as described in the Registration Statement) (such earlier date hereinafter referred to as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 ArcLight CTC Holdings II, L.P.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shall take steps directly or indirectly to make available to the Company certain office space, secretarial and administrative services as may be required by the Company from time to time, situated at 200 Clarendon Street, 55th Floor, Boston, Massachusetts 02116 (or any successor location). In exchange therefore the Company shall pay the Sponsor a sum of $10,000 per month on the Effective Date and continuing monthly thereafter until the Termination Date. The Sponsor hereby agrees that it does not have any right, title, interest or claim of any kind (a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in or to any monies that may be set aside in a trust account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that may be established upon the consummation of the IPO and hereby irrevocably waives any Claim it may have in the future as a result of, or arising out of, any negotiations, contracts or agreements with the Company and will not seek recourse against the Trust Account for any reason whatsoever.</w:t>
      </w:r>
    </w:p>
    <w:p>
      <w:pPr>
        <w:spacing w:after="0" w:line="18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letter agreement constitutes the entire agreement and understanding of the parties hereto in respect of its subject matter and supersedes all prior understandings, agreements or representations by or between the parties hereto, written or oral, to the extent they relate in any way to the subject matter hereof or the transactions contemplated hereby.</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letter agreement may not be amended, modified or waived as to any particular provision, except by a written instrument executed by the parties hereto.</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parties may not assign this letter agreement and any of their rights, interests or obligations hereunder without the consent of the other party.</w:t>
      </w:r>
    </w:p>
    <w:p>
      <w:pPr>
        <w:spacing w:after="0" w:line="2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letter agreement shall be governed by, construed in accordance with, and interpreted pursuant to the laws of the State of New York, without giving effect to its choice of laws principles that might apply the laws of another jurisdiction.</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This letter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letter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413" w:name="page414"/>
    <w:bookmarkEnd w:id="413"/>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ARCLIGHT CTC HOLDINGS II, L.P.</w:t>
      </w:r>
      <w:r>
        <w:rPr>
          <w:rFonts w:ascii="Arial" w:cs="Arial" w:eastAsia="Arial" w:hAnsi="Arial"/>
          <w:sz w:val="18"/>
          <w:szCs w:val="18"/>
          <w:color w:val="auto"/>
        </w:rPr>
        <w:t>, a Delaware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limited partnership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ACTC Holdings GP II, LLC,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ArcLight Capital Holdings, LLC, its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ACHP II, L.P., its Managing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ACH GP, LLC, its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 R. Revers</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Administrative Services Agreement</w:t>
      </w:r>
      <w:r>
        <w:rPr>
          <w:rFonts w:ascii="Arial" w:cs="Arial" w:eastAsia="Arial" w:hAnsi="Arial"/>
          <w:sz w:val="18"/>
          <w:szCs w:val="18"/>
          <w:color w:val="auto"/>
        </w:rPr>
        <w:t>]</w:t>
      </w:r>
    </w:p>
    <w:p>
      <w:pPr>
        <w:sectPr>
          <w:pgSz w:w="11900" w:h="16838" w:orient="portrait"/>
          <w:cols w:equalWidth="0" w:num="1">
            <w:col w:w="10220"/>
          </w:cols>
          <w:pgMar w:left="440" w:top="274" w:right="1239" w:bottom="1440" w:gutter="0" w:footer="0" w:header="0"/>
        </w:sectPr>
      </w:pPr>
    </w:p>
    <w:bookmarkStart w:id="414" w:name="page415"/>
    <w:bookmarkEnd w:id="414"/>
    <w:p>
      <w:pPr>
        <w:ind w:left="10084"/>
        <w:spacing w:after="0"/>
        <w:rPr>
          <w:sz w:val="20"/>
          <w:szCs w:val="20"/>
          <w:color w:val="auto"/>
        </w:rPr>
      </w:pPr>
      <w:r>
        <w:rPr>
          <w:rFonts w:ascii="Arial" w:cs="Arial" w:eastAsia="Arial" w:hAnsi="Arial"/>
          <w:sz w:val="16"/>
          <w:szCs w:val="16"/>
          <w:b w:val="1"/>
          <w:bCs w:val="1"/>
          <w:color w:val="auto"/>
        </w:rPr>
        <w:t>Exhibit 10.6</w:t>
      </w:r>
    </w:p>
    <w:p>
      <w:pPr>
        <w:spacing w:after="0" w:line="144"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PROMISSORY NOTE</w:t>
      </w:r>
    </w:p>
    <w:p>
      <w:pPr>
        <w:sectPr>
          <w:pgSz w:w="11900" w:h="16838" w:orient="portrait"/>
          <w:cols w:equalWidth="0" w:num="1">
            <w:col w:w="11024"/>
          </w:cols>
          <w:pgMar w:left="436" w:top="121" w:right="439" w:bottom="1440" w:gutter="0" w:footer="0" w:header="0"/>
        </w:sect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Amount: up to $300,000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set forth on the Schedule of Borrowings attached hereto)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Dated as of January 20, 2021</w:t>
      </w:r>
    </w:p>
    <w:p>
      <w:pPr>
        <w:spacing w:after="0" w:line="430" w:lineRule="exact"/>
        <w:rPr>
          <w:sz w:val="20"/>
          <w:szCs w:val="20"/>
          <w:color w:val="auto"/>
        </w:rPr>
      </w:pPr>
    </w:p>
    <w:p>
      <w:pPr>
        <w:sectPr>
          <w:pgSz w:w="11900" w:h="16838" w:orient="portrait"/>
          <w:cols w:equalWidth="0" w:num="2">
            <w:col w:w="8204" w:space="720"/>
            <w:col w:w="2100"/>
          </w:cols>
          <w:pgMar w:left="436" w:top="121" w:right="439" w:bottom="1440" w:gutter="0" w:footer="0" w:header="0"/>
          <w:type w:val="continuous"/>
        </w:sectPr>
      </w:pPr>
    </w:p>
    <w:p>
      <w:pPr>
        <w:spacing w:after="0" w:line="43" w:lineRule="exact"/>
        <w:rPr>
          <w:sz w:val="20"/>
          <w:szCs w:val="20"/>
          <w:color w:val="auto"/>
        </w:rPr>
      </w:pPr>
    </w:p>
    <w:p>
      <w:pPr>
        <w:ind w:left="4" w:right="60" w:firstLine="440"/>
        <w:spacing w:after="0" w:line="256" w:lineRule="auto"/>
        <w:rPr>
          <w:sz w:val="20"/>
          <w:szCs w:val="20"/>
          <w:color w:val="auto"/>
        </w:rPr>
      </w:pPr>
      <w:r>
        <w:rPr>
          <w:rFonts w:ascii="Arial" w:cs="Arial" w:eastAsia="Arial" w:hAnsi="Arial"/>
          <w:sz w:val="18"/>
          <w:szCs w:val="18"/>
          <w:color w:val="auto"/>
        </w:rPr>
        <w:t>ArcLight Clean Transition Corp. II, a Cayman Islands exempted company and blank check company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ArcLight CTC Holdings II, L.P., a Delaware limited partnership,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or order, the principal sum of up to three hundred thousand U.S. dollars ($300,000) (as set forth on the Schedule of Borrowings attached hereto)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79" w:lineRule="exact"/>
        <w:rPr>
          <w:sz w:val="20"/>
          <w:szCs w:val="20"/>
          <w:color w:val="auto"/>
        </w:rPr>
      </w:pPr>
    </w:p>
    <w:p>
      <w:pPr>
        <w:ind w:left="4" w:right="40" w:firstLine="436"/>
        <w:spacing w:after="0" w:line="261" w:lineRule="auto"/>
        <w:tabs>
          <w:tab w:leader="none" w:pos="624" w:val="left"/>
        </w:tabs>
        <w:numPr>
          <w:ilvl w:val="1"/>
          <w:numId w:val="337"/>
        </w:numPr>
        <w:rPr>
          <w:rFonts w:ascii="Arial" w:cs="Arial" w:eastAsia="Arial" w:hAnsi="Arial"/>
          <w:sz w:val="18"/>
          <w:szCs w:val="18"/>
          <w:color w:val="auto"/>
        </w:rPr>
      </w:pPr>
      <w:r>
        <w:rPr>
          <w:rFonts w:ascii="Arial" w:cs="Arial" w:eastAsia="Arial" w:hAnsi="Arial"/>
          <w:sz w:val="18"/>
          <w:szCs w:val="18"/>
          <w:b w:val="1"/>
          <w:bCs w:val="1"/>
          <w:color w:val="auto"/>
        </w:rPr>
        <w:t>Principal</w:t>
      </w:r>
      <w:r>
        <w:rPr>
          <w:rFonts w:ascii="Arial" w:cs="Arial" w:eastAsia="Arial" w:hAnsi="Arial"/>
          <w:sz w:val="18"/>
          <w:szCs w:val="18"/>
          <w:color w:val="auto"/>
        </w:rPr>
        <w:t>. The principal balance of this Note shall be payable by the Maker on the earlier of: (i) June 30, 2021 or (ii) the date on which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 initial public offering of its securities (the “</w:t>
      </w:r>
      <w:r>
        <w:rPr>
          <w:rFonts w:ascii="Arial" w:cs="Arial" w:eastAsia="Arial" w:hAnsi="Arial"/>
          <w:sz w:val="18"/>
          <w:szCs w:val="18"/>
          <w:b w:val="1"/>
          <w:bCs w:val="1"/>
          <w:color w:val="auto"/>
        </w:rPr>
        <w:t>IPO</w:t>
      </w:r>
      <w:r>
        <w:rPr>
          <w:rFonts w:ascii="Arial" w:cs="Arial" w:eastAsia="Arial" w:hAnsi="Arial"/>
          <w:sz w:val="18"/>
          <w:szCs w:val="18"/>
          <w:color w:val="auto"/>
        </w:rPr>
        <w:t>”). The principal balance may be prepaid at any time. Under no circumstances shall any individual, including but not limited to any officer, director, employee or shareholder of the Maker, be obligated personally for any obligations or liabilities of the Maker hereunder.</w:t>
      </w:r>
    </w:p>
    <w:p>
      <w:pPr>
        <w:spacing w:after="0" w:line="71" w:lineRule="exact"/>
        <w:rPr>
          <w:rFonts w:ascii="Arial" w:cs="Arial" w:eastAsia="Arial" w:hAnsi="Arial"/>
          <w:sz w:val="18"/>
          <w:szCs w:val="18"/>
          <w:color w:val="auto"/>
        </w:rPr>
      </w:pPr>
    </w:p>
    <w:p>
      <w:pPr>
        <w:ind w:left="624" w:hanging="184"/>
        <w:spacing w:after="0"/>
        <w:tabs>
          <w:tab w:leader="none" w:pos="624" w:val="left"/>
        </w:tabs>
        <w:numPr>
          <w:ilvl w:val="1"/>
          <w:numId w:val="337"/>
        </w:numPr>
        <w:rPr>
          <w:rFonts w:ascii="Arial" w:cs="Arial" w:eastAsia="Arial" w:hAnsi="Arial"/>
          <w:sz w:val="18"/>
          <w:szCs w:val="18"/>
          <w:color w:val="auto"/>
        </w:rPr>
      </w:pPr>
      <w:r>
        <w:rPr>
          <w:rFonts w:ascii="Arial" w:cs="Arial" w:eastAsia="Arial" w:hAnsi="Arial"/>
          <w:sz w:val="18"/>
          <w:szCs w:val="18"/>
          <w:b w:val="1"/>
          <w:bCs w:val="1"/>
          <w:color w:val="auto"/>
        </w:rPr>
        <w:t>Interest</w:t>
      </w:r>
      <w:r>
        <w:rPr>
          <w:rFonts w:ascii="Arial" w:cs="Arial" w:eastAsia="Arial" w:hAnsi="Arial"/>
          <w:sz w:val="18"/>
          <w:szCs w:val="18"/>
          <w:color w:val="auto"/>
        </w:rPr>
        <w:t>. No interest shall accrue on the unpaid principal balance of this Note.</w:t>
      </w:r>
    </w:p>
    <w:p>
      <w:pPr>
        <w:spacing w:after="0" w:line="117" w:lineRule="exact"/>
        <w:rPr>
          <w:rFonts w:ascii="Arial" w:cs="Arial" w:eastAsia="Arial" w:hAnsi="Arial"/>
          <w:sz w:val="18"/>
          <w:szCs w:val="18"/>
          <w:color w:val="auto"/>
        </w:rPr>
      </w:pPr>
    </w:p>
    <w:p>
      <w:pPr>
        <w:ind w:left="4" w:right="100" w:firstLine="436"/>
        <w:spacing w:after="0" w:line="293" w:lineRule="auto"/>
        <w:tabs>
          <w:tab w:leader="none" w:pos="624" w:val="left"/>
        </w:tabs>
        <w:numPr>
          <w:ilvl w:val="1"/>
          <w:numId w:val="337"/>
        </w:numPr>
        <w:rPr>
          <w:rFonts w:ascii="Arial" w:cs="Arial" w:eastAsia="Arial" w:hAnsi="Arial"/>
          <w:sz w:val="16"/>
          <w:szCs w:val="16"/>
          <w:color w:val="auto"/>
        </w:rPr>
      </w:pPr>
      <w:r>
        <w:rPr>
          <w:rFonts w:ascii="Arial" w:cs="Arial" w:eastAsia="Arial" w:hAnsi="Arial"/>
          <w:sz w:val="16"/>
          <w:szCs w:val="16"/>
          <w:b w:val="1"/>
          <w:bCs w:val="1"/>
          <w:color w:val="auto"/>
        </w:rPr>
        <w:t>Drawdown Requests</w:t>
      </w:r>
      <w:r>
        <w:rPr>
          <w:rFonts w:ascii="Arial" w:cs="Arial" w:eastAsia="Arial" w:hAnsi="Arial"/>
          <w:sz w:val="16"/>
          <w:szCs w:val="16"/>
          <w:color w:val="auto"/>
        </w:rPr>
        <w:t>. Maker and Payee agree that Maker may request up to Three Hundred Thousand Dollars ($300,000) for costs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Maker’s initial public offering of its securities. The principal of this Note may be drawn down from time to time prior to the earlier of:</w:t>
      </w:r>
    </w:p>
    <w:p>
      <w:pPr>
        <w:spacing w:after="0" w:line="1" w:lineRule="exact"/>
        <w:rPr>
          <w:rFonts w:ascii="Arial" w:cs="Arial" w:eastAsia="Arial" w:hAnsi="Arial"/>
          <w:sz w:val="16"/>
          <w:szCs w:val="16"/>
          <w:color w:val="auto"/>
        </w:rPr>
      </w:pPr>
    </w:p>
    <w:p>
      <w:pPr>
        <w:ind w:left="4" w:right="160" w:hanging="4"/>
        <w:spacing w:after="0" w:line="292" w:lineRule="auto"/>
        <w:tabs>
          <w:tab w:leader="none" w:pos="219" w:val="left"/>
        </w:tabs>
        <w:numPr>
          <w:ilvl w:val="0"/>
          <w:numId w:val="338"/>
        </w:numPr>
        <w:rPr>
          <w:rFonts w:ascii="Arial" w:cs="Arial" w:eastAsia="Arial" w:hAnsi="Arial"/>
          <w:sz w:val="16"/>
          <w:szCs w:val="16"/>
          <w:color w:val="auto"/>
        </w:rPr>
      </w:pPr>
      <w:r>
        <w:rPr>
          <w:rFonts w:ascii="Arial" w:cs="Arial" w:eastAsia="Arial" w:hAnsi="Arial"/>
          <w:sz w:val="16"/>
          <w:szCs w:val="16"/>
          <w:color w:val="auto"/>
        </w:rPr>
        <w:t>June 30, 2021 or (ii) the date on which Maker consummates an initial public offering of its securities, upon written request from Maker to Payee (each, a “</w:t>
      </w:r>
      <w:r>
        <w:rPr>
          <w:rFonts w:ascii="Arial" w:cs="Arial" w:eastAsia="Arial" w:hAnsi="Arial"/>
          <w:sz w:val="16"/>
          <w:szCs w:val="16"/>
          <w:b w:val="1"/>
          <w:bCs w:val="1"/>
          <w:color w:val="auto"/>
        </w:rPr>
        <w:t>Drawdown Request</w:t>
      </w:r>
      <w:r>
        <w:rPr>
          <w:rFonts w:ascii="Arial" w:cs="Arial" w:eastAsia="Arial" w:hAnsi="Arial"/>
          <w:sz w:val="16"/>
          <w:szCs w:val="16"/>
          <w:color w:val="auto"/>
        </w:rPr>
        <w:t>”). Each Drawdown Request must state the amount to be drawn down, and must not be an amount less than One Thousand Dollars ($1,000) unless agreed upon by Maker and Payee. Payee shall fund each Drawdown Request no later than one (1) business day after receipt of a Drawdown Request; provided, however, that the maximum amount of drawdowns collectively under this Note is Three Hundred Thousand Dollars ($300,000). No fees, payments or other amounts shall be due to Payee in connection with, or as a result of, any Drawdown Request by Maker.</w:t>
      </w:r>
    </w:p>
    <w:p>
      <w:pPr>
        <w:spacing w:after="0" w:line="50" w:lineRule="exact"/>
        <w:rPr>
          <w:rFonts w:ascii="Arial" w:cs="Arial" w:eastAsia="Arial" w:hAnsi="Arial"/>
          <w:sz w:val="16"/>
          <w:szCs w:val="16"/>
          <w:color w:val="auto"/>
        </w:rPr>
      </w:pPr>
    </w:p>
    <w:p>
      <w:pPr>
        <w:ind w:left="4" w:right="260" w:firstLine="436"/>
        <w:spacing w:after="0" w:line="266" w:lineRule="auto"/>
        <w:tabs>
          <w:tab w:leader="none" w:pos="624" w:val="left"/>
        </w:tabs>
        <w:numPr>
          <w:ilvl w:val="1"/>
          <w:numId w:val="338"/>
        </w:numPr>
        <w:rPr>
          <w:rFonts w:ascii="Arial" w:cs="Arial" w:eastAsia="Arial" w:hAnsi="Arial"/>
          <w:sz w:val="18"/>
          <w:szCs w:val="18"/>
          <w:color w:val="auto"/>
        </w:rPr>
      </w:pPr>
      <w:r>
        <w:rPr>
          <w:rFonts w:ascii="Arial" w:cs="Arial" w:eastAsia="Arial" w:hAnsi="Arial"/>
          <w:sz w:val="18"/>
          <w:szCs w:val="18"/>
          <w:b w:val="1"/>
          <w:bCs w:val="1"/>
          <w:color w:val="auto"/>
        </w:rPr>
        <w:t>Application of Payments</w:t>
      </w:r>
      <w:r>
        <w:rPr>
          <w:rFonts w:ascii="Arial" w:cs="Arial" w:eastAsia="Arial" w:hAnsi="Arial"/>
          <w:sz w:val="18"/>
          <w:szCs w:val="18"/>
          <w:color w:val="auto"/>
        </w:rPr>
        <w:t>. All payments shall be applied first to payment in full of any costs incurred in the collection of any sum due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Note, including (without limitation) reasonable attorney’s fees, then to the payment in full of any late charges and finally to the reduction of the unpaid principal balance of this Note.</w:t>
      </w:r>
    </w:p>
    <w:p>
      <w:pPr>
        <w:spacing w:after="0" w:line="67" w:lineRule="exact"/>
        <w:rPr>
          <w:rFonts w:ascii="Arial" w:cs="Arial" w:eastAsia="Arial" w:hAnsi="Arial"/>
          <w:sz w:val="18"/>
          <w:szCs w:val="18"/>
          <w:color w:val="auto"/>
        </w:rPr>
      </w:pPr>
    </w:p>
    <w:p>
      <w:pPr>
        <w:ind w:left="624" w:hanging="184"/>
        <w:spacing w:after="0"/>
        <w:tabs>
          <w:tab w:leader="none" w:pos="624" w:val="left"/>
        </w:tabs>
        <w:numPr>
          <w:ilvl w:val="1"/>
          <w:numId w:val="338"/>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360" w:firstLine="419"/>
        <w:spacing w:after="0" w:line="277" w:lineRule="auto"/>
        <w:tabs>
          <w:tab w:leader="none" w:pos="1111" w:val="left"/>
        </w:tabs>
        <w:numPr>
          <w:ilvl w:val="2"/>
          <w:numId w:val="338"/>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the principal amount due pursuant to this Note within five (5) business days of the date specified above.</w:t>
      </w:r>
    </w:p>
    <w:p>
      <w:pPr>
        <w:spacing w:after="0" w:line="62" w:lineRule="exact"/>
        <w:rPr>
          <w:rFonts w:ascii="Arial" w:cs="Arial" w:eastAsia="Arial" w:hAnsi="Arial"/>
          <w:sz w:val="18"/>
          <w:szCs w:val="18"/>
          <w:color w:val="auto"/>
        </w:rPr>
      </w:pPr>
    </w:p>
    <w:p>
      <w:pPr>
        <w:ind w:left="444" w:right="220" w:firstLine="419"/>
        <w:spacing w:after="0" w:line="257" w:lineRule="auto"/>
        <w:tabs>
          <w:tab w:leader="none" w:pos="1122" w:val="left"/>
        </w:tabs>
        <w:numPr>
          <w:ilvl w:val="2"/>
          <w:numId w:val="338"/>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ectPr>
          <w:pgSz w:w="11900" w:h="16838" w:orient="portrait"/>
          <w:cols w:equalWidth="0" w:num="1">
            <w:col w:w="11024"/>
          </w:cols>
          <w:pgMar w:left="436" w:top="121" w:right="439" w:bottom="1440" w:gutter="0" w:footer="0" w:header="0"/>
          <w:type w:val="continuous"/>
        </w:sectPr>
      </w:pPr>
    </w:p>
    <w:bookmarkStart w:id="415" w:name="page416"/>
    <w:bookmarkEnd w:id="415"/>
    <w:p>
      <w:pPr>
        <w:ind w:left="4" w:firstLine="419"/>
        <w:spacing w:after="0" w:line="279" w:lineRule="auto"/>
        <w:tabs>
          <w:tab w:leader="none" w:pos="671" w:val="left"/>
        </w:tabs>
        <w:numPr>
          <w:ilvl w:val="1"/>
          <w:numId w:val="33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Involuntary Bankruptcy, Etc</w:t>
      </w:r>
      <w:r>
        <w:rPr>
          <w:rFonts w:ascii="Arial" w:cs="Arial" w:eastAsia="Arial" w:hAnsi="Arial"/>
          <w:sz w:val="17"/>
          <w:szCs w:val="17"/>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59" w:lineRule="exact"/>
        <w:rPr>
          <w:rFonts w:ascii="Arial" w:cs="Arial" w:eastAsia="Arial" w:hAnsi="Arial"/>
          <w:sz w:val="17"/>
          <w:szCs w:val="17"/>
          <w:color w:val="auto"/>
        </w:rPr>
      </w:pPr>
    </w:p>
    <w:p>
      <w:pPr>
        <w:ind w:left="184" w:hanging="184"/>
        <w:spacing w:after="0"/>
        <w:tabs>
          <w:tab w:leader="none" w:pos="184"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 w:right="80" w:firstLine="419"/>
        <w:spacing w:after="0" w:line="279" w:lineRule="auto"/>
        <w:tabs>
          <w:tab w:leader="none" w:pos="671" w:val="left"/>
        </w:tabs>
        <w:numPr>
          <w:ilvl w:val="1"/>
          <w:numId w:val="340"/>
        </w:numPr>
        <w:rPr>
          <w:rFonts w:ascii="Arial" w:cs="Arial" w:eastAsia="Arial" w:hAnsi="Arial"/>
          <w:sz w:val="17"/>
          <w:szCs w:val="17"/>
          <w:color w:val="auto"/>
        </w:rPr>
      </w:pPr>
      <w:r>
        <w:rPr>
          <w:rFonts w:ascii="Arial" w:cs="Arial" w:eastAsia="Arial" w:hAnsi="Arial"/>
          <w:sz w:val="17"/>
          <w:szCs w:val="17"/>
          <w:color w:val="auto"/>
        </w:rPr>
        <w:t>Upon the occurrence of an Event of Default specified in Section 5(a)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63" w:lineRule="exact"/>
        <w:rPr>
          <w:rFonts w:ascii="Arial" w:cs="Arial" w:eastAsia="Arial" w:hAnsi="Arial"/>
          <w:sz w:val="17"/>
          <w:szCs w:val="17"/>
          <w:color w:val="auto"/>
        </w:rPr>
      </w:pPr>
    </w:p>
    <w:p>
      <w:pPr>
        <w:ind w:left="4" w:right="40" w:firstLine="419"/>
        <w:spacing w:after="0" w:line="263" w:lineRule="auto"/>
        <w:tabs>
          <w:tab w:leader="none" w:pos="681" w:val="left"/>
        </w:tabs>
        <w:numPr>
          <w:ilvl w:val="1"/>
          <w:numId w:val="340"/>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Sections 5(b) and 5(c), the unpaid principal balance of this Note, and all other sums payable with regard to this Note, shall automatically and immediately become due and payable, in all cases without any action on the part of Payee.</w:t>
      </w:r>
    </w:p>
    <w:p>
      <w:pPr>
        <w:spacing w:after="0" w:line="72" w:lineRule="exact"/>
        <w:rPr>
          <w:sz w:val="20"/>
          <w:szCs w:val="20"/>
          <w:color w:val="auto"/>
        </w:rPr>
      </w:pPr>
    </w:p>
    <w:p>
      <w:pPr>
        <w:ind w:left="4" w:right="20" w:firstLine="419"/>
        <w:spacing w:after="0" w:line="255" w:lineRule="auto"/>
        <w:tabs>
          <w:tab w:leader="none" w:pos="606" w:val="left"/>
        </w:tabs>
        <w:numPr>
          <w:ilvl w:val="0"/>
          <w:numId w:val="341"/>
        </w:numPr>
        <w:rPr>
          <w:rFonts w:ascii="Arial" w:cs="Arial" w:eastAsia="Arial" w:hAnsi="Arial"/>
          <w:sz w:val="18"/>
          <w:szCs w:val="18"/>
          <w:color w:val="auto"/>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dishonor, protest, 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80" w:lineRule="exact"/>
        <w:rPr>
          <w:rFonts w:ascii="Arial" w:cs="Arial" w:eastAsia="Arial" w:hAnsi="Arial"/>
          <w:sz w:val="18"/>
          <w:szCs w:val="18"/>
          <w:color w:val="auto"/>
        </w:rPr>
      </w:pPr>
    </w:p>
    <w:p>
      <w:pPr>
        <w:ind w:left="604" w:hanging="181"/>
        <w:spacing w:after="0"/>
        <w:tabs>
          <w:tab w:leader="none" w:pos="604" w:val="left"/>
        </w:tabs>
        <w:numPr>
          <w:ilvl w:val="0"/>
          <w:numId w:val="341"/>
        </w:numPr>
        <w:rPr>
          <w:rFonts w:ascii="Arial" w:cs="Arial" w:eastAsia="Arial" w:hAnsi="Arial"/>
          <w:sz w:val="17"/>
          <w:szCs w:val="17"/>
          <w:color w:val="auto"/>
        </w:rPr>
      </w:pPr>
      <w:r>
        <w:rPr>
          <w:rFonts w:ascii="Arial" w:cs="Arial" w:eastAsia="Arial" w:hAnsi="Arial"/>
          <w:sz w:val="17"/>
          <w:szCs w:val="17"/>
          <w:b w:val="1"/>
          <w:bCs w:val="1"/>
          <w:color w:val="auto"/>
        </w:rPr>
        <w:t xml:space="preserve">Unconditional Liability. </w:t>
      </w:r>
      <w:r>
        <w:rPr>
          <w:rFonts w:ascii="Arial" w:cs="Arial" w:eastAsia="Arial" w:hAnsi="Arial"/>
          <w:sz w:val="17"/>
          <w:szCs w:val="17"/>
          <w:color w:val="auto"/>
        </w:rPr>
        <w:t>Maker hereby waives all notices in connection with the delivery, acceptance, performance, default, or</w:t>
      </w:r>
    </w:p>
    <w:p>
      <w:pPr>
        <w:spacing w:after="0" w:line="38" w:lineRule="exact"/>
        <w:rPr>
          <w:rFonts w:ascii="Arial" w:cs="Arial" w:eastAsia="Arial" w:hAnsi="Arial"/>
          <w:sz w:val="17"/>
          <w:szCs w:val="17"/>
          <w:color w:val="auto"/>
        </w:rPr>
      </w:pPr>
    </w:p>
    <w:p>
      <w:pPr>
        <w:ind w:left="4"/>
        <w:spacing w:after="0" w:line="253" w:lineRule="auto"/>
        <w:rPr>
          <w:rFonts w:ascii="Arial" w:cs="Arial" w:eastAsia="Arial" w:hAnsi="Arial"/>
          <w:sz w:val="17"/>
          <w:szCs w:val="17"/>
          <w:color w:val="auto"/>
        </w:rPr>
      </w:pPr>
      <w:r>
        <w:rPr>
          <w:rFonts w:ascii="Arial" w:cs="Arial" w:eastAsia="Arial" w:hAnsi="Arial"/>
          <w:sz w:val="18"/>
          <w:szCs w:val="18"/>
          <w:color w:val="auto"/>
        </w:rPr>
        <w:t>enforcement of the 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78" w:lineRule="exact"/>
        <w:rPr>
          <w:rFonts w:ascii="Arial" w:cs="Arial" w:eastAsia="Arial" w:hAnsi="Arial"/>
          <w:sz w:val="17"/>
          <w:szCs w:val="17"/>
          <w:color w:val="auto"/>
        </w:rPr>
      </w:pPr>
    </w:p>
    <w:p>
      <w:pPr>
        <w:ind w:left="4" w:right="80" w:firstLine="419"/>
        <w:spacing w:after="0" w:line="292" w:lineRule="auto"/>
        <w:tabs>
          <w:tab w:leader="none" w:pos="606" w:val="left"/>
        </w:tabs>
        <w:numPr>
          <w:ilvl w:val="0"/>
          <w:numId w:val="341"/>
        </w:numPr>
        <w:rPr>
          <w:rFonts w:ascii="Arial" w:cs="Arial" w:eastAsia="Arial" w:hAnsi="Arial"/>
          <w:sz w:val="16"/>
          <w:szCs w:val="16"/>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All notices, statements or other documents which are required or contemplated by this Agreement shall be: (i)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53" w:lineRule="exact"/>
        <w:rPr>
          <w:rFonts w:ascii="Arial" w:cs="Arial" w:eastAsia="Arial" w:hAnsi="Arial"/>
          <w:sz w:val="16"/>
          <w:szCs w:val="16"/>
          <w:color w:val="auto"/>
        </w:rPr>
      </w:pPr>
    </w:p>
    <w:p>
      <w:pPr>
        <w:ind w:left="684" w:hanging="261"/>
        <w:spacing w:after="0"/>
        <w:tabs>
          <w:tab w:leader="none" w:pos="684" w:val="left"/>
        </w:tabs>
        <w:numPr>
          <w:ilvl w:val="0"/>
          <w:numId w:val="341"/>
        </w:numPr>
        <w:rPr>
          <w:rFonts w:ascii="Arial" w:cs="Arial" w:eastAsia="Arial" w:hAnsi="Arial"/>
          <w:sz w:val="17"/>
          <w:szCs w:val="17"/>
          <w:color w:val="auto"/>
        </w:rPr>
      </w:pPr>
      <w:r>
        <w:rPr>
          <w:rFonts w:ascii="Arial" w:cs="Arial" w:eastAsia="Arial" w:hAnsi="Arial"/>
          <w:sz w:val="17"/>
          <w:szCs w:val="17"/>
          <w:b w:val="1"/>
          <w:bCs w:val="1"/>
          <w:color w:val="auto"/>
        </w:rPr>
        <w:t>Construction</w:t>
      </w:r>
      <w:r>
        <w:rPr>
          <w:rFonts w:ascii="Arial" w:cs="Arial" w:eastAsia="Arial" w:hAnsi="Arial"/>
          <w:sz w:val="17"/>
          <w:szCs w:val="17"/>
          <w:color w:val="auto"/>
        </w:rPr>
        <w:t>. THIS NOTE SHALL BE CONSTRUED AND ENFORCED IN ACCORDANCE WITH THE LAWS OF NEW YORK,</w:t>
      </w:r>
    </w:p>
    <w:p>
      <w:pPr>
        <w:spacing w:after="0" w:line="38"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WITHOUT REGARD TO CONFLICT OF LAW PROVISIONS THEREOF.</w:t>
      </w:r>
    </w:p>
    <w:p>
      <w:pPr>
        <w:spacing w:after="0" w:line="98" w:lineRule="exact"/>
        <w:rPr>
          <w:rFonts w:ascii="Arial" w:cs="Arial" w:eastAsia="Arial" w:hAnsi="Arial"/>
          <w:sz w:val="17"/>
          <w:szCs w:val="17"/>
          <w:color w:val="auto"/>
        </w:rPr>
      </w:pPr>
    </w:p>
    <w:p>
      <w:pPr>
        <w:jc w:val="both"/>
        <w:ind w:left="4" w:right="60" w:firstLine="419"/>
        <w:spacing w:after="0" w:line="289" w:lineRule="auto"/>
        <w:tabs>
          <w:tab w:leader="none" w:pos="690" w:val="left"/>
        </w:tabs>
        <w:numPr>
          <w:ilvl w:val="0"/>
          <w:numId w:val="341"/>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Any provision contained in this Note which is prohibited or unenforceable in any jurisdiction shall, as to such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ectPr>
          <w:pgSz w:w="11900" w:h="16838" w:orient="portrait"/>
          <w:cols w:equalWidth="0" w:num="1">
            <w:col w:w="10564"/>
          </w:cols>
          <w:pgMar w:left="876" w:top="274" w:right="459" w:bottom="1440" w:gutter="0" w:footer="0" w:header="0"/>
        </w:sectPr>
      </w:pPr>
    </w:p>
    <w:bookmarkStart w:id="416" w:name="page417"/>
    <w:bookmarkEnd w:id="416"/>
    <w:p>
      <w:pPr>
        <w:ind w:firstLine="436"/>
        <w:spacing w:after="0" w:line="256" w:lineRule="auto"/>
        <w:tabs>
          <w:tab w:leader="none" w:pos="710" w:val="left"/>
        </w:tabs>
        <w:numPr>
          <w:ilvl w:val="0"/>
          <w:numId w:val="34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Trust Waiver</w:t>
      </w:r>
      <w:r>
        <w:rPr>
          <w:rFonts w:ascii="Arial" w:cs="Arial" w:eastAsia="Arial" w:hAnsi="Arial"/>
          <w:sz w:val="18"/>
          <w:szCs w:val="18"/>
          <w:color w:val="auto"/>
        </w:rPr>
        <w:t>. Notwithstanding anything herein to the contrary, the Payee hereby waives any and all right, title, interest or claim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or from the trust account to be established in which the proceeds of the IPO conducted by the Maker (including the deferred underwriters discounts and commissions) and certain of the proceeds of the sale of the warrants issued in a private placement to occur in connection with the consummation of the IPO are to be deposited, as described in greater detail in the registration statement and prospectus to be filed with the Securities and Exchange Commission in connection with the IPO, and hereby agrees not to seek recourse, reimbursement, payment or satisfaction for any Claim against the trust account for any reason whatsoever.</w:t>
      </w:r>
    </w:p>
    <w:p>
      <w:pPr>
        <w:spacing w:after="0" w:line="79" w:lineRule="exact"/>
        <w:rPr>
          <w:rFonts w:ascii="Arial" w:cs="Arial" w:eastAsia="Arial" w:hAnsi="Arial"/>
          <w:sz w:val="18"/>
          <w:szCs w:val="18"/>
          <w:color w:val="auto"/>
        </w:rPr>
      </w:pPr>
    </w:p>
    <w:p>
      <w:pPr>
        <w:ind w:right="80" w:firstLine="436"/>
        <w:spacing w:after="0" w:line="282" w:lineRule="auto"/>
        <w:tabs>
          <w:tab w:leader="none" w:pos="710" w:val="left"/>
        </w:tabs>
        <w:numPr>
          <w:ilvl w:val="0"/>
          <w:numId w:val="342"/>
        </w:numPr>
        <w:rPr>
          <w:rFonts w:ascii="Arial" w:cs="Arial" w:eastAsia="Arial" w:hAnsi="Arial"/>
          <w:sz w:val="18"/>
          <w:szCs w:val="18"/>
          <w:color w:val="auto"/>
        </w:rPr>
      </w:pPr>
      <w:r>
        <w:rPr>
          <w:rFonts w:ascii="Arial" w:cs="Arial" w:eastAsia="Arial" w:hAnsi="Arial"/>
          <w:sz w:val="18"/>
          <w:szCs w:val="18"/>
          <w:b w:val="1"/>
          <w:bCs w:val="1"/>
          <w:color w:val="auto"/>
        </w:rPr>
        <w:t>Amendment; Waiver</w:t>
      </w:r>
      <w:r>
        <w:rPr>
          <w:rFonts w:ascii="Arial" w:cs="Arial" w:eastAsia="Arial" w:hAnsi="Arial"/>
          <w:sz w:val="18"/>
          <w:szCs w:val="18"/>
          <w:color w:val="auto"/>
        </w:rPr>
        <w:t>. Any amendment hereto or waiver of any provision hereof may be made with, and only with, the written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Maker and the Payee.</w:t>
      </w:r>
    </w:p>
    <w:p>
      <w:pPr>
        <w:spacing w:after="0" w:line="53" w:lineRule="exact"/>
        <w:rPr>
          <w:rFonts w:ascii="Arial" w:cs="Arial" w:eastAsia="Arial" w:hAnsi="Arial"/>
          <w:sz w:val="18"/>
          <w:szCs w:val="18"/>
          <w:color w:val="auto"/>
        </w:rPr>
      </w:pPr>
    </w:p>
    <w:p>
      <w:pPr>
        <w:ind w:right="140" w:firstLine="436"/>
        <w:spacing w:after="0" w:line="347" w:lineRule="auto"/>
        <w:tabs>
          <w:tab w:leader="none" w:pos="710" w:val="left"/>
        </w:tabs>
        <w:numPr>
          <w:ilvl w:val="0"/>
          <w:numId w:val="342"/>
        </w:numPr>
        <w:rPr>
          <w:rFonts w:ascii="Arial" w:cs="Arial" w:eastAsia="Arial" w:hAnsi="Arial"/>
          <w:sz w:val="16"/>
          <w:szCs w:val="16"/>
          <w:color w:val="auto"/>
        </w:rPr>
      </w:pPr>
      <w:r>
        <w:rPr>
          <w:rFonts w:ascii="Arial" w:cs="Arial" w:eastAsia="Arial" w:hAnsi="Arial"/>
          <w:sz w:val="16"/>
          <w:szCs w:val="16"/>
          <w:b w:val="1"/>
          <w:bCs w:val="1"/>
          <w:color w:val="auto"/>
        </w:rPr>
        <w:t>Assignment</w:t>
      </w:r>
      <w:r>
        <w:rPr>
          <w:rFonts w:ascii="Arial" w:cs="Arial" w:eastAsia="Arial" w:hAnsi="Arial"/>
          <w:sz w:val="16"/>
          <w:szCs w:val="16"/>
          <w:color w:val="auto"/>
        </w:rPr>
        <w:t>. No assignment or transfer of this Note or any rights or obligations hereunder may be made by any party hereto (by operation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law or otherwise) without the prior written consent of the other party hereto and any attempted assignment without the required consent shall be void.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417" w:name="page418"/>
    <w:bookmarkEnd w:id="41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Maker, intending to be legally bound hereby, has caused this Note to be duly executed by the undersigned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Cayman Islands exempted company</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840"/>
          </w:cols>
          <w:pgMar w:left="440" w:top="270" w:right="619" w:bottom="1440" w:gutter="0" w:footer="0" w:header="0"/>
        </w:sectPr>
      </w:pPr>
    </w:p>
    <w:bookmarkStart w:id="418" w:name="page419"/>
    <w:bookmarkEnd w:id="418"/>
    <w:p>
      <w:pPr>
        <w:ind w:left="42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OF BORROWINGS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increases or decreases in this Promissory Note have been made:</w:t>
      </w:r>
    </w:p>
    <w:p>
      <w:pPr>
        <w:sectPr>
          <w:pgSz w:w="11900" w:h="16838" w:orient="portrait"/>
          <w:cols w:equalWidth="0" w:num="1">
            <w:col w:w="10420"/>
          </w:cols>
          <w:pgMar w:left="440" w:top="274" w:right="1039" w:bottom="1440" w:gutter="0" w:footer="0" w:header="0"/>
        </w:sect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Increase or</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decrease in</w:t>
            </w:r>
          </w:p>
        </w:tc>
        <w:tc>
          <w:tcPr>
            <w:tcW w:w="0" w:type="dxa"/>
            <w:vAlign w:val="bottom"/>
          </w:tcPr>
          <w:p>
            <w:pPr>
              <w:spacing w:after="0"/>
              <w:rPr>
                <w:sz w:val="1"/>
                <w:szCs w:val="1"/>
                <w:color w:val="auto"/>
              </w:rPr>
            </w:pPr>
          </w:p>
        </w:tc>
      </w:tr>
      <w:tr>
        <w:trPr>
          <w:trHeight w:val="148"/>
        </w:trPr>
        <w:tc>
          <w:tcPr>
            <w:tcW w:w="2780" w:type="dxa"/>
            <w:vAlign w:val="bottom"/>
            <w:gridSpan w:val="2"/>
            <w:vMerge w:val="continue"/>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71"/>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Decrease</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0"/>
              </w:rPr>
              <w:t>this Promissory Note</w:t>
            </w:r>
          </w:p>
        </w:tc>
        <w:tc>
          <w:tcPr>
            <w:tcW w:w="0" w:type="dxa"/>
            <w:vAlign w:val="bottom"/>
          </w:tcPr>
          <w:p>
            <w:pPr>
              <w:spacing w:after="0"/>
              <w:rPr>
                <w:sz w:val="1"/>
                <w:szCs w:val="1"/>
                <w:color w:val="auto"/>
              </w:rPr>
            </w:pPr>
          </w:p>
        </w:tc>
      </w:tr>
      <w:tr>
        <w:trPr>
          <w:trHeight w:val="27"/>
        </w:trPr>
        <w:tc>
          <w:tcPr>
            <w:tcW w:w="54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Amount of increase in</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Principal Amount of</w:t>
      </w:r>
    </w:p>
    <w:p>
      <w:pPr>
        <w:ind w:left="40"/>
        <w:spacing w:after="0"/>
        <w:rPr>
          <w:sz w:val="20"/>
          <w:szCs w:val="20"/>
          <w:color w:val="auto"/>
        </w:rPr>
      </w:pPr>
      <w:r>
        <w:rPr>
          <w:rFonts w:ascii="Arial" w:cs="Arial" w:eastAsia="Arial" w:hAnsi="Arial"/>
          <w:sz w:val="13"/>
          <w:szCs w:val="13"/>
          <w:b w:val="1"/>
          <w:bCs w:val="1"/>
          <w:color w:val="auto"/>
        </w:rPr>
        <w:t>this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12065</wp:posOffset>
            </wp:positionV>
            <wp:extent cx="17487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spacing w:after="0" w:line="235" w:lineRule="auto"/>
        <w:rPr>
          <w:sz w:val="20"/>
          <w:szCs w:val="20"/>
          <w:color w:val="auto"/>
        </w:rPr>
      </w:pPr>
      <w:r>
        <w:rPr>
          <w:rFonts w:ascii="Arial" w:cs="Arial" w:eastAsia="Arial" w:hAnsi="Arial"/>
          <w:sz w:val="14"/>
          <w:szCs w:val="14"/>
          <w:b w:val="1"/>
          <w:bCs w:val="1"/>
          <w:color w:val="auto"/>
        </w:rPr>
        <w:t>Principal Amount of this Promissory Note following such decrease or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0</wp:posOffset>
            </wp:positionV>
            <wp:extent cx="167132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4">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ectPr>
          <w:pgSz w:w="11900" w:h="16838" w:orient="portrait"/>
          <w:cols w:equalWidth="0" w:num="3">
            <w:col w:w="5500" w:space="720"/>
            <w:col w:w="2040" w:space="720"/>
            <w:col w:w="1440"/>
          </w:cols>
          <w:pgMar w:left="440" w:top="274" w:right="1039" w:bottom="1440" w:gutter="0" w:footer="0" w:header="0"/>
          <w:type w:val="continuous"/>
        </w:sectPr>
      </w:pPr>
    </w:p>
    <w:bookmarkStart w:id="419" w:name="page420"/>
    <w:bookmarkEnd w:id="41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Boston, MA 02116</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January 20, 2021</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ArcLight CTC Holdings II, 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Boston, MA 02116</w:t>
      </w:r>
    </w:p>
    <w:p>
      <w:pPr>
        <w:spacing w:after="0" w:line="23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Securities Subscription Agreement</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Gentlemen:</w:t>
      </w:r>
    </w:p>
    <w:p>
      <w:pPr>
        <w:spacing w:after="0" w:line="113" w:lineRule="exact"/>
        <w:rPr>
          <w:sz w:val="20"/>
          <w:szCs w:val="20"/>
          <w:color w:val="auto"/>
        </w:rPr>
      </w:pPr>
    </w:p>
    <w:p>
      <w:pPr>
        <w:ind w:left="4" w:right="40" w:firstLine="440"/>
        <w:spacing w:after="0" w:line="256" w:lineRule="auto"/>
        <w:rPr>
          <w:sz w:val="20"/>
          <w:szCs w:val="20"/>
          <w:color w:val="auto"/>
        </w:rPr>
      </w:pPr>
      <w:r>
        <w:rPr>
          <w:rFonts w:ascii="Arial" w:cs="Arial" w:eastAsia="Arial" w:hAnsi="Arial"/>
          <w:sz w:val="18"/>
          <w:szCs w:val="18"/>
          <w:color w:val="auto"/>
        </w:rPr>
        <w:t>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January 20, 2021 by and between ArcLight CTC Holdings II, L.P., a Delaware limited partnership (the “</w:t>
      </w:r>
      <w:r>
        <w:rPr>
          <w:rFonts w:ascii="Arial" w:cs="Arial" w:eastAsia="Arial" w:hAnsi="Arial"/>
          <w:sz w:val="18"/>
          <w:szCs w:val="18"/>
          <w:b w:val="1"/>
          <w:bCs w:val="1"/>
          <w:color w:val="auto"/>
        </w:rPr>
        <w:t>Subscriber</w:t>
      </w:r>
      <w:r>
        <w:rPr>
          <w:rFonts w:ascii="Arial" w:cs="Arial" w:eastAsia="Arial" w:hAnsi="Arial"/>
          <w:sz w:val="18"/>
          <w:szCs w:val="18"/>
          <w:color w:val="auto"/>
        </w:rPr>
        <w:t>” or “</w:t>
      </w:r>
      <w:r>
        <w:rPr>
          <w:rFonts w:ascii="Arial" w:cs="Arial" w:eastAsia="Arial" w:hAnsi="Arial"/>
          <w:sz w:val="18"/>
          <w:szCs w:val="18"/>
          <w:b w:val="1"/>
          <w:bCs w:val="1"/>
          <w:color w:val="auto"/>
        </w:rPr>
        <w:t>you</w:t>
      </w:r>
      <w:r>
        <w:rPr>
          <w:rFonts w:ascii="Arial" w:cs="Arial" w:eastAsia="Arial" w:hAnsi="Arial"/>
          <w:sz w:val="18"/>
          <w:szCs w:val="18"/>
          <w:color w:val="auto"/>
        </w:rPr>
        <w:t>”), and ArcLight Clean Transition Corp</w:t>
      </w:r>
      <w:r>
        <w:rPr>
          <w:rFonts w:ascii="Arial" w:cs="Arial" w:eastAsia="Arial" w:hAnsi="Arial"/>
          <w:sz w:val="18"/>
          <w:szCs w:val="18"/>
          <w:b w:val="1"/>
          <w:bCs w:val="1"/>
          <w:color w:val="auto"/>
        </w:rPr>
        <w:t>. II</w:t>
      </w:r>
      <w:r>
        <w:rPr>
          <w:rFonts w:ascii="Arial" w:cs="Arial" w:eastAsia="Arial" w:hAnsi="Arial"/>
          <w:sz w:val="18"/>
          <w:szCs w:val="18"/>
          <w:color w:val="auto"/>
        </w:rPr>
        <w:t>, a Cayman Islands exempted company (the “</w:t>
      </w:r>
      <w:r>
        <w:rPr>
          <w:rFonts w:ascii="Arial" w:cs="Arial" w:eastAsia="Arial" w:hAnsi="Arial"/>
          <w:sz w:val="18"/>
          <w:szCs w:val="18"/>
          <w:b w:val="1"/>
          <w:bCs w:val="1"/>
          <w:color w:val="auto"/>
        </w:rPr>
        <w:t>Company</w:t>
      </w:r>
      <w:r>
        <w:rPr>
          <w:rFonts w:ascii="Arial" w:cs="Arial" w:eastAsia="Arial" w:hAnsi="Arial"/>
          <w:sz w:val="18"/>
          <w:szCs w:val="18"/>
          <w:color w:val="auto"/>
        </w:rPr>
        <w:t>”). Pursuant to the terms hereof, the Company hereby accepts the offer the Subscriber has made to purchase 7,187,500 Class B ordinary shares, $0.0001 par value per share (the “</w:t>
      </w:r>
      <w:r>
        <w:rPr>
          <w:rFonts w:ascii="Arial" w:cs="Arial" w:eastAsia="Arial" w:hAnsi="Arial"/>
          <w:sz w:val="18"/>
          <w:szCs w:val="18"/>
          <w:b w:val="1"/>
          <w:bCs w:val="1"/>
          <w:color w:val="auto"/>
        </w:rPr>
        <w:t>Shares</w:t>
      </w:r>
      <w:r>
        <w:rPr>
          <w:rFonts w:ascii="Arial" w:cs="Arial" w:eastAsia="Arial" w:hAnsi="Arial"/>
          <w:sz w:val="18"/>
          <w:szCs w:val="18"/>
          <w:color w:val="auto"/>
        </w:rPr>
        <w:t>”), up to 937,500 of which are subject to surrender and cancellation by you if the underwriters of the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units (“</w:t>
      </w:r>
      <w:r>
        <w:rPr>
          <w:rFonts w:ascii="Arial" w:cs="Arial" w:eastAsia="Arial" w:hAnsi="Arial"/>
          <w:sz w:val="18"/>
          <w:szCs w:val="18"/>
          <w:b w:val="1"/>
          <w:bCs w:val="1"/>
          <w:color w:val="auto"/>
        </w:rPr>
        <w:t>Units</w:t>
      </w:r>
      <w:r>
        <w:rPr>
          <w:rFonts w:ascii="Arial" w:cs="Arial" w:eastAsia="Arial" w:hAnsi="Arial"/>
          <w:sz w:val="18"/>
          <w:szCs w:val="18"/>
          <w:color w:val="auto"/>
        </w:rPr>
        <w:t>”) of the Company do not fully exercise their over-allotment option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The Company and the Subscriber’s agreements regarding such Shares are as follows:</w:t>
      </w:r>
    </w:p>
    <w:p>
      <w:pPr>
        <w:spacing w:after="0" w:line="83" w:lineRule="exact"/>
        <w:rPr>
          <w:sz w:val="20"/>
          <w:szCs w:val="20"/>
          <w:color w:val="auto"/>
        </w:rPr>
      </w:pPr>
    </w:p>
    <w:p>
      <w:pPr>
        <w:ind w:left="184" w:hanging="184"/>
        <w:spacing w:after="0"/>
        <w:tabs>
          <w:tab w:leader="none" w:pos="184"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Purchase of Securities</w:t>
      </w:r>
      <w:r>
        <w:rPr>
          <w:rFonts w:ascii="Arial" w:cs="Arial" w:eastAsia="Arial" w:hAnsi="Arial"/>
          <w:sz w:val="18"/>
          <w:szCs w:val="18"/>
          <w:color w:val="auto"/>
        </w:rPr>
        <w:t>.</w:t>
      </w:r>
    </w:p>
    <w:p>
      <w:pPr>
        <w:spacing w:after="0" w:line="113" w:lineRule="exact"/>
        <w:rPr>
          <w:sz w:val="20"/>
          <w:szCs w:val="20"/>
          <w:color w:val="auto"/>
        </w:rPr>
      </w:pPr>
    </w:p>
    <w:p>
      <w:pPr>
        <w:ind w:left="4" w:right="20" w:firstLine="440"/>
        <w:spacing w:after="0" w:line="25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Purchase of Shares</w:t>
      </w:r>
      <w:r>
        <w:rPr>
          <w:rFonts w:ascii="Arial" w:cs="Arial" w:eastAsia="Arial" w:hAnsi="Arial"/>
          <w:sz w:val="18"/>
          <w:szCs w:val="18"/>
          <w:color w:val="auto"/>
        </w:rPr>
        <w:t>. For the sum of $25,000 (the “</w:t>
      </w:r>
      <w:r>
        <w:rPr>
          <w:rFonts w:ascii="Arial" w:cs="Arial" w:eastAsia="Arial" w:hAnsi="Arial"/>
          <w:sz w:val="18"/>
          <w:szCs w:val="18"/>
          <w:b w:val="1"/>
          <w:bCs w:val="1"/>
          <w:color w:val="auto"/>
        </w:rPr>
        <w:t>Purchase Price</w:t>
      </w:r>
      <w:r>
        <w:rPr>
          <w:rFonts w:ascii="Arial" w:cs="Arial" w:eastAsia="Arial" w:hAnsi="Arial"/>
          <w:sz w:val="18"/>
          <w:szCs w:val="18"/>
          <w:color w:val="auto"/>
        </w:rPr>
        <w:t>”), which the Company acknowledges receiving in cash, the Company hereby issues the Shares to the Subscriber, and the Subscriber hereby subscribes for and purchases the Shares from the Company, 937,500 of which are subject to surrender and cancellation, on the terms and subject to the conditions set forth in this Agreement. All references in this Agreement to shares of the Company being surrendered and canceled shall take effect as surrenders and cancellations for no consideration of such shares as a matter of Cayman Islands law.</w:t>
      </w:r>
    </w:p>
    <w:p>
      <w:pPr>
        <w:spacing w:after="0" w:line="79"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Surrender of Subscriber Shares</w:t>
      </w:r>
      <w:r>
        <w:rPr>
          <w:rFonts w:ascii="Arial" w:cs="Arial" w:eastAsia="Arial" w:hAnsi="Arial"/>
          <w:sz w:val="18"/>
          <w:szCs w:val="18"/>
          <w:color w:val="auto"/>
        </w:rPr>
        <w:t>. On the issuance of the Shares, the Subscriber hereby surrenders for no consideration the one ordinary share, $0.0001 par value per share that the Subscriber holds in the Company.</w:t>
      </w:r>
    </w:p>
    <w:p>
      <w:pPr>
        <w:spacing w:after="0" w:line="62" w:lineRule="exact"/>
        <w:rPr>
          <w:sz w:val="20"/>
          <w:szCs w:val="20"/>
          <w:color w:val="auto"/>
        </w:rPr>
      </w:pPr>
    </w:p>
    <w:p>
      <w:pPr>
        <w:ind w:left="184" w:hanging="184"/>
        <w:spacing w:after="0"/>
        <w:tabs>
          <w:tab w:leader="none" w:pos="184"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117"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Subscriber’s Representations, Warranties and Agreements</w:t>
      </w:r>
      <w:r>
        <w:rPr>
          <w:rFonts w:ascii="Arial" w:cs="Arial" w:eastAsia="Arial" w:hAnsi="Arial"/>
          <w:sz w:val="18"/>
          <w:szCs w:val="18"/>
          <w:color w:val="auto"/>
        </w:rPr>
        <w:t>. To induce the Company to issue the Shares to the Subscriber, the Subscriber hereby represents and warrants to the Company and agrees with the Company as follows:</w:t>
      </w:r>
    </w:p>
    <w:p>
      <w:pPr>
        <w:spacing w:after="0" w:line="62"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The Subscriber understands that no federal or state agency has passed upon or made any recommendation or endorsement of the offering of the Shares.</w:t>
      </w:r>
    </w:p>
    <w:p>
      <w:pPr>
        <w:spacing w:after="0" w:line="62" w:lineRule="exact"/>
        <w:rPr>
          <w:sz w:val="20"/>
          <w:szCs w:val="20"/>
          <w:color w:val="auto"/>
        </w:rPr>
      </w:pPr>
    </w:p>
    <w:p>
      <w:pPr>
        <w:ind w:left="4" w:right="60" w:firstLine="991"/>
        <w:spacing w:after="0" w:line="291"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this Agreement and the consummation by the Subscriber of the transactions contemplated hereby do not violate, conflict with or constitute a default under (i) the formation and governing documents of the Subscriber,</w:t>
      </w:r>
    </w:p>
    <w:p>
      <w:pPr>
        <w:ind w:left="4" w:right="560" w:hanging="4"/>
        <w:spacing w:after="0" w:line="260" w:lineRule="auto"/>
        <w:tabs>
          <w:tab w:leader="none" w:pos="26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any agreement, indenture or instrument to which the Subscriber is a party or (iii) any law, statute, rule or regulation to which the Subscriber is subject, or any agreement, order, judgment or decree to which the Subscriber is subject.</w:t>
      </w:r>
    </w:p>
    <w:p>
      <w:pPr>
        <w:spacing w:after="0" w:line="77" w:lineRule="exact"/>
        <w:rPr>
          <w:sz w:val="20"/>
          <w:szCs w:val="20"/>
          <w:color w:val="auto"/>
        </w:rPr>
      </w:pPr>
    </w:p>
    <w:p>
      <w:pPr>
        <w:ind w:left="4" w:right="160" w:firstLine="991"/>
        <w:spacing w:after="0" w:line="255"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Registration and Authority</w:t>
      </w:r>
      <w:r>
        <w:rPr>
          <w:rFonts w:ascii="Arial" w:cs="Arial" w:eastAsia="Arial" w:hAnsi="Arial"/>
          <w:sz w:val="18"/>
          <w:szCs w:val="18"/>
          <w:color w:val="auto"/>
        </w:rPr>
        <w:t>. The Subscriber is a Delaware limited liability company, validly existing and in good standing under the laws of the State of Delaware and possesses all requisite power and authority necessary to carry out the transactions contemplated by this Agreement. Upon execution and delivery by you, this Agreement will be a legal, valid and binding agreement of Subscriber, enforceable against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ectPr>
          <w:pgSz w:w="11900" w:h="16838" w:orient="portrait"/>
          <w:cols w:equalWidth="0" w:num="1">
            <w:col w:w="11024"/>
          </w:cols>
          <w:pgMar w:left="436" w:top="121" w:right="439" w:bottom="1440" w:gutter="0" w:footer="0" w:header="0"/>
        </w:sectPr>
      </w:pPr>
    </w:p>
    <w:bookmarkStart w:id="420" w:name="page421"/>
    <w:bookmarkEnd w:id="420"/>
    <w:p>
      <w:pPr>
        <w:ind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2.1.4 </w:t>
      </w:r>
      <w:r>
        <w:rPr>
          <w:rFonts w:ascii="Arial" w:cs="Arial" w:eastAsia="Arial" w:hAnsi="Arial"/>
          <w:sz w:val="18"/>
          <w:szCs w:val="18"/>
          <w:u w:val="single" w:color="auto"/>
          <w:color w:val="auto"/>
        </w:rPr>
        <w:t>Experience, Financial Capability and Suitability</w:t>
      </w:r>
      <w:r>
        <w:rPr>
          <w:rFonts w:ascii="Arial" w:cs="Arial" w:eastAsia="Arial" w:hAnsi="Arial"/>
          <w:sz w:val="18"/>
          <w:szCs w:val="18"/>
          <w:color w:val="auto"/>
        </w:rPr>
        <w:t>. Subscriber is: (i) sophisticated in financial matters and is able to evaluate the risks and benefits of the investment in the Shares and (ii) able to bear the economic risk of its investment in the Shares for an indefinite period of time because the Shares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therefore cannot be sold unless subsequently registered under the Securities Act or an exemption from such registration is available. Subscriber is capable of evaluating the merits and risks of its investment in the Company and has the capacity to protect its own interests. Subscriber must bear the economic risk of this investment until the Shares are sold pursuant to: (x) an effective registration statement under the Securities Act or (y) an exemption from registration available with respect to such sale. Subscriber is able to bear the economic risks of an investment in the Shares and to afford a complete loss of Subscriber’s investment in the Shares.</w:t>
      </w:r>
    </w:p>
    <w:p>
      <w:pPr>
        <w:spacing w:after="0" w:line="84"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Access to Information; Independent Investigation</w:t>
      </w:r>
      <w:r>
        <w:rPr>
          <w:rFonts w:ascii="Arial" w:cs="Arial" w:eastAsia="Arial" w:hAnsi="Arial"/>
          <w:sz w:val="18"/>
          <w:szCs w:val="18"/>
          <w:color w:val="auto"/>
        </w:rPr>
        <w:t>. Prior to the execution of this Agreement, the Subscriber has had the opportunity to ask 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In determining whether to make this investment, Subscriber has relied solely on Subscriber’s own knowledge and understanding of the Company and its business based upon Subscriber’s own due diligence investigation and the information furnished pursuant to this paragraph. Subscriber understands that no person has been authorized to give any information or to make any representations which were not furnished pursuant to this Section 2 and Subscriber has not relied on any other representations or information in making its investment decision, whether written or oral, relating to the Company, its operations and/or its prospects.</w:t>
      </w:r>
    </w:p>
    <w:p>
      <w:pPr>
        <w:spacing w:after="0" w:line="84" w:lineRule="exact"/>
        <w:rPr>
          <w:sz w:val="20"/>
          <w:szCs w:val="20"/>
          <w:color w:val="auto"/>
        </w:rPr>
      </w:pPr>
    </w:p>
    <w:p>
      <w:pPr>
        <w:jc w:val="both"/>
        <w:ind w:right="140" w:firstLine="991"/>
        <w:spacing w:after="0" w:line="311"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Regulation D Offering</w:t>
      </w:r>
      <w:r>
        <w:rPr>
          <w:rFonts w:ascii="Arial" w:cs="Arial" w:eastAsia="Arial" w:hAnsi="Arial"/>
          <w:sz w:val="16"/>
          <w:szCs w:val="16"/>
          <w:color w:val="auto"/>
        </w:rPr>
        <w:t>. Subscriber represents that it is an “accredited investor” as such term is defined in Rule 501(a) of Regulation D under the Securities Act and acknowledges the sale contemplated hereby is being made in reliance on a private placement exemption to “accredited investors” within the meaning of Section 501(a) of Regulation D under the Securities Act or similar exemptions under federal and state law.</w:t>
      </w:r>
    </w:p>
    <w:p>
      <w:pPr>
        <w:spacing w:after="0" w:line="41"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Investment Purposes</w:t>
      </w:r>
      <w:r>
        <w:rPr>
          <w:rFonts w:ascii="Arial" w:cs="Arial" w:eastAsia="Arial" w:hAnsi="Arial"/>
          <w:sz w:val="18"/>
          <w:szCs w:val="18"/>
          <w:color w:val="auto"/>
        </w:rPr>
        <w:t>. The Subscriber is purchasing the Shares solely for investment purposes, for the Subscriber’s own account and not for the account or benefit of any other person, and not with a view towards the distribution or dissemination thereof. The Subscriber did not decide to enter into this Agreement as a result of any general solicitation or general advertising within the meaning of Rule 502 of Regulation D under the Securities Act.</w:t>
      </w:r>
    </w:p>
    <w:p>
      <w:pPr>
        <w:spacing w:after="0" w:line="79"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Restrictions on Transfer; Shell Company</w:t>
      </w:r>
      <w:r>
        <w:rPr>
          <w:rFonts w:ascii="Arial" w:cs="Arial" w:eastAsia="Arial" w:hAnsi="Arial"/>
          <w:sz w:val="17"/>
          <w:szCs w:val="17"/>
          <w:color w:val="auto"/>
        </w:rPr>
        <w:t>. Subscriber understands the Shares are being offered in a transaction not involving a public offering within the meaning of the Securities Act. Subscriber understands the Shares will be “restricted securities” within the meaning of Rule 144(a)(3) under the Securities Act, and Subscriber understands that the certificates representing the Shares will contain a legend in respect of such restrictions. If in the future the Subscriber decides to offer, resell, pledge or otherwise transfer the Shares, such Shares may be offered, resold, pledged or otherwise transferred only pursuant to: (i) registration under the Securities Act, or (ii) an available exemption from registration. Subscriber agrees that if any transfer of its Shares or any interest therein is proposed to be made, as a condition precedent to any such transfer, Subscriber may be required to deliver to the Company an opinion of counsel satisfactory to the Company. Absent registration or an exemption, the Subscriber agrees not to resell the Shares. Subscriber further acknowledges that because the Company is a shell company, Rule 144 may not be available to the Subscriber for the resale of the Shares until one year following consummation of the initial business combination of the Company, despite technical compliance with the requirements of Rule 144 and the release or waiver of any contractual transfer restrictions.</w:t>
      </w:r>
    </w:p>
    <w:p>
      <w:pPr>
        <w:spacing w:after="0" w:line="7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No Governmental Consents</w:t>
      </w:r>
      <w:r>
        <w:rPr>
          <w:rFonts w:ascii="Arial" w:cs="Arial" w:eastAsia="Arial" w:hAnsi="Arial"/>
          <w:sz w:val="18"/>
          <w:szCs w:val="18"/>
          <w:color w:val="auto"/>
        </w:rPr>
        <w:t>. No governmental, administrative or other third party consents or approvals are required or necessary on the part of Subscriber in connection with the transactions contemplated by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21" w:name="page422"/>
    <w:bookmarkEnd w:id="421"/>
    <w:p>
      <w:pPr>
        <w:ind w:left="4"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2.2 </w:t>
      </w:r>
      <w:r>
        <w:rPr>
          <w:rFonts w:ascii="Arial" w:cs="Arial" w:eastAsia="Arial" w:hAnsi="Arial"/>
          <w:sz w:val="18"/>
          <w:szCs w:val="18"/>
          <w:u w:val="single" w:color="auto"/>
          <w:color w:val="auto"/>
        </w:rPr>
        <w:t>Company’s Representations, Warranties and Agreements</w:t>
      </w:r>
      <w:r>
        <w:rPr>
          <w:rFonts w:ascii="Arial" w:cs="Arial" w:eastAsia="Arial" w:hAnsi="Arial"/>
          <w:sz w:val="18"/>
          <w:szCs w:val="18"/>
          <w:color w:val="auto"/>
        </w:rPr>
        <w:t>. To induce the Subscriber to purchase the Shares, the Company hereby represents and warrants to the Subscriber and agrees with the Subscriber as follows:</w:t>
      </w:r>
    </w:p>
    <w:p>
      <w:pPr>
        <w:spacing w:after="0" w:line="62" w:lineRule="exact"/>
        <w:rPr>
          <w:sz w:val="20"/>
          <w:szCs w:val="20"/>
          <w:color w:val="auto"/>
        </w:rPr>
      </w:pPr>
    </w:p>
    <w:p>
      <w:pPr>
        <w:ind w:left="4" w:right="20" w:firstLine="991"/>
        <w:spacing w:after="0" w:line="272"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Incorporation and Corporate Power</w:t>
      </w:r>
      <w:r>
        <w:rPr>
          <w:rFonts w:ascii="Arial" w:cs="Arial" w:eastAsia="Arial" w:hAnsi="Arial"/>
          <w:sz w:val="17"/>
          <w:szCs w:val="17"/>
          <w:color w:val="auto"/>
        </w:rPr>
        <w:t>. The Company is a Cayman Islands exempted company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Upon execution and delivery by the Company, this Agreement will be a legal, valid and binding agreement of the Company, enforceable against the Company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69"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and the consummation by the Company of the transactions contemplated hereby do not violate, conflict with or constitute a default under (i) the memorandum and articles of association of the Company, (ii) any agreement, indenture or instrument to which the Company is a party or (iii) any law, statute, rule or regulation to which the Company is subject, or any agreement, order, judgment or decree to which the Company is subject.</w:t>
      </w:r>
    </w:p>
    <w:p>
      <w:pPr>
        <w:spacing w:after="0" w:line="79" w:lineRule="exact"/>
        <w:rPr>
          <w:sz w:val="20"/>
          <w:szCs w:val="20"/>
          <w:color w:val="auto"/>
        </w:rPr>
      </w:pPr>
    </w:p>
    <w:p>
      <w:pPr>
        <w:ind w:left="4" w:right="40" w:firstLine="991"/>
        <w:spacing w:after="0" w:line="296"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Title to Securities</w:t>
      </w:r>
      <w:r>
        <w:rPr>
          <w:rFonts w:ascii="Arial" w:cs="Arial" w:eastAsia="Arial" w:hAnsi="Arial"/>
          <w:sz w:val="16"/>
          <w:szCs w:val="16"/>
          <w:color w:val="auto"/>
        </w:rPr>
        <w:t>. Upon issuance in accordance with, and payment pursuant to, the terms hereof, and registration in the Company’s register of members, the Shares will be duly and validly issued, fully paid and nonassessable. Upon issuance in accordance with, and payment pursuant to, the terms hereof, and registration in the Company’s register of members, the Subscriber will have or receive good title to the Shares, free and clear of all liens, claims and encumbrances of any kind, other than (a) transfer restrictions hereunder and other agreements to which the Shares may be subject, (b) transfer restrictions under federal and state securities laws, and (c) liens, claims or encumbrances imposed due to the actions of the Subscriber.</w:t>
      </w:r>
    </w:p>
    <w:p>
      <w:pPr>
        <w:spacing w:after="0" w:line="53"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No Adverse Actions</w:t>
      </w:r>
      <w:r>
        <w:rPr>
          <w:rFonts w:ascii="Arial" w:cs="Arial" w:eastAsia="Arial" w:hAnsi="Arial"/>
          <w:sz w:val="16"/>
          <w:szCs w:val="16"/>
          <w:color w:val="auto"/>
        </w:rPr>
        <w:t>. There are no actions, suits, investigations or proceedings pending, threatened against or affecting the Company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which: (i) seek to restrain, enjoin, prevent the consummation of or otherwise affect the transactions contemplated by this Agreement or (ii) question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validity or legality of any transactions or seeks to recover damages or to obtain other relief in connection with any transactions.</w:t>
      </w:r>
    </w:p>
    <w:p>
      <w:pPr>
        <w:spacing w:after="0" w:line="103" w:lineRule="exact"/>
        <w:rPr>
          <w:sz w:val="20"/>
          <w:szCs w:val="20"/>
          <w:color w:val="auto"/>
        </w:rPr>
      </w:pPr>
    </w:p>
    <w:p>
      <w:pPr>
        <w:ind w:left="184" w:hanging="184"/>
        <w:spacing w:after="0"/>
        <w:tabs>
          <w:tab w:leader="none" w:pos="184"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Surrender and Cancellation of Shares</w:t>
      </w:r>
      <w:r>
        <w:rPr>
          <w:rFonts w:ascii="Arial" w:cs="Arial" w:eastAsia="Arial" w:hAnsi="Arial"/>
          <w:sz w:val="18"/>
          <w:szCs w:val="18"/>
          <w:color w:val="auto"/>
        </w:rPr>
        <w:t>.</w:t>
      </w:r>
    </w:p>
    <w:p>
      <w:pPr>
        <w:spacing w:after="0" w:line="117" w:lineRule="exact"/>
        <w:rPr>
          <w:sz w:val="20"/>
          <w:szCs w:val="20"/>
          <w:color w:val="auto"/>
        </w:rPr>
      </w:pPr>
    </w:p>
    <w:p>
      <w:pPr>
        <w:ind w:left="4" w:right="60" w:firstLine="440"/>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Partial or No Exercise of the Over-allotment Option</w:t>
      </w:r>
      <w:r>
        <w:rPr>
          <w:rFonts w:ascii="Arial" w:cs="Arial" w:eastAsia="Arial" w:hAnsi="Arial"/>
          <w:sz w:val="16"/>
          <w:szCs w:val="16"/>
          <w:color w:val="auto"/>
        </w:rPr>
        <w:t>. In the event the Over-allotment Option granted to the representative(s) of the underwriters of the Company’s IPO is not exercised in full, the Subscriber acknowledges and agrees that it shall surrender for cancellation any and all rights to such number of Shares (up to an aggregate of 937,500 Shares and pro rata based upon the percentage of the Over-allotment Option exercised) such that immediately following such surrender, the Subscriber (and all other initial shareholders prior to the IPO, if any) will own an aggregate number of Shares (not including ordinary shares issuable upon exercise of any warrants or any ordinary shares purchased by Subscriber in the Company’s IPO or in the aftermarket) equal to 20% of the issued and outstanding ordinary shares of the Company immediately following the IPO.</w:t>
      </w:r>
    </w:p>
    <w:p>
      <w:pPr>
        <w:spacing w:after="0" w:line="56" w:lineRule="exact"/>
        <w:rPr>
          <w:sz w:val="20"/>
          <w:szCs w:val="20"/>
          <w:color w:val="auto"/>
        </w:rPr>
      </w:pPr>
    </w:p>
    <w:p>
      <w:pPr>
        <w:jc w:val="both"/>
        <w:ind w:left="4" w:right="260" w:firstLine="440"/>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Rights as Shareholder</w:t>
      </w:r>
      <w:r>
        <w:rPr>
          <w:rFonts w:ascii="Arial" w:cs="Arial" w:eastAsia="Arial" w:hAnsi="Arial"/>
          <w:sz w:val="18"/>
          <w:szCs w:val="18"/>
          <w:color w:val="auto"/>
        </w:rPr>
        <w:t>. If any of the Shares are surrendered and cancelled in accordance with this Section 3, then after such time the Subscriber (or successor in interest), shall no longer have any rights as a holder of such Shares, and the Company shall take such action as is appropriate to cancel such Shares.</w:t>
      </w:r>
    </w:p>
    <w:p>
      <w:pPr>
        <w:spacing w:after="0" w:line="76" w:lineRule="exact"/>
        <w:rPr>
          <w:sz w:val="20"/>
          <w:szCs w:val="20"/>
          <w:color w:val="auto"/>
        </w:rPr>
      </w:pPr>
    </w:p>
    <w:p>
      <w:pPr>
        <w:ind w:left="4" w:hanging="4"/>
        <w:spacing w:after="0" w:line="272" w:lineRule="auto"/>
        <w:tabs>
          <w:tab w:leader="none" w:pos="184" w:val="left"/>
        </w:tabs>
        <w:numPr>
          <w:ilvl w:val="0"/>
          <w:numId w:val="347"/>
        </w:numPr>
        <w:rPr>
          <w:rFonts w:ascii="Arial" w:cs="Arial" w:eastAsia="Arial" w:hAnsi="Arial"/>
          <w:sz w:val="17"/>
          <w:szCs w:val="17"/>
          <w:color w:val="auto"/>
        </w:rPr>
      </w:pPr>
      <w:r>
        <w:rPr>
          <w:rFonts w:ascii="Arial" w:cs="Arial" w:eastAsia="Arial" w:hAnsi="Arial"/>
          <w:sz w:val="17"/>
          <w:szCs w:val="17"/>
          <w:u w:val="single" w:color="auto"/>
          <w:color w:val="auto"/>
        </w:rPr>
        <w:t>Waiver of Liquidation Distributions; Redemption Rights</w:t>
      </w:r>
      <w:r>
        <w:rPr>
          <w:rFonts w:ascii="Arial" w:cs="Arial" w:eastAsia="Arial" w:hAnsi="Arial"/>
          <w:sz w:val="17"/>
          <w:szCs w:val="17"/>
          <w:color w:val="auto"/>
        </w:rPr>
        <w:t>. In connection with the Shares purchased pursuant to this Agreement, the Subscriber hereby waives any and all right, title, interest or claim of any kind in or to any distributions by the Company from the trust account which will be established for the benefit of the Company’s public shareholders and into which substantially all of the proceeds of the IPO will be deposited (the “</w:t>
      </w:r>
      <w:r>
        <w:rPr>
          <w:rFonts w:ascii="Arial" w:cs="Arial" w:eastAsia="Arial" w:hAnsi="Arial"/>
          <w:sz w:val="17"/>
          <w:szCs w:val="17"/>
          <w:b w:val="1"/>
          <w:bCs w:val="1"/>
          <w:color w:val="auto"/>
        </w:rPr>
        <w:t>Trust Account</w:t>
      </w:r>
      <w:r>
        <w:rPr>
          <w:rFonts w:ascii="Arial" w:cs="Arial" w:eastAsia="Arial" w:hAnsi="Arial"/>
          <w:sz w:val="17"/>
          <w:szCs w:val="17"/>
          <w:color w:val="auto"/>
        </w:rPr>
        <w:t>”), in the event of a liquidation of the Company upon the Company’s failure to timely complete an initial business combination. For purposes of clarity, in the event the Subscriber purchases ordinary shares in the IPO or in the aftermarket, any additional Shares so purchased shall be eligible to receive any liquidating distributions by the Company. However, in no event will the Subscriber have the right to redeem any ordinary shares into funds held in the Trust Account upon the successful completion of an initial business combination.</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422" w:name="page423"/>
    <w:bookmarkEnd w:id="422"/>
    <w:p>
      <w:pPr>
        <w:ind w:left="184" w:hanging="184"/>
        <w:spacing w:after="0"/>
        <w:tabs>
          <w:tab w:leader="none" w:pos="184"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Restrictions on Transfer</w:t>
      </w:r>
      <w:r>
        <w:rPr>
          <w:rFonts w:ascii="Arial" w:cs="Arial" w:eastAsia="Arial" w:hAnsi="Arial"/>
          <w:sz w:val="18"/>
          <w:szCs w:val="18"/>
          <w:color w:val="auto"/>
        </w:rPr>
        <w:t>.</w:t>
      </w:r>
    </w:p>
    <w:p>
      <w:pPr>
        <w:spacing w:after="0" w:line="113" w:lineRule="exact"/>
        <w:rPr>
          <w:sz w:val="20"/>
          <w:szCs w:val="20"/>
          <w:color w:val="auto"/>
        </w:rPr>
      </w:pPr>
    </w:p>
    <w:p>
      <w:pPr>
        <w:ind w:left="4" w:right="240" w:firstLine="440"/>
        <w:spacing w:after="0" w:line="30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In addition to any restrictions to be contained in that certain letter agreement (commonly known as an “</w:t>
      </w:r>
      <w:r>
        <w:rPr>
          <w:rFonts w:ascii="Arial" w:cs="Arial" w:eastAsia="Arial" w:hAnsi="Arial"/>
          <w:sz w:val="16"/>
          <w:szCs w:val="16"/>
          <w:b w:val="1"/>
          <w:bCs w:val="1"/>
          <w:color w:val="auto"/>
        </w:rPr>
        <w:t>Insider</w:t>
      </w:r>
      <w:r>
        <w:rPr>
          <w:rFonts w:ascii="Arial" w:cs="Arial" w:eastAsia="Arial" w:hAnsi="Arial"/>
          <w:sz w:val="16"/>
          <w:szCs w:val="16"/>
          <w:color w:val="auto"/>
        </w:rPr>
        <w:t xml:space="preserve"> </w:t>
      </w:r>
      <w:r>
        <w:rPr>
          <w:rFonts w:ascii="Arial" w:cs="Arial" w:eastAsia="Arial" w:hAnsi="Arial"/>
          <w:sz w:val="16"/>
          <w:szCs w:val="16"/>
          <w:b w:val="1"/>
          <w:bCs w:val="1"/>
          <w:color w:val="auto"/>
        </w:rPr>
        <w:t>Letter</w:t>
      </w:r>
      <w:r>
        <w:rPr>
          <w:rFonts w:ascii="Arial" w:cs="Arial" w:eastAsia="Arial" w:hAnsi="Arial"/>
          <w:sz w:val="16"/>
          <w:szCs w:val="16"/>
          <w:color w:val="auto"/>
        </w:rPr>
        <w:t>”) to be dated as of the closing of the IPO by and between Subscriber and the Company, Subscriber agrees not to sell, transfer, pledge,</w:t>
      </w:r>
      <w:r>
        <w:rPr>
          <w:rFonts w:ascii="Arial" w:cs="Arial" w:eastAsia="Arial" w:hAnsi="Arial"/>
          <w:sz w:val="16"/>
          <w:szCs w:val="16"/>
          <w:b w:val="1"/>
          <w:bCs w:val="1"/>
          <w:color w:val="auto"/>
        </w:rPr>
        <w:t xml:space="preserve"> </w:t>
      </w:r>
      <w:r>
        <w:rPr>
          <w:rFonts w:ascii="Arial" w:cs="Arial" w:eastAsia="Arial" w:hAnsi="Arial"/>
          <w:sz w:val="16"/>
          <w:szCs w:val="16"/>
          <w:color w:val="auto"/>
        </w:rPr>
        <w:t>hypothecate or otherwise dispose of all or any part of the Shares unless, prior thereto (a) a registration statement on the appropriate form under the Securities Act and applicable state securities laws with respect to the Shares proposed to be transferred shall then be effective or</w:t>
      </w:r>
    </w:p>
    <w:p>
      <w:pPr>
        <w:spacing w:after="0" w:line="47" w:lineRule="exact"/>
        <w:rPr>
          <w:sz w:val="20"/>
          <w:szCs w:val="20"/>
          <w:color w:val="auto"/>
        </w:rPr>
      </w:pPr>
    </w:p>
    <w:p>
      <w:pPr>
        <w:ind w:left="4" w:right="80" w:firstLine="436"/>
        <w:spacing w:after="0" w:line="263" w:lineRule="auto"/>
        <w:tabs>
          <w:tab w:leader="none" w:pos="699"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Company has received an opinion from counsel reasonably satisfactory to the Company, that such registration is not required because such transaction is exempt from registration under the Securities Act and the rules promulgated by the Securities and Exchange Commission thereunder and with all applicable state securities laws.</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Restrictive Legends</w:t>
      </w:r>
      <w:r>
        <w:rPr>
          <w:rFonts w:ascii="Arial" w:cs="Arial" w:eastAsia="Arial" w:hAnsi="Arial"/>
          <w:sz w:val="18"/>
          <w:szCs w:val="18"/>
          <w:color w:val="auto"/>
        </w:rPr>
        <w:t>. Any certificates representing the Shares shall have endorsed thereon legends substantially as follows:</w:t>
      </w:r>
    </w:p>
    <w:p>
      <w:pPr>
        <w:spacing w:after="0" w:line="117"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80" w:lineRule="exact"/>
        <w:rPr>
          <w:sz w:val="20"/>
          <w:szCs w:val="20"/>
          <w:color w:val="auto"/>
        </w:rPr>
      </w:pPr>
    </w:p>
    <w:p>
      <w:pPr>
        <w:ind w:left="4" w:right="520"/>
        <w:spacing w:after="0" w:line="277" w:lineRule="auto"/>
        <w:rPr>
          <w:sz w:val="20"/>
          <w:szCs w:val="20"/>
          <w:color w:val="auto"/>
        </w:rPr>
      </w:pPr>
      <w:r>
        <w:rPr>
          <w:rFonts w:ascii="Arial" w:cs="Arial" w:eastAsia="Arial" w:hAnsi="Arial"/>
          <w:sz w:val="18"/>
          <w:szCs w:val="18"/>
          <w:color w:val="auto"/>
        </w:rPr>
        <w:t>“THE SECURITIES REPRESENTED BY THIS CERTIFICATE ARE SUBJECT TO LOCKUP PROVISIONS AND MAY NOT BE OFFERED, SOLD, TRANSFERRED, PLEDGED OR OTHERWISE DISPOSED DURING THE TERM OF THE LOCKUP.”</w:t>
      </w:r>
    </w:p>
    <w:p>
      <w:pPr>
        <w:spacing w:after="0" w:line="62" w:lineRule="exact"/>
        <w:rPr>
          <w:sz w:val="20"/>
          <w:szCs w:val="20"/>
          <w:color w:val="auto"/>
        </w:rPr>
      </w:pPr>
    </w:p>
    <w:p>
      <w:pPr>
        <w:ind w:left="4" w:right="80" w:firstLine="440"/>
        <w:spacing w:after="0" w:line="273"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Additional Shares or Substituted Securities</w:t>
      </w:r>
      <w:r>
        <w:rPr>
          <w:rFonts w:ascii="Arial" w:cs="Arial" w:eastAsia="Arial" w:hAnsi="Arial"/>
          <w:sz w:val="17"/>
          <w:szCs w:val="17"/>
          <w:color w:val="auto"/>
        </w:rPr>
        <w:t>. In the event of the declaration of a share dividend, the declaration of an extraordinary dividend payable in a form other than Shares, a spin-off, a share split, an adjustment in conversion ratio, a recapitalization or a similar transaction affecting the Company’s outstanding Shares without receipt of consideration, any new, substituted or additional securities or other property which are by reason of such transaction distributed with respect to any Shares subject to this Section 5 or into which such Shares thereby become convertible shall immediately be subject to this Section 5 and Section 3. Appropriate adjustments to reflect the distribution of such securities or property shall be made to the number and/or class of Shares subject to this Section 5 and Section 3.</w:t>
      </w:r>
    </w:p>
    <w:p>
      <w:pPr>
        <w:spacing w:after="0" w:line="70"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Subscriber acknowledges that the Shares are being purchased pursuant to an exemption from the registration requirements of the Securities Act and will become freely tradable only after certain conditions are met or they are registered pursuant to a Registration and Shareholder Rights Agreement to be entered into with the Company prior to the closing of the IPO.</w:t>
      </w:r>
    </w:p>
    <w:p>
      <w:pPr>
        <w:spacing w:after="0" w:line="184" w:lineRule="exact"/>
        <w:rPr>
          <w:sz w:val="20"/>
          <w:szCs w:val="20"/>
          <w:color w:val="auto"/>
        </w:rPr>
      </w:pPr>
    </w:p>
    <w:p>
      <w:pPr>
        <w:ind w:left="184" w:hanging="184"/>
        <w:spacing w:after="0"/>
        <w:tabs>
          <w:tab w:leader="none" w:pos="184"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w:t>
      </w:r>
    </w:p>
    <w:p>
      <w:pPr>
        <w:spacing w:after="0" w:line="117"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Subscriber agrees to execute such further instruments and to take such further action as may reasonably be necessary to carry out the intent of this Agreement.</w:t>
      </w:r>
    </w:p>
    <w:p>
      <w:pPr>
        <w:spacing w:after="0" w:line="62"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statements or other documents which are required or contemplated by this Agreement shall be: (i) in writing and delivered 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w:t>
      </w:r>
    </w:p>
    <w:p>
      <w:pPr>
        <w:spacing w:after="0" w:line="4" w:lineRule="exact"/>
        <w:rPr>
          <w:sz w:val="20"/>
          <w:szCs w:val="20"/>
          <w:color w:val="auto"/>
        </w:rPr>
      </w:pPr>
    </w:p>
    <w:p>
      <w:pPr>
        <w:ind w:left="5464" w:right="3360" w:hanging="5464"/>
        <w:spacing w:after="0" w:line="433" w:lineRule="auto"/>
        <w:tabs>
          <w:tab w:leader="none" w:pos="25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business day after delivery to an overnight courier service or five (5) days after mailing if sent by mail. 4</w:t>
      </w:r>
    </w:p>
    <w:p>
      <w:pPr>
        <w:sectPr>
          <w:pgSz w:w="11900" w:h="16838" w:orient="portrait"/>
          <w:cols w:equalWidth="0" w:num="1">
            <w:col w:w="11024"/>
          </w:cols>
          <w:pgMar w:left="436" w:top="274" w:right="439" w:bottom="1440" w:gutter="0" w:footer="0" w:header="0"/>
        </w:sectPr>
      </w:pPr>
    </w:p>
    <w:bookmarkStart w:id="423" w:name="page424"/>
    <w:bookmarkEnd w:id="423"/>
    <w:p>
      <w:pPr>
        <w:ind w:right="10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that certain Insider Letter to be entered into between Subscriber and the Company, substantially in the form to be filed as an exhibit to the Registration Statement on Form S-1 associated with the Company’s IPO, embodies the entire agreement and understanding between the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53"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The terms and provisions of this Agreement may be modified or amended only by written agreement executed by all parties hereto.</w:t>
      </w:r>
    </w:p>
    <w:p>
      <w:pPr>
        <w:spacing w:after="0" w:line="62"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Waivers and Consents</w:t>
      </w:r>
      <w:r>
        <w:rPr>
          <w:rFonts w:ascii="Arial" w:cs="Arial" w:eastAsia="Arial" w:hAnsi="Arial"/>
          <w:sz w:val="16"/>
          <w:szCs w:val="16"/>
          <w:color w:val="auto"/>
        </w:rPr>
        <w:t>. The terms and provisions of this Agreement may be waived, or consent for the departure therefrom granted, only by a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49"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Assignment</w:t>
      </w:r>
      <w:r>
        <w:rPr>
          <w:rFonts w:ascii="Arial" w:cs="Arial" w:eastAsia="Arial" w:hAnsi="Arial"/>
          <w:sz w:val="18"/>
          <w:szCs w:val="18"/>
          <w:color w:val="auto"/>
        </w:rPr>
        <w:t>. The rights and obligations under this Agreement may not be assigned by either party hereto without the prior written consent of the other party.</w:t>
      </w:r>
    </w:p>
    <w:p>
      <w:pPr>
        <w:spacing w:after="0" w:line="62"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Benefit</w:t>
      </w:r>
      <w:r>
        <w:rPr>
          <w:rFonts w:ascii="Arial" w:cs="Arial" w:eastAsia="Arial" w:hAnsi="Arial"/>
          <w:sz w:val="16"/>
          <w:szCs w:val="16"/>
          <w:color w:val="auto"/>
        </w:rPr>
        <w:t>.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4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hereunder shall be construed in accordance with and governed by the laws of Delaware applicable to contracts wholly performed within the borders of such state, without giving effect to the conflict of law principles thereof.</w:t>
      </w:r>
    </w:p>
    <w:p>
      <w:pPr>
        <w:spacing w:after="0" w:line="76"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court of competent jurisdiction shall determine that any provision, or any portion thereof, contained in this Agreement shall be 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63"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No Waiver of Rights, Powers and Remedies</w:t>
      </w:r>
      <w:r>
        <w:rPr>
          <w:rFonts w:ascii="Arial" w:cs="Arial" w:eastAsia="Arial" w:hAnsi="Arial"/>
          <w:sz w:val="17"/>
          <w:szCs w:val="17"/>
          <w:color w:val="auto"/>
        </w:rPr>
        <w:t>. No failure or delay by a party hereto in exercising any right, power or remedy under 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by the parties hereto in this Agreement or in any other agreement, certificate or instrument provided for or contemplated hereby, shall survive the execution and delivery hereof and any investigations made by or on behalf of the parties.</w:t>
      </w:r>
    </w:p>
    <w:p>
      <w:pPr>
        <w:spacing w:after="0" w:line="7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No Broker or Finder</w:t>
      </w:r>
      <w:r>
        <w:rPr>
          <w:rFonts w:ascii="Arial" w:cs="Arial" w:eastAsia="Arial" w:hAnsi="Arial"/>
          <w:sz w:val="18"/>
          <w:szCs w:val="18"/>
          <w:color w:val="auto"/>
        </w:rPr>
        <w:t>. Each of the parties hereto represents and warrants to the other that no broker, finder or other financial consultant has acted on its behalf in connection with this Agreement or the transactions contemplated hereby in such a way as to create any liability on the other. Each of the parties hereto agrees to indemnify and save the other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24" w:name="page425"/>
    <w:bookmarkEnd w:id="424"/>
    <w:p>
      <w:pPr>
        <w:ind w:left="4"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6.13 </w:t>
      </w: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of the various subdivisions of this Agreement are for convenience of reference only and shall in no way modify or affect the meaning or construction of any of the terms or provisions hereof.</w:t>
      </w:r>
    </w:p>
    <w:p>
      <w:pPr>
        <w:spacing w:after="0" w:line="62"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hereto have participated jointly in the negotiation and drafting of this Agreement. If an ambiguity or question of</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intent or interpretation arises, this Agreement will be construed as if drafted jointly by the parties hereto and no presumption or burden of proof will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arise favoring or disfavoring any party hereto because of the authorship of any provision of this Agreement. The words “</w:t>
      </w:r>
      <w:r>
        <w:rPr>
          <w:rFonts w:ascii="Arial" w:cs="Arial" w:eastAsia="Arial" w:hAnsi="Arial"/>
          <w:sz w:val="17"/>
          <w:szCs w:val="17"/>
          <w:i w:val="1"/>
          <w:iCs w:val="1"/>
          <w:color w:val="auto"/>
        </w:rPr>
        <w:t>include</w:t>
      </w:r>
      <w:r>
        <w:rPr>
          <w:rFonts w:ascii="Arial" w:cs="Arial" w:eastAsia="Arial" w:hAnsi="Arial"/>
          <w:sz w:val="17"/>
          <w:szCs w:val="17"/>
          <w:color w:val="auto"/>
        </w:rPr>
        <w:t>,” “</w:t>
      </w:r>
      <w:r>
        <w:rPr>
          <w:rFonts w:ascii="Arial" w:cs="Arial" w:eastAsia="Arial" w:hAnsi="Arial"/>
          <w:sz w:val="17"/>
          <w:szCs w:val="17"/>
          <w:i w:val="1"/>
          <w:iCs w:val="1"/>
          <w:color w:val="auto"/>
        </w:rPr>
        <w:t>includes</w:t>
      </w:r>
      <w:r>
        <w:rPr>
          <w:rFonts w:ascii="Arial" w:cs="Arial" w:eastAsia="Arial" w:hAnsi="Arial"/>
          <w:sz w:val="17"/>
          <w:szCs w:val="17"/>
          <w:color w:val="auto"/>
        </w:rPr>
        <w:t>,” and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including</w:t>
      </w:r>
      <w:r>
        <w:rPr>
          <w:rFonts w:ascii="Arial" w:cs="Arial" w:eastAsia="Arial" w:hAnsi="Arial"/>
          <w:sz w:val="17"/>
          <w:szCs w:val="17"/>
          <w:color w:val="auto"/>
        </w:rPr>
        <w:t>” will be deemed to be followed by “</w:t>
      </w:r>
      <w:r>
        <w:rPr>
          <w:rFonts w:ascii="Arial" w:cs="Arial" w:eastAsia="Arial" w:hAnsi="Arial"/>
          <w:sz w:val="17"/>
          <w:szCs w:val="17"/>
          <w:i w:val="1"/>
          <w:iCs w:val="1"/>
          <w:color w:val="auto"/>
        </w:rPr>
        <w:t>without limitation</w:t>
      </w:r>
      <w:r>
        <w:rPr>
          <w:rFonts w:ascii="Arial" w:cs="Arial" w:eastAsia="Arial" w:hAnsi="Arial"/>
          <w:sz w:val="17"/>
          <w:szCs w:val="17"/>
          <w:color w:val="auto"/>
        </w:rPr>
        <w:t>.” Pronouns in masculine, feminine, and neuter genders will be construed to include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any other gender, and words in the singular form will be construed to include the plural and vice versa, unless the context otherwise requires. The words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this Agreement</w:t>
      </w:r>
      <w:r>
        <w:rPr>
          <w:rFonts w:ascii="Arial" w:cs="Arial" w:eastAsia="Arial" w:hAnsi="Arial"/>
          <w:sz w:val="17"/>
          <w:szCs w:val="17"/>
          <w:color w:val="auto"/>
        </w:rPr>
        <w:t>,” “</w:t>
      </w:r>
      <w:r>
        <w:rPr>
          <w:rFonts w:ascii="Arial" w:cs="Arial" w:eastAsia="Arial" w:hAnsi="Arial"/>
          <w:sz w:val="17"/>
          <w:szCs w:val="17"/>
          <w:i w:val="1"/>
          <w:iCs w:val="1"/>
          <w:color w:val="auto"/>
        </w:rPr>
        <w:t>herein</w:t>
      </w:r>
      <w:r>
        <w:rPr>
          <w:rFonts w:ascii="Arial" w:cs="Arial" w:eastAsia="Arial" w:hAnsi="Arial"/>
          <w:sz w:val="17"/>
          <w:szCs w:val="17"/>
          <w:color w:val="auto"/>
        </w:rPr>
        <w:t>,” “</w:t>
      </w:r>
      <w:r>
        <w:rPr>
          <w:rFonts w:ascii="Arial" w:cs="Arial" w:eastAsia="Arial" w:hAnsi="Arial"/>
          <w:sz w:val="17"/>
          <w:szCs w:val="17"/>
          <w:i w:val="1"/>
          <w:iCs w:val="1"/>
          <w:color w:val="auto"/>
        </w:rPr>
        <w:t>hereof</w:t>
      </w:r>
      <w:r>
        <w:rPr>
          <w:rFonts w:ascii="Arial" w:cs="Arial" w:eastAsia="Arial" w:hAnsi="Arial"/>
          <w:sz w:val="17"/>
          <w:szCs w:val="17"/>
          <w:color w:val="auto"/>
        </w:rPr>
        <w:t>,” “</w:t>
      </w:r>
      <w:r>
        <w:rPr>
          <w:rFonts w:ascii="Arial" w:cs="Arial" w:eastAsia="Arial" w:hAnsi="Arial"/>
          <w:sz w:val="17"/>
          <w:szCs w:val="17"/>
          <w:i w:val="1"/>
          <w:iCs w:val="1"/>
          <w:color w:val="auto"/>
        </w:rPr>
        <w:t>hereby</w:t>
      </w:r>
      <w:r>
        <w:rPr>
          <w:rFonts w:ascii="Arial" w:cs="Arial" w:eastAsia="Arial" w:hAnsi="Arial"/>
          <w:sz w:val="17"/>
          <w:szCs w:val="17"/>
          <w:color w:val="auto"/>
        </w:rPr>
        <w:t>,” “</w:t>
      </w:r>
      <w:r>
        <w:rPr>
          <w:rFonts w:ascii="Arial" w:cs="Arial" w:eastAsia="Arial" w:hAnsi="Arial"/>
          <w:sz w:val="17"/>
          <w:szCs w:val="17"/>
          <w:i w:val="1"/>
          <w:iCs w:val="1"/>
          <w:color w:val="auto"/>
        </w:rPr>
        <w:t>hereunder</w:t>
      </w:r>
      <w:r>
        <w:rPr>
          <w:rFonts w:ascii="Arial" w:cs="Arial" w:eastAsia="Arial" w:hAnsi="Arial"/>
          <w:sz w:val="17"/>
          <w:szCs w:val="17"/>
          <w:color w:val="auto"/>
        </w:rPr>
        <w:t>,” and words of similar import refer to this Agreement as a whole and not to any particular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subdivision unless expressly so limited. The parties hereto intend that each representation, warranty, and covenant contained herein will have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independent significance. If any party hereto has breached any representation, warranty, or covenant contained herein in any respect, the fact that there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exists another representation, warranty or covenant relating to the same subject matter (regardless of the relative levels of specificity) which such party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hereto has not breached will not detract from or mitigate the fact that such party hereto is in breach of the first representation, warranty, or covenant.</w:t>
      </w:r>
    </w:p>
    <w:p>
      <w:pPr>
        <w:spacing w:after="0" w:line="126"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Mutual Drafting</w:t>
      </w:r>
      <w:r>
        <w:rPr>
          <w:rFonts w:ascii="Arial" w:cs="Arial" w:eastAsia="Arial" w:hAnsi="Arial"/>
          <w:sz w:val="18"/>
          <w:szCs w:val="18"/>
          <w:color w:val="auto"/>
        </w:rPr>
        <w:t>. This Agreement is the joint product of the Subscriber and the Company and each provision hereof has been subject to the mutual consultation, negotiation and agreement of such parties and shall not be construed for or against any party hereto.</w:t>
      </w:r>
    </w:p>
    <w:p>
      <w:pPr>
        <w:spacing w:after="0" w:line="62" w:lineRule="exact"/>
        <w:rPr>
          <w:sz w:val="20"/>
          <w:szCs w:val="20"/>
          <w:color w:val="auto"/>
        </w:rPr>
      </w:pPr>
    </w:p>
    <w:p>
      <w:pPr>
        <w:jc w:val="both"/>
        <w:ind w:left="4" w:right="140" w:hanging="4"/>
        <w:spacing w:after="0" w:line="259" w:lineRule="auto"/>
        <w:tabs>
          <w:tab w:leader="none" w:pos="184"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Voting and Redemption of Shares</w:t>
      </w:r>
      <w:r>
        <w:rPr>
          <w:rFonts w:ascii="Arial" w:cs="Arial" w:eastAsia="Arial" w:hAnsi="Arial"/>
          <w:sz w:val="18"/>
          <w:szCs w:val="18"/>
          <w:color w:val="auto"/>
        </w:rPr>
        <w:t>. Subscriber agrees to vote the Shares in favor of an initial business combination that the Company negotiates and submits for approval to the Company’s shareholders and shall not seek redemption with respect to such Shares. Additionally, the Subscriber agrees not to redeem any Shares in connection with a tender offer presented to the Company’s shareholders in connection with an initial business combination negotiated by the Company.</w:t>
      </w:r>
    </w:p>
    <w:p>
      <w:pPr>
        <w:spacing w:after="0" w:line="18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425" w:name="page426"/>
    <w:bookmarkEnd w:id="42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accurately sets forth our understanding and agreement, please sign the enclosed copy of this Agreement and return it to us.</w:t>
      </w:r>
    </w:p>
    <w:p>
      <w:pPr>
        <w:spacing w:after="0" w:line="27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Cayman Islands exempted company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ArcLight CTC Holdings II, L.P., </w:t>
      </w:r>
      <w:r>
        <w:rPr>
          <w:rFonts w:ascii="Arial" w:cs="Arial" w:eastAsia="Arial" w:hAnsi="Arial"/>
          <w:sz w:val="18"/>
          <w:szCs w:val="18"/>
          <w:color w:val="auto"/>
        </w:rPr>
        <w:t>a Delaware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partnership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ACTC Holdings GP II, LLC</w:t>
      </w:r>
      <w:r>
        <w:rPr>
          <w:rFonts w:ascii="Arial" w:cs="Arial" w:eastAsia="Arial" w:hAnsi="Arial"/>
          <w:sz w:val="18"/>
          <w:szCs w:val="18"/>
          <w:color w:val="auto"/>
        </w:rPr>
        <w:t>,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ArcLight Capital Holdings, LLC, its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ACHP II, L.P., its Managing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ACH GP,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Daniel R. Revers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Daniel R. Revers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w:t>
      </w:r>
    </w:p>
    <w:p>
      <w:pPr>
        <w:sectPr>
          <w:pgSz w:w="11900" w:h="16838" w:orient="portrait"/>
          <w:cols w:equalWidth="0" w:num="1">
            <w:col w:w="10420"/>
          </w:cols>
          <w:pgMar w:left="440" w:top="274" w:right="1039" w:bottom="1440" w:gutter="0" w:footer="0" w:header="0"/>
        </w:sectPr>
      </w:pPr>
    </w:p>
    <w:bookmarkStart w:id="426" w:name="page427"/>
    <w:bookmarkEnd w:id="426"/>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ArcLight Clean Transition Corp.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letter (this “</w:t>
      </w:r>
      <w:r>
        <w:rPr>
          <w:rFonts w:ascii="Arial" w:cs="Arial" w:eastAsia="Arial" w:hAnsi="Arial"/>
          <w:sz w:val="16"/>
          <w:szCs w:val="16"/>
          <w:b w:val="1"/>
          <w:bCs w:val="1"/>
          <w:i w:val="1"/>
          <w:iCs w:val="1"/>
          <w:color w:val="auto"/>
        </w:rPr>
        <w:t>Letter Agreement</w:t>
      </w:r>
      <w:r>
        <w:rPr>
          <w:rFonts w:ascii="Arial" w:cs="Arial" w:eastAsia="Arial" w:hAnsi="Arial"/>
          <w:sz w:val="16"/>
          <w:szCs w:val="16"/>
          <w:color w:val="auto"/>
        </w:rPr>
        <w:t>”) is being delivered to you in accordance with the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entered into by and among ArcLight Clean Transition Corp. II, a Cayman Islands exempted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Citigroup Global Markets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Barclays Capital Inc. as the underwriters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Public Offering</w:t>
      </w:r>
      <w:r>
        <w:rPr>
          <w:rFonts w:ascii="Arial" w:cs="Arial" w:eastAsia="Arial" w:hAnsi="Arial"/>
          <w:sz w:val="17"/>
          <w:szCs w:val="17"/>
          <w:color w:val="auto"/>
        </w:rPr>
        <w: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28,750,000 of the Company’s units (including 3,750,000 units that may be purchased pursuant to the Underwriter’s option to purchase additional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each comprising of one of the Company’s Class A ordinary shares, par value $0.0001 per share (the “</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and one-fifth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redeemable warrant (each whole warrant, a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Each Warrant entitles the holder thereof to purchase one Ordinary Share at a price of $11.50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share, subject to adjustment. The Units will be sold in the Public Offering pursuant to a registration statement on Form S-1 and a prospectus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filed by the Company with the U.S.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Certain capitalized terms used herein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defined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hereof.</w:t>
      </w:r>
    </w:p>
    <w:p>
      <w:pPr>
        <w:spacing w:after="0" w:line="211"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In order to induce the Company and the Underwriter to enter into the Underwriting Agreement and to proceed with the Public Offering and for other good and valuable consideration, the receipt and sufficiency of which are hereby acknowledged, ArcLight CTC Holdings II, L.P.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and each of the undersigned (each, an “</w:t>
      </w:r>
      <w:r>
        <w:rPr>
          <w:rFonts w:ascii="Arial" w:cs="Arial" w:eastAsia="Arial" w:hAnsi="Arial"/>
          <w:sz w:val="17"/>
          <w:szCs w:val="17"/>
          <w:b w:val="1"/>
          <w:bCs w:val="1"/>
          <w:i w:val="1"/>
          <w:iCs w:val="1"/>
          <w:color w:val="auto"/>
        </w:rPr>
        <w:t>Insider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Insiders</w:t>
      </w:r>
      <w:r>
        <w:rPr>
          <w:rFonts w:ascii="Arial" w:cs="Arial" w:eastAsia="Arial" w:hAnsi="Arial"/>
          <w:sz w:val="17"/>
          <w:szCs w:val="17"/>
          <w:color w:val="auto"/>
        </w:rPr>
        <w:t>”) hereby agree with the Company as follows:</w:t>
      </w:r>
    </w:p>
    <w:p>
      <w:pPr>
        <w:spacing w:after="0" w:line="57" w:lineRule="exact"/>
        <w:rPr>
          <w:sz w:val="20"/>
          <w:szCs w:val="20"/>
          <w:color w:val="auto"/>
        </w:rPr>
      </w:pPr>
    </w:p>
    <w:p>
      <w:pPr>
        <w:ind w:firstLine="436"/>
        <w:spacing w:after="0" w:line="288" w:lineRule="auto"/>
        <w:tabs>
          <w:tab w:leader="none" w:pos="620"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(i)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shall mean a merger, share exchange, asset acquisition, share purchase, reorganization or similar business combination with one or more businesses or entities; (ii)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shall mean the 7,187,500 Class B ordinary shares of the Company, par value $0.0001 per share, outstanding prior to the consummation of the Public Offering; (iii) “</w:t>
      </w:r>
      <w:r>
        <w:rPr>
          <w:rFonts w:ascii="Arial" w:cs="Arial" w:eastAsia="Arial" w:hAnsi="Arial"/>
          <w:sz w:val="16"/>
          <w:szCs w:val="16"/>
          <w:b w:val="1"/>
          <w:bCs w:val="1"/>
          <w:i w:val="1"/>
          <w:iCs w:val="1"/>
          <w:color w:val="auto"/>
        </w:rPr>
        <w:t>Private Placement Warrants</w:t>
      </w:r>
      <w:r>
        <w:rPr>
          <w:rFonts w:ascii="Arial" w:cs="Arial" w:eastAsia="Arial" w:hAnsi="Arial"/>
          <w:sz w:val="16"/>
          <w:szCs w:val="16"/>
          <w:color w:val="auto"/>
        </w:rPr>
        <w:t>” shall mean the warrants to purchase Ordinary Shares of the Company that will be acquired by the Sponsor for an aggregate purchase price of $8,000,000 (or up to $8,750,000 if the Underwriter’s exercise their option to purchase additional units), or $1.00 per Warrant, in a private placement that shall close simultaneously with the consummation of the Public Offering (including Ordinary Shares issuable upon conversion thereof); (iv) “</w:t>
      </w:r>
      <w:r>
        <w:rPr>
          <w:rFonts w:ascii="Arial" w:cs="Arial" w:eastAsia="Arial" w:hAnsi="Arial"/>
          <w:sz w:val="16"/>
          <w:szCs w:val="16"/>
          <w:b w:val="1"/>
          <w:bCs w:val="1"/>
          <w:i w:val="1"/>
          <w:iCs w:val="1"/>
          <w:color w:val="auto"/>
        </w:rPr>
        <w:t>Public Shareholders</w:t>
      </w:r>
      <w:r>
        <w:rPr>
          <w:rFonts w:ascii="Arial" w:cs="Arial" w:eastAsia="Arial" w:hAnsi="Arial"/>
          <w:sz w:val="16"/>
          <w:szCs w:val="16"/>
          <w:color w:val="auto"/>
        </w:rPr>
        <w:t>” shall mean the holders of Ordinary Shares included in the Units issued in the Public Offering; (v) “</w:t>
      </w:r>
      <w:r>
        <w:rPr>
          <w:rFonts w:ascii="Arial" w:cs="Arial" w:eastAsia="Arial" w:hAnsi="Arial"/>
          <w:sz w:val="16"/>
          <w:szCs w:val="16"/>
          <w:b w:val="1"/>
          <w:bCs w:val="1"/>
          <w:i w:val="1"/>
          <w:iCs w:val="1"/>
          <w:color w:val="auto"/>
        </w:rPr>
        <w:t>Public Shares</w:t>
      </w:r>
      <w:r>
        <w:rPr>
          <w:rFonts w:ascii="Arial" w:cs="Arial" w:eastAsia="Arial" w:hAnsi="Arial"/>
          <w:sz w:val="16"/>
          <w:szCs w:val="16"/>
          <w:color w:val="auto"/>
        </w:rPr>
        <w:t>” shall mean the Ordinary Shares included in the Units issued in the Public Offering; (vi)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shall mean the trust account into which a portion of the net proceeds of the Public Offering and the sale of the Private Placement Warrants shall be deposited; (vii)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mean the (a) sale of, offer to sell, contract or agreement to sell, hypothecate, pledge, grant of any option to purchase or otherwise dispose of or agreement to dispose of, directly or indirectly, or</w:t>
      </w:r>
    </w:p>
    <w:p>
      <w:pPr>
        <w:sectPr>
          <w:pgSz w:w="11900" w:h="16838" w:orient="portrait"/>
          <w:cols w:equalWidth="0" w:num="1">
            <w:col w:w="11020"/>
          </w:cols>
          <w:pgMar w:left="440" w:top="121" w:right="439" w:bottom="1440" w:gutter="0" w:footer="0" w:header="0"/>
        </w:sectPr>
      </w:pPr>
    </w:p>
    <w:bookmarkStart w:id="427" w:name="page428"/>
    <w:bookmarkEnd w:id="427"/>
    <w:p>
      <w:pPr>
        <w:ind w:left="4"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establishment or increase of a put equivalent position or liquidation with respect to or decrease of a call equivalent position within the meaning of Section 16 of the Securities Exchange Act of 1934, as amended,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and (viii)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shall mean the Company’s Amended and Restated Memorandum and Articles of Association, as the same may be amended from time to time.</w:t>
      </w:r>
    </w:p>
    <w:p>
      <w:pPr>
        <w:spacing w:after="0" w:line="70" w:lineRule="exact"/>
        <w:rPr>
          <w:sz w:val="20"/>
          <w:szCs w:val="20"/>
          <w:color w:val="auto"/>
        </w:rPr>
      </w:pPr>
    </w:p>
    <w:p>
      <w:pPr>
        <w:ind w:left="624" w:hanging="184"/>
        <w:spacing w:after="0"/>
        <w:tabs>
          <w:tab w:leader="none" w:pos="624" w:val="left"/>
        </w:tabs>
        <w:numPr>
          <w:ilvl w:val="1"/>
          <w:numId w:val="35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20" w:firstLine="987"/>
        <w:spacing w:after="0" w:line="275" w:lineRule="auto"/>
        <w:tabs>
          <w:tab w:leader="none" w:pos="1240" w:val="left"/>
        </w:tabs>
        <w:numPr>
          <w:ilvl w:val="2"/>
          <w:numId w:val="354"/>
        </w:numPr>
        <w:rPr>
          <w:rFonts w:ascii="Arial" w:cs="Arial" w:eastAsia="Arial" w:hAnsi="Arial"/>
          <w:sz w:val="17"/>
          <w:szCs w:val="17"/>
          <w:color w:val="auto"/>
        </w:rPr>
      </w:pPr>
      <w:r>
        <w:rPr>
          <w:rFonts w:ascii="Arial" w:cs="Arial" w:eastAsia="Arial" w:hAnsi="Arial"/>
          <w:sz w:val="17"/>
          <w:szCs w:val="17"/>
          <w:color w:val="auto"/>
        </w:rPr>
        <w:t>The Sponsor and each Insider, with respect to itself, herself or himself, represent and warrant to the Company that it, she or he has the full right and power, without violating any agreement to which it, she or he is bound (including, without limitation, any non-competition or non-solicitation agreement with any employer or former employer), to enter into this Letter Agreement, as applicable, and to serve as an officer of the Company and/or a director on the Company’s Board of Director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as applicable, and each Insider hereby consents to being named in the Prospectus, road show and any other materials as an officer and/or director of the Company, as applicable.</w:t>
      </w:r>
    </w:p>
    <w:p>
      <w:pPr>
        <w:spacing w:after="0" w:line="68" w:lineRule="exact"/>
        <w:rPr>
          <w:rFonts w:ascii="Arial" w:cs="Arial" w:eastAsia="Arial" w:hAnsi="Arial"/>
          <w:sz w:val="17"/>
          <w:szCs w:val="17"/>
          <w:color w:val="auto"/>
        </w:rPr>
      </w:pPr>
    </w:p>
    <w:p>
      <w:pPr>
        <w:ind w:left="4" w:right="80" w:firstLine="987"/>
        <w:spacing w:after="0" w:line="284" w:lineRule="auto"/>
        <w:tabs>
          <w:tab w:leader="none" w:pos="1250" w:val="left"/>
        </w:tabs>
        <w:numPr>
          <w:ilvl w:val="2"/>
          <w:numId w:val="354"/>
        </w:numPr>
        <w:rPr>
          <w:rFonts w:ascii="Arial" w:cs="Arial" w:eastAsia="Arial" w:hAnsi="Arial"/>
          <w:sz w:val="16"/>
          <w:szCs w:val="16"/>
          <w:color w:val="auto"/>
        </w:rPr>
      </w:pPr>
      <w:r>
        <w:rPr>
          <w:rFonts w:ascii="Arial" w:cs="Arial" w:eastAsia="Arial" w:hAnsi="Arial"/>
          <w:sz w:val="16"/>
          <w:szCs w:val="16"/>
          <w:color w:val="auto"/>
        </w:rPr>
        <w:t>Each Insider represents and warrants, with respect to herself or himself, that such Insider’s biographical information furnished to the Company (including any such information included in the Prospectus) is true and accurate in all material respects and does not omit any material information with respect to such Insider’s background. The Insider’s questionnaire furnished to the Company is true and accurate in all material respects. Each Insider represents and warrants that such Insider is not subject to or a respondent in any legal action for, any injunction, cease-and-desist order or order or stipulation to desist or refrain from any act or practice relating to the offering of securities in any jurisdiction; such Insider has never been convicted of, or pleaded guilty to, any crime (i) involving fraud, (ii) relating to any financial transaction or handling of funds of another person, or</w:t>
      </w:r>
    </w:p>
    <w:p>
      <w:pPr>
        <w:spacing w:after="0" w:line="4" w:lineRule="exact"/>
        <w:rPr>
          <w:rFonts w:ascii="Arial" w:cs="Arial" w:eastAsia="Arial" w:hAnsi="Arial"/>
          <w:sz w:val="16"/>
          <w:szCs w:val="16"/>
          <w:color w:val="auto"/>
        </w:rPr>
      </w:pPr>
    </w:p>
    <w:p>
      <w:pPr>
        <w:ind w:left="4" w:hanging="4"/>
        <w:spacing w:after="0" w:line="255" w:lineRule="auto"/>
        <w:tabs>
          <w:tab w:leader="none" w:pos="319" w:val="left"/>
        </w:tabs>
        <w:numPr>
          <w:ilvl w:val="0"/>
          <w:numId w:val="355"/>
        </w:numPr>
        <w:rPr>
          <w:rFonts w:ascii="Arial" w:cs="Arial" w:eastAsia="Arial" w:hAnsi="Arial"/>
          <w:sz w:val="18"/>
          <w:szCs w:val="18"/>
          <w:color w:val="auto"/>
        </w:rPr>
      </w:pPr>
      <w:r>
        <w:rPr>
          <w:rFonts w:ascii="Arial" w:cs="Arial" w:eastAsia="Arial" w:hAnsi="Arial"/>
          <w:sz w:val="18"/>
          <w:szCs w:val="18"/>
          <w:color w:val="auto"/>
        </w:rPr>
        <w:t>pertaining to any dealings in any securities and such Insider is not currently a defendant in any such criminal proceeding; and such Insider has never been suspended or expelled from membership in any securities or commodities exchange or association or had a securities or commodities license or registration denied, suspended or revoked.</w:t>
      </w:r>
    </w:p>
    <w:p>
      <w:pPr>
        <w:spacing w:after="0" w:line="81" w:lineRule="exact"/>
        <w:rPr>
          <w:rFonts w:ascii="Arial" w:cs="Arial" w:eastAsia="Arial" w:hAnsi="Arial"/>
          <w:sz w:val="18"/>
          <w:szCs w:val="18"/>
          <w:color w:val="auto"/>
        </w:rPr>
      </w:pPr>
    </w:p>
    <w:p>
      <w:pPr>
        <w:ind w:left="4" w:right="120" w:firstLine="436"/>
        <w:spacing w:after="0" w:line="273" w:lineRule="auto"/>
        <w:tabs>
          <w:tab w:leader="none" w:pos="624" w:val="left"/>
        </w:tabs>
        <w:numPr>
          <w:ilvl w:val="1"/>
          <w:numId w:val="355"/>
        </w:numPr>
        <w:rPr>
          <w:rFonts w:ascii="Arial" w:cs="Arial" w:eastAsia="Arial" w:hAnsi="Arial"/>
          <w:sz w:val="17"/>
          <w:szCs w:val="17"/>
          <w:color w:val="auto"/>
        </w:rPr>
      </w:pPr>
      <w:r>
        <w:rPr>
          <w:rFonts w:ascii="Arial" w:cs="Arial" w:eastAsia="Arial" w:hAnsi="Arial"/>
          <w:sz w:val="17"/>
          <w:szCs w:val="17"/>
          <w:u w:val="single" w:color="auto"/>
          <w:color w:val="auto"/>
        </w:rPr>
        <w:t>Business Combination Vote</w:t>
      </w:r>
      <w:r>
        <w:rPr>
          <w:rFonts w:ascii="Arial" w:cs="Arial" w:eastAsia="Arial" w:hAnsi="Arial"/>
          <w:sz w:val="17"/>
          <w:szCs w:val="17"/>
          <w:color w:val="auto"/>
        </w:rPr>
        <w:t>. It is acknowledged and agreed that the Company shall not enter into a definitive agreement regarding a proposed Business Combination without the prior consent of the Sponsor. The Sponsor and each Insider, with respect to itself or herself or himself, agrees that if the Company seeks shareholder approval of a proposed initial Business Combination, then in connection with such proposed initial Business Combination, it, she or he, as applicable, shall vote all Founder Shares and any Public Shares held by it, her or him, as applicable, in favor of such proposed initial Business Combination (including any proposals recommended by the Board in connection with such Business Combination) and not redeem any Public Shares held by it, her or him, as applicable, in connection with such shareholder approval.</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428" w:name="page429"/>
    <w:bookmarkEnd w:id="428"/>
    <w:p>
      <w:pPr>
        <w:ind w:left="600" w:hanging="184"/>
        <w:spacing w:after="0"/>
        <w:tabs>
          <w:tab w:leader="none" w:pos="60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Failure to Consummate a Business Combination; Trust Account Waiver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firstLine="987"/>
        <w:spacing w:after="0" w:line="285" w:lineRule="auto"/>
        <w:tabs>
          <w:tab w:leader="none" w:pos="1216" w:val="left"/>
        </w:tabs>
        <w:numPr>
          <w:ilvl w:val="1"/>
          <w:numId w:val="356"/>
        </w:numPr>
        <w:rPr>
          <w:rFonts w:ascii="Arial" w:cs="Arial" w:eastAsia="Arial" w:hAnsi="Arial"/>
          <w:sz w:val="16"/>
          <w:szCs w:val="16"/>
          <w:color w:val="auto"/>
        </w:rPr>
      </w:pPr>
      <w:r>
        <w:rPr>
          <w:rFonts w:ascii="Arial" w:cs="Arial" w:eastAsia="Arial" w:hAnsi="Arial"/>
          <w:sz w:val="16"/>
          <w:szCs w:val="16"/>
          <w:color w:val="auto"/>
        </w:rPr>
        <w:t>The Sponsor and each Insider hereby agree, with respect to itself, herself or himself, that in the event that the Company fails to consummate its initial Business Combination within the time period set forth in the Charter, the Sponsor and each Insider shall take all reasonable steps to cause the Company to (i) cease all operations except for the purpose of winding up; (ii) as promptly as reasonably possible but not more than 10 business days thereafter, redeem 100% of the Public Shares, at a per-share price, payable in cash, equal to the aggregate amount then on deposit in the Trust Account, including interest earned on the funds held in the Trust Account and not previously released to the Company to pay income taxes (less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the Board, liquidate and dissolve, subject in each case of to the Company’s obligations under Cayman Islands law to provide for claims of creditors and in all cases subject to the other requirements of applicable law. The Sponsor and each Insider agree not to propose any amendment to the Charter (i) that would modify the substance or timing of the Company’s obligation to provide holders of the Public Shares the right to have their shares redeemed in connection with an initial Business Combination or to redeem 100% of the Public Shares if the Company does not complete an initial Business Combination within the required time period set forth in the Charter or (ii) with respect to any provision relating to the rights of holders of Public Shares unless the Company provides its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the Company to pay taxes, if any, divided by the number of then-outstanding Public Shares.</w:t>
      </w:r>
    </w:p>
    <w:p>
      <w:pPr>
        <w:spacing w:after="0" w:line="68" w:lineRule="exact"/>
        <w:rPr>
          <w:rFonts w:ascii="Arial" w:cs="Arial" w:eastAsia="Arial" w:hAnsi="Arial"/>
          <w:sz w:val="16"/>
          <w:szCs w:val="16"/>
          <w:color w:val="auto"/>
        </w:rPr>
      </w:pPr>
    </w:p>
    <w:p>
      <w:pPr>
        <w:ind w:left="-20" w:right="20" w:firstLine="987"/>
        <w:spacing w:after="0" w:line="269" w:lineRule="auto"/>
        <w:tabs>
          <w:tab w:leader="none" w:pos="1226" w:val="left"/>
        </w:tabs>
        <w:numPr>
          <w:ilvl w:val="1"/>
          <w:numId w:val="356"/>
        </w:numPr>
        <w:rPr>
          <w:rFonts w:ascii="Arial" w:cs="Arial" w:eastAsia="Arial" w:hAnsi="Arial"/>
          <w:sz w:val="17"/>
          <w:szCs w:val="17"/>
          <w:color w:val="auto"/>
        </w:rPr>
      </w:pPr>
      <w:r>
        <w:rPr>
          <w:rFonts w:ascii="Arial" w:cs="Arial" w:eastAsia="Arial" w:hAnsi="Arial"/>
          <w:sz w:val="17"/>
          <w:szCs w:val="17"/>
          <w:color w:val="auto"/>
        </w:rPr>
        <w:t>The Sponsor and each Insider, with respect to itself, herself or himself, acknowledges that it, she or he has no right, title, interest or claim of any kind in or to any monies held in the Trust Account or any other asset of the Company as a result of any liquidation of the Company with respect to the Founder Shares held by it, her or him, if any. The Sponsor and each of the Insiders hereby further waive, with respect to any Founder Shares and Public Shares held by it, her or him, as applicable, any redemption rights it, she or he may have in connection with the consummation of a Business Combination, including, without limitation, any such rights available in the context of a shareholder vote to approve such Business Combination or a shareholder vote to approve an amendment to the Charter (i) that would modify the substance or timing of the Company’s obligation to provide holders of the Public Shares the right to have their shares redeemed in connection with an initial Business Combination or to redeem 100% of the Public Shares if the Company has not consummated an initial Business Combination within the time period set forth in the Charter or (ii) with respect to any provision relating to the rights of holders of Public Shares (although the Sponsor and the Insiders shall be entitled to liquidation rights with respect to any Public Shares they hold if the Company fails to consummate a Business Combination within the required time period set forth in the Charter).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429" w:name="page430"/>
    <w:bookmarkEnd w:id="4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 </w:t>
      </w:r>
      <w:r>
        <w:rPr>
          <w:rFonts w:ascii="Arial" w:cs="Arial" w:eastAsia="Arial" w:hAnsi="Arial"/>
          <w:sz w:val="18"/>
          <w:szCs w:val="18"/>
          <w:u w:val="single" w:color="auto"/>
          <w:color w:val="auto"/>
        </w:rPr>
        <w:t>Lock-up; Transfer Restrictions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(a) The Sponsor and the Insiders agree that they shall not Transfer any Founder Shares (the “</w:t>
      </w:r>
      <w:r>
        <w:rPr>
          <w:rFonts w:ascii="Arial" w:cs="Arial" w:eastAsia="Arial" w:hAnsi="Arial"/>
          <w:sz w:val="18"/>
          <w:szCs w:val="18"/>
          <w:b w:val="1"/>
          <w:bCs w:val="1"/>
          <w:i w:val="1"/>
          <w:iCs w:val="1"/>
          <w:color w:val="auto"/>
        </w:rPr>
        <w:t>Founder Shares Lock-up</w:t>
      </w:r>
      <w:r>
        <w:rPr>
          <w:rFonts w:ascii="Arial" w:cs="Arial" w:eastAsia="Arial" w:hAnsi="Arial"/>
          <w:sz w:val="18"/>
          <w:szCs w:val="18"/>
          <w:color w:val="auto"/>
        </w:rPr>
        <w:t>”) until the earliest of (A) one year after the completion of an initial Business Combination and (B) the date following the completion of an initial Business Combination on which the Company completes a liquidation, merger, share exchange or other similar transaction that results in all of the Company’s shareholders having the right to exchange their Ordinary Shares for cash, securities or other property (the “</w:t>
      </w:r>
      <w:r>
        <w:rPr>
          <w:rFonts w:ascii="Arial" w:cs="Arial" w:eastAsia="Arial" w:hAnsi="Arial"/>
          <w:sz w:val="18"/>
          <w:szCs w:val="18"/>
          <w:b w:val="1"/>
          <w:bCs w:val="1"/>
          <w:i w:val="1"/>
          <w:iCs w:val="1"/>
          <w:color w:val="auto"/>
        </w:rPr>
        <w:t>Founder Shares Lock-up Period</w:t>
      </w:r>
      <w:r>
        <w:rPr>
          <w:rFonts w:ascii="Arial" w:cs="Arial" w:eastAsia="Arial" w:hAnsi="Arial"/>
          <w:sz w:val="18"/>
          <w:szCs w:val="18"/>
          <w:color w:val="auto"/>
        </w:rPr>
        <w:t>”). Notwithstanding the foregoing, if, subsequent to a Business Combination, the closing price of the Ordinary Shares equals or exceeds $12.00 per share (as adjusted for share sub-divisions, share capitalizations, share consolidations, reorganizations, recapitalizations and the like) for any 20 trading days within a 30-trading day period commencing at least 150 days after the Company’s initial Business Combination, the Founder Shares shall be released from the Founder Shares Lock-up.</w:t>
      </w:r>
    </w:p>
    <w:p>
      <w:pPr>
        <w:spacing w:after="0" w:line="84" w:lineRule="exact"/>
        <w:rPr>
          <w:sz w:val="20"/>
          <w:szCs w:val="20"/>
          <w:color w:val="auto"/>
        </w:rPr>
      </w:pPr>
    </w:p>
    <w:p>
      <w:pPr>
        <w:ind w:right="800" w:firstLine="991"/>
        <w:spacing w:after="0" w:line="277" w:lineRule="auto"/>
        <w:rPr>
          <w:sz w:val="20"/>
          <w:szCs w:val="20"/>
          <w:color w:val="auto"/>
        </w:rPr>
      </w:pPr>
      <w:r>
        <w:rPr>
          <w:rFonts w:ascii="Arial" w:cs="Arial" w:eastAsia="Arial" w:hAnsi="Arial"/>
          <w:sz w:val="18"/>
          <w:szCs w:val="18"/>
          <w:color w:val="auto"/>
        </w:rPr>
        <w:t>(b) The Sponsor and Insiders agree that they shall not effectuate any Transfer of Private Placement Warrants or Ordinary Shares underlying such warrants until 30 days after the completion of an initial Business Combination.</w:t>
      </w:r>
    </w:p>
    <w:p>
      <w:pPr>
        <w:spacing w:after="0" w:line="62"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 xml:space="preserve">(c) Notwithstanding the provisions set forth in </w:t>
      </w:r>
      <w:r>
        <w:rPr>
          <w:rFonts w:ascii="Arial" w:cs="Arial" w:eastAsia="Arial" w:hAnsi="Arial"/>
          <w:sz w:val="16"/>
          <w:szCs w:val="16"/>
          <w:u w:val="single" w:color="auto"/>
          <w:color w:val="auto"/>
        </w:rPr>
        <w:t>paragraphs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Transfers of the Founder Shares, Private Placement Warrants and Ordinary Shares underlying the Private Placement Warrants are permitted: (a) to the Company’s officers or directors, any affiliate or family member of any of the Company’s officers or directors, any members or partners of the Sponsor or their affiliates, any affiliates of the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Founder Shares, Private Placement Warrants or Ordinary Shares, as applicable, were originally purchased; (f) by virtue of the Sponsor’s organizational documents upon liquidation or dissolution of the Sponsor; (g) to the Company for no value for cancellation in connection with the consummation of an initial Business Combination; (h) in the event of the Company’s liquidation prior to the completion of a Business Combination; or (i) in the event of completion of a liquidation, merger, share exchange or other similar transaction which results in all of the Company’s Public Shareholders having the right to exchange their Ordinary Shares for cash, securities or other property subsequent to the completion of an initial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 (a) through (f) these permitted transferees must enter into a written agreement agreeing to be bound by the transfer restrictions set forth in this Agreement.</w:t>
      </w:r>
    </w:p>
    <w:p>
      <w:pPr>
        <w:spacing w:after="0" w:line="63"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(d) During the period commencing on the effective date of the Underwriting Agreement and ending 180 days after such date, the Sponsor and each Insider shall not, without the prior written consent of the Underwriters, Transfer any Units, Ordinary Shares, Warrants or any other securities convertible into, or exercisable or exchangeable for, Ordinary Shares held by it, her or him, as applicable, subject to certain exceptions enumerated in Section [6(h)] of the Underwriting Agreement.</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7152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[NTD: To confirm if UA transfer exceptions match up with those in Section 5 of agreement w/r/t founder shares]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30" w:name="page431"/>
    <w:bookmarkEnd w:id="430"/>
    <w:p>
      <w:pPr>
        <w:ind w:left="4" w:right="100" w:firstLine="436"/>
        <w:spacing w:after="0" w:line="279" w:lineRule="auto"/>
        <w:tabs>
          <w:tab w:leader="none" w:pos="624" w:val="left"/>
        </w:tabs>
        <w:numPr>
          <w:ilvl w:val="1"/>
          <w:numId w:val="35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Remedies</w:t>
      </w:r>
      <w:r>
        <w:rPr>
          <w:rFonts w:ascii="Arial" w:cs="Arial" w:eastAsia="Arial" w:hAnsi="Arial"/>
          <w:sz w:val="17"/>
          <w:szCs w:val="17"/>
          <w:color w:val="auto"/>
        </w:rPr>
        <w:t xml:space="preserve">. The Sponsor and each of the Insiders hereby agree and acknowledge that (i) each of the Underwriters and the Company would be irreparably injured in the event of a breach by the Sponsor or such Insider of its, her or his obligations, as applicable under </w:t>
      </w:r>
      <w:r>
        <w:rPr>
          <w:rFonts w:ascii="Arial" w:cs="Arial" w:eastAsia="Arial" w:hAnsi="Arial"/>
          <w:sz w:val="17"/>
          <w:szCs w:val="17"/>
          <w:u w:val="single" w:color="auto"/>
          <w:color w:val="auto"/>
        </w:rPr>
        <w:t>paragraphs 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w:t>
      </w:r>
      <w:r>
        <w:rPr>
          <w:rFonts w:ascii="Arial" w:cs="Arial" w:eastAsia="Arial" w:hAnsi="Arial"/>
          <w:sz w:val="17"/>
          <w:szCs w:val="17"/>
          <w:color w:val="auto"/>
        </w:rPr>
        <w: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63" w:lineRule="exact"/>
        <w:rPr>
          <w:rFonts w:ascii="Arial" w:cs="Arial" w:eastAsia="Arial" w:hAnsi="Arial"/>
          <w:sz w:val="17"/>
          <w:szCs w:val="17"/>
          <w:color w:val="auto"/>
        </w:rPr>
      </w:pPr>
    </w:p>
    <w:p>
      <w:pPr>
        <w:ind w:left="4" w:firstLine="436"/>
        <w:spacing w:after="0" w:line="259" w:lineRule="auto"/>
        <w:tabs>
          <w:tab w:leader="none" w:pos="624" w:val="left"/>
        </w:tabs>
        <w:numPr>
          <w:ilvl w:val="1"/>
          <w:numId w:val="357"/>
        </w:numPr>
        <w:rPr>
          <w:rFonts w:ascii="Arial" w:cs="Arial" w:eastAsia="Arial" w:hAnsi="Arial"/>
          <w:sz w:val="18"/>
          <w:szCs w:val="18"/>
          <w:color w:val="auto"/>
        </w:rPr>
      </w:pPr>
      <w:r>
        <w:rPr>
          <w:rFonts w:ascii="Arial" w:cs="Arial" w:eastAsia="Arial" w:hAnsi="Arial"/>
          <w:sz w:val="18"/>
          <w:szCs w:val="18"/>
          <w:u w:val="single" w:color="auto"/>
          <w:color w:val="auto"/>
        </w:rPr>
        <w:t>Payments by the Company</w:t>
      </w:r>
      <w:r>
        <w:rPr>
          <w:rFonts w:ascii="Arial" w:cs="Arial" w:eastAsia="Arial" w:hAnsi="Arial"/>
          <w:sz w:val="18"/>
          <w:szCs w:val="18"/>
          <w:color w:val="auto"/>
        </w:rPr>
        <w:t>. Except as disclosed in the Prospectus, neither the Sponsor nor any affiliate of the Sponsor nor any director or officer of the Company nor any affiliate of the officers shall receive from the Company any finder’s fee, reimbursement, consulting fee, monies in respect of any payment of a loan or other compensation prior to, or in connection with any services rendered in order to effectuate the consummation of the Company’s initial Business Combination (regardless of the type of transaction that it is).</w:t>
      </w:r>
    </w:p>
    <w:p>
      <w:pPr>
        <w:spacing w:after="0" w:line="78" w:lineRule="exact"/>
        <w:rPr>
          <w:rFonts w:ascii="Arial" w:cs="Arial" w:eastAsia="Arial" w:hAnsi="Arial"/>
          <w:sz w:val="18"/>
          <w:szCs w:val="18"/>
          <w:color w:val="auto"/>
        </w:rPr>
      </w:pPr>
    </w:p>
    <w:p>
      <w:pPr>
        <w:ind w:left="4" w:right="120" w:firstLine="436"/>
        <w:spacing w:after="0" w:line="263" w:lineRule="auto"/>
        <w:tabs>
          <w:tab w:leader="none" w:pos="624" w:val="left"/>
        </w:tabs>
        <w:numPr>
          <w:ilvl w:val="1"/>
          <w:numId w:val="357"/>
        </w:numPr>
        <w:rPr>
          <w:rFonts w:ascii="Arial" w:cs="Arial" w:eastAsia="Arial" w:hAnsi="Arial"/>
          <w:sz w:val="18"/>
          <w:szCs w:val="18"/>
          <w:color w:val="auto"/>
        </w:rPr>
      </w:pPr>
      <w:r>
        <w:rPr>
          <w:rFonts w:ascii="Arial" w:cs="Arial" w:eastAsia="Arial" w:hAnsi="Arial"/>
          <w:sz w:val="18"/>
          <w:szCs w:val="18"/>
          <w:u w:val="single" w:color="auto"/>
          <w:color w:val="auto"/>
        </w:rPr>
        <w:t>Director and Officer Liability Insurance</w:t>
      </w:r>
      <w:r>
        <w:rPr>
          <w:rFonts w:ascii="Arial" w:cs="Arial" w:eastAsia="Arial" w:hAnsi="Arial"/>
          <w:sz w:val="18"/>
          <w:szCs w:val="18"/>
          <w:color w:val="auto"/>
        </w:rPr>
        <w:t>. The Company will maintain an insurance policy or policies providing directors’ and officers’ liability insurance, and the Insiders shall be covered by such policy or policies, in accordance with its or their terms, to the maximum extent of the coverage available for any of the Company’s directors or officers.</w:t>
      </w:r>
    </w:p>
    <w:p>
      <w:pPr>
        <w:spacing w:after="0" w:line="75" w:lineRule="exact"/>
        <w:rPr>
          <w:rFonts w:ascii="Arial" w:cs="Arial" w:eastAsia="Arial" w:hAnsi="Arial"/>
          <w:sz w:val="18"/>
          <w:szCs w:val="18"/>
          <w:color w:val="auto"/>
        </w:rPr>
      </w:pPr>
    </w:p>
    <w:p>
      <w:pPr>
        <w:ind w:left="4" w:right="600" w:firstLine="436"/>
        <w:spacing w:after="0" w:line="277" w:lineRule="auto"/>
        <w:tabs>
          <w:tab w:leader="none" w:pos="624" w:val="left"/>
        </w:tabs>
        <w:numPr>
          <w:ilvl w:val="1"/>
          <w:numId w:val="35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Letter Agreement shall terminate on the earlier of (i) the expiration of the Founder Shares Lock-up Period and (ii) the liquidation of the Company.</w:t>
      </w:r>
    </w:p>
    <w:p>
      <w:pPr>
        <w:spacing w:after="0" w:line="62" w:lineRule="exact"/>
        <w:rPr>
          <w:rFonts w:ascii="Arial" w:cs="Arial" w:eastAsia="Arial" w:hAnsi="Arial"/>
          <w:sz w:val="18"/>
          <w:szCs w:val="18"/>
          <w:color w:val="auto"/>
        </w:rPr>
      </w:pPr>
    </w:p>
    <w:p>
      <w:pPr>
        <w:ind w:left="4" w:firstLine="436"/>
        <w:spacing w:after="0" w:line="283" w:lineRule="auto"/>
        <w:tabs>
          <w:tab w:leader="none" w:pos="714" w:val="left"/>
        </w:tabs>
        <w:numPr>
          <w:ilvl w:val="1"/>
          <w:numId w:val="357"/>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In the event of the liquidation of the Trust Account upon the failure of the Company to consummate its initial Business Combination within the time period set forth in the Charter, the Sponsor (the “</w:t>
      </w:r>
      <w:r>
        <w:rPr>
          <w:rFonts w:ascii="Arial" w:cs="Arial" w:eastAsia="Arial" w:hAnsi="Arial"/>
          <w:sz w:val="16"/>
          <w:szCs w:val="16"/>
          <w:b w:val="1"/>
          <w:bCs w:val="1"/>
          <w:i w:val="1"/>
          <w:iCs w:val="1"/>
          <w:color w:val="auto"/>
        </w:rPr>
        <w:t>Indemnitor</w:t>
      </w:r>
      <w:r>
        <w:rPr>
          <w:rFonts w:ascii="Arial" w:cs="Arial" w:eastAsia="Arial" w:hAnsi="Arial"/>
          <w:sz w:val="16"/>
          <w:szCs w:val="16"/>
          <w:color w:val="auto"/>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or products sold to the Company (except for the Company’s independent auditors) or (ii) any prospective target business with which the Company has discussed entering into a transaction agreement (a “</w:t>
      </w:r>
      <w:r>
        <w:rPr>
          <w:rFonts w:ascii="Arial" w:cs="Arial" w:eastAsia="Arial" w:hAnsi="Arial"/>
          <w:sz w:val="16"/>
          <w:szCs w:val="16"/>
          <w:b w:val="1"/>
          <w:bCs w:val="1"/>
          <w:i w:val="1"/>
          <w:iCs w:val="1"/>
          <w:color w:val="auto"/>
        </w:rPr>
        <w:t>Target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indemnification of the Company by the Indemnitor (x) shall apply only to the extent necessary to ensure that such claims by a third party for services rendered or products sold to the Company or a Target do not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interest that may be withdrawn to pay the Company’s tax obligations,</w:t>
      </w:r>
    </w:p>
    <w:p>
      <w:pPr>
        <w:spacing w:after="0" w:line="4" w:lineRule="exact"/>
        <w:rPr>
          <w:rFonts w:ascii="Arial" w:cs="Arial" w:eastAsia="Arial" w:hAnsi="Arial"/>
          <w:sz w:val="16"/>
          <w:szCs w:val="16"/>
          <w:color w:val="auto"/>
        </w:rPr>
      </w:pPr>
    </w:p>
    <w:p>
      <w:pPr>
        <w:ind w:left="4" w:right="80" w:hanging="4"/>
        <w:spacing w:after="0" w:line="260" w:lineRule="auto"/>
        <w:tabs>
          <w:tab w:leader="none" w:pos="259"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shall not apply to any claims by a third party or Target who executed a waiver of any and all rights to the monies held in the Trust Account (whether or not such waiver is enforceable) and (z) shall not apply to any claims under the Company’s indemnity of the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431" w:name="page432"/>
    <w:bookmarkEnd w:id="431"/>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Underwriters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57" w:lineRule="exact"/>
        <w:rPr>
          <w:sz w:val="20"/>
          <w:szCs w:val="20"/>
          <w:color w:val="auto"/>
        </w:rPr>
      </w:pPr>
    </w:p>
    <w:p>
      <w:pPr>
        <w:ind w:firstLine="436"/>
        <w:spacing w:after="0" w:line="272" w:lineRule="auto"/>
        <w:tabs>
          <w:tab w:leader="none" w:pos="703"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Forfeiture of Founder Shares.</w:t>
      </w:r>
      <w:r>
        <w:rPr>
          <w:rFonts w:ascii="Arial" w:cs="Arial" w:eastAsia="Arial" w:hAnsi="Arial"/>
          <w:sz w:val="17"/>
          <w:szCs w:val="17"/>
          <w:color w:val="auto"/>
        </w:rPr>
        <w:t xml:space="preserve"> To the extent that the Underwriters do not exercise their option to purchase additional Units within 45 days from the date of the Prospectus in full (as further described in the Prospectus), the Sponsor agrees to automatically surrender to the Company for no consideration, for cancellation at no cost, an aggregate number of Founder Shares so that the number of Founder Shares will equal of 20% of the sum of the total number of Ordinary Shares and Founder Shares outstanding at such time. The Sponsor and Insiders further agree that to the extent that the size of the Public Offering is increased or decreased, the Company will effect a share capitalization or a share repurchase, as applicable, with respect to the Founder Shares immediately prior to the consummation of the Public Offering in such amount as to maintain the number of Founder Shares at 20% of the sum of the total number of Ordinary Shares and Founder Shares outstanding at such time.</w:t>
      </w:r>
    </w:p>
    <w:p>
      <w:pPr>
        <w:spacing w:after="0" w:line="69" w:lineRule="exact"/>
        <w:rPr>
          <w:rFonts w:ascii="Arial" w:cs="Arial" w:eastAsia="Arial" w:hAnsi="Arial"/>
          <w:sz w:val="17"/>
          <w:szCs w:val="17"/>
          <w:color w:val="auto"/>
        </w:rPr>
      </w:pPr>
    </w:p>
    <w:p>
      <w:pPr>
        <w:ind w:right="120" w:firstLine="436"/>
        <w:spacing w:after="0" w:line="301" w:lineRule="auto"/>
        <w:tabs>
          <w:tab w:leader="none" w:pos="710"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49" w:lineRule="exact"/>
        <w:rPr>
          <w:rFonts w:ascii="Arial" w:cs="Arial" w:eastAsia="Arial" w:hAnsi="Arial"/>
          <w:sz w:val="16"/>
          <w:szCs w:val="16"/>
          <w:color w:val="auto"/>
        </w:rPr>
      </w:pPr>
    </w:p>
    <w:p>
      <w:pPr>
        <w:ind w:right="60" w:firstLine="436"/>
        <w:spacing w:after="0" w:line="279" w:lineRule="auto"/>
        <w:tabs>
          <w:tab w:leader="none" w:pos="710"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each of the Insiders and each of their respective successors, heirs, personal representatives and assigns and permitted transferees.</w:t>
      </w:r>
    </w:p>
    <w:p>
      <w:pPr>
        <w:spacing w:after="0" w:line="63" w:lineRule="exact"/>
        <w:rPr>
          <w:rFonts w:ascii="Arial" w:cs="Arial" w:eastAsia="Arial" w:hAnsi="Arial"/>
          <w:sz w:val="17"/>
          <w:szCs w:val="17"/>
          <w:color w:val="auto"/>
        </w:rPr>
      </w:pPr>
    </w:p>
    <w:p>
      <w:pPr>
        <w:ind w:right="420" w:firstLine="436"/>
        <w:spacing w:after="0" w:line="342" w:lineRule="auto"/>
        <w:tabs>
          <w:tab w:leader="none" w:pos="710"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Letter Agreement may be executed in any number of original , electronic or facsimile counterparts, and each of such counterparts shall for all purposes be deemed to be an original, and all such counterparts shall together constitute but one and the same instrument.</w:t>
      </w:r>
    </w:p>
    <w:p>
      <w:pPr>
        <w:spacing w:after="0" w:line="15" w:lineRule="exact"/>
        <w:rPr>
          <w:rFonts w:ascii="Arial" w:cs="Arial" w:eastAsia="Arial" w:hAnsi="Arial"/>
          <w:sz w:val="16"/>
          <w:szCs w:val="16"/>
          <w:color w:val="auto"/>
        </w:rPr>
      </w:pPr>
    </w:p>
    <w:p>
      <w:pPr>
        <w:ind w:right="80" w:firstLine="436"/>
        <w:spacing w:after="0" w:line="277" w:lineRule="auto"/>
        <w:tabs>
          <w:tab w:leader="none" w:pos="71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paragraph headings herein are for convenience only and are not part of this Letter Agreement and shall not affect the interpretation thereof.</w:t>
      </w:r>
    </w:p>
    <w:p>
      <w:pPr>
        <w:spacing w:after="0" w:line="62" w:lineRule="exact"/>
        <w:rPr>
          <w:rFonts w:ascii="Arial" w:cs="Arial" w:eastAsia="Arial" w:hAnsi="Arial"/>
          <w:sz w:val="18"/>
          <w:szCs w:val="18"/>
          <w:color w:val="auto"/>
        </w:rPr>
      </w:pPr>
    </w:p>
    <w:p>
      <w:pPr>
        <w:ind w:firstLine="436"/>
        <w:spacing w:after="0" w:line="259" w:lineRule="auto"/>
        <w:tabs>
          <w:tab w:leader="none" w:pos="71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432" w:name="page433"/>
    <w:bookmarkEnd w:id="432"/>
    <w:p>
      <w:pPr>
        <w:ind w:left="-80" w:firstLine="436"/>
        <w:spacing w:after="0" w:line="272" w:lineRule="auto"/>
        <w:tabs>
          <w:tab w:leader="none" w:pos="630"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w:t>
      </w:r>
      <w:r>
        <w:rPr>
          <w:rFonts w:ascii="Arial" w:cs="Arial" w:eastAsia="Arial" w:hAnsi="Arial"/>
          <w:sz w:val="17"/>
          <w:szCs w:val="17"/>
          <w:color w:val="auto"/>
        </w:rPr>
        <w:t>. This Letter Agreement shall be governed by and construed and enforced in accordance with the laws of the State of New York, without giving effect to conflicts of law principles that would result in the application of the substantive laws of another jurisdiction.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(ii) waive any objection to such exclusive jurisdiction and venue or that such courts represent an inconvenient forum and (iii) waives any right to a trial by jury in any action, suit or proceeding to enforce or defend any right under this Letter Agreement, and agrees that any such action, suit or proceeding will be tried before a court and not before a jury.</w:t>
      </w:r>
    </w:p>
    <w:p>
      <w:pPr>
        <w:spacing w:after="0" w:line="69" w:lineRule="exact"/>
        <w:rPr>
          <w:rFonts w:ascii="Arial" w:cs="Arial" w:eastAsia="Arial" w:hAnsi="Arial"/>
          <w:sz w:val="17"/>
          <w:szCs w:val="17"/>
          <w:color w:val="auto"/>
        </w:rPr>
      </w:pPr>
    </w:p>
    <w:p>
      <w:pPr>
        <w:ind w:left="-80" w:right="260" w:firstLine="436"/>
        <w:spacing w:after="0" w:line="263" w:lineRule="auto"/>
        <w:tabs>
          <w:tab w:leader="none" w:pos="63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520" w:top="274" w:right="539" w:bottom="1440" w:gutter="0" w:footer="0" w:header="0"/>
        </w:sectPr>
      </w:pPr>
    </w:p>
    <w:bookmarkStart w:id="433" w:name="page434"/>
    <w:bookmarkEnd w:id="43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ARCLIGHT CTC HOLDINGS II, L.P., a Delaware limited</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partnership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ACTC HOLDINGS GP II, LLC, its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ArcLight Capital Holdings, LLC, its Manager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ACHP II, L.P., its Managing Member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ACH GP, LLC,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Daniel R. Revers</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IPO Letter Agreement</w:t>
      </w:r>
      <w:r>
        <w:rPr>
          <w:rFonts w:ascii="Arial" w:cs="Arial" w:eastAsia="Arial" w:hAnsi="Arial"/>
          <w:sz w:val="18"/>
          <w:szCs w:val="18"/>
          <w:color w:val="auto"/>
        </w:rPr>
        <w:t>]</w:t>
      </w:r>
    </w:p>
    <w:p>
      <w:pPr>
        <w:sectPr>
          <w:pgSz w:w="11900" w:h="16838" w:orient="portrait"/>
          <w:cols w:equalWidth="0" w:num="1">
            <w:col w:w="9880"/>
          </w:cols>
          <w:pgMar w:left="1440" w:top="274" w:right="579" w:bottom="1440" w:gutter="0" w:footer="0" w:header="0"/>
        </w:sectPr>
      </w:pPr>
    </w:p>
    <w:bookmarkStart w:id="434" w:name="page435"/>
    <w:bookmarkEnd w:id="434"/>
    <w:p>
      <w:pPr>
        <w:ind w:left="56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320040</wp:posOffset>
            </wp:positionV>
            <wp:extent cx="279463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3">
                      <a:extLst>
                        <a:ext uri="{28A0092B-C50C-407E-A947-70E740481C1C}"/>
                      </a:extLst>
                    </a:blip>
                    <a:srcRect/>
                    <a:stretch>
                      <a:fillRect/>
                    </a:stretch>
                  </pic:blipFill>
                  <pic:spPr bwMode="auto">
                    <a:xfrm>
                      <a:off x="0" y="0"/>
                      <a:ext cx="2794635" cy="8255"/>
                    </a:xfrm>
                    <a:prstGeom prst="rect">
                      <a:avLst/>
                    </a:prstGeom>
                    <a:noFill/>
                  </pic:spPr>
                </pic:pic>
              </a:graphicData>
            </a:graphic>
          </wp:anchor>
        </w:drawing>
        <w:t>John F. Erhard</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IPO Letter Agreement</w:t>
      </w:r>
      <w:r>
        <w:rPr>
          <w:rFonts w:ascii="Arial" w:cs="Arial" w:eastAsia="Arial" w:hAnsi="Arial"/>
          <w:sz w:val="16"/>
          <w:szCs w:val="16"/>
          <w:color w:val="auto"/>
        </w:rPr>
        <w:t>]</w:t>
      </w:r>
    </w:p>
    <w:p>
      <w:pPr>
        <w:sectPr>
          <w:pgSz w:w="11900" w:h="16838" w:orient="portrait"/>
          <w:cols w:equalWidth="0" w:num="1">
            <w:col w:w="9019"/>
          </w:cols>
          <w:pgMar w:left="1440" w:top="517" w:right="1440" w:bottom="1440" w:gutter="0" w:footer="0" w:header="0"/>
        </w:sectPr>
      </w:pPr>
    </w:p>
    <w:bookmarkStart w:id="435" w:name="page436"/>
    <w:bookmarkEnd w:id="435"/>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320040</wp:posOffset>
            </wp:positionV>
            <wp:extent cx="27946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5">
                      <a:extLst>
                        <a:ext uri="{28A0092B-C50C-407E-A947-70E740481C1C}"/>
                      </a:extLst>
                    </a:blip>
                    <a:srcRect/>
                    <a:stretch>
                      <a:fillRect/>
                    </a:stretch>
                  </pic:blipFill>
                  <pic:spPr bwMode="auto">
                    <a:xfrm>
                      <a:off x="0" y="0"/>
                      <a:ext cx="2794635" cy="8255"/>
                    </a:xfrm>
                    <a:prstGeom prst="rect">
                      <a:avLst/>
                    </a:prstGeom>
                    <a:noFill/>
                  </pic:spPr>
                </pic:pic>
              </a:graphicData>
            </a:graphic>
          </wp:anchor>
        </w:drawing>
        <w:t>Daniel R. Revers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IPO Letter Agreement</w:t>
      </w:r>
      <w:r>
        <w:rPr>
          <w:rFonts w:ascii="Arial" w:cs="Arial" w:eastAsia="Arial" w:hAnsi="Arial"/>
          <w:sz w:val="16"/>
          <w:szCs w:val="16"/>
          <w:color w:val="auto"/>
        </w:rPr>
        <w:t>]</w:t>
      </w:r>
    </w:p>
    <w:p>
      <w:pPr>
        <w:sectPr>
          <w:pgSz w:w="11900" w:h="16838" w:orient="portrait"/>
          <w:cols w:equalWidth="0" w:num="1">
            <w:col w:w="9019"/>
          </w:cols>
          <w:pgMar w:left="1440" w:top="517" w:right="1440" w:bottom="1440" w:gutter="0" w:footer="0" w:header="0"/>
        </w:sectPr>
      </w:pPr>
    </w:p>
    <w:bookmarkStart w:id="436" w:name="page437"/>
    <w:bookmarkEnd w:id="43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320040</wp:posOffset>
            </wp:positionV>
            <wp:extent cx="27946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7">
                      <a:extLst>
                        <a:ext uri="{28A0092B-C50C-407E-A947-70E740481C1C}"/>
                      </a:extLst>
                    </a:blip>
                    <a:srcRect/>
                    <a:stretch>
                      <a:fillRect/>
                    </a:stretch>
                  </pic:blipFill>
                  <pic:spPr bwMode="auto">
                    <a:xfrm>
                      <a:off x="0" y="0"/>
                      <a:ext cx="2794635" cy="8255"/>
                    </a:xfrm>
                    <a:prstGeom prst="rect">
                      <a:avLst/>
                    </a:prstGeom>
                    <a:noFill/>
                  </pic:spPr>
                </pic:pic>
              </a:graphicData>
            </a:graphic>
          </wp:anchor>
        </w:drawing>
        <w:t>Marco F. Gatti</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IPO Letter Agreement</w:t>
      </w:r>
      <w:r>
        <w:rPr>
          <w:rFonts w:ascii="Arial" w:cs="Arial" w:eastAsia="Arial" w:hAnsi="Arial"/>
          <w:sz w:val="16"/>
          <w:szCs w:val="16"/>
          <w:color w:val="auto"/>
        </w:rPr>
        <w:t>]</w:t>
      </w:r>
    </w:p>
    <w:p>
      <w:pPr>
        <w:sectPr>
          <w:pgSz w:w="11900" w:h="16838" w:orient="portrait"/>
          <w:cols w:equalWidth="0" w:num="1">
            <w:col w:w="9019"/>
          </w:cols>
          <w:pgMar w:left="1440" w:top="517" w:right="1440" w:bottom="1440" w:gutter="0" w:footer="0" w:header="0"/>
        </w:sectPr>
      </w:pPr>
    </w:p>
    <w:bookmarkStart w:id="437" w:name="page438"/>
    <w:bookmarkEnd w:id="43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320040</wp:posOffset>
            </wp:positionV>
            <wp:extent cx="27946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9">
                      <a:extLst>
                        <a:ext uri="{28A0092B-C50C-407E-A947-70E740481C1C}"/>
                      </a:extLst>
                    </a:blip>
                    <a:srcRect/>
                    <a:stretch>
                      <a:fillRect/>
                    </a:stretch>
                  </pic:blipFill>
                  <pic:spPr bwMode="auto">
                    <a:xfrm>
                      <a:off x="0" y="0"/>
                      <a:ext cx="2794635" cy="8255"/>
                    </a:xfrm>
                    <a:prstGeom prst="rect">
                      <a:avLst/>
                    </a:prstGeom>
                    <a:noFill/>
                  </pic:spPr>
                </pic:pic>
              </a:graphicData>
            </a:graphic>
          </wp:anchor>
        </w:drawing>
        <w:t>Christine M. Miller</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IPO Letter Agreement</w:t>
      </w:r>
      <w:r>
        <w:rPr>
          <w:rFonts w:ascii="Arial" w:cs="Arial" w:eastAsia="Arial" w:hAnsi="Arial"/>
          <w:sz w:val="16"/>
          <w:szCs w:val="16"/>
          <w:color w:val="auto"/>
        </w:rPr>
        <w:t>]</w:t>
      </w:r>
    </w:p>
    <w:p>
      <w:pPr>
        <w:sectPr>
          <w:pgSz w:w="11900" w:h="16838" w:orient="portrait"/>
          <w:cols w:equalWidth="0" w:num="1">
            <w:col w:w="9019"/>
          </w:cols>
          <w:pgMar w:left="1440" w:top="517" w:right="1440" w:bottom="1440" w:gutter="0" w:footer="0" w:header="0"/>
        </w:sectPr>
      </w:pPr>
    </w:p>
    <w:bookmarkStart w:id="438" w:name="page439"/>
    <w:bookmarkEnd w:id="438"/>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320040</wp:posOffset>
            </wp:positionV>
            <wp:extent cx="27946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1">
                      <a:extLst>
                        <a:ext uri="{28A0092B-C50C-407E-A947-70E740481C1C}"/>
                      </a:extLst>
                    </a:blip>
                    <a:srcRect/>
                    <a:stretch>
                      <a:fillRect/>
                    </a:stretch>
                  </pic:blipFill>
                  <pic:spPr bwMode="auto">
                    <a:xfrm>
                      <a:off x="0" y="0"/>
                      <a:ext cx="2794635" cy="8255"/>
                    </a:xfrm>
                    <a:prstGeom prst="rect">
                      <a:avLst/>
                    </a:prstGeom>
                    <a:noFill/>
                  </pic:spPr>
                </pic:pic>
              </a:graphicData>
            </a:graphic>
          </wp:anchor>
        </w:drawing>
        <w:t>Kerrick S. Knauth</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IPO Letter Agreement</w:t>
      </w:r>
      <w:r>
        <w:rPr>
          <w:rFonts w:ascii="Arial" w:cs="Arial" w:eastAsia="Arial" w:hAnsi="Arial"/>
          <w:sz w:val="16"/>
          <w:szCs w:val="16"/>
          <w:color w:val="auto"/>
        </w:rPr>
        <w:t>]</w:t>
      </w:r>
    </w:p>
    <w:p>
      <w:pPr>
        <w:sectPr>
          <w:pgSz w:w="11900" w:h="16838" w:orient="portrait"/>
          <w:cols w:equalWidth="0" w:num="1">
            <w:col w:w="9019"/>
          </w:cols>
          <w:pgMar w:left="1440" w:top="517" w:right="1440" w:bottom="1440" w:gutter="0" w:footer="0" w:header="0"/>
        </w:sectPr>
      </w:pPr>
    </w:p>
    <w:bookmarkStart w:id="439" w:name="page440"/>
    <w:bookmarkEnd w:id="439"/>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320040</wp:posOffset>
            </wp:positionV>
            <wp:extent cx="27946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3">
                      <a:extLst>
                        <a:ext uri="{28A0092B-C50C-407E-A947-70E740481C1C}"/>
                      </a:extLst>
                    </a:blip>
                    <a:srcRect/>
                    <a:stretch>
                      <a:fillRect/>
                    </a:stretch>
                  </pic:blipFill>
                  <pic:spPr bwMode="auto">
                    <a:xfrm>
                      <a:off x="0" y="0"/>
                      <a:ext cx="2794635" cy="8255"/>
                    </a:xfrm>
                    <a:prstGeom prst="rect">
                      <a:avLst/>
                    </a:prstGeom>
                    <a:noFill/>
                  </pic:spPr>
                </pic:pic>
              </a:graphicData>
            </a:graphic>
          </wp:anchor>
        </w:drawing>
        <w:t>Arno Harris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IPO Letter Agreement</w:t>
      </w:r>
      <w:r>
        <w:rPr>
          <w:rFonts w:ascii="Arial" w:cs="Arial" w:eastAsia="Arial" w:hAnsi="Arial"/>
          <w:sz w:val="16"/>
          <w:szCs w:val="16"/>
          <w:color w:val="auto"/>
        </w:rPr>
        <w:t>]</w:t>
      </w:r>
    </w:p>
    <w:p>
      <w:pPr>
        <w:sectPr>
          <w:pgSz w:w="11900" w:h="16838" w:orient="portrait"/>
          <w:cols w:equalWidth="0" w:num="1">
            <w:col w:w="9019"/>
          </w:cols>
          <w:pgMar w:left="1440" w:top="517" w:right="1440" w:bottom="1440" w:gutter="0" w:footer="0" w:header="0"/>
        </w:sectPr>
      </w:pPr>
    </w:p>
    <w:bookmarkStart w:id="440" w:name="page441"/>
    <w:bookmarkEnd w:id="440"/>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320040</wp:posOffset>
            </wp:positionV>
            <wp:extent cx="27946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5">
                      <a:extLst>
                        <a:ext uri="{28A0092B-C50C-407E-A947-70E740481C1C}"/>
                      </a:extLst>
                    </a:blip>
                    <a:srcRect/>
                    <a:stretch>
                      <a:fillRect/>
                    </a:stretch>
                  </pic:blipFill>
                  <pic:spPr bwMode="auto">
                    <a:xfrm>
                      <a:off x="0" y="0"/>
                      <a:ext cx="2794635" cy="8255"/>
                    </a:xfrm>
                    <a:prstGeom prst="rect">
                      <a:avLst/>
                    </a:prstGeom>
                    <a:noFill/>
                  </pic:spPr>
                </pic:pic>
              </a:graphicData>
            </a:graphic>
          </wp:anchor>
        </w:drawing>
        <w:t>Audrey Lee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IPO Letter Agreement</w:t>
      </w:r>
      <w:r>
        <w:rPr>
          <w:rFonts w:ascii="Arial" w:cs="Arial" w:eastAsia="Arial" w:hAnsi="Arial"/>
          <w:sz w:val="16"/>
          <w:szCs w:val="16"/>
          <w:color w:val="auto"/>
        </w:rPr>
        <w:t>]</w:t>
      </w:r>
    </w:p>
    <w:p>
      <w:pPr>
        <w:sectPr>
          <w:pgSz w:w="11900" w:h="16838" w:orient="portrait"/>
          <w:cols w:equalWidth="0" w:num="1">
            <w:col w:w="9019"/>
          </w:cols>
          <w:pgMar w:left="1440" w:top="517" w:right="1440" w:bottom="1440" w:gutter="0" w:footer="0" w:header="0"/>
        </w:sectPr>
      </w:pPr>
    </w:p>
    <w:bookmarkStart w:id="441" w:name="page442"/>
    <w:bookmarkEnd w:id="441"/>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320040</wp:posOffset>
            </wp:positionV>
            <wp:extent cx="27946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7">
                      <a:extLst>
                        <a:ext uri="{28A0092B-C50C-407E-A947-70E740481C1C}"/>
                      </a:extLst>
                    </a:blip>
                    <a:srcRect/>
                    <a:stretch>
                      <a:fillRect/>
                    </a:stretch>
                  </pic:blipFill>
                  <pic:spPr bwMode="auto">
                    <a:xfrm>
                      <a:off x="0" y="0"/>
                      <a:ext cx="2794635" cy="8255"/>
                    </a:xfrm>
                    <a:prstGeom prst="rect">
                      <a:avLst/>
                    </a:prstGeom>
                    <a:noFill/>
                  </pic:spPr>
                </pic:pic>
              </a:graphicData>
            </a:graphic>
          </wp:anchor>
        </w:drawing>
        <w:t>Brian Goncher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IPO Letter Agreement</w:t>
      </w:r>
      <w:r>
        <w:rPr>
          <w:rFonts w:ascii="Arial" w:cs="Arial" w:eastAsia="Arial" w:hAnsi="Arial"/>
          <w:sz w:val="16"/>
          <w:szCs w:val="16"/>
          <w:color w:val="auto"/>
        </w:rPr>
        <w:t>]</w:t>
      </w:r>
    </w:p>
    <w:p>
      <w:pPr>
        <w:sectPr>
          <w:pgSz w:w="11900" w:h="16838" w:orient="portrait"/>
          <w:cols w:equalWidth="0" w:num="1">
            <w:col w:w="9019"/>
          </w:cols>
          <w:pgMar w:left="1440" w:top="517" w:right="1440" w:bottom="1440" w:gutter="0" w:footer="0" w:header="0"/>
        </w:sectPr>
      </w:pPr>
    </w:p>
    <w:bookmarkStart w:id="442" w:name="page443"/>
    <w:bookmarkEnd w:id="44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320040</wp:posOffset>
            </wp:positionV>
            <wp:extent cx="279463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9">
                      <a:extLst>
                        <a:ext uri="{28A0092B-C50C-407E-A947-70E740481C1C}"/>
                      </a:extLst>
                    </a:blip>
                    <a:srcRect/>
                    <a:stretch>
                      <a:fillRect/>
                    </a:stretch>
                  </pic:blipFill>
                  <pic:spPr bwMode="auto">
                    <a:xfrm>
                      <a:off x="0" y="0"/>
                      <a:ext cx="2794635" cy="8255"/>
                    </a:xfrm>
                    <a:prstGeom prst="rect">
                      <a:avLst/>
                    </a:prstGeom>
                    <a:noFill/>
                  </pic:spPr>
                </pic:pic>
              </a:graphicData>
            </a:graphic>
          </wp:anchor>
        </w:drawing>
        <w:t>Steven Berkenfeld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IPO Letter Agreement</w:t>
      </w:r>
      <w:r>
        <w:rPr>
          <w:rFonts w:ascii="Arial" w:cs="Arial" w:eastAsia="Arial" w:hAnsi="Arial"/>
          <w:sz w:val="16"/>
          <w:szCs w:val="16"/>
          <w:color w:val="auto"/>
        </w:rPr>
        <w:t>]</w:t>
      </w:r>
    </w:p>
    <w:p>
      <w:pPr>
        <w:sectPr>
          <w:pgSz w:w="11900" w:h="16838" w:orient="portrait"/>
          <w:cols w:equalWidth="0" w:num="1">
            <w:col w:w="9019"/>
          </w:cols>
          <w:pgMar w:left="1440" w:top="517" w:right="1440" w:bottom="1440" w:gutter="0" w:footer="0" w:header="0"/>
        </w:sectPr>
      </w:pPr>
    </w:p>
    <w:bookmarkStart w:id="443" w:name="page444"/>
    <w:bookmarkEnd w:id="4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ARCLIGHT CLEAN TRANSITION CORP. II</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F. Erhard</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jc w:val="right"/>
        <w:ind w:right="29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IPO Letter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44" w:name="page445"/>
    <w:bookmarkEnd w:id="44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CONSENT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consent to the inclusion in this Registration Statement of ArcLight Clean Transition Corp. II (the “Company”) on Amendment No. 1 to Form S-1 of our report dated February 4, 2021, which includes an explanatory paragraph as to the Company’s ability to continue as a going concern, with respect to our audit of the financial statements of ArcLight Clean Transition Corp. II as of January 20, 2021 and for the period from January 13, 2021 (inception) through January 20, 2021, which report appears in the Prospectus, which is part of this Registration Statement. We also consent to the reference to our Firm under the heading “Experts” in such Prospectus.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4"/>
          <w:szCs w:val="14"/>
          <w:color w:val="auto"/>
        </w:rPr>
        <w:t>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4"/>
          <w:szCs w:val="14"/>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5E256A"/>
    <w:multiLevelType w:val="hybridMultilevel"/>
    <w:lvl w:ilvl="0">
      <w:lvlJc w:val="left"/>
      <w:lvlText w:val="(%1)"/>
      <w:numFmt w:val="decimal"/>
      <w:start w:val="1"/>
    </w:lvl>
  </w:abstractNum>
  <w:abstractNum w:abstractNumId="1">
    <w:nsid w:val="368DB37E"/>
    <w:multiLevelType w:val="hybridMultilevel"/>
    <w:lvl w:ilvl="0">
      <w:lvlJc w:val="left"/>
      <w:lvlText w:val="(%1)"/>
      <w:numFmt w:val="decimal"/>
      <w:start w:val="1"/>
    </w:lvl>
  </w:abstractNum>
  <w:abstractNum w:abstractNumId="2">
    <w:nsid w:val="6A3B714C"/>
    <w:multiLevelType w:val="hybridMultilevel"/>
    <w:lvl w:ilvl="0">
      <w:lvlJc w:val="left"/>
      <w:lvlText w:val="•"/>
      <w:numFmt w:val="bullet"/>
      <w:start w:val="1"/>
    </w:lvl>
  </w:abstractNum>
  <w:abstractNum w:abstractNumId="3">
    <w:nsid w:val="327B517E"/>
    <w:multiLevelType w:val="hybridMultilevel"/>
    <w:lvl w:ilvl="0">
      <w:lvlJc w:val="left"/>
      <w:lvlText w:val="•"/>
      <w:numFmt w:val="bullet"/>
      <w:start w:val="1"/>
    </w:lvl>
  </w:abstractNum>
  <w:abstractNum w:abstractNumId="4">
    <w:nsid w:val="1F461B51"/>
    <w:multiLevelType w:val="hybridMultilevel"/>
    <w:lvl w:ilvl="0">
      <w:lvlJc w:val="left"/>
      <w:lvlText w:val="•"/>
      <w:numFmt w:val="bullet"/>
      <w:start w:val="1"/>
    </w:lvl>
  </w:abstractNum>
  <w:abstractNum w:abstractNumId="5">
    <w:nsid w:val="29BACF25"/>
    <w:multiLevelType w:val="hybridMultilevel"/>
    <w:lvl w:ilvl="0">
      <w:lvlJc w:val="left"/>
      <w:lvlText w:val="•"/>
      <w:numFmt w:val="bullet"/>
      <w:start w:val="1"/>
    </w:lvl>
  </w:abstractNum>
  <w:abstractNum w:abstractNumId="6">
    <w:nsid w:val="5D5BABB3"/>
    <w:multiLevelType w:val="hybridMultilevel"/>
    <w:lvl w:ilvl="0">
      <w:lvlJc w:val="left"/>
      <w:lvlText w:val="•"/>
      <w:numFmt w:val="bullet"/>
      <w:start w:val="1"/>
    </w:lvl>
  </w:abstractNum>
  <w:abstractNum w:abstractNumId="7">
    <w:nsid w:val="51BF6B48"/>
    <w:multiLevelType w:val="hybridMultilevel"/>
    <w:lvl w:ilvl="0">
      <w:lvlJc w:val="left"/>
      <w:lvlText w:val="•"/>
      <w:numFmt w:val="bullet"/>
      <w:start w:val="1"/>
    </w:lvl>
  </w:abstractNum>
  <w:abstractNum w:abstractNumId="8">
    <w:nsid w:val="7E0F6384"/>
    <w:multiLevelType w:val="hybridMultilevel"/>
    <w:lvl w:ilvl="0">
      <w:lvlJc w:val="left"/>
      <w:lvlText w:val="•"/>
      <w:numFmt w:val="bullet"/>
      <w:start w:val="1"/>
    </w:lvl>
  </w:abstractNum>
  <w:abstractNum w:abstractNumId="9">
    <w:nsid w:val="2B4B8B53"/>
    <w:multiLevelType w:val="hybridMultilevel"/>
    <w:lvl w:ilvl="0">
      <w:lvlJc w:val="left"/>
      <w:lvlText w:val="•"/>
      <w:numFmt w:val="bullet"/>
      <w:start w:val="1"/>
    </w:lvl>
  </w:abstractNum>
  <w:abstractNum w:abstractNumId="10">
    <w:nsid w:val="72E3413A"/>
    <w:multiLevelType w:val="hybridMultilevel"/>
    <w:lvl w:ilvl="0">
      <w:lvlJc w:val="left"/>
      <w:lvlText w:val="•"/>
      <w:numFmt w:val="bullet"/>
      <w:start w:val="1"/>
    </w:lvl>
  </w:abstractNum>
  <w:abstractNum w:abstractNumId="11">
    <w:nsid w:val="116AE494"/>
    <w:multiLevelType w:val="hybridMultilevel"/>
    <w:lvl w:ilvl="0">
      <w:lvlJc w:val="left"/>
      <w:lvlText w:val="•"/>
      <w:numFmt w:val="bullet"/>
      <w:start w:val="1"/>
    </w:lvl>
  </w:abstractNum>
  <w:abstractNum w:abstractNumId="12">
    <w:nsid w:val="3494B2FB"/>
    <w:multiLevelType w:val="hybridMultilevel"/>
    <w:lvl w:ilvl="0">
      <w:lvlJc w:val="left"/>
      <w:lvlText w:val="(%1)"/>
      <w:numFmt w:val="decimal"/>
      <w:start w:val="1"/>
    </w:lvl>
  </w:abstractNum>
  <w:abstractNum w:abstractNumId="13">
    <w:nsid w:val="B13A31"/>
    <w:multiLevelType w:val="hybridMultilevel"/>
    <w:lvl w:ilvl="0">
      <w:lvlJc w:val="left"/>
      <w:lvlText w:val="•"/>
      <w:numFmt w:val="bullet"/>
      <w:start w:val="1"/>
    </w:lvl>
  </w:abstractNum>
  <w:abstractNum w:abstractNumId="14">
    <w:nsid w:val="64429599"/>
    <w:multiLevelType w:val="hybridMultilevel"/>
    <w:lvl w:ilvl="0">
      <w:lvlJc w:val="left"/>
      <w:lvlText w:val="•"/>
      <w:numFmt w:val="bullet"/>
      <w:start w:val="1"/>
    </w:lvl>
  </w:abstractNum>
  <w:abstractNum w:abstractNumId="15">
    <w:nsid w:val="631F1690"/>
    <w:multiLevelType w:val="hybridMultilevel"/>
    <w:lvl w:ilvl="0">
      <w:lvlJc w:val="left"/>
      <w:lvlText w:val="•"/>
      <w:numFmt w:val="bullet"/>
      <w:start w:val="1"/>
    </w:lvl>
  </w:abstractNum>
  <w:abstractNum w:abstractNumId="16">
    <w:nsid w:val="25973E32"/>
    <w:multiLevelType w:val="hybridMultilevel"/>
    <w:lvl w:ilvl="0">
      <w:lvlJc w:val="left"/>
      <w:lvlText w:val="•"/>
      <w:numFmt w:val="bullet"/>
      <w:start w:val="1"/>
    </w:lvl>
  </w:abstractNum>
  <w:abstractNum w:abstractNumId="17">
    <w:nsid w:val="EAD6F57"/>
    <w:multiLevelType w:val="hybridMultilevel"/>
    <w:lvl w:ilvl="0">
      <w:lvlJc w:val="left"/>
      <w:lvlText w:val="•"/>
      <w:numFmt w:val="bullet"/>
      <w:start w:val="1"/>
    </w:lvl>
  </w:abstractNum>
  <w:abstractNum w:abstractNumId="18">
    <w:nsid w:val="6EC9D844"/>
    <w:multiLevelType w:val="hybridMultilevel"/>
    <w:lvl w:ilvl="0">
      <w:lvlJc w:val="left"/>
      <w:lvlText w:val="•"/>
      <w:numFmt w:val="bullet"/>
      <w:start w:val="1"/>
    </w:lvl>
  </w:abstractNum>
  <w:abstractNum w:abstractNumId="19">
    <w:nsid w:val="5C49EAEE"/>
    <w:multiLevelType w:val="hybridMultilevel"/>
    <w:lvl w:ilvl="0">
      <w:lvlJc w:val="left"/>
      <w:lvlText w:val="•"/>
      <w:numFmt w:val="bullet"/>
      <w:start w:val="1"/>
    </w:lvl>
  </w:abstractNum>
  <w:abstractNum w:abstractNumId="20">
    <w:nsid w:val="64AF49B"/>
    <w:multiLevelType w:val="hybridMultilevel"/>
    <w:lvl w:ilvl="0">
      <w:lvlJc w:val="left"/>
      <w:lvlText w:val="(%1)"/>
      <w:numFmt w:val="upperLetter"/>
      <w:start w:val="1"/>
    </w:lvl>
  </w:abstractNum>
  <w:abstractNum w:abstractNumId="21">
    <w:nsid w:val="397C46BC"/>
    <w:multiLevelType w:val="hybridMultilevel"/>
    <w:lvl w:ilvl="0">
      <w:lvlJc w:val="left"/>
      <w:lvlText w:val="•"/>
      <w:numFmt w:val="bullet"/>
      <w:start w:val="1"/>
    </w:lvl>
  </w:abstractNum>
  <w:abstractNum w:abstractNumId="22">
    <w:nsid w:val="7E448DE9"/>
    <w:multiLevelType w:val="hybridMultilevel"/>
    <w:lvl w:ilvl="0">
      <w:lvlJc w:val="left"/>
      <w:lvlText w:val="•"/>
      <w:numFmt w:val="bullet"/>
      <w:start w:val="1"/>
    </w:lvl>
  </w:abstractNum>
  <w:abstractNum w:abstractNumId="23">
    <w:nsid w:val="5A9CC3E5"/>
    <w:multiLevelType w:val="hybridMultilevel"/>
    <w:lvl w:ilvl="0">
      <w:lvlJc w:val="left"/>
      <w:lvlText w:val="•"/>
      <w:numFmt w:val="bullet"/>
      <w:start w:val="1"/>
    </w:lvl>
  </w:abstractNum>
  <w:abstractNum w:abstractNumId="24">
    <w:nsid w:val="1AFE3625"/>
    <w:multiLevelType w:val="hybridMultilevel"/>
    <w:lvl w:ilvl="0">
      <w:lvlJc w:val="left"/>
      <w:lvlText w:val="•"/>
      <w:numFmt w:val="bullet"/>
      <w:start w:val="1"/>
    </w:lvl>
  </w:abstractNum>
  <w:abstractNum w:abstractNumId="25">
    <w:nsid w:val="3CA88ECF"/>
    <w:multiLevelType w:val="hybridMultilevel"/>
    <w:lvl w:ilvl="0">
      <w:lvlJc w:val="left"/>
      <w:lvlText w:val="•"/>
      <w:numFmt w:val="bullet"/>
      <w:start w:val="1"/>
    </w:lvl>
  </w:abstractNum>
  <w:abstractNum w:abstractNumId="26">
    <w:nsid w:val="6EBE4208"/>
    <w:multiLevelType w:val="hybridMultilevel"/>
    <w:lvl w:ilvl="0">
      <w:lvlJc w:val="left"/>
      <w:lvlText w:val="•"/>
      <w:numFmt w:val="bullet"/>
      <w:start w:val="1"/>
    </w:lvl>
  </w:abstractNum>
  <w:abstractNum w:abstractNumId="27">
    <w:nsid w:val="C058DF5"/>
    <w:multiLevelType w:val="hybridMultilevel"/>
    <w:lvl w:ilvl="0">
      <w:lvlJc w:val="left"/>
      <w:lvlText w:val="•"/>
      <w:numFmt w:val="bullet"/>
      <w:start w:val="1"/>
    </w:lvl>
  </w:abstractNum>
  <w:abstractNum w:abstractNumId="28">
    <w:nsid w:val="CBE5BE9"/>
    <w:multiLevelType w:val="hybridMultilevel"/>
    <w:lvl w:ilvl="0">
      <w:lvlJc w:val="left"/>
      <w:lvlText w:val="(%1)"/>
      <w:numFmt w:val="lowerLetter"/>
      <w:start w:val="25"/>
    </w:lvl>
  </w:abstractNum>
  <w:abstractNum w:abstractNumId="29">
    <w:nsid w:val="3102BBE2"/>
    <w:multiLevelType w:val="hybridMultilevel"/>
    <w:lvl w:ilvl="0">
      <w:lvlJc w:val="left"/>
      <w:lvlText w:val="•"/>
      <w:numFmt w:val="bullet"/>
      <w:start w:val="1"/>
    </w:lvl>
  </w:abstractNum>
  <w:abstractNum w:abstractNumId="30">
    <w:nsid w:val="26A02C5E"/>
    <w:multiLevelType w:val="hybridMultilevel"/>
    <w:lvl w:ilvl="0">
      <w:lvlJc w:val="left"/>
      <w:lvlText w:val="•"/>
      <w:numFmt w:val="bullet"/>
      <w:start w:val="1"/>
    </w:lvl>
  </w:abstractNum>
  <w:abstractNum w:abstractNumId="31">
    <w:nsid w:val="541C8153"/>
    <w:multiLevelType w:val="hybridMultilevel"/>
    <w:lvl w:ilvl="0">
      <w:lvlJc w:val="left"/>
      <w:lvlText w:val="•"/>
      <w:numFmt w:val="bullet"/>
      <w:start w:val="1"/>
    </w:lvl>
  </w:abstractNum>
  <w:abstractNum w:abstractNumId="32">
    <w:nsid w:val="67906F60"/>
    <w:multiLevelType w:val="hybridMultilevel"/>
    <w:lvl w:ilvl="0">
      <w:lvlJc w:val="left"/>
      <w:lvlText w:val="(%1)"/>
      <w:numFmt w:val="decimal"/>
      <w:start w:val="1"/>
    </w:lvl>
  </w:abstractNum>
  <w:abstractNum w:abstractNumId="33">
    <w:nsid w:val="10DB9DAA"/>
    <w:multiLevelType w:val="hybridMultilevel"/>
    <w:lvl w:ilvl="0">
      <w:lvlJc w:val="left"/>
      <w:lvlText w:val="(%1)"/>
      <w:numFmt w:val="decimal"/>
      <w:start w:val="2"/>
    </w:lvl>
  </w:abstractNum>
  <w:abstractNum w:abstractNumId="34">
    <w:nsid w:val="697D2D2"/>
    <w:multiLevelType w:val="hybridMultilevel"/>
    <w:lvl w:ilvl="0">
      <w:lvlJc w:val="left"/>
      <w:lvlText w:val="(%1)"/>
      <w:numFmt w:val="upperLetter"/>
      <w:start w:val="2"/>
    </w:lvl>
  </w:abstractNum>
  <w:abstractNum w:abstractNumId="35">
    <w:nsid w:val="6D68AB2"/>
    <w:multiLevelType w:val="hybridMultilevel"/>
    <w:lvl w:ilvl="0">
      <w:lvlJc w:val="left"/>
      <w:lvlText w:val="(%1)"/>
      <w:numFmt w:val="decimal"/>
      <w:start w:val="1"/>
    </w:lvl>
  </w:abstractNum>
  <w:abstractNum w:abstractNumId="36">
    <w:nsid w:val="3A966CD0"/>
    <w:multiLevelType w:val="hybridMultilevel"/>
    <w:lvl w:ilvl="0">
      <w:lvlJc w:val="left"/>
      <w:lvlText w:val="(%1)"/>
      <w:numFmt w:val="decimal"/>
      <w:start w:val="1"/>
    </w:lvl>
  </w:abstractNum>
  <w:abstractNum w:abstractNumId="37">
    <w:nsid w:val="63F37E85"/>
    <w:multiLevelType w:val="hybridMultilevel"/>
    <w:lvl w:ilvl="0">
      <w:lvlJc w:val="left"/>
      <w:lvlText w:val="(%1)"/>
      <w:numFmt w:val="decimal"/>
      <w:start w:val="1"/>
    </w:lvl>
  </w:abstractNum>
  <w:abstractNum w:abstractNumId="38">
    <w:nsid w:val="5895F5FA"/>
    <w:multiLevelType w:val="hybridMultilevel"/>
    <w:lvl w:ilvl="0">
      <w:lvlJc w:val="left"/>
      <w:lvlText w:val="•"/>
      <w:numFmt w:val="bullet"/>
      <w:start w:val="1"/>
    </w:lvl>
  </w:abstractNum>
  <w:abstractNum w:abstractNumId="39">
    <w:nsid w:val="38A5D054"/>
    <w:multiLevelType w:val="hybridMultilevel"/>
    <w:lvl w:ilvl="0">
      <w:lvlJc w:val="left"/>
      <w:lvlText w:val="•"/>
      <w:numFmt w:val="bullet"/>
      <w:start w:val="1"/>
    </w:lvl>
  </w:abstractNum>
  <w:abstractNum w:abstractNumId="40">
    <w:nsid w:val="F3F09D8"/>
    <w:multiLevelType w:val="hybridMultilevel"/>
    <w:lvl w:ilvl="0">
      <w:lvlJc w:val="left"/>
      <w:lvlText w:val="•"/>
      <w:numFmt w:val="bullet"/>
      <w:start w:val="1"/>
    </w:lvl>
  </w:abstractNum>
  <w:abstractNum w:abstractNumId="41">
    <w:nsid w:val="4B793735"/>
    <w:multiLevelType w:val="hybridMultilevel"/>
    <w:lvl w:ilvl="0">
      <w:lvlJc w:val="left"/>
      <w:lvlText w:val="•"/>
      <w:numFmt w:val="bullet"/>
      <w:start w:val="1"/>
    </w:lvl>
  </w:abstractNum>
  <w:abstractNum w:abstractNumId="42">
    <w:nsid w:val="4A10B4E8"/>
    <w:multiLevelType w:val="hybridMultilevel"/>
    <w:lvl w:ilvl="0">
      <w:lvlJc w:val="left"/>
      <w:lvlText w:val="•"/>
      <w:numFmt w:val="bullet"/>
      <w:start w:val="1"/>
    </w:lvl>
  </w:abstractNum>
  <w:abstractNum w:abstractNumId="43">
    <w:nsid w:val="43D3BCD4"/>
    <w:multiLevelType w:val="hybridMultilevel"/>
    <w:lvl w:ilvl="0">
      <w:lvlJc w:val="left"/>
      <w:lvlText w:val="•"/>
      <w:numFmt w:val="bullet"/>
      <w:start w:val="1"/>
    </w:lvl>
  </w:abstractNum>
  <w:abstractNum w:abstractNumId="44">
    <w:nsid w:val="4C2A7166"/>
    <w:multiLevelType w:val="hybridMultilevel"/>
    <w:lvl w:ilvl="0">
      <w:lvlJc w:val="left"/>
      <w:lvlText w:val="•"/>
      <w:numFmt w:val="bullet"/>
      <w:start w:val="1"/>
    </w:lvl>
  </w:abstractNum>
  <w:abstractNum w:abstractNumId="45">
    <w:nsid w:val="2E534A82"/>
    <w:multiLevelType w:val="hybridMultilevel"/>
    <w:lvl w:ilvl="0">
      <w:lvlJc w:val="left"/>
      <w:lvlText w:val="•"/>
      <w:numFmt w:val="bullet"/>
      <w:start w:val="1"/>
    </w:lvl>
  </w:abstractNum>
  <w:abstractNum w:abstractNumId="46">
    <w:nsid w:val="26F2D364"/>
    <w:multiLevelType w:val="hybridMultilevel"/>
    <w:lvl w:ilvl="0">
      <w:lvlJc w:val="left"/>
      <w:lvlText w:val="•"/>
      <w:numFmt w:val="bullet"/>
      <w:start w:val="1"/>
    </w:lvl>
  </w:abstractNum>
  <w:abstractNum w:abstractNumId="47">
    <w:nsid w:val="71C1AF98"/>
    <w:multiLevelType w:val="hybridMultilevel"/>
    <w:lvl w:ilvl="0">
      <w:lvlJc w:val="left"/>
      <w:lvlText w:val="•"/>
      <w:numFmt w:val="bullet"/>
      <w:start w:val="1"/>
    </w:lvl>
  </w:abstractNum>
  <w:abstractNum w:abstractNumId="48">
    <w:nsid w:val="3D00B9D9"/>
    <w:multiLevelType w:val="hybridMultilevel"/>
    <w:lvl w:ilvl="0">
      <w:lvlJc w:val="left"/>
      <w:lvlText w:val="•"/>
      <w:numFmt w:val="bullet"/>
      <w:start w:val="1"/>
    </w:lvl>
  </w:abstractNum>
  <w:abstractNum w:abstractNumId="49">
    <w:nsid w:val="15BCABA8"/>
    <w:multiLevelType w:val="hybridMultilevel"/>
    <w:lvl w:ilvl="0">
      <w:lvlJc w:val="left"/>
      <w:lvlText w:val="•"/>
      <w:numFmt w:val="bullet"/>
      <w:start w:val="1"/>
    </w:lvl>
  </w:abstractNum>
  <w:abstractNum w:abstractNumId="50">
    <w:nsid w:val="4E0B9A87"/>
    <w:multiLevelType w:val="hybridMultilevel"/>
    <w:lvl w:ilvl="0">
      <w:lvlJc w:val="left"/>
      <w:lvlText w:val="•"/>
      <w:numFmt w:val="bullet"/>
      <w:start w:val="1"/>
    </w:lvl>
  </w:abstractNum>
  <w:abstractNum w:abstractNumId="51">
    <w:nsid w:val="434BAE75"/>
    <w:multiLevelType w:val="hybridMultilevel"/>
    <w:lvl w:ilvl="0">
      <w:lvlJc w:val="left"/>
      <w:lvlText w:val="•"/>
      <w:numFmt w:val="bullet"/>
      <w:start w:val="1"/>
    </w:lvl>
  </w:abstractNum>
  <w:abstractNum w:abstractNumId="52">
    <w:nsid w:val="4F38F265"/>
    <w:multiLevelType w:val="hybridMultilevel"/>
    <w:lvl w:ilvl="0">
      <w:lvlJc w:val="left"/>
      <w:lvlText w:val="•"/>
      <w:numFmt w:val="bullet"/>
      <w:start w:val="1"/>
    </w:lvl>
  </w:abstractNum>
  <w:abstractNum w:abstractNumId="53">
    <w:nsid w:val="4C502870"/>
    <w:multiLevelType w:val="hybridMultilevel"/>
    <w:lvl w:ilvl="0">
      <w:lvlJc w:val="left"/>
      <w:lvlText w:val="•"/>
      <w:numFmt w:val="bullet"/>
      <w:start w:val="1"/>
    </w:lvl>
  </w:abstractNum>
  <w:abstractNum w:abstractNumId="54">
    <w:nsid w:val="1DE8725A"/>
    <w:multiLevelType w:val="hybridMultilevel"/>
    <w:lvl w:ilvl="0">
      <w:lvlJc w:val="left"/>
      <w:lvlText w:val="(%1)"/>
      <w:numFmt w:val="upperLetter"/>
      <w:start w:val="1"/>
    </w:lvl>
  </w:abstractNum>
  <w:abstractNum w:abstractNumId="55">
    <w:nsid w:val="6A37288A"/>
    <w:multiLevelType w:val="hybridMultilevel"/>
    <w:lvl w:ilvl="0">
      <w:lvlJc w:val="left"/>
      <w:lvlText w:val="•"/>
      <w:numFmt w:val="bullet"/>
      <w:start w:val="1"/>
    </w:lvl>
  </w:abstractNum>
  <w:abstractNum w:abstractNumId="56">
    <w:nsid w:val="8F8B73F"/>
    <w:multiLevelType w:val="hybridMultilevel"/>
    <w:lvl w:ilvl="0">
      <w:lvlJc w:val="left"/>
      <w:lvlText w:val="%1."/>
      <w:numFmt w:val="decimal"/>
      <w:start w:val="419"/>
    </w:lvl>
  </w:abstractNum>
  <w:abstractNum w:abstractNumId="57">
    <w:nsid w:val="CA6B462"/>
    <w:multiLevelType w:val="hybridMultilevel"/>
    <w:lvl w:ilvl="0">
      <w:lvlJc w:val="left"/>
      <w:lvlText w:val="•"/>
      <w:numFmt w:val="bullet"/>
      <w:start w:val="1"/>
    </w:lvl>
  </w:abstractNum>
  <w:abstractNum w:abstractNumId="58">
    <w:nsid w:val="763CB680"/>
    <w:multiLevelType w:val="hybridMultilevel"/>
    <w:lvl w:ilvl="0">
      <w:lvlJc w:val="left"/>
      <w:lvlText w:val="•"/>
      <w:numFmt w:val="bullet"/>
      <w:start w:val="1"/>
    </w:lvl>
  </w:abstractNum>
  <w:abstractNum w:abstractNumId="59">
    <w:nsid w:val="15B71329"/>
    <w:multiLevelType w:val="hybridMultilevel"/>
    <w:lvl w:ilvl="0">
      <w:lvlJc w:val="left"/>
      <w:lvlText w:val="•"/>
      <w:numFmt w:val="bullet"/>
      <w:start w:val="1"/>
    </w:lvl>
  </w:abstractNum>
  <w:abstractNum w:abstractNumId="60">
    <w:nsid w:val="3DA97044"/>
    <w:multiLevelType w:val="hybridMultilevel"/>
    <w:lvl w:ilvl="0">
      <w:lvlJc w:val="left"/>
      <w:lvlText w:val="•"/>
      <w:numFmt w:val="bullet"/>
      <w:start w:val="1"/>
    </w:lvl>
  </w:abstractNum>
  <w:abstractNum w:abstractNumId="61">
    <w:nsid w:val="1CDCE2DE"/>
    <w:multiLevelType w:val="hybridMultilevel"/>
    <w:lvl w:ilvl="0">
      <w:lvlJc w:val="left"/>
      <w:lvlText w:val="•"/>
      <w:numFmt w:val="bullet"/>
      <w:start w:val="1"/>
    </w:lvl>
  </w:abstractNum>
  <w:abstractNum w:abstractNumId="62">
    <w:nsid w:val="69D3947C"/>
    <w:multiLevelType w:val="hybridMultilevel"/>
    <w:lvl w:ilvl="0">
      <w:lvlJc w:val="left"/>
      <w:lvlText w:val="(%1)"/>
      <w:numFmt w:val="decimal"/>
      <w:start w:val="1"/>
    </w:lvl>
    <w:lvl w:ilvl="1">
      <w:lvlJc w:val="left"/>
      <w:lvlText w:val="•"/>
      <w:numFmt w:val="bullet"/>
      <w:start w:val="1"/>
    </w:lvl>
  </w:abstractNum>
  <w:abstractNum w:abstractNumId="63">
    <w:nsid w:val="2539DFA5"/>
    <w:multiLevelType w:val="hybridMultilevel"/>
    <w:lvl w:ilvl="0">
      <w:lvlJc w:val="left"/>
      <w:lvlText w:val="•"/>
      <w:numFmt w:val="bullet"/>
      <w:start w:val="1"/>
    </w:lvl>
  </w:abstractNum>
  <w:abstractNum w:abstractNumId="64">
    <w:nsid w:val="2DB88089"/>
    <w:multiLevelType w:val="hybridMultilevel"/>
    <w:lvl w:ilvl="0">
      <w:lvlJc w:val="left"/>
      <w:lvlText w:val="•"/>
      <w:numFmt w:val="bullet"/>
      <w:start w:val="1"/>
    </w:lvl>
  </w:abstractNum>
  <w:abstractNum w:abstractNumId="65">
    <w:nsid w:val="706B674E"/>
    <w:multiLevelType w:val="hybridMultilevel"/>
    <w:lvl w:ilvl="0">
      <w:lvlJc w:val="left"/>
      <w:lvlText w:val="*"/>
      <w:numFmt w:val="bullet"/>
      <w:start w:val="1"/>
    </w:lvl>
  </w:abstractNum>
  <w:abstractNum w:abstractNumId="66">
    <w:nsid w:val="2C106A57"/>
    <w:multiLevelType w:val="hybridMultilevel"/>
    <w:lvl w:ilvl="0">
      <w:lvlJc w:val="left"/>
      <w:lvlText w:val="(%1)"/>
      <w:numFmt w:val="decimal"/>
      <w:start w:val="1"/>
    </w:lvl>
  </w:abstractNum>
  <w:abstractNum w:abstractNumId="67">
    <w:nsid w:val="684EED59"/>
    <w:multiLevelType w:val="hybridMultilevel"/>
    <w:lvl w:ilvl="0">
      <w:lvlJc w:val="left"/>
      <w:lvlText w:val="•"/>
      <w:numFmt w:val="bullet"/>
      <w:start w:val="1"/>
    </w:lvl>
  </w:abstractNum>
  <w:abstractNum w:abstractNumId="68">
    <w:nsid w:val="545EE5D3"/>
    <w:multiLevelType w:val="hybridMultilevel"/>
    <w:lvl w:ilvl="0">
      <w:lvlJc w:val="left"/>
      <w:lvlText w:val="(%1)"/>
      <w:numFmt w:val="lowerLetter"/>
      <w:start w:val="2"/>
    </w:lvl>
  </w:abstractNum>
  <w:abstractNum w:abstractNumId="69">
    <w:nsid w:val="4A66051"/>
    <w:multiLevelType w:val="hybridMultilevel"/>
    <w:lvl w:ilvl="0">
      <w:lvlJc w:val="left"/>
      <w:lvlText w:val="•"/>
      <w:numFmt w:val="bullet"/>
      <w:start w:val="1"/>
    </w:lvl>
  </w:abstractNum>
  <w:abstractNum w:abstractNumId="70">
    <w:nsid w:val="20F4BDAD"/>
    <w:multiLevelType w:val="hybridMultilevel"/>
    <w:lvl w:ilvl="0">
      <w:lvlJc w:val="left"/>
      <w:lvlText w:val="•"/>
      <w:numFmt w:val="bullet"/>
      <w:start w:val="1"/>
    </w:lvl>
  </w:abstractNum>
  <w:abstractNum w:abstractNumId="71">
    <w:nsid w:val="639DEFAC"/>
    <w:multiLevelType w:val="hybridMultilevel"/>
    <w:lvl w:ilvl="0">
      <w:lvlJc w:val="left"/>
      <w:lvlText w:val="•"/>
      <w:numFmt w:val="bullet"/>
      <w:start w:val="1"/>
    </w:lvl>
  </w:abstractNum>
  <w:abstractNum w:abstractNumId="72">
    <w:nsid w:val="501F9786"/>
    <w:multiLevelType w:val="hybridMultilevel"/>
    <w:lvl w:ilvl="0">
      <w:lvlJc w:val="left"/>
      <w:lvlText w:val="(%1)"/>
      <w:numFmt w:val="lowerLetter"/>
      <w:start w:val="2"/>
    </w:lvl>
  </w:abstractNum>
  <w:abstractNum w:abstractNumId="73">
    <w:nsid w:val="6B057295"/>
    <w:multiLevelType w:val="hybridMultilevel"/>
    <w:lvl w:ilvl="0">
      <w:lvlJc w:val="left"/>
      <w:lvlText w:val="(%1)"/>
      <w:numFmt w:val="upperLetter"/>
      <w:start w:val="1"/>
    </w:lvl>
  </w:abstractNum>
  <w:abstractNum w:abstractNumId="74">
    <w:nsid w:val="2771AC80"/>
    <w:multiLevelType w:val="hybridMultilevel"/>
    <w:lvl w:ilvl="0">
      <w:lvlJc w:val="left"/>
      <w:lvlText w:val="(%1)"/>
      <w:numFmt w:val="lowerRoman"/>
      <w:start w:val="1"/>
    </w:lvl>
  </w:abstractNum>
  <w:abstractNum w:abstractNumId="75">
    <w:nsid w:val="1C4A08EC"/>
    <w:multiLevelType w:val="hybridMultilevel"/>
    <w:lvl w:ilvl="0">
      <w:lvlJc w:val="left"/>
      <w:lvlText w:val="(%1)"/>
      <w:numFmt w:val="lowerLetter"/>
      <w:start w:val="4"/>
    </w:lvl>
  </w:abstractNum>
  <w:abstractNum w:abstractNumId="76">
    <w:nsid w:val="1958BD17"/>
    <w:multiLevelType w:val="hybridMultilevel"/>
    <w:lvl w:ilvl="0">
      <w:lvlJc w:val="left"/>
      <w:lvlText w:val="•"/>
      <w:numFmt w:val="bullet"/>
      <w:start w:val="1"/>
    </w:lvl>
  </w:abstractNum>
  <w:abstractNum w:abstractNumId="77">
    <w:nsid w:val="4E647FE4"/>
    <w:multiLevelType w:val="hybridMultilevel"/>
    <w:lvl w:ilvl="0">
      <w:lvlJc w:val="left"/>
      <w:lvlText w:val="•"/>
      <w:numFmt w:val="bullet"/>
      <w:start w:val="1"/>
    </w:lvl>
  </w:abstractNum>
  <w:abstractNum w:abstractNumId="78">
    <w:nsid w:val="E0BB885"/>
    <w:multiLevelType w:val="hybridMultilevel"/>
    <w:lvl w:ilvl="0">
      <w:lvlJc w:val="left"/>
      <w:lvlText w:val="•"/>
      <w:numFmt w:val="bullet"/>
      <w:start w:val="1"/>
    </w:lvl>
  </w:abstractNum>
  <w:abstractNum w:abstractNumId="79">
    <w:nsid w:val="565976F1"/>
    <w:multiLevelType w:val="hybridMultilevel"/>
    <w:lvl w:ilvl="0">
      <w:lvlJc w:val="left"/>
      <w:lvlText w:val="•"/>
      <w:numFmt w:val="bullet"/>
      <w:start w:val="1"/>
    </w:lvl>
  </w:abstractNum>
  <w:abstractNum w:abstractNumId="80">
    <w:nsid w:val="64212B8C"/>
    <w:multiLevelType w:val="hybridMultilevel"/>
    <w:lvl w:ilvl="0">
      <w:lvlJc w:val="left"/>
      <w:lvlText w:val="•"/>
      <w:numFmt w:val="bullet"/>
      <w:start w:val="1"/>
    </w:lvl>
  </w:abstractNum>
  <w:abstractNum w:abstractNumId="81">
    <w:nsid w:val="5C17530C"/>
    <w:multiLevelType w:val="hybridMultilevel"/>
    <w:lvl w:ilvl="0">
      <w:lvlJc w:val="left"/>
      <w:lvlText w:val="%1)"/>
      <w:numFmt w:val="lowerLetter"/>
      <w:start w:val="1"/>
    </w:lvl>
  </w:abstractNum>
  <w:abstractNum w:abstractNumId="82">
    <w:nsid w:val="19A52566"/>
    <w:multiLevelType w:val="hybridMultilevel"/>
    <w:lvl w:ilvl="0">
      <w:lvlJc w:val="left"/>
      <w:lvlText w:val="•"/>
      <w:numFmt w:val="bullet"/>
      <w:start w:val="1"/>
    </w:lvl>
  </w:abstractNum>
  <w:abstractNum w:abstractNumId="83">
    <w:nsid w:val="335A1DF1"/>
    <w:multiLevelType w:val="hybridMultilevel"/>
    <w:lvl w:ilvl="0">
      <w:lvlJc w:val="left"/>
      <w:lvlText w:val="•"/>
      <w:numFmt w:val="bullet"/>
      <w:start w:val="1"/>
    </w:lvl>
  </w:abstractNum>
  <w:abstractNum w:abstractNumId="84">
    <w:nsid w:val="28677B7C"/>
    <w:multiLevelType w:val="hybridMultilevel"/>
    <w:lvl w:ilvl="0">
      <w:lvlJc w:val="left"/>
      <w:lvlText w:val="%1."/>
      <w:numFmt w:val="decimal"/>
      <w:start w:val="1"/>
    </w:lvl>
  </w:abstractNum>
  <w:abstractNum w:abstractNumId="85">
    <w:nsid w:val="378D97C0"/>
    <w:multiLevelType w:val="hybridMultilevel"/>
    <w:lvl w:ilvl="0">
      <w:lvlJc w:val="left"/>
      <w:lvlText w:val="•"/>
      <w:numFmt w:val="bullet"/>
      <w:start w:val="1"/>
    </w:lvl>
  </w:abstractNum>
  <w:abstractNum w:abstractNumId="86">
    <w:nsid w:val="1D91467C"/>
    <w:multiLevelType w:val="hybridMultilevel"/>
    <w:lvl w:ilvl="0">
      <w:lvlJc w:val="left"/>
      <w:lvlText w:val="•"/>
      <w:numFmt w:val="bullet"/>
      <w:start w:val="1"/>
    </w:lvl>
  </w:abstractNum>
  <w:abstractNum w:abstractNumId="87">
    <w:nsid w:val="316032BB"/>
    <w:multiLevelType w:val="hybridMultilevel"/>
    <w:lvl w:ilvl="0">
      <w:lvlJc w:val="left"/>
      <w:lvlText w:val="(%1)"/>
      <w:numFmt w:val="lowerRoman"/>
      <w:start w:val="1"/>
    </w:lvl>
  </w:abstractNum>
  <w:abstractNum w:abstractNumId="88">
    <w:nsid w:val="44344C22"/>
    <w:multiLevelType w:val="hybridMultilevel"/>
    <w:lvl w:ilvl="0">
      <w:lvlJc w:val="left"/>
      <w:lvlText w:val="•"/>
      <w:numFmt w:val="bullet"/>
      <w:start w:val="1"/>
    </w:lvl>
  </w:abstractNum>
  <w:abstractNum w:abstractNumId="89">
    <w:nsid w:val="13CDFCFC"/>
    <w:multiLevelType w:val="hybridMultilevel"/>
    <w:lvl w:ilvl="0">
      <w:lvlJc w:val="left"/>
      <w:lvlText w:val="•"/>
      <w:numFmt w:val="bullet"/>
      <w:start w:val="1"/>
    </w:lvl>
  </w:abstractNum>
  <w:abstractNum w:abstractNumId="90">
    <w:nsid w:val="471745E4"/>
    <w:multiLevelType w:val="hybridMultilevel"/>
    <w:lvl w:ilvl="0">
      <w:lvlJc w:val="left"/>
      <w:lvlText w:val="(%1)"/>
      <w:numFmt w:val="decimal"/>
      <w:start w:val="1"/>
    </w:lvl>
  </w:abstractNum>
  <w:abstractNum w:abstractNumId="91">
    <w:nsid w:val="1DDBC66"/>
    <w:multiLevelType w:val="hybridMultilevel"/>
    <w:lvl w:ilvl="0">
      <w:lvlJc w:val="left"/>
      <w:lvlText w:val="(%1)"/>
      <w:numFmt w:val="upperLetter"/>
      <w:start w:val="1"/>
    </w:lvl>
  </w:abstractNum>
  <w:abstractNum w:abstractNumId="92">
    <w:nsid w:val="30AADFDA"/>
    <w:multiLevelType w:val="hybridMultilevel"/>
    <w:lvl w:ilvl="0">
      <w:lvlJc w:val="left"/>
      <w:lvlText w:val="•"/>
      <w:numFmt w:val="bullet"/>
      <w:start w:val="1"/>
    </w:lvl>
  </w:abstractNum>
  <w:abstractNum w:abstractNumId="93">
    <w:nsid w:val="30EADA61"/>
    <w:multiLevelType w:val="hybridMultilevel"/>
    <w:lvl w:ilvl="0">
      <w:lvlJc w:val="left"/>
      <w:lvlText w:val="(%1)"/>
      <w:numFmt w:val="lowerLetter"/>
      <w:start w:val="1"/>
    </w:lvl>
  </w:abstractNum>
  <w:abstractNum w:abstractNumId="94">
    <w:nsid w:val="27179C0B"/>
    <w:multiLevelType w:val="hybridMultilevel"/>
    <w:lvl w:ilvl="0">
      <w:lvlJc w:val="left"/>
      <w:lvlText w:val="(%1)"/>
      <w:numFmt w:val="lowerLetter"/>
      <w:start w:val="1"/>
    </w:lvl>
  </w:abstractNum>
  <w:abstractNum w:abstractNumId="95">
    <w:nsid w:val="5E636063"/>
    <w:multiLevelType w:val="hybridMultilevel"/>
    <w:lvl w:ilvl="0">
      <w:lvlJc w:val="left"/>
      <w:lvlText w:val="•"/>
      <w:numFmt w:val="bullet"/>
      <w:start w:val="1"/>
    </w:lvl>
  </w:abstractNum>
  <w:abstractNum w:abstractNumId="96">
    <w:nsid w:val="215641AF"/>
    <w:multiLevelType w:val="hybridMultilevel"/>
    <w:lvl w:ilvl="0">
      <w:lvlJc w:val="left"/>
      <w:lvlText w:val="•"/>
      <w:numFmt w:val="bullet"/>
      <w:start w:val="1"/>
    </w:lvl>
  </w:abstractNum>
  <w:abstractNum w:abstractNumId="97">
    <w:nsid w:val="53280662"/>
    <w:multiLevelType w:val="hybridMultilevel"/>
    <w:lvl w:ilvl="0">
      <w:lvlJc w:val="left"/>
      <w:lvlText w:val="(%1)"/>
      <w:numFmt w:val="decimal"/>
      <w:start w:val="1"/>
    </w:lvl>
  </w:abstractNum>
  <w:abstractNum w:abstractNumId="98">
    <w:nsid w:val="46B24DBC"/>
    <w:multiLevelType w:val="hybridMultilevel"/>
    <w:lvl w:ilvl="0">
      <w:lvlJc w:val="left"/>
      <w:lvlText w:val="(%1)"/>
      <w:numFmt w:val="decimal"/>
      <w:start w:val="1"/>
    </w:lvl>
  </w:abstractNum>
  <w:abstractNum w:abstractNumId="99">
    <w:nsid w:val="75B52783"/>
    <w:multiLevelType w:val="hybridMultilevel"/>
    <w:lvl w:ilvl="0">
      <w:lvlJc w:val="left"/>
      <w:lvlText w:val="(%1)"/>
      <w:numFmt w:val="decimal"/>
      <w:start w:val="1"/>
    </w:lvl>
  </w:abstractNum>
  <w:abstractNum w:abstractNumId="100">
    <w:nsid w:val="57CE66B4"/>
    <w:multiLevelType w:val="hybridMultilevel"/>
    <w:lvl w:ilvl="0">
      <w:lvlJc w:val="left"/>
      <w:lvlText w:val="•"/>
      <w:numFmt w:val="bullet"/>
      <w:start w:val="1"/>
    </w:lvl>
  </w:abstractNum>
  <w:abstractNum w:abstractNumId="101">
    <w:nsid w:val="67A70B69"/>
    <w:multiLevelType w:val="hybridMultilevel"/>
    <w:lvl w:ilvl="0">
      <w:lvlJc w:val="left"/>
      <w:lvlText w:val="•"/>
      <w:numFmt w:val="bullet"/>
      <w:start w:val="1"/>
    </w:lvl>
  </w:abstractNum>
  <w:abstractNum w:abstractNumId="102">
    <w:nsid w:val="5953172F"/>
    <w:multiLevelType w:val="hybridMultilevel"/>
    <w:lvl w:ilvl="0">
      <w:lvlJc w:val="left"/>
      <w:lvlText w:val="•"/>
      <w:numFmt w:val="bullet"/>
      <w:start w:val="1"/>
    </w:lvl>
  </w:abstractNum>
  <w:abstractNum w:abstractNumId="103">
    <w:nsid w:val="27EDFE3A"/>
    <w:multiLevelType w:val="hybridMultilevel"/>
    <w:lvl w:ilvl="0">
      <w:lvlJc w:val="left"/>
      <w:lvlText w:val="(%1)"/>
      <w:numFmt w:val="decimal"/>
      <w:start w:val="1"/>
    </w:lvl>
  </w:abstractNum>
  <w:abstractNum w:abstractNumId="104">
    <w:nsid w:val="52AC7DFF"/>
    <w:multiLevelType w:val="hybridMultilevel"/>
    <w:lvl w:ilvl="0">
      <w:lvlJc w:val="left"/>
      <w:lvlText w:val="(%1)"/>
      <w:numFmt w:val="lowerRoman"/>
      <w:start w:val="1"/>
    </w:lvl>
  </w:abstractNum>
  <w:abstractNum w:abstractNumId="105">
    <w:nsid w:val="C4C3AF"/>
    <w:multiLevelType w:val="hybridMultilevel"/>
    <w:lvl w:ilvl="0">
      <w:lvlJc w:val="left"/>
      <w:lvlText w:val="%1"/>
      <w:numFmt w:val="decimal"/>
      <w:start w:val="1"/>
    </w:lvl>
    <w:lvl w:ilvl="1">
      <w:lvlJc w:val="left"/>
      <w:lvlText w:val="(%2)"/>
      <w:numFmt w:val="lowerRoman"/>
      <w:start w:val="3"/>
    </w:lvl>
    <w:lvl w:ilvl="2">
      <w:lvlJc w:val="left"/>
      <w:lvlText w:val="%3"/>
      <w:numFmt w:val="lowerRoman"/>
      <w:start w:val="1"/>
    </w:lvl>
  </w:abstractNum>
  <w:abstractNum w:abstractNumId="106">
    <w:nsid w:val="44380727"/>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07">
    <w:nsid w:val="6C053B16"/>
    <w:multiLevelType w:val="hybridMultilevel"/>
    <w:lvl w:ilvl="0">
      <w:lvlJc w:val="left"/>
      <w:lvlText w:val="%1"/>
      <w:numFmt w:val="decimal"/>
      <w:start w:val="24"/>
    </w:lvl>
  </w:abstractNum>
  <w:abstractNum w:abstractNumId="108">
    <w:nsid w:val="4F294393"/>
    <w:multiLevelType w:val="hybridMultilevel"/>
    <w:lvl w:ilvl="0">
      <w:lvlJc w:val="left"/>
      <w:lvlText w:val="(%1)"/>
      <w:numFmt w:val="decimal"/>
      <w:start w:val="12"/>
    </w:lvl>
  </w:abstractNum>
  <w:abstractNum w:abstractNumId="109">
    <w:nsid w:val="5243BFAC"/>
    <w:multiLevelType w:val="hybridMultilevel"/>
    <w:lvl w:ilvl="0">
      <w:lvlJc w:val="left"/>
      <w:lvlText w:val="1"/>
      <w:numFmt w:val="bullet"/>
      <w:start w:val="1"/>
    </w:lvl>
  </w:abstractNum>
  <w:abstractNum w:abstractNumId="110">
    <w:nsid w:val="425EB207"/>
    <w:multiLevelType w:val="hybridMultilevel"/>
    <w:lvl w:ilvl="0">
      <w:lvlJc w:val="left"/>
      <w:lvlText w:val="%1."/>
      <w:numFmt w:val="decimal"/>
      <w:start w:val="1"/>
    </w:lvl>
    <w:lvl w:ilvl="1">
      <w:lvlJc w:val="left"/>
      <w:lvlText w:val="(%2)"/>
      <w:numFmt w:val="lowerLetter"/>
      <w:start w:val="1"/>
    </w:lvl>
  </w:abstractNum>
  <w:abstractNum w:abstractNumId="111">
    <w:nsid w:val="334A6F1F"/>
    <w:multiLevelType w:val="hybridMultilevel"/>
    <w:lvl w:ilvl="0">
      <w:lvlJc w:val="left"/>
      <w:lvlText w:val="(%1)"/>
      <w:numFmt w:val="decimal"/>
      <w:start w:val="9"/>
    </w:lvl>
    <w:lvl w:ilvl="1">
      <w:lvlJc w:val="left"/>
      <w:lvlText w:val="(%2)"/>
      <w:numFmt w:val="lowerRoman"/>
      <w:start w:val="1"/>
    </w:lvl>
  </w:abstractNum>
  <w:abstractNum w:abstractNumId="112">
    <w:nsid w:val="2E5B12B8"/>
    <w:multiLevelType w:val="hybridMultilevel"/>
    <w:lvl w:ilvl="0">
      <w:lvlJc w:val="left"/>
      <w:lvlText w:val="%1"/>
      <w:numFmt w:val="decimal"/>
      <w:start w:val="1"/>
    </w:lvl>
    <w:lvl w:ilvl="1">
      <w:lvlJc w:val="left"/>
      <w:lvlText w:val="(%2)"/>
      <w:numFmt w:val="lowerRoman"/>
      <w:start w:val="4"/>
    </w:lvl>
  </w:abstractNum>
  <w:abstractNum w:abstractNumId="113">
    <w:nsid w:val="5C03D76D"/>
    <w:multiLevelType w:val="hybridMultilevel"/>
    <w:lvl w:ilvl="0">
      <w:lvlJc w:val="left"/>
      <w:lvlText w:val="(%1)"/>
      <w:numFmt w:val="decimal"/>
      <w:start w:val="10"/>
    </w:lvl>
    <w:lvl w:ilvl="1">
      <w:lvlJc w:val="left"/>
      <w:lvlText w:val="%2"/>
      <w:numFmt w:val="lowerRoman"/>
      <w:start w:val="1"/>
    </w:lvl>
  </w:abstractNum>
  <w:abstractNum w:abstractNumId="114">
    <w:nsid w:val="66A48D11"/>
    <w:multiLevelType w:val="hybridMultilevel"/>
    <w:lvl w:ilvl="0">
      <w:lvlJc w:val="left"/>
      <w:lvlText w:val="(%1)"/>
      <w:numFmt w:val="decimal"/>
      <w:start w:val="11"/>
    </w:lvl>
    <w:lvl w:ilvl="1">
      <w:lvlJc w:val="left"/>
      <w:lvlText w:val="(%2)"/>
      <w:numFmt w:val="lowerRoman"/>
      <w:start w:val="1"/>
    </w:lvl>
  </w:abstractNum>
  <w:abstractNum w:abstractNumId="115">
    <w:nsid w:val="56C28E34"/>
    <w:multiLevelType w:val="hybridMultilevel"/>
    <w:lvl w:ilvl="0">
      <w:lvlJc w:val="left"/>
      <w:lvlText w:val="(%1)"/>
      <w:numFmt w:val="decimal"/>
      <w:start w:val="14"/>
    </w:lvl>
    <w:lvl w:ilvl="1">
      <w:lvlJc w:val="left"/>
      <w:lvlText w:val="(%2)"/>
      <w:numFmt w:val="lowerRoman"/>
      <w:start w:val="1"/>
    </w:lvl>
  </w:abstractNum>
  <w:abstractNum w:abstractNumId="116">
    <w:nsid w:val="13916F2D"/>
    <w:multiLevelType w:val="hybridMultilevel"/>
    <w:lvl w:ilvl="0">
      <w:lvlJc w:val="left"/>
      <w:lvlText w:val="(%1)"/>
      <w:numFmt w:val="decimal"/>
      <w:start w:val="19"/>
    </w:lvl>
  </w:abstractNum>
  <w:abstractNum w:abstractNumId="117">
    <w:nsid w:val="435D38D"/>
    <w:multiLevelType w:val="hybridMultilevel"/>
    <w:lvl w:ilvl="0">
      <w:lvlJc w:val="left"/>
      <w:lvlText w:val="(%1)"/>
      <w:numFmt w:val="decimal"/>
      <w:start w:val="31"/>
    </w:lvl>
    <w:lvl w:ilvl="1">
      <w:lvlJc w:val="left"/>
      <w:lvlText w:val="(%2)"/>
      <w:numFmt w:val="lowerRoman"/>
      <w:start w:val="1"/>
    </w:lvl>
  </w:abstractNum>
  <w:abstractNum w:abstractNumId="118">
    <w:nsid w:val="822C0EF"/>
    <w:multiLevelType w:val="hybridMultilevel"/>
    <w:lvl w:ilvl="0">
      <w:lvlJc w:val="left"/>
      <w:lvlText w:val="%1"/>
      <w:numFmt w:val="decimal"/>
      <w:start w:val="1"/>
    </w:lvl>
    <w:lvl w:ilvl="1">
      <w:lvlJc w:val="left"/>
      <w:lvlText w:val="(%2)"/>
      <w:numFmt w:val="lowerRoman"/>
      <w:start w:val="3"/>
    </w:lvl>
  </w:abstractNum>
  <w:abstractNum w:abstractNumId="119">
    <w:nsid w:val="57C5BB4F"/>
    <w:multiLevelType w:val="hybridMultilevel"/>
    <w:lvl w:ilvl="0">
      <w:lvlJc w:val="left"/>
      <w:lvlText w:val="(%1)"/>
      <w:numFmt w:val="decimal"/>
      <w:start w:val="32"/>
    </w:lvl>
    <w:lvl w:ilvl="1">
      <w:lvlJc w:val="left"/>
      <w:lvlText w:val="%2"/>
      <w:numFmt w:val="lowerRoman"/>
      <w:start w:val="1"/>
    </w:lvl>
  </w:abstractNum>
  <w:abstractNum w:abstractNumId="120">
    <w:nsid w:val="1803D089"/>
    <w:multiLevelType w:val="hybridMultilevel"/>
    <w:lvl w:ilvl="0">
      <w:lvlJc w:val="left"/>
      <w:lvlText w:val="(%1)"/>
      <w:numFmt w:val="decimal"/>
      <w:start w:val="35"/>
    </w:lvl>
    <w:lvl w:ilvl="1">
      <w:lvlJc w:val="left"/>
      <w:lvlText w:val="(%2)"/>
      <w:numFmt w:val="lowerRoman"/>
      <w:start w:val="1"/>
    </w:lvl>
  </w:abstractNum>
  <w:abstractNum w:abstractNumId="121">
    <w:nsid w:val="4F3A06D4"/>
    <w:multiLevelType w:val="hybridMultilevel"/>
    <w:lvl w:ilvl="0">
      <w:lvlJc w:val="left"/>
      <w:lvlText w:val="%1"/>
      <w:numFmt w:val="upperLetter"/>
      <w:start w:val="1"/>
    </w:lvl>
    <w:lvl w:ilvl="1">
      <w:lvlJc w:val="left"/>
      <w:lvlText w:val="(%2)"/>
      <w:numFmt w:val="lowerRoman"/>
      <w:start w:val="8"/>
    </w:lvl>
  </w:abstractNum>
  <w:abstractNum w:abstractNumId="122">
    <w:nsid w:val="59A377B6"/>
    <w:multiLevelType w:val="hybridMultilevel"/>
    <w:lvl w:ilvl="0">
      <w:lvlJc w:val="left"/>
      <w:lvlText w:val="(%1)"/>
      <w:numFmt w:val="upperLetter"/>
      <w:start w:val="3"/>
    </w:lvl>
    <w:lvl w:ilvl="1">
      <w:lvlJc w:val="left"/>
      <w:lvlText w:val="%2"/>
      <w:numFmt w:val="lowerRoman"/>
      <w:start w:val="1"/>
    </w:lvl>
  </w:abstractNum>
  <w:abstractNum w:abstractNumId="123">
    <w:nsid w:val="48AEB063"/>
    <w:multiLevelType w:val="hybridMultilevel"/>
    <w:lvl w:ilvl="0">
      <w:lvlJc w:val="left"/>
      <w:lvlText w:val="%1."/>
      <w:numFmt w:val="decimal"/>
      <w:start w:val="2"/>
    </w:lvl>
    <w:lvl w:ilvl="1">
      <w:lvlJc w:val="left"/>
      <w:lvlText w:val="(%2)"/>
      <w:numFmt w:val="lowerLetter"/>
      <w:start w:val="1"/>
    </w:lvl>
  </w:abstractNum>
  <w:abstractNum w:abstractNumId="124">
    <w:nsid w:val="24E135"/>
    <w:multiLevelType w:val="hybridMultilevel"/>
    <w:lvl w:ilvl="0">
      <w:lvlJc w:val="left"/>
      <w:lvlText w:val="%1"/>
      <w:numFmt w:val="decimal"/>
      <w:start w:val="1"/>
    </w:lvl>
    <w:lvl w:ilvl="1">
      <w:lvlJc w:val="left"/>
      <w:lvlText w:val="(%2)"/>
      <w:numFmt w:val="lowerLetter"/>
      <w:start w:val="3"/>
    </w:lvl>
  </w:abstractNum>
  <w:abstractNum w:abstractNumId="125">
    <w:nsid w:val="BB13C1"/>
    <w:multiLevelType w:val="hybridMultilevel"/>
    <w:lvl w:ilvl="0">
      <w:lvlJc w:val="left"/>
      <w:lvlText w:val="%1."/>
      <w:numFmt w:val="decimal"/>
      <w:start w:val="3"/>
    </w:lvl>
    <w:lvl w:ilvl="1">
      <w:lvlJc w:val="left"/>
      <w:lvlText w:val="(%2)"/>
      <w:numFmt w:val="lowerLetter"/>
      <w:start w:val="1"/>
    </w:lvl>
  </w:abstractNum>
  <w:abstractNum w:abstractNumId="126">
    <w:nsid w:val="271210C7"/>
    <w:multiLevelType w:val="hybridMultilevel"/>
    <w:lvl w:ilvl="0">
      <w:lvlJc w:val="left"/>
      <w:lvlText w:val="%1"/>
      <w:numFmt w:val="decimal"/>
      <w:start w:val="1"/>
    </w:lvl>
    <w:lvl w:ilvl="1">
      <w:lvlJc w:val="left"/>
      <w:lvlText w:val="(%2)"/>
      <w:numFmt w:val="lowerLetter"/>
      <w:start w:val="4"/>
    </w:lvl>
  </w:abstractNum>
  <w:abstractNum w:abstractNumId="127">
    <w:nsid w:val="217B22E4"/>
    <w:multiLevelType w:val="hybridMultilevel"/>
    <w:lvl w:ilvl="0">
      <w:lvlJc w:val="left"/>
      <w:lvlText w:val="%1."/>
      <w:numFmt w:val="decimal"/>
      <w:start w:val="4"/>
    </w:lvl>
    <w:lvl w:ilvl="1">
      <w:lvlJc w:val="left"/>
      <w:lvlText w:val="%2"/>
      <w:numFmt w:val="lowerLetter"/>
      <w:start w:val="1"/>
    </w:lvl>
  </w:abstractNum>
  <w:abstractNum w:abstractNumId="128">
    <w:nsid w:val="53E31A24"/>
    <w:multiLevelType w:val="hybridMultilevel"/>
    <w:lvl w:ilvl="0">
      <w:lvlJc w:val="left"/>
      <w:lvlText w:val="(%1)"/>
      <w:numFmt w:val="lowerLetter"/>
      <w:start w:val="1"/>
    </w:lvl>
  </w:abstractNum>
  <w:abstractNum w:abstractNumId="129">
    <w:nsid w:val="6DC45E83"/>
    <w:multiLevelType w:val="hybridMultilevel"/>
    <w:lvl w:ilvl="0">
      <w:lvlJc w:val="left"/>
      <w:lvlText w:val="%1"/>
      <w:numFmt w:val="lowerLetter"/>
      <w:start w:val="1"/>
    </w:lvl>
    <w:lvl w:ilvl="1">
      <w:lvlJc w:val="left"/>
      <w:lvlText w:val="(%2)"/>
      <w:numFmt w:val="lowerLetter"/>
      <w:start w:val="3"/>
    </w:lvl>
  </w:abstractNum>
  <w:abstractNum w:abstractNumId="130">
    <w:nsid w:val="17304A67"/>
    <w:multiLevelType w:val="hybridMultilevel"/>
    <w:lvl w:ilvl="0">
      <w:lvlJc w:val="left"/>
      <w:lvlText w:val="(%1)"/>
      <w:numFmt w:val="lowerLetter"/>
      <w:start w:val="35"/>
    </w:lvl>
    <w:lvl w:ilvl="1">
      <w:lvlJc w:val="left"/>
      <w:lvlText w:val="(%2)"/>
      <w:numFmt w:val="lowerLetter"/>
      <w:start w:val="4"/>
    </w:lvl>
  </w:abstractNum>
  <w:abstractNum w:abstractNumId="131">
    <w:nsid w:val="2BB180D8"/>
    <w:multiLevelType w:val="hybridMultilevel"/>
    <w:lvl w:ilvl="0">
      <w:lvlJc w:val="left"/>
      <w:lvlText w:val="(%1)"/>
      <w:numFmt w:val="lowerLetter"/>
      <w:start w:val="25"/>
    </w:lvl>
    <w:lvl w:ilvl="1">
      <w:lvlJc w:val="left"/>
      <w:lvlText w:val="(%2)"/>
      <w:numFmt w:val="lowerLetter"/>
      <w:start w:val="8"/>
    </w:lvl>
  </w:abstractNum>
  <w:abstractNum w:abstractNumId="132">
    <w:nsid w:val="556B69ED"/>
    <w:multiLevelType w:val="hybridMultilevel"/>
    <w:lvl w:ilvl="0">
      <w:lvlJc w:val="left"/>
      <w:lvlText w:val="(%1)"/>
      <w:numFmt w:val="lowerLetter"/>
      <w:start w:val="9"/>
    </w:lvl>
  </w:abstractNum>
  <w:abstractNum w:abstractNumId="133">
    <w:nsid w:val="70836196"/>
    <w:multiLevelType w:val="hybridMultilevel"/>
    <w:lvl w:ilvl="0">
      <w:lvlJc w:val="left"/>
      <w:lvlText w:val="(%1)"/>
      <w:numFmt w:val="lowerLetter"/>
      <w:start w:val="14"/>
    </w:lvl>
    <w:lvl w:ilvl="1">
      <w:lvlJc w:val="left"/>
      <w:lvlText w:val="(%2)"/>
      <w:numFmt w:val="decimal"/>
      <w:start w:val="1"/>
    </w:lvl>
  </w:abstractNum>
  <w:abstractNum w:abstractNumId="134">
    <w:nsid w:val="539F7F12"/>
    <w:multiLevelType w:val="hybridMultilevel"/>
    <w:lvl w:ilvl="0">
      <w:lvlJc w:val="left"/>
      <w:lvlText w:val="(%1)"/>
      <w:numFmt w:val="lowerLetter"/>
      <w:start w:val="21"/>
    </w:lvl>
  </w:abstractNum>
  <w:abstractNum w:abstractNumId="135">
    <w:nsid w:val="2817E7EC"/>
    <w:multiLevelType w:val="hybridMultilevel"/>
    <w:lvl w:ilvl="0">
      <w:lvlJc w:val="left"/>
      <w:lvlText w:val="(%1)"/>
      <w:numFmt w:val="lowerLetter"/>
      <w:start w:val="27"/>
    </w:lvl>
    <w:lvl w:ilvl="1">
      <w:lvlJc w:val="left"/>
      <w:lvlText w:val="(%2)"/>
      <w:numFmt w:val="decimal"/>
      <w:start w:val="1"/>
    </w:lvl>
  </w:abstractNum>
  <w:abstractNum w:abstractNumId="136">
    <w:nsid w:val="71482545"/>
    <w:multiLevelType w:val="hybridMultilevel"/>
    <w:lvl w:ilvl="0">
      <w:lvlJc w:val="left"/>
      <w:lvlText w:val="(%1)"/>
      <w:numFmt w:val="decimal"/>
      <w:start w:val="10"/>
    </w:lvl>
    <w:lvl w:ilvl="1">
      <w:lvlJc w:val="left"/>
      <w:lvlText w:val="(%2)"/>
      <w:numFmt w:val="decimal"/>
      <w:start w:val="3"/>
    </w:lvl>
  </w:abstractNum>
  <w:abstractNum w:abstractNumId="137">
    <w:nsid w:val="17D78639"/>
    <w:multiLevelType w:val="hybridMultilevel"/>
    <w:lvl w:ilvl="0">
      <w:lvlJc w:val="left"/>
      <w:lvlText w:val="(%1)"/>
      <w:numFmt w:val="lowerLetter"/>
      <w:start w:val="28"/>
    </w:lvl>
  </w:abstractNum>
  <w:abstractNum w:abstractNumId="138">
    <w:nsid w:val="141D2302"/>
    <w:multiLevelType w:val="hybridMultilevel"/>
    <w:lvl w:ilvl="0">
      <w:lvlJc w:val="left"/>
      <w:lvlText w:val="(%1)"/>
      <w:numFmt w:val="lowerLetter"/>
      <w:start w:val="1"/>
    </w:lvl>
    <w:lvl w:ilvl="1">
      <w:lvlJc w:val="left"/>
      <w:lvlText w:val="(%2)"/>
      <w:numFmt w:val="decimal"/>
      <w:start w:val="1"/>
    </w:lvl>
  </w:abstractNum>
  <w:abstractNum w:abstractNumId="139">
    <w:nsid w:val="407168D8"/>
    <w:multiLevelType w:val="hybridMultilevel"/>
    <w:lvl w:ilvl="0">
      <w:lvlJc w:val="left"/>
      <w:lvlText w:val="(%1)"/>
      <w:numFmt w:val="lowerRoman"/>
      <w:start w:val="1"/>
    </w:lvl>
  </w:abstractNum>
  <w:abstractNum w:abstractNumId="140">
    <w:nsid w:val="6A1B45E5"/>
    <w:multiLevelType w:val="hybridMultilevel"/>
    <w:lvl w:ilvl="0">
      <w:lvlJc w:val="left"/>
      <w:lvlText w:val="(%1)"/>
      <w:numFmt w:val="lowerLetter"/>
      <w:start w:val="8"/>
    </w:lvl>
  </w:abstractNum>
  <w:abstractNum w:abstractNumId="141">
    <w:nsid w:val="567BD50A"/>
    <w:multiLevelType w:val="hybridMultilevel"/>
    <w:lvl w:ilvl="0">
      <w:lvlJc w:val="left"/>
      <w:lvlText w:val="(%1)"/>
      <w:numFmt w:val="lowerLetter"/>
      <w:start w:val="14"/>
    </w:lvl>
  </w:abstractNum>
  <w:abstractNum w:abstractNumId="142">
    <w:nsid w:val="73BBD7F8"/>
    <w:multiLevelType w:val="hybridMultilevel"/>
    <w:lvl w:ilvl="0">
      <w:lvlJc w:val="left"/>
      <w:lvlText w:val="%1."/>
      <w:numFmt w:val="decimal"/>
      <w:start w:val="8"/>
    </w:lvl>
    <w:lvl w:ilvl="1">
      <w:lvlJc w:val="left"/>
      <w:lvlText w:val="(%2)"/>
      <w:numFmt w:val="lowerLetter"/>
      <w:start w:val="1"/>
    </w:lvl>
  </w:abstractNum>
  <w:abstractNum w:abstractNumId="143">
    <w:nsid w:val="1876589D"/>
    <w:multiLevelType w:val="hybridMultilevel"/>
    <w:lvl w:ilvl="0">
      <w:lvlJc w:val="left"/>
      <w:lvlText w:val="(%1)"/>
      <w:numFmt w:val="lowerLetter"/>
      <w:start w:val="2"/>
    </w:lvl>
  </w:abstractNum>
  <w:abstractNum w:abstractNumId="144">
    <w:nsid w:val="327FAC77"/>
    <w:multiLevelType w:val="hybridMultilevel"/>
    <w:lvl w:ilvl="0">
      <w:lvlJc w:val="left"/>
      <w:lvlText w:val="(%1)"/>
      <w:numFmt w:val="decimal"/>
      <w:start w:val="1"/>
    </w:lvl>
  </w:abstractNum>
  <w:abstractNum w:abstractNumId="145">
    <w:nsid w:val="5A606509"/>
    <w:multiLevelType w:val="hybridMultilevel"/>
    <w:lvl w:ilvl="0">
      <w:lvlJc w:val="left"/>
      <w:lvlText w:val="%1."/>
      <w:numFmt w:val="decimal"/>
      <w:start w:val="11"/>
    </w:lvl>
    <w:lvl w:ilvl="1">
      <w:lvlJc w:val="left"/>
      <w:lvlText w:val="(%2)"/>
      <w:numFmt w:val="lowerLetter"/>
      <w:start w:val="1"/>
    </w:lvl>
  </w:abstractNum>
  <w:abstractNum w:abstractNumId="146">
    <w:nsid w:val="6F38E6D1"/>
    <w:multiLevelType w:val="hybridMultilevel"/>
    <w:lvl w:ilvl="0">
      <w:lvlJc w:val="left"/>
      <w:lvlText w:val="(%1)"/>
      <w:numFmt w:val="lowerLetter"/>
      <w:start w:val="2"/>
    </w:lvl>
  </w:abstractNum>
  <w:abstractNum w:abstractNumId="147">
    <w:nsid w:val="46111BA5"/>
    <w:multiLevelType w:val="hybridMultilevel"/>
    <w:lvl w:ilvl="0">
      <w:lvlJc w:val="left"/>
      <w:lvlText w:val="%1."/>
      <w:numFmt w:val="decimal"/>
      <w:start w:val="1"/>
    </w:lvl>
  </w:abstractNum>
  <w:abstractNum w:abstractNumId="148">
    <w:nsid w:val="5E963896"/>
    <w:multiLevelType w:val="hybridMultilevel"/>
    <w:lvl w:ilvl="0">
      <w:lvlJc w:val="left"/>
      <w:lvlText w:val="1"/>
      <w:numFmt w:val="bullet"/>
      <w:start w:val="1"/>
    </w:lvl>
  </w:abstractNum>
  <w:abstractNum w:abstractNumId="149">
    <w:nsid w:val="775BA7C1"/>
    <w:multiLevelType w:val="hybridMultilevel"/>
    <w:lvl w:ilvl="0">
      <w:lvlJc w:val="left"/>
      <w:lvlText w:val="2"/>
      <w:numFmt w:val="bullet"/>
      <w:start w:val="1"/>
    </w:lvl>
  </w:abstractNum>
  <w:abstractNum w:abstractNumId="150">
    <w:nsid w:val="1DD6D6F4"/>
    <w:multiLevelType w:val="hybridMultilevel"/>
    <w:lvl w:ilvl="0">
      <w:lvlJc w:val="left"/>
      <w:lvlText w:val="3"/>
      <w:numFmt w:val="bullet"/>
      <w:start w:val="1"/>
    </w:lvl>
  </w:abstractNum>
  <w:abstractNum w:abstractNumId="151">
    <w:nsid w:val="769A091F"/>
    <w:multiLevelType w:val="hybridMultilevel"/>
    <w:lvl w:ilvl="0">
      <w:lvlJc w:val="left"/>
      <w:lvlText w:val="4"/>
      <w:numFmt w:val="bullet"/>
      <w:start w:val="1"/>
    </w:lvl>
  </w:abstractNum>
  <w:abstractNum w:abstractNumId="152">
    <w:nsid w:val="4695AE95"/>
    <w:multiLevelType w:val="hybridMultilevel"/>
    <w:lvl w:ilvl="0">
      <w:lvlJc w:val="left"/>
      <w:lvlText w:val="5"/>
      <w:numFmt w:val="bullet"/>
      <w:start w:val="1"/>
    </w:lvl>
  </w:abstractNum>
  <w:abstractNum w:abstractNumId="153">
    <w:nsid w:val="777A4EAA"/>
    <w:multiLevelType w:val="hybridMultilevel"/>
    <w:lvl w:ilvl="0">
      <w:lvlJc w:val="left"/>
      <w:lvlText w:val="6"/>
      <w:numFmt w:val="bullet"/>
      <w:start w:val="1"/>
    </w:lvl>
  </w:abstractNum>
  <w:abstractNum w:abstractNumId="154">
    <w:nsid w:val="3F48B982"/>
    <w:multiLevelType w:val="hybridMultilevel"/>
    <w:lvl w:ilvl="0">
      <w:lvlJc w:val="left"/>
      <w:lvlText w:val="7"/>
      <w:numFmt w:val="bullet"/>
      <w:start w:val="1"/>
    </w:lvl>
  </w:abstractNum>
  <w:abstractNum w:abstractNumId="155">
    <w:nsid w:val="46BA8FCA"/>
    <w:multiLevelType w:val="hybridMultilevel"/>
    <w:lvl w:ilvl="0">
      <w:lvlJc w:val="left"/>
      <w:lvlText w:val="1"/>
      <w:numFmt w:val="bullet"/>
      <w:start w:val="1"/>
    </w:lvl>
  </w:abstractNum>
  <w:abstractNum w:abstractNumId="156">
    <w:nsid w:val="7835626C"/>
    <w:multiLevelType w:val="hybridMultilevel"/>
    <w:lvl w:ilvl="0">
      <w:lvlJc w:val="left"/>
      <w:lvlText w:val="(%1)"/>
      <w:numFmt w:val="lowerLetter"/>
      <w:start w:val="1"/>
    </w:lvl>
  </w:abstractNum>
  <w:abstractNum w:abstractNumId="157">
    <w:nsid w:val="665ACA49"/>
    <w:multiLevelType w:val="hybridMultilevel"/>
    <w:lvl w:ilvl="0">
      <w:lvlJc w:val="left"/>
      <w:lvlText w:val="(%1)"/>
      <w:numFmt w:val="lowerLetter"/>
      <w:start w:val="11"/>
    </w:lvl>
  </w:abstractNum>
  <w:abstractNum w:abstractNumId="158">
    <w:nsid w:val="6835B2AE"/>
    <w:multiLevelType w:val="hybridMultilevel"/>
    <w:lvl w:ilvl="0">
      <w:lvlJc w:val="left"/>
      <w:lvlText w:val="2"/>
      <w:numFmt w:val="bullet"/>
      <w:start w:val="1"/>
    </w:lvl>
  </w:abstractNum>
  <w:abstractNum w:abstractNumId="159">
    <w:nsid w:val="4C187C90"/>
    <w:multiLevelType w:val="hybridMultilevel"/>
    <w:lvl w:ilvl="0">
      <w:lvlJc w:val="left"/>
      <w:lvlText w:val="3"/>
      <w:numFmt w:val="bullet"/>
      <w:start w:val="1"/>
    </w:lvl>
  </w:abstractNum>
  <w:abstractNum w:abstractNumId="160">
    <w:nsid w:val="541F28CD"/>
    <w:multiLevelType w:val="hybridMultilevel"/>
    <w:lvl w:ilvl="0">
      <w:lvlJc w:val="left"/>
      <w:lvlText w:val="4"/>
      <w:numFmt w:val="bullet"/>
      <w:start w:val="1"/>
    </w:lvl>
  </w:abstractNum>
  <w:abstractNum w:abstractNumId="161">
    <w:nsid w:val="7F65FD16"/>
    <w:multiLevelType w:val="hybridMultilevel"/>
    <w:lvl w:ilvl="0">
      <w:lvlJc w:val="left"/>
      <w:lvlText w:val="5"/>
      <w:numFmt w:val="bullet"/>
      <w:start w:val="1"/>
    </w:lvl>
  </w:abstractNum>
  <w:abstractNum w:abstractNumId="162">
    <w:nsid w:val="77C9FD68"/>
    <w:multiLevelType w:val="hybridMultilevel"/>
    <w:lvl w:ilvl="0">
      <w:lvlJc w:val="left"/>
      <w:lvlText w:val="6"/>
      <w:numFmt w:val="bullet"/>
      <w:start w:val="1"/>
    </w:lvl>
  </w:abstractNum>
  <w:abstractNum w:abstractNumId="163">
    <w:nsid w:val="298A92BA"/>
    <w:multiLevelType w:val="hybridMultilevel"/>
    <w:lvl w:ilvl="0">
      <w:lvlJc w:val="left"/>
      <w:lvlText w:val="7"/>
      <w:numFmt w:val="bullet"/>
      <w:start w:val="1"/>
    </w:lvl>
  </w:abstractNum>
  <w:abstractNum w:abstractNumId="164">
    <w:nsid w:val="6FE95EAC"/>
    <w:multiLevelType w:val="hybridMultilevel"/>
    <w:lvl w:ilvl="0">
      <w:lvlJc w:val="left"/>
      <w:lvlText w:val="8"/>
      <w:numFmt w:val="bullet"/>
      <w:start w:val="1"/>
    </w:lvl>
  </w:abstractNum>
  <w:abstractNum w:abstractNumId="165">
    <w:nsid w:val="4B697C7A"/>
    <w:multiLevelType w:val="hybridMultilevel"/>
    <w:lvl w:ilvl="0">
      <w:lvlJc w:val="left"/>
      <w:lvlText w:val="9"/>
      <w:numFmt w:val="bullet"/>
      <w:start w:val="1"/>
    </w:lvl>
  </w:abstractNum>
  <w:abstractNum w:abstractNumId="166">
    <w:nsid w:val="51A27AA6"/>
    <w:multiLevelType w:val="hybridMultilevel"/>
    <w:lvl w:ilvl="0">
      <w:lvlJc w:val="left"/>
      <w:lvlText w:val="%1"/>
      <w:numFmt w:val="decimal"/>
      <w:start w:val="11"/>
    </w:lvl>
  </w:abstractNum>
  <w:abstractNum w:abstractNumId="167">
    <w:nsid w:val="613183F2"/>
    <w:multiLevelType w:val="hybridMultilevel"/>
    <w:lvl w:ilvl="0">
      <w:lvlJc w:val="left"/>
      <w:lvlText w:val="(%1)"/>
      <w:numFmt w:val="lowerLetter"/>
      <w:start w:val="1"/>
    </w:lvl>
  </w:abstractNum>
  <w:abstractNum w:abstractNumId="168">
    <w:nsid w:val="634102B4"/>
    <w:multiLevelType w:val="hybridMultilevel"/>
    <w:lvl w:ilvl="0">
      <w:lvlJc w:val="left"/>
      <w:lvlText w:val="(%1)"/>
      <w:numFmt w:val="lowerLetter"/>
      <w:start w:val="1"/>
    </w:lvl>
  </w:abstractNum>
  <w:abstractNum w:abstractNumId="169">
    <w:nsid w:val="65BF9DA8"/>
    <w:multiLevelType w:val="hybridMultilevel"/>
    <w:lvl w:ilvl="0">
      <w:lvlJc w:val="left"/>
      <w:lvlText w:val="%1"/>
      <w:numFmt w:val="decimal"/>
      <w:start w:val="19"/>
    </w:lvl>
  </w:abstractNum>
  <w:abstractNum w:abstractNumId="170">
    <w:nsid w:val="21A2ECCA"/>
    <w:multiLevelType w:val="hybridMultilevel"/>
    <w:lvl w:ilvl="0">
      <w:lvlJc w:val="left"/>
      <w:lvlText w:val="(%1)"/>
      <w:numFmt w:val="lowerLetter"/>
      <w:start w:val="1"/>
    </w:lvl>
  </w:abstractNum>
  <w:abstractNum w:abstractNumId="171">
    <w:nsid w:val="4D5C4899"/>
    <w:multiLevelType w:val="hybridMultilevel"/>
    <w:lvl w:ilvl="0">
      <w:lvlJc w:val="left"/>
      <w:lvlText w:val="%1"/>
      <w:numFmt w:val="decimal"/>
      <w:start w:val="25"/>
    </w:lvl>
  </w:abstractNum>
  <w:abstractNum w:abstractNumId="172">
    <w:nsid w:val="3C3B72B2"/>
    <w:multiLevelType w:val="hybridMultilevel"/>
    <w:lvl w:ilvl="0">
      <w:lvlJc w:val="left"/>
      <w:lvlText w:val="%1"/>
      <w:numFmt w:val="decimal"/>
      <w:start w:val="26"/>
    </w:lvl>
  </w:abstractNum>
  <w:abstractNum w:abstractNumId="173">
    <w:nsid w:val="155EC4C2"/>
    <w:multiLevelType w:val="hybridMultilevel"/>
    <w:lvl w:ilvl="0">
      <w:lvlJc w:val="left"/>
      <w:lvlText w:val="%1"/>
      <w:numFmt w:val="decimal"/>
      <w:start w:val="30"/>
    </w:lvl>
    <w:lvl w:ilvl="1">
      <w:lvlJc w:val="left"/>
      <w:lvlText w:val="(%2)"/>
      <w:numFmt w:val="lowerLetter"/>
      <w:start w:val="1"/>
    </w:lvl>
  </w:abstractNum>
  <w:abstractNum w:abstractNumId="174">
    <w:nsid w:val="65D2A137"/>
    <w:multiLevelType w:val="hybridMultilevel"/>
    <w:lvl w:ilvl="0">
      <w:lvlJc w:val="left"/>
      <w:lvlText w:val="%1"/>
      <w:numFmt w:val="decimal"/>
      <w:start w:val="32"/>
    </w:lvl>
  </w:abstractNum>
  <w:abstractNum w:abstractNumId="175">
    <w:nsid w:val="6EBB1F2A"/>
    <w:multiLevelType w:val="hybridMultilevel"/>
    <w:lvl w:ilvl="0">
      <w:lvlJc w:val="left"/>
      <w:lvlText w:val="%1"/>
      <w:numFmt w:val="decimal"/>
      <w:start w:val="34"/>
    </w:lvl>
  </w:abstractNum>
  <w:abstractNum w:abstractNumId="176">
    <w:nsid w:val="6FBF29CB"/>
    <w:multiLevelType w:val="hybridMultilevel"/>
    <w:lvl w:ilvl="0">
      <w:lvlJc w:val="left"/>
      <w:lvlText w:val="%1"/>
      <w:numFmt w:val="decimal"/>
      <w:start w:val="37"/>
    </w:lvl>
  </w:abstractNum>
  <w:abstractNum w:abstractNumId="177">
    <w:nsid w:val="550B8808"/>
    <w:multiLevelType w:val="hybridMultilevel"/>
    <w:lvl w:ilvl="0">
      <w:lvlJc w:val="left"/>
      <w:lvlText w:val="%1"/>
      <w:numFmt w:val="decimal"/>
      <w:start w:val="41"/>
    </w:lvl>
  </w:abstractNum>
  <w:abstractNum w:abstractNumId="178">
    <w:nsid w:val="34CC3ACF"/>
    <w:multiLevelType w:val="hybridMultilevel"/>
    <w:lvl w:ilvl="0">
      <w:lvlJc w:val="left"/>
      <w:lvlText w:val="(%1)"/>
      <w:numFmt w:val="lowerLetter"/>
      <w:start w:val="1"/>
    </w:lvl>
  </w:abstractNum>
  <w:abstractNum w:abstractNumId="179">
    <w:nsid w:val="4E556261"/>
    <w:multiLevelType w:val="hybridMultilevel"/>
    <w:lvl w:ilvl="0">
      <w:lvlJc w:val="left"/>
      <w:lvlText w:val="%1"/>
      <w:numFmt w:val="decimal"/>
      <w:start w:val="47"/>
    </w:lvl>
  </w:abstractNum>
  <w:abstractNum w:abstractNumId="180">
    <w:nsid w:val="4C672FC9"/>
    <w:multiLevelType w:val="hybridMultilevel"/>
    <w:lvl w:ilvl="0">
      <w:lvlJc w:val="left"/>
      <w:lvlText w:val="1"/>
      <w:numFmt w:val="bullet"/>
      <w:start w:val="1"/>
    </w:lvl>
  </w:abstractNum>
  <w:abstractNum w:abstractNumId="181">
    <w:nsid w:val="52A311C3"/>
    <w:multiLevelType w:val="hybridMultilevel"/>
    <w:lvl w:ilvl="0">
      <w:lvlJc w:val="left"/>
      <w:lvlText w:val="2"/>
      <w:numFmt w:val="bullet"/>
      <w:start w:val="1"/>
    </w:lvl>
  </w:abstractNum>
  <w:abstractNum w:abstractNumId="182">
    <w:nsid w:val="44EF6B80"/>
    <w:multiLevelType w:val="hybridMultilevel"/>
    <w:lvl w:ilvl="0">
      <w:lvlJc w:val="left"/>
      <w:lvlText w:val="3"/>
      <w:numFmt w:val="bullet"/>
      <w:start w:val="1"/>
    </w:lvl>
  </w:abstractNum>
  <w:abstractNum w:abstractNumId="183">
    <w:nsid w:val="12FCDE5E"/>
    <w:multiLevelType w:val="hybridMultilevel"/>
    <w:lvl w:ilvl="0">
      <w:lvlJc w:val="left"/>
      <w:lvlText w:val="4"/>
      <w:numFmt w:val="bullet"/>
      <w:start w:val="1"/>
    </w:lvl>
  </w:abstractNum>
  <w:abstractNum w:abstractNumId="184">
    <w:nsid w:val="4A1D606E"/>
    <w:multiLevelType w:val="hybridMultilevel"/>
    <w:lvl w:ilvl="0">
      <w:lvlJc w:val="left"/>
      <w:lvlText w:val="5"/>
      <w:numFmt w:val="bullet"/>
      <w:start w:val="1"/>
    </w:lvl>
  </w:abstractNum>
  <w:abstractNum w:abstractNumId="185">
    <w:nsid w:val="4382503"/>
    <w:multiLevelType w:val="hybridMultilevel"/>
    <w:lvl w:ilvl="0">
      <w:lvlJc w:val="left"/>
      <w:lvlText w:val="6"/>
      <w:numFmt w:val="bullet"/>
      <w:start w:val="1"/>
    </w:lvl>
  </w:abstractNum>
  <w:abstractNum w:abstractNumId="186">
    <w:nsid w:val="59B76E28"/>
    <w:multiLevelType w:val="hybridMultilevel"/>
    <w:lvl w:ilvl="0">
      <w:lvlJc w:val="left"/>
      <w:lvlText w:val="7"/>
      <w:numFmt w:val="bullet"/>
      <w:start w:val="1"/>
    </w:lvl>
  </w:abstractNum>
  <w:abstractNum w:abstractNumId="187">
    <w:nsid w:val="4252C2DA"/>
    <w:multiLevelType w:val="hybridMultilevel"/>
    <w:lvl w:ilvl="0">
      <w:lvlJc w:val="left"/>
      <w:lvlText w:val="1"/>
      <w:numFmt w:val="bullet"/>
      <w:start w:val="1"/>
    </w:lvl>
  </w:abstractNum>
  <w:abstractNum w:abstractNumId="188">
    <w:nsid w:val="6A92EF4C"/>
    <w:multiLevelType w:val="hybridMultilevel"/>
    <w:lvl w:ilvl="0">
      <w:lvlJc w:val="left"/>
      <w:lvlText w:val="(%1)"/>
      <w:numFmt w:val="lowerLetter"/>
      <w:start w:val="1"/>
    </w:lvl>
  </w:abstractNum>
  <w:abstractNum w:abstractNumId="189">
    <w:nsid w:val="41ED20D7"/>
    <w:multiLevelType w:val="hybridMultilevel"/>
    <w:lvl w:ilvl="0">
      <w:lvlJc w:val="left"/>
      <w:lvlText w:val="(%1)"/>
      <w:numFmt w:val="lowerLetter"/>
      <w:start w:val="8"/>
    </w:lvl>
  </w:abstractNum>
  <w:abstractNum w:abstractNumId="190">
    <w:nsid w:val="E6B3F6A"/>
    <w:multiLevelType w:val="hybridMultilevel"/>
    <w:lvl w:ilvl="0">
      <w:lvlJc w:val="left"/>
      <w:lvlText w:val="2"/>
      <w:numFmt w:val="bullet"/>
      <w:start w:val="1"/>
    </w:lvl>
  </w:abstractNum>
  <w:abstractNum w:abstractNumId="191">
    <w:nsid w:val="3EB21819"/>
    <w:multiLevelType w:val="hybridMultilevel"/>
    <w:lvl w:ilvl="0">
      <w:lvlJc w:val="left"/>
      <w:lvlText w:val="3"/>
      <w:numFmt w:val="bullet"/>
      <w:start w:val="1"/>
    </w:lvl>
  </w:abstractNum>
  <w:abstractNum w:abstractNumId="192">
    <w:nsid w:val="41531DED"/>
    <w:multiLevelType w:val="hybridMultilevel"/>
    <w:lvl w:ilvl="0">
      <w:lvlJc w:val="left"/>
      <w:lvlText w:val="4"/>
      <w:numFmt w:val="bullet"/>
      <w:start w:val="1"/>
    </w:lvl>
  </w:abstractNum>
  <w:abstractNum w:abstractNumId="193">
    <w:nsid w:val="6353CD2"/>
    <w:multiLevelType w:val="hybridMultilevel"/>
    <w:lvl w:ilvl="0">
      <w:lvlJc w:val="left"/>
      <w:lvlText w:val="5"/>
      <w:numFmt w:val="bullet"/>
      <w:start w:val="1"/>
    </w:lvl>
  </w:abstractNum>
  <w:abstractNum w:abstractNumId="194">
    <w:nsid w:val="683CAAD3"/>
    <w:multiLevelType w:val="hybridMultilevel"/>
    <w:lvl w:ilvl="0">
      <w:lvlJc w:val="left"/>
      <w:lvlText w:val="6"/>
      <w:numFmt w:val="bullet"/>
      <w:start w:val="1"/>
    </w:lvl>
  </w:abstractNum>
  <w:abstractNum w:abstractNumId="195">
    <w:nsid w:val="313C7C99"/>
    <w:multiLevelType w:val="hybridMultilevel"/>
    <w:lvl w:ilvl="0">
      <w:lvlJc w:val="left"/>
      <w:lvlText w:val="7"/>
      <w:numFmt w:val="bullet"/>
      <w:start w:val="1"/>
    </w:lvl>
  </w:abstractNum>
  <w:abstractNum w:abstractNumId="196">
    <w:nsid w:val="519EB94C"/>
    <w:multiLevelType w:val="hybridMultilevel"/>
    <w:lvl w:ilvl="0">
      <w:lvlJc w:val="left"/>
      <w:lvlText w:val="8"/>
      <w:numFmt w:val="bullet"/>
      <w:start w:val="1"/>
    </w:lvl>
  </w:abstractNum>
  <w:abstractNum w:abstractNumId="197">
    <w:nsid w:val="39DF2579"/>
    <w:multiLevelType w:val="hybridMultilevel"/>
    <w:lvl w:ilvl="0">
      <w:lvlJc w:val="left"/>
      <w:lvlText w:val="(%1)"/>
      <w:numFmt w:val="lowerLetter"/>
      <w:start w:val="1"/>
    </w:lvl>
  </w:abstractNum>
  <w:abstractNum w:abstractNumId="198">
    <w:nsid w:val="126E008B"/>
    <w:multiLevelType w:val="hybridMultilevel"/>
    <w:lvl w:ilvl="0">
      <w:lvlJc w:val="left"/>
      <w:lvlText w:val="9"/>
      <w:numFmt w:val="bullet"/>
      <w:start w:val="1"/>
    </w:lvl>
  </w:abstractNum>
  <w:abstractNum w:abstractNumId="199">
    <w:nsid w:val="34DFBC00"/>
    <w:multiLevelType w:val="hybridMultilevel"/>
    <w:lvl w:ilvl="0">
      <w:lvlJc w:val="left"/>
      <w:lvlText w:val="%1"/>
      <w:numFmt w:val="decimal"/>
      <w:start w:val="11"/>
    </w:lvl>
  </w:abstractNum>
  <w:abstractNum w:abstractNumId="200">
    <w:nsid w:val="1F9EC322"/>
    <w:multiLevelType w:val="hybridMultilevel"/>
    <w:lvl w:ilvl="0">
      <w:lvlJc w:val="left"/>
      <w:lvlText w:val="(%1)"/>
      <w:numFmt w:val="lowerLetter"/>
      <w:start w:val="1"/>
    </w:lvl>
  </w:abstractNum>
  <w:abstractNum w:abstractNumId="201">
    <w:nsid w:val="3410ED56"/>
    <w:multiLevelType w:val="hybridMultilevel"/>
    <w:lvl w:ilvl="0">
      <w:lvlJc w:val="left"/>
      <w:lvlText w:val="(%1)"/>
      <w:numFmt w:val="lowerLetter"/>
      <w:start w:val="1"/>
    </w:lvl>
  </w:abstractNum>
  <w:abstractNum w:abstractNumId="202">
    <w:nsid w:val="23C049A"/>
    <w:multiLevelType w:val="hybridMultilevel"/>
    <w:lvl w:ilvl="0">
      <w:lvlJc w:val="left"/>
      <w:lvlText w:val="%1"/>
      <w:numFmt w:val="decimal"/>
      <w:start w:val="19"/>
    </w:lvl>
  </w:abstractNum>
  <w:abstractNum w:abstractNumId="203">
    <w:nsid w:val="5BDA35D4"/>
    <w:multiLevelType w:val="hybridMultilevel"/>
    <w:lvl w:ilvl="0">
      <w:lvlJc w:val="left"/>
      <w:lvlText w:val="(%1)"/>
      <w:numFmt w:val="lowerLetter"/>
      <w:start w:val="1"/>
    </w:lvl>
  </w:abstractNum>
  <w:abstractNum w:abstractNumId="204">
    <w:nsid w:val="496FB218"/>
    <w:multiLevelType w:val="hybridMultilevel"/>
    <w:lvl w:ilvl="0">
      <w:lvlJc w:val="left"/>
      <w:lvlText w:val="%1"/>
      <w:numFmt w:val="decimal"/>
      <w:start w:val="26"/>
    </w:lvl>
  </w:abstractNum>
  <w:abstractNum w:abstractNumId="205">
    <w:nsid w:val="680EA5D1"/>
    <w:multiLevelType w:val="hybridMultilevel"/>
    <w:lvl w:ilvl="0">
      <w:lvlJc w:val="left"/>
      <w:lvlText w:val="%1"/>
      <w:numFmt w:val="decimal"/>
      <w:start w:val="30"/>
    </w:lvl>
    <w:lvl w:ilvl="1">
      <w:lvlJc w:val="left"/>
      <w:lvlText w:val="(%2)"/>
      <w:numFmt w:val="lowerLetter"/>
      <w:start w:val="1"/>
    </w:lvl>
  </w:abstractNum>
  <w:abstractNum w:abstractNumId="206">
    <w:nsid w:val="4A9554FE"/>
    <w:multiLevelType w:val="hybridMultilevel"/>
    <w:lvl w:ilvl="0">
      <w:lvlJc w:val="left"/>
      <w:lvlText w:val="%1"/>
      <w:numFmt w:val="decimal"/>
      <w:start w:val="32"/>
    </w:lvl>
  </w:abstractNum>
  <w:abstractNum w:abstractNumId="207">
    <w:nsid w:val="392EDBE4"/>
    <w:multiLevelType w:val="hybridMultilevel"/>
    <w:lvl w:ilvl="0">
      <w:lvlJc w:val="left"/>
      <w:lvlText w:val="%1"/>
      <w:numFmt w:val="decimal"/>
      <w:start w:val="34"/>
    </w:lvl>
  </w:abstractNum>
  <w:abstractNum w:abstractNumId="208">
    <w:nsid w:val="3D1A2DD9"/>
    <w:multiLevelType w:val="hybridMultilevel"/>
    <w:lvl w:ilvl="0">
      <w:lvlJc w:val="left"/>
      <w:lvlText w:val="%1"/>
      <w:numFmt w:val="decimal"/>
      <w:start w:val="36"/>
    </w:lvl>
  </w:abstractNum>
  <w:abstractNum w:abstractNumId="209">
    <w:nsid w:val="7F618FCD"/>
    <w:multiLevelType w:val="hybridMultilevel"/>
    <w:lvl w:ilvl="0">
      <w:lvlJc w:val="left"/>
      <w:lvlText w:val="%1"/>
      <w:numFmt w:val="decimal"/>
      <w:start w:val="40"/>
    </w:lvl>
  </w:abstractNum>
  <w:abstractNum w:abstractNumId="210">
    <w:nsid w:val="7843E45"/>
    <w:multiLevelType w:val="hybridMultilevel"/>
    <w:lvl w:ilvl="0">
      <w:lvlJc w:val="left"/>
      <w:lvlText w:val="(%1)"/>
      <w:numFmt w:val="lowerLetter"/>
      <w:start w:val="1"/>
    </w:lvl>
  </w:abstractNum>
  <w:abstractNum w:abstractNumId="211">
    <w:nsid w:val="9815DA3"/>
    <w:multiLevelType w:val="hybridMultilevel"/>
    <w:lvl w:ilvl="0">
      <w:lvlJc w:val="left"/>
      <w:lvlText w:val="(%1)"/>
      <w:numFmt w:val="lowerLetter"/>
      <w:start w:val="1"/>
    </w:lvl>
  </w:abstractNum>
  <w:abstractNum w:abstractNumId="212">
    <w:nsid w:val="5204A191"/>
    <w:multiLevelType w:val="hybridMultilevel"/>
    <w:lvl w:ilvl="0">
      <w:lvlJc w:val="left"/>
      <w:lvlText w:val="%1"/>
      <w:numFmt w:val="decimal"/>
      <w:start w:val="46"/>
    </w:lvl>
  </w:abstractNum>
  <w:abstractNum w:abstractNumId="213">
    <w:nsid w:val="4C73A9C6"/>
    <w:multiLevelType w:val="hybridMultilevel"/>
    <w:lvl w:ilvl="0">
      <w:lvlJc w:val="left"/>
      <w:lvlText w:val="(%1)"/>
      <w:numFmt w:val="lowerLetter"/>
      <w:start w:val="1"/>
    </w:lvl>
  </w:abstractNum>
  <w:abstractNum w:abstractNumId="214">
    <w:nsid w:val="1C7E3C01"/>
    <w:multiLevelType w:val="hybridMultilevel"/>
    <w:lvl w:ilvl="0">
      <w:lvlJc w:val="left"/>
      <w:lvlText w:val="(%1)"/>
      <w:numFmt w:val="lowerLetter"/>
      <w:start w:val="1"/>
    </w:lvl>
  </w:abstractNum>
  <w:abstractNum w:abstractNumId="215">
    <w:nsid w:val="1C2201FF"/>
    <w:multiLevelType w:val="hybridMultilevel"/>
    <w:lvl w:ilvl="0">
      <w:lvlJc w:val="left"/>
      <w:lvlText w:val="(%1)"/>
      <w:numFmt w:val="lowerLetter"/>
      <w:start w:val="1"/>
    </w:lvl>
  </w:abstractNum>
  <w:abstractNum w:abstractNumId="216">
    <w:nsid w:val="50ABCEC9"/>
    <w:multiLevelType w:val="hybridMultilevel"/>
    <w:lvl w:ilvl="0">
      <w:lvlJc w:val="left"/>
      <w:lvlText w:val="(%1)"/>
      <w:numFmt w:val="lowerLetter"/>
      <w:start w:val="1"/>
    </w:lvl>
  </w:abstractNum>
  <w:abstractNum w:abstractNumId="217">
    <w:nsid w:val="7635AA2A"/>
    <w:multiLevelType w:val="hybridMultilevel"/>
    <w:lvl w:ilvl="0">
      <w:lvlJc w:val="left"/>
      <w:lvlText w:val="(%1)"/>
      <w:numFmt w:val="lowerLetter"/>
      <w:start w:val="1"/>
    </w:lvl>
  </w:abstractNum>
  <w:abstractNum w:abstractNumId="218">
    <w:nsid w:val="5E74C4D9"/>
    <w:multiLevelType w:val="hybridMultilevel"/>
    <w:lvl w:ilvl="0">
      <w:lvlJc w:val="left"/>
      <w:lvlText w:val="(%1)"/>
      <w:numFmt w:val="decimal"/>
      <w:start w:val="30"/>
    </w:lvl>
  </w:abstractNum>
  <w:abstractNum w:abstractNumId="219">
    <w:nsid w:val="3B3EBE15"/>
    <w:multiLevelType w:val="hybridMultilevel"/>
    <w:lvl w:ilvl="0">
      <w:lvlJc w:val="left"/>
      <w:lvlText w:val="(%1)"/>
      <w:numFmt w:val="lowerRoman"/>
      <w:start w:val="1"/>
    </w:lvl>
  </w:abstractNum>
  <w:abstractNum w:abstractNumId="220">
    <w:nsid w:val="3822CB01"/>
    <w:multiLevelType w:val="hybridMultilevel"/>
    <w:lvl w:ilvl="0">
      <w:lvlJc w:val="left"/>
      <w:lvlText w:val="%1."/>
      <w:numFmt w:val="decimal"/>
      <w:start w:val="1"/>
    </w:lvl>
  </w:abstractNum>
  <w:abstractNum w:abstractNumId="221">
    <w:nsid w:val="6CE00443"/>
    <w:multiLevelType w:val="hybridMultilevel"/>
    <w:lvl w:ilvl="0">
      <w:lvlJc w:val="left"/>
      <w:lvlText w:val="(%1)"/>
      <w:numFmt w:val="lowerLetter"/>
      <w:start w:val="1"/>
    </w:lvl>
  </w:abstractNum>
  <w:abstractNum w:abstractNumId="222">
    <w:nsid w:val="79F0D62F"/>
    <w:multiLevelType w:val="hybridMultilevel"/>
    <w:lvl w:ilvl="0">
      <w:lvlJc w:val="left"/>
      <w:lvlText w:val="%1."/>
      <w:numFmt w:val="decimal"/>
      <w:start w:val="3"/>
    </w:lvl>
  </w:abstractNum>
  <w:abstractNum w:abstractNumId="223">
    <w:nsid w:val="7975E8EE"/>
    <w:multiLevelType w:val="hybridMultilevel"/>
    <w:lvl w:ilvl="0">
      <w:lvlJc w:val="left"/>
      <w:lvlText w:val="(%1)"/>
      <w:numFmt w:val="decimal"/>
      <w:start w:val="30"/>
    </w:lvl>
  </w:abstractNum>
  <w:abstractNum w:abstractNumId="224">
    <w:nsid w:val="73154115"/>
    <w:multiLevelType w:val="hybridMultilevel"/>
    <w:lvl w:ilvl="0">
      <w:lvlJc w:val="left"/>
      <w:lvlText w:val="(%1)"/>
      <w:numFmt w:val="lowerLetter"/>
      <w:start w:val="1"/>
    </w:lvl>
  </w:abstractNum>
  <w:abstractNum w:abstractNumId="225">
    <w:nsid w:val="622D8102"/>
    <w:multiLevelType w:val="hybridMultilevel"/>
    <w:lvl w:ilvl="0">
      <w:lvlJc w:val="left"/>
      <w:lvlText w:val="%1."/>
      <w:numFmt w:val="decimal"/>
      <w:start w:val="4"/>
    </w:lvl>
  </w:abstractNum>
  <w:abstractNum w:abstractNumId="226">
    <w:nsid w:val="2AB26587"/>
    <w:multiLevelType w:val="hybridMultilevel"/>
    <w:lvl w:ilvl="0">
      <w:lvlJc w:val="left"/>
      <w:lvlText w:val="(%1)"/>
      <w:numFmt w:val="lowerRoman"/>
      <w:start w:val="2"/>
    </w:lvl>
  </w:abstractNum>
  <w:abstractNum w:abstractNumId="227">
    <w:nsid w:val="44B3FA61"/>
    <w:multiLevelType w:val="hybridMultilevel"/>
    <w:lvl w:ilvl="0">
      <w:lvlJc w:val="left"/>
      <w:lvlText w:val="(%1)"/>
      <w:numFmt w:val="lowerLetter"/>
      <w:start w:val="5"/>
    </w:lvl>
  </w:abstractNum>
  <w:abstractNum w:abstractNumId="228">
    <w:nsid w:val="1C0CA67C"/>
    <w:multiLevelType w:val="hybridMultilevel"/>
    <w:lvl w:ilvl="0">
      <w:lvlJc w:val="left"/>
      <w:lvlText w:val="(%1)"/>
      <w:numFmt w:val="decimal"/>
      <w:start w:val="10"/>
    </w:lvl>
  </w:abstractNum>
  <w:abstractNum w:abstractNumId="229">
    <w:nsid w:val="3D206613"/>
    <w:multiLevelType w:val="hybridMultilevel"/>
    <w:lvl w:ilvl="0">
      <w:lvlJc w:val="left"/>
      <w:lvlText w:val="%1."/>
      <w:numFmt w:val="decimal"/>
      <w:start w:val="5"/>
    </w:lvl>
  </w:abstractNum>
  <w:abstractNum w:abstractNumId="230">
    <w:nsid w:val="7993B662"/>
    <w:multiLevelType w:val="hybridMultilevel"/>
    <w:lvl w:ilvl="0">
      <w:lvlJc w:val="left"/>
      <w:lvlText w:val="%1."/>
      <w:numFmt w:val="decimal"/>
      <w:start w:val="6"/>
    </w:lvl>
  </w:abstractNum>
  <w:abstractNum w:abstractNumId="231">
    <w:nsid w:val="3BAB699E"/>
    <w:multiLevelType w:val="hybridMultilevel"/>
    <w:lvl w:ilvl="0">
      <w:lvlJc w:val="left"/>
      <w:lvlText w:val="%1."/>
      <w:numFmt w:val="decimal"/>
      <w:start w:val="7"/>
    </w:lvl>
  </w:abstractNum>
  <w:abstractNum w:abstractNumId="232">
    <w:nsid w:val="71315369"/>
    <w:multiLevelType w:val="hybridMultilevel"/>
    <w:lvl w:ilvl="0">
      <w:lvlJc w:val="left"/>
      <w:lvlText w:val="(%1)"/>
      <w:numFmt w:val="upperLetter"/>
      <w:start w:val="2"/>
    </w:lvl>
  </w:abstractNum>
  <w:abstractNum w:abstractNumId="233">
    <w:nsid w:val="7BCFBAFC"/>
    <w:multiLevelType w:val="hybridMultilevel"/>
    <w:lvl w:ilvl="0">
      <w:lvlJc w:val="left"/>
      <w:lvlText w:val="%1."/>
      <w:numFmt w:val="decimal"/>
      <w:start w:val="8"/>
    </w:lvl>
  </w:abstractNum>
  <w:abstractNum w:abstractNumId="234">
    <w:nsid w:val="17859F72"/>
    <w:multiLevelType w:val="hybridMultilevel"/>
    <w:lvl w:ilvl="0">
      <w:lvlJc w:val="left"/>
      <w:lvlText w:val="%1."/>
      <w:numFmt w:val="decimal"/>
      <w:start w:val="9"/>
    </w:lvl>
  </w:abstractNum>
  <w:abstractNum w:abstractNumId="235">
    <w:nsid w:val="3AA10581"/>
    <w:multiLevelType w:val="hybridMultilevel"/>
    <w:lvl w:ilvl="0">
      <w:lvlJc w:val="left"/>
      <w:lvlText w:val="(%1)"/>
      <w:numFmt w:val="lowerLetter"/>
      <w:start w:val="1"/>
    </w:lvl>
  </w:abstractNum>
  <w:abstractNum w:abstractNumId="236">
    <w:nsid w:val="63DE60CD"/>
    <w:multiLevelType w:val="hybridMultilevel"/>
    <w:lvl w:ilvl="0">
      <w:lvlJc w:val="left"/>
      <w:lvlText w:val="%1."/>
      <w:numFmt w:val="decimal"/>
      <w:start w:val="1"/>
    </w:lvl>
  </w:abstractNum>
  <w:abstractNum w:abstractNumId="237">
    <w:nsid w:val="621AF471"/>
    <w:multiLevelType w:val="hybridMultilevel"/>
    <w:lvl w:ilvl="0">
      <w:lvlJc w:val="left"/>
      <w:lvlText w:val="(%1)"/>
      <w:numFmt w:val="lowerLetter"/>
      <w:start w:val="1"/>
    </w:lvl>
  </w:abstractNum>
  <w:abstractNum w:abstractNumId="238">
    <w:nsid w:val="73CFE165"/>
    <w:multiLevelType w:val="hybridMultilevel"/>
    <w:lvl w:ilvl="0">
      <w:lvlJc w:val="left"/>
      <w:lvlText w:val="(%1)"/>
      <w:numFmt w:val="lowerRoman"/>
      <w:start w:val="4"/>
    </w:lvl>
  </w:abstractNum>
  <w:abstractNum w:abstractNumId="239">
    <w:nsid w:val="20F88EA6"/>
    <w:multiLevelType w:val="hybridMultilevel"/>
    <w:lvl w:ilvl="0">
      <w:lvlJc w:val="left"/>
      <w:lvlText w:val="(%1)"/>
      <w:numFmt w:val="lowerLetter"/>
      <w:start w:val="1"/>
    </w:lvl>
    <w:lvl w:ilvl="1">
      <w:lvlJc w:val="left"/>
      <w:lvlText w:val="(%2)"/>
      <w:numFmt w:val="lowerRoman"/>
      <w:start w:val="1"/>
    </w:lvl>
  </w:abstractNum>
  <w:abstractNum w:abstractNumId="240">
    <w:nsid w:val="617C843E"/>
    <w:multiLevelType w:val="hybridMultilevel"/>
    <w:lvl w:ilvl="0">
      <w:lvlJc w:val="left"/>
      <w:lvlText w:val="1"/>
      <w:numFmt w:val="bullet"/>
      <w:start w:val="1"/>
    </w:lvl>
  </w:abstractNum>
  <w:abstractNum w:abstractNumId="241">
    <w:nsid w:val="7B541FAB"/>
    <w:multiLevelType w:val="hybridMultilevel"/>
    <w:lvl w:ilvl="0">
      <w:lvlJc w:val="left"/>
      <w:lvlText w:val="2"/>
      <w:numFmt w:val="bullet"/>
      <w:start w:val="1"/>
    </w:lvl>
  </w:abstractNum>
  <w:abstractNum w:abstractNumId="242">
    <w:nsid w:val="2A79EC49"/>
    <w:multiLevelType w:val="hybridMultilevel"/>
    <w:lvl w:ilvl="0">
      <w:lvlJc w:val="left"/>
      <w:lvlText w:val="3"/>
      <w:numFmt w:val="bullet"/>
      <w:start w:val="1"/>
    </w:lvl>
  </w:abstractNum>
  <w:abstractNum w:abstractNumId="243">
    <w:nsid w:val="338125CF"/>
    <w:multiLevelType w:val="hybridMultilevel"/>
    <w:lvl w:ilvl="0">
      <w:lvlJc w:val="left"/>
      <w:lvlText w:val="4"/>
      <w:numFmt w:val="bullet"/>
      <w:start w:val="1"/>
    </w:lvl>
  </w:abstractNum>
  <w:abstractNum w:abstractNumId="244">
    <w:nsid w:val="47C7C971"/>
    <w:multiLevelType w:val="hybridMultilevel"/>
    <w:lvl w:ilvl="0">
      <w:lvlJc w:val="left"/>
      <w:lvlText w:val="(%1)"/>
      <w:numFmt w:val="lowerLetter"/>
      <w:start w:val="1"/>
    </w:lvl>
  </w:abstractNum>
  <w:abstractNum w:abstractNumId="245">
    <w:nsid w:val="46F8284B"/>
    <w:multiLevelType w:val="hybridMultilevel"/>
    <w:lvl w:ilvl="0">
      <w:lvlJc w:val="left"/>
      <w:lvlText w:val="1"/>
      <w:numFmt w:val="bullet"/>
      <w:start w:val="1"/>
    </w:lvl>
  </w:abstractNum>
  <w:abstractNum w:abstractNumId="246">
    <w:nsid w:val="4FA327CE"/>
    <w:multiLevelType w:val="hybridMultilevel"/>
    <w:lvl w:ilvl="0">
      <w:lvlJc w:val="left"/>
      <w:lvlText w:val="2"/>
      <w:numFmt w:val="bullet"/>
      <w:start w:val="1"/>
    </w:lvl>
  </w:abstractNum>
  <w:abstractNum w:abstractNumId="247">
    <w:nsid w:val="1873983A"/>
    <w:multiLevelType w:val="hybridMultilevel"/>
    <w:lvl w:ilvl="0">
      <w:lvlJc w:val="left"/>
      <w:lvlText w:val="3"/>
      <w:numFmt w:val="bullet"/>
      <w:start w:val="1"/>
    </w:lvl>
  </w:abstractNum>
  <w:abstractNum w:abstractNumId="248">
    <w:nsid w:val="3D2DD275"/>
    <w:multiLevelType w:val="hybridMultilevel"/>
    <w:lvl w:ilvl="0">
      <w:lvlJc w:val="left"/>
      <w:lvlText w:val="4"/>
      <w:numFmt w:val="bullet"/>
      <w:start w:val="1"/>
    </w:lvl>
  </w:abstractNum>
  <w:abstractNum w:abstractNumId="249">
    <w:nsid w:val="2E17ECA7"/>
    <w:multiLevelType w:val="hybridMultilevel"/>
    <w:lvl w:ilvl="0">
      <w:lvlJc w:val="left"/>
      <w:lvlText w:val="5"/>
      <w:numFmt w:val="bullet"/>
      <w:start w:val="1"/>
    </w:lvl>
  </w:abstractNum>
  <w:abstractNum w:abstractNumId="250">
    <w:nsid w:val="53B2564F"/>
    <w:multiLevelType w:val="hybridMultilevel"/>
    <w:lvl w:ilvl="0">
      <w:lvlJc w:val="left"/>
      <w:lvlText w:val="6"/>
      <w:numFmt w:val="bullet"/>
      <w:start w:val="1"/>
    </w:lvl>
  </w:abstractNum>
  <w:abstractNum w:abstractNumId="251">
    <w:nsid w:val="75509D76"/>
    <w:multiLevelType w:val="hybridMultilevel"/>
    <w:lvl w:ilvl="0">
      <w:lvlJc w:val="left"/>
      <w:lvlText w:val="7"/>
      <w:numFmt w:val="bullet"/>
      <w:start w:val="1"/>
    </w:lvl>
  </w:abstractNum>
  <w:abstractNum w:abstractNumId="252">
    <w:nsid w:val="1AF7F0EA"/>
    <w:multiLevelType w:val="hybridMultilevel"/>
    <w:lvl w:ilvl="0">
      <w:lvlJc w:val="left"/>
      <w:lvlText w:val="8"/>
      <w:numFmt w:val="bullet"/>
      <w:start w:val="1"/>
    </w:lvl>
  </w:abstractNum>
  <w:abstractNum w:abstractNumId="253">
    <w:nsid w:val="4DA32C7E"/>
    <w:multiLevelType w:val="hybridMultilevel"/>
    <w:lvl w:ilvl="0">
      <w:lvlJc w:val="left"/>
      <w:lvlText w:val="9"/>
      <w:numFmt w:val="bullet"/>
      <w:start w:val="1"/>
    </w:lvl>
  </w:abstractNum>
  <w:abstractNum w:abstractNumId="254">
    <w:nsid w:val="6EC68664"/>
    <w:multiLevelType w:val="hybridMultilevel"/>
    <w:lvl w:ilvl="0">
      <w:lvlJc w:val="left"/>
      <w:lvlText w:val="%1"/>
      <w:numFmt w:val="decimal"/>
      <w:start w:val="10"/>
    </w:lvl>
  </w:abstractNum>
  <w:abstractNum w:abstractNumId="255">
    <w:nsid w:val="E0D31FF"/>
    <w:multiLevelType w:val="hybridMultilevel"/>
    <w:lvl w:ilvl="0">
      <w:lvlJc w:val="left"/>
      <w:lvlText w:val="(%1)"/>
      <w:numFmt w:val="lowerLetter"/>
      <w:start w:val="1"/>
    </w:lvl>
  </w:abstractNum>
  <w:abstractNum w:abstractNumId="256">
    <w:nsid w:val="2FD0AD81"/>
    <w:multiLevelType w:val="hybridMultilevel"/>
    <w:lvl w:ilvl="0">
      <w:lvlJc w:val="left"/>
      <w:lvlText w:val="(%1)"/>
      <w:numFmt w:val="lowerLetter"/>
      <w:start w:val="4"/>
    </w:lvl>
  </w:abstractNum>
  <w:abstractNum w:abstractNumId="257">
    <w:nsid w:val="1978EBEB"/>
    <w:multiLevelType w:val="hybridMultilevel"/>
    <w:lvl w:ilvl="0">
      <w:lvlJc w:val="left"/>
      <w:lvlText w:val="(%1)"/>
      <w:numFmt w:val="lowerLetter"/>
      <w:start w:val="1"/>
    </w:lvl>
  </w:abstractNum>
  <w:abstractNum w:abstractNumId="258">
    <w:nsid w:val="52C12C61"/>
    <w:multiLevelType w:val="hybridMultilevel"/>
    <w:lvl w:ilvl="0">
      <w:lvlJc w:val="left"/>
      <w:lvlText w:val="(%1)"/>
      <w:numFmt w:val="lowerLetter"/>
      <w:start w:val="2"/>
    </w:lvl>
  </w:abstractNum>
  <w:abstractNum w:abstractNumId="259">
    <w:nsid w:val="4BDD53FD"/>
    <w:multiLevelType w:val="hybridMultilevel"/>
    <w:lvl w:ilvl="0">
      <w:lvlJc w:val="left"/>
      <w:lvlText w:val="(%1)"/>
      <w:numFmt w:val="lowerLetter"/>
      <w:start w:val="1"/>
    </w:lvl>
  </w:abstractNum>
  <w:abstractNum w:abstractNumId="260">
    <w:nsid w:val="569951FE"/>
    <w:multiLevelType w:val="hybridMultilevel"/>
    <w:lvl w:ilvl="0">
      <w:lvlJc w:val="left"/>
      <w:lvlText w:val="(%1)"/>
      <w:numFmt w:val="lowerLetter"/>
      <w:start w:val="2"/>
    </w:lvl>
  </w:abstractNum>
  <w:abstractNum w:abstractNumId="261">
    <w:nsid w:val="4C54E2C3"/>
    <w:multiLevelType w:val="hybridMultilevel"/>
    <w:lvl w:ilvl="0">
      <w:lvlJc w:val="left"/>
      <w:lvlText w:val="%1."/>
      <w:numFmt w:val="decimal"/>
      <w:start w:val="4"/>
    </w:lvl>
  </w:abstractNum>
  <w:abstractNum w:abstractNumId="262">
    <w:nsid w:val="788BD9B"/>
    <w:multiLevelType w:val="hybridMultilevel"/>
    <w:lvl w:ilvl="0">
      <w:lvlJc w:val="left"/>
      <w:lvlText w:val="(%1)"/>
      <w:numFmt w:val="lowerLetter"/>
      <w:start w:val="1"/>
    </w:lvl>
  </w:abstractNum>
  <w:abstractNum w:abstractNumId="263">
    <w:nsid w:val="47CAA567"/>
    <w:multiLevelType w:val="hybridMultilevel"/>
    <w:lvl w:ilvl="0">
      <w:lvlJc w:val="left"/>
      <w:lvlText w:val="(%1)"/>
      <w:numFmt w:val="lowerLetter"/>
      <w:start w:val="2"/>
    </w:lvl>
  </w:abstractNum>
  <w:abstractNum w:abstractNumId="264">
    <w:nsid w:val="48249DBF"/>
    <w:multiLevelType w:val="hybridMultilevel"/>
    <w:lvl w:ilvl="0">
      <w:lvlJc w:val="left"/>
      <w:lvlText w:val="%1."/>
      <w:numFmt w:val="decimal"/>
      <w:start w:val="6"/>
    </w:lvl>
  </w:abstractNum>
  <w:abstractNum w:abstractNumId="265">
    <w:nsid w:val="1F0E5D0D"/>
    <w:multiLevelType w:val="hybridMultilevel"/>
    <w:lvl w:ilvl="0">
      <w:lvlJc w:val="left"/>
      <w:lvlText w:val="(%1)"/>
      <w:numFmt w:val="lowerLetter"/>
      <w:start w:val="1"/>
    </w:lvl>
  </w:abstractNum>
  <w:abstractNum w:abstractNumId="266">
    <w:nsid w:val="26BAAE9"/>
    <w:multiLevelType w:val="hybridMultilevel"/>
    <w:lvl w:ilvl="0">
      <w:lvlJc w:val="left"/>
      <w:lvlText w:val="(%1)"/>
      <w:numFmt w:val="lowerLetter"/>
      <w:start w:val="4"/>
    </w:lvl>
  </w:abstractNum>
  <w:abstractNum w:abstractNumId="267">
    <w:nsid w:val="2C02FE8C"/>
    <w:multiLevelType w:val="hybridMultilevel"/>
    <w:lvl w:ilvl="0">
      <w:lvlJc w:val="left"/>
      <w:lvlText w:val="(%1)"/>
      <w:numFmt w:val="lowerLetter"/>
      <w:start w:val="6"/>
    </w:lvl>
  </w:abstractNum>
  <w:abstractNum w:abstractNumId="268">
    <w:nsid w:val="129517E"/>
    <w:multiLevelType w:val="hybridMultilevel"/>
    <w:lvl w:ilvl="0">
      <w:lvlJc w:val="left"/>
      <w:lvlText w:val="(%1)"/>
      <w:numFmt w:val="lowerRoman"/>
      <w:start w:val="2"/>
    </w:lvl>
  </w:abstractNum>
  <w:abstractNum w:abstractNumId="269">
    <w:nsid w:val="763B8C4E"/>
    <w:multiLevelType w:val="hybridMultilevel"/>
    <w:lvl w:ilvl="0">
      <w:lvlJc w:val="left"/>
      <w:lvlText w:val="%1:"/>
      <w:numFmt w:val="lowerLetter"/>
      <w:start w:val="29"/>
    </w:lvl>
  </w:abstractNum>
  <w:abstractNum w:abstractNumId="270">
    <w:nsid w:val="4CFB8D32"/>
    <w:multiLevelType w:val="hybridMultilevel"/>
    <w:lvl w:ilvl="0">
      <w:lvlJc w:val="left"/>
      <w:lvlText w:val="%1:"/>
      <w:numFmt w:val="lowerLetter"/>
      <w:start w:val="29"/>
    </w:lvl>
  </w:abstractNum>
  <w:abstractNum w:abstractNumId="271">
    <w:nsid w:val="62A5D5BD"/>
    <w:multiLevelType w:val="hybridMultilevel"/>
    <w:lvl w:ilvl="0">
      <w:lvlJc w:val="left"/>
      <w:lvlText w:val="%1:"/>
      <w:numFmt w:val="lowerLetter"/>
      <w:start w:val="29"/>
    </w:lvl>
  </w:abstractNum>
  <w:abstractNum w:abstractNumId="272">
    <w:nsid w:val="718FABF9"/>
    <w:multiLevelType w:val="hybridMultilevel"/>
    <w:lvl w:ilvl="0">
      <w:lvlJc w:val="left"/>
      <w:lvlText w:val="%1:"/>
      <w:numFmt w:val="lowerLetter"/>
      <w:start w:val="29"/>
    </w:lvl>
  </w:abstractNum>
  <w:abstractNum w:abstractNumId="273">
    <w:nsid w:val="7775797C"/>
    <w:multiLevelType w:val="hybridMultilevel"/>
    <w:lvl w:ilvl="0">
      <w:lvlJc w:val="left"/>
      <w:lvlText w:val="(%1)"/>
      <w:numFmt w:val="upperLetter"/>
      <w:start w:val="1"/>
    </w:lvl>
  </w:abstractNum>
  <w:abstractNum w:abstractNumId="274">
    <w:nsid w:val="1626FB8C"/>
    <w:multiLevelType w:val="hybridMultilevel"/>
    <w:lvl w:ilvl="0">
      <w:lvlJc w:val="left"/>
      <w:lvlText w:val="(%1)"/>
      <w:numFmt w:val="decimal"/>
      <w:start w:val="3"/>
    </w:lvl>
  </w:abstractNum>
  <w:abstractNum w:abstractNumId="275">
    <w:nsid w:val="3957756A"/>
    <w:multiLevelType w:val="hybridMultilevel"/>
    <w:lvl w:ilvl="0">
      <w:lvlJc w:val="left"/>
      <w:lvlText w:val="(%1)"/>
      <w:numFmt w:val="decimal"/>
      <w:start w:val="7"/>
    </w:lvl>
  </w:abstractNum>
  <w:abstractNum w:abstractNumId="276">
    <w:nsid w:val="3E6DA1C7"/>
    <w:multiLevelType w:val="hybridMultilevel"/>
    <w:lvl w:ilvl="0">
      <w:lvlJc w:val="left"/>
      <w:lvlText w:val="(%1)"/>
      <w:numFmt w:val="lowerRoman"/>
      <w:start w:val="1"/>
    </w:lvl>
  </w:abstractNum>
  <w:abstractNum w:abstractNumId="277">
    <w:nsid w:val="65CA235B"/>
    <w:multiLevelType w:val="hybridMultilevel"/>
    <w:lvl w:ilvl="0">
      <w:lvlJc w:val="left"/>
      <w:lvlText w:val="(%1)"/>
      <w:numFmt w:val="lowerLetter"/>
      <w:start w:val="1"/>
    </w:lvl>
  </w:abstractNum>
  <w:abstractNum w:abstractNumId="278">
    <w:nsid w:val="51CB0DA4"/>
    <w:multiLevelType w:val="hybridMultilevel"/>
    <w:lvl w:ilvl="0">
      <w:lvlJc w:val="left"/>
      <w:lvlText w:val="(%1)"/>
      <w:numFmt w:val="lowerLetter"/>
      <w:start w:val="2"/>
    </w:lvl>
  </w:abstractNum>
  <w:abstractNum w:abstractNumId="279">
    <w:nsid w:val="7B9B743C"/>
    <w:multiLevelType w:val="hybridMultilevel"/>
    <w:lvl w:ilvl="0">
      <w:lvlJc w:val="left"/>
      <w:lvlText w:val="(%1)"/>
      <w:numFmt w:val="upperLetter"/>
      <w:start w:val="3"/>
    </w:lvl>
  </w:abstractNum>
  <w:abstractNum w:abstractNumId="280">
    <w:nsid w:val="13E21002"/>
    <w:multiLevelType w:val="hybridMultilevel"/>
    <w:lvl w:ilvl="0">
      <w:lvlJc w:val="left"/>
      <w:lvlText w:val="(%1)"/>
      <w:numFmt w:val="lowerRoman"/>
      <w:start w:val="1"/>
    </w:lvl>
  </w:abstractNum>
  <w:abstractNum w:abstractNumId="281">
    <w:nsid w:val="257D63F4"/>
    <w:multiLevelType w:val="hybridMultilevel"/>
    <w:lvl w:ilvl="0">
      <w:lvlJc w:val="left"/>
      <w:lvlText w:val="(%1)"/>
      <w:numFmt w:val="lowerRoman"/>
      <w:start w:val="1"/>
    </w:lvl>
  </w:abstractNum>
  <w:abstractNum w:abstractNumId="282">
    <w:nsid w:val="70EC11B2"/>
    <w:multiLevelType w:val="hybridMultilevel"/>
    <w:lvl w:ilvl="0">
      <w:lvlJc w:val="left"/>
      <w:lvlText w:val="(%1)"/>
      <w:numFmt w:val="lowerRoman"/>
      <w:start w:val="1"/>
    </w:lvl>
  </w:abstractNum>
  <w:abstractNum w:abstractNumId="283">
    <w:nsid w:val="2EDA00ED"/>
    <w:multiLevelType w:val="hybridMultilevel"/>
    <w:lvl w:ilvl="0">
      <w:lvlJc w:val="left"/>
      <w:lvlText w:val="(%1)"/>
      <w:numFmt w:val="lowerRoman"/>
      <w:start w:val="1"/>
    </w:lvl>
  </w:abstractNum>
  <w:abstractNum w:abstractNumId="284">
    <w:nsid w:val="73209072"/>
    <w:multiLevelType w:val="hybridMultilevel"/>
    <w:lvl w:ilvl="0">
      <w:lvlJc w:val="left"/>
      <w:lvlText w:val="(%1)"/>
      <w:numFmt w:val="lowerRoman"/>
      <w:start w:val="1"/>
    </w:lvl>
  </w:abstractNum>
  <w:abstractNum w:abstractNumId="285">
    <w:nsid w:val="5FB29816"/>
    <w:multiLevelType w:val="hybridMultilevel"/>
    <w:lvl w:ilvl="0">
      <w:lvlJc w:val="left"/>
      <w:lvlText w:val="(%1)"/>
      <w:numFmt w:val="lowerRoman"/>
      <w:start w:val="7"/>
    </w:lvl>
  </w:abstractNum>
  <w:abstractNum w:abstractNumId="286">
    <w:nsid w:val="3CE732EC"/>
    <w:multiLevelType w:val="hybridMultilevel"/>
    <w:lvl w:ilvl="0">
      <w:lvlJc w:val="left"/>
      <w:lvlText w:val="%1."/>
      <w:numFmt w:val="decimal"/>
      <w:start w:val="1"/>
    </w:lvl>
  </w:abstractNum>
  <w:abstractNum w:abstractNumId="287">
    <w:nsid w:val="22F13DF3"/>
    <w:multiLevelType w:val="hybridMultilevel"/>
    <w:lvl w:ilvl="0">
      <w:lvlJc w:val="left"/>
      <w:lvlText w:val="%1."/>
      <w:numFmt w:val="decimal"/>
      <w:start w:val="2"/>
    </w:lvl>
  </w:abstractNum>
  <w:abstractNum w:abstractNumId="288">
    <w:nsid w:val="792B8401"/>
    <w:multiLevelType w:val="hybridMultilevel"/>
    <w:lvl w:ilvl="0">
      <w:lvlJc w:val="left"/>
      <w:lvlText w:val="(%1)"/>
      <w:numFmt w:val="lowerLetter"/>
      <w:start w:val="1"/>
    </w:lvl>
    <w:lvl w:ilvl="1">
      <w:lvlJc w:val="left"/>
      <w:lvlText w:val="(%2)"/>
      <w:numFmt w:val="lowerRoman"/>
      <w:start w:val="1"/>
    </w:lvl>
  </w:abstractNum>
  <w:abstractNum w:abstractNumId="289">
    <w:nsid w:val="FA85F4D"/>
    <w:multiLevelType w:val="hybridMultilevel"/>
    <w:lvl w:ilvl="0">
      <w:lvlJc w:val="left"/>
      <w:lvlText w:val="(%1)"/>
      <w:numFmt w:val="lowerRoman"/>
      <w:start w:val="2"/>
    </w:lvl>
  </w:abstractNum>
  <w:abstractNum w:abstractNumId="290">
    <w:nsid w:val="6ECE91F0"/>
    <w:multiLevelType w:val="hybridMultilevel"/>
    <w:lvl w:ilvl="0">
      <w:lvlJc w:val="left"/>
      <w:lvlText w:val="(%1)"/>
      <w:numFmt w:val="lowerLetter"/>
      <w:start w:val="5"/>
    </w:lvl>
  </w:abstractNum>
  <w:abstractNum w:abstractNumId="291">
    <w:nsid w:val="4FC4D600"/>
    <w:multiLevelType w:val="hybridMultilevel"/>
    <w:lvl w:ilvl="0">
      <w:lvlJc w:val="left"/>
      <w:lvlText w:val="(%1)"/>
      <w:numFmt w:val="lowerLetter"/>
      <w:start w:val="12"/>
    </w:lvl>
  </w:abstractNum>
  <w:abstractNum w:abstractNumId="292">
    <w:nsid w:val="5BFD4210"/>
    <w:multiLevelType w:val="hybridMultilevel"/>
    <w:lvl w:ilvl="0">
      <w:lvlJc w:val="left"/>
      <w:lvlText w:val="%1."/>
      <w:numFmt w:val="decimal"/>
      <w:start w:val="3"/>
    </w:lvl>
  </w:abstractNum>
  <w:abstractNum w:abstractNumId="293">
    <w:nsid w:val="76574F8B"/>
    <w:multiLevelType w:val="hybridMultilevel"/>
    <w:lvl w:ilvl="0">
      <w:lvlJc w:val="left"/>
      <w:lvlText w:val="%1."/>
      <w:numFmt w:val="decimal"/>
      <w:start w:val="4"/>
    </w:lvl>
  </w:abstractNum>
  <w:abstractNum w:abstractNumId="294">
    <w:nsid w:val="178F7B67"/>
    <w:multiLevelType w:val="hybridMultilevel"/>
    <w:lvl w:ilvl="0">
      <w:lvlJc w:val="left"/>
      <w:lvlText w:val="%1."/>
      <w:numFmt w:val="decimal"/>
      <w:start w:val="5"/>
    </w:lvl>
  </w:abstractNum>
  <w:abstractNum w:abstractNumId="295">
    <w:nsid w:val="2421DFCF"/>
    <w:multiLevelType w:val="hybridMultilevel"/>
    <w:lvl w:ilvl="0">
      <w:lvlJc w:val="left"/>
      <w:lvlText w:val="%1."/>
      <w:numFmt w:val="decimal"/>
      <w:start w:val="6"/>
    </w:lvl>
  </w:abstractNum>
  <w:abstractNum w:abstractNumId="296">
    <w:nsid w:val="1565AC99"/>
    <w:multiLevelType w:val="hybridMultilevel"/>
    <w:lvl w:ilvl="0">
      <w:lvlJc w:val="left"/>
      <w:lvlText w:val="%1."/>
      <w:numFmt w:val="decimal"/>
      <w:start w:val="7"/>
    </w:lvl>
  </w:abstractNum>
  <w:abstractNum w:abstractNumId="297">
    <w:nsid w:val="19FB2650"/>
    <w:multiLevelType w:val="hybridMultilevel"/>
    <w:lvl w:ilvl="0">
      <w:lvlJc w:val="left"/>
      <w:lvlText w:val="%1."/>
      <w:numFmt w:val="decimal"/>
      <w:start w:val="8"/>
    </w:lvl>
  </w:abstractNum>
  <w:abstractNum w:abstractNumId="298">
    <w:nsid w:val="5024DE5B"/>
    <w:multiLevelType w:val="hybridMultilevel"/>
    <w:lvl w:ilvl="0">
      <w:lvlJc w:val="left"/>
      <w:lvlText w:val="(%1)"/>
      <w:numFmt w:val="lowerLetter"/>
      <w:start w:val="1"/>
    </w:lvl>
  </w:abstractNum>
  <w:abstractNum w:abstractNumId="299">
    <w:nsid w:val="168EFE17"/>
    <w:multiLevelType w:val="hybridMultilevel"/>
    <w:lvl w:ilvl="0">
      <w:lvlJc w:val="left"/>
      <w:lvlText w:val="%1."/>
      <w:numFmt w:val="decimal"/>
      <w:start w:val="9"/>
    </w:lvl>
  </w:abstractNum>
  <w:abstractNum w:abstractNumId="300">
    <w:nsid w:val="1036B29F"/>
    <w:multiLevelType w:val="hybridMultilevel"/>
    <w:lvl w:ilvl="0">
      <w:lvlJc w:val="left"/>
      <w:lvlText w:val="(%1)"/>
      <w:numFmt w:val="lowerLetter"/>
      <w:start w:val="1"/>
    </w:lvl>
  </w:abstractNum>
  <w:abstractNum w:abstractNumId="301">
    <w:nsid w:val="1D206B8E"/>
    <w:multiLevelType w:val="hybridMultilevel"/>
    <w:lvl w:ilvl="0">
      <w:lvlJc w:val="left"/>
      <w:lvlText w:val="%1."/>
      <w:numFmt w:val="decimal"/>
      <w:start w:val="10"/>
    </w:lvl>
  </w:abstractNum>
  <w:abstractNum w:abstractNumId="302">
    <w:nsid w:val="7934D3D4"/>
    <w:multiLevelType w:val="hybridMultilevel"/>
    <w:lvl w:ilvl="0">
      <w:lvlJc w:val="left"/>
      <w:lvlText w:val="(%1)"/>
      <w:numFmt w:val="lowerLetter"/>
      <w:start w:val="1"/>
    </w:lvl>
  </w:abstractNum>
  <w:abstractNum w:abstractNumId="303">
    <w:nsid w:val="1C65E98"/>
    <w:multiLevelType w:val="hybridMultilevel"/>
    <w:lvl w:ilvl="0">
      <w:lvlJc w:val="left"/>
      <w:lvlText w:val="%1."/>
      <w:numFmt w:val="decimal"/>
      <w:start w:val="11"/>
    </w:lvl>
  </w:abstractNum>
  <w:abstractNum w:abstractNumId="304">
    <w:nsid w:val="1495E50A"/>
    <w:multiLevelType w:val="hybridMultilevel"/>
    <w:lvl w:ilvl="0">
      <w:lvlJc w:val="left"/>
      <w:lvlText w:val="(%1)"/>
      <w:numFmt w:val="lowerLetter"/>
      <w:start w:val="1"/>
    </w:lvl>
  </w:abstractNum>
  <w:abstractNum w:abstractNumId="305">
    <w:nsid w:val="F5BCF61"/>
    <w:multiLevelType w:val="hybridMultilevel"/>
    <w:lvl w:ilvl="0">
      <w:lvlJc w:val="left"/>
      <w:lvlText w:val="(%1)"/>
      <w:numFmt w:val="lowerLetter"/>
      <w:start w:val="2"/>
    </w:lvl>
  </w:abstractNum>
  <w:abstractNum w:abstractNumId="306">
    <w:nsid w:val="3B1DD403"/>
    <w:multiLevelType w:val="hybridMultilevel"/>
    <w:lvl w:ilvl="0">
      <w:lvlJc w:val="left"/>
      <w:lvlText w:val="%1."/>
      <w:numFmt w:val="decimal"/>
      <w:start w:val="12"/>
    </w:lvl>
  </w:abstractNum>
  <w:abstractNum w:abstractNumId="307">
    <w:nsid w:val="530386D1"/>
    <w:multiLevelType w:val="hybridMultilevel"/>
    <w:lvl w:ilvl="0">
      <w:lvlJc w:val="left"/>
      <w:lvlText w:val="(%1)"/>
      <w:numFmt w:val="lowerLetter"/>
      <w:start w:val="1"/>
    </w:lvl>
  </w:abstractNum>
  <w:abstractNum w:abstractNumId="308">
    <w:nsid w:val="7525F2BC"/>
    <w:multiLevelType w:val="hybridMultilevel"/>
    <w:lvl w:ilvl="0">
      <w:lvlJc w:val="left"/>
      <w:lvlText w:val="(%1)"/>
      <w:numFmt w:val="lowerLetter"/>
      <w:start w:val="3"/>
    </w:lvl>
  </w:abstractNum>
  <w:abstractNum w:abstractNumId="309">
    <w:nsid w:val="CE8E1A7"/>
    <w:multiLevelType w:val="hybridMultilevel"/>
    <w:lvl w:ilvl="0">
      <w:lvlJc w:val="left"/>
      <w:lvlText w:val="%1."/>
      <w:numFmt w:val="decimal"/>
      <w:start w:val="13"/>
    </w:lvl>
  </w:abstractNum>
  <w:abstractNum w:abstractNumId="310">
    <w:nsid w:val="4E9EFB0D"/>
    <w:multiLevelType w:val="hybridMultilevel"/>
    <w:lvl w:ilvl="0">
      <w:lvlJc w:val="left"/>
      <w:lvlText w:val="(%1)"/>
      <w:numFmt w:val="lowerLetter"/>
      <w:start w:val="1"/>
    </w:lvl>
  </w:abstractNum>
  <w:abstractNum w:abstractNumId="311">
    <w:nsid w:val="90802BE"/>
    <w:multiLevelType w:val="hybridMultilevel"/>
    <w:lvl w:ilvl="0">
      <w:lvlJc w:val="left"/>
      <w:lvlText w:val="(%1)"/>
      <w:numFmt w:val="lowerLetter"/>
      <w:start w:val="3"/>
    </w:lvl>
  </w:abstractNum>
  <w:abstractNum w:abstractNumId="312">
    <w:nsid w:val="3266459B"/>
    <w:multiLevelType w:val="hybridMultilevel"/>
    <w:lvl w:ilvl="0">
      <w:lvlJc w:val="left"/>
      <w:lvlText w:val="%1."/>
      <w:numFmt w:val="decimal"/>
      <w:start w:val="14"/>
    </w:lvl>
  </w:abstractNum>
  <w:abstractNum w:abstractNumId="313">
    <w:nsid w:val="3F8B0CBF"/>
    <w:multiLevelType w:val="hybridMultilevel"/>
    <w:lvl w:ilvl="0">
      <w:lvlJc w:val="left"/>
      <w:lvlText w:val="(%1)"/>
      <w:numFmt w:val="lowerLetter"/>
      <w:start w:val="1"/>
    </w:lvl>
  </w:abstractNum>
  <w:abstractNum w:abstractNumId="314">
    <w:nsid w:val="37E203AB"/>
    <w:multiLevelType w:val="hybridMultilevel"/>
    <w:lvl w:ilvl="0">
      <w:lvlJc w:val="left"/>
      <w:lvlText w:val="(%1)"/>
      <w:numFmt w:val="lowerLetter"/>
      <w:start w:val="2"/>
    </w:lvl>
  </w:abstractNum>
  <w:abstractNum w:abstractNumId="315">
    <w:nsid w:val="2586D60E"/>
    <w:multiLevelType w:val="hybridMultilevel"/>
    <w:lvl w:ilvl="0">
      <w:lvlJc w:val="left"/>
      <w:lvlText w:val="(%1)"/>
      <w:numFmt w:val="lowerLetter"/>
      <w:start w:val="6"/>
    </w:lvl>
  </w:abstractNum>
  <w:abstractNum w:abstractNumId="316">
    <w:nsid w:val="1F3DA4D5"/>
    <w:multiLevelType w:val="hybridMultilevel"/>
    <w:lvl w:ilvl="0">
      <w:lvlJc w:val="left"/>
      <w:lvlText w:val="%1."/>
      <w:numFmt w:val="decimal"/>
      <w:start w:val="15"/>
    </w:lvl>
  </w:abstractNum>
  <w:abstractNum w:abstractNumId="317">
    <w:nsid w:val="74C93698"/>
    <w:multiLevelType w:val="hybridMultilevel"/>
    <w:lvl w:ilvl="0">
      <w:lvlJc w:val="left"/>
      <w:lvlText w:val="%1."/>
      <w:numFmt w:val="decimal"/>
      <w:start w:val="16"/>
    </w:lvl>
  </w:abstractNum>
  <w:abstractNum w:abstractNumId="318">
    <w:nsid w:val="48781401"/>
    <w:multiLevelType w:val="hybridMultilevel"/>
    <w:lvl w:ilvl="0">
      <w:lvlJc w:val="left"/>
      <w:lvlText w:val="(%1)"/>
      <w:numFmt w:val="lowerLetter"/>
      <w:start w:val="1"/>
    </w:lvl>
  </w:abstractNum>
  <w:abstractNum w:abstractNumId="319">
    <w:nsid w:val="186928D6"/>
    <w:multiLevelType w:val="hybridMultilevel"/>
    <w:lvl w:ilvl="0">
      <w:lvlJc w:val="left"/>
      <w:lvlText w:val="(%1)"/>
      <w:numFmt w:val="lowerLetter"/>
      <w:start w:val="2"/>
    </w:lvl>
  </w:abstractNum>
  <w:abstractNum w:abstractNumId="320">
    <w:nsid w:val="47195E5"/>
    <w:multiLevelType w:val="hybridMultilevel"/>
    <w:lvl w:ilvl="0">
      <w:lvlJc w:val="left"/>
      <w:lvlText w:val="(%1)"/>
      <w:numFmt w:val="lowerLetter"/>
      <w:start w:val="6"/>
    </w:lvl>
  </w:abstractNum>
  <w:abstractNum w:abstractNumId="321">
    <w:nsid w:val="3746A5F2"/>
    <w:multiLevelType w:val="hybridMultilevel"/>
    <w:lvl w:ilvl="0">
      <w:lvlJc w:val="left"/>
      <w:lvlText w:val="%1."/>
      <w:numFmt w:val="decimal"/>
      <w:start w:val="17"/>
    </w:lvl>
  </w:abstractNum>
  <w:abstractNum w:abstractNumId="322">
    <w:nsid w:val="682DFED6"/>
    <w:multiLevelType w:val="hybridMultilevel"/>
    <w:lvl w:ilvl="0">
      <w:lvlJc w:val="left"/>
      <w:lvlText w:val="%1."/>
      <w:numFmt w:val="decimal"/>
      <w:start w:val="18"/>
    </w:lvl>
  </w:abstractNum>
  <w:abstractNum w:abstractNumId="323">
    <w:nsid w:val="606ED7F6"/>
    <w:multiLevelType w:val="hybridMultilevel"/>
    <w:lvl w:ilvl="0">
      <w:lvlJc w:val="left"/>
      <w:lvlText w:val="%1."/>
      <w:numFmt w:val="decimal"/>
      <w:start w:val="19"/>
    </w:lvl>
  </w:abstractNum>
  <w:abstractNum w:abstractNumId="324">
    <w:nsid w:val="2D9DF57D"/>
    <w:multiLevelType w:val="hybridMultilevel"/>
    <w:lvl w:ilvl="0">
      <w:lvlJc w:val="left"/>
      <w:lvlText w:val="(%1)"/>
      <w:numFmt w:val="lowerLetter"/>
      <w:start w:val="1"/>
    </w:lvl>
  </w:abstractNum>
  <w:abstractNum w:abstractNumId="325">
    <w:nsid w:val="7FBD7A3E"/>
    <w:multiLevelType w:val="hybridMultilevel"/>
    <w:lvl w:ilvl="0">
      <w:lvlJc w:val="left"/>
      <w:lvlText w:val="%1."/>
      <w:numFmt w:val="decimal"/>
      <w:start w:val="20"/>
    </w:lvl>
  </w:abstractNum>
  <w:abstractNum w:abstractNumId="326">
    <w:nsid w:val="490B7C5"/>
    <w:multiLevelType w:val="hybridMultilevel"/>
    <w:lvl w:ilvl="0">
      <w:lvlJc w:val="left"/>
      <w:lvlText w:val="%1."/>
      <w:numFmt w:val="decimal"/>
      <w:start w:val="21"/>
    </w:lvl>
  </w:abstractNum>
  <w:abstractNum w:abstractNumId="327">
    <w:nsid w:val="4303A216"/>
    <w:multiLevelType w:val="hybridMultilevel"/>
    <w:lvl w:ilvl="0">
      <w:lvlJc w:val="left"/>
      <w:lvlText w:val="(%1)"/>
      <w:numFmt w:val="lowerRoman"/>
      <w:start w:val="1"/>
    </w:lvl>
  </w:abstractNum>
  <w:abstractNum w:abstractNumId="328">
    <w:nsid w:val="19B8A08E"/>
    <w:multiLevelType w:val="hybridMultilevel"/>
    <w:lvl w:ilvl="0">
      <w:lvlJc w:val="left"/>
      <w:lvlText w:val="(%1)"/>
      <w:numFmt w:val="lowerLetter"/>
      <w:start w:val="1"/>
    </w:lvl>
  </w:abstractNum>
  <w:abstractNum w:abstractNumId="329">
    <w:nsid w:val="54B59621"/>
    <w:multiLevelType w:val="hybridMultilevel"/>
    <w:lvl w:ilvl="0">
      <w:lvlJc w:val="left"/>
      <w:lvlText w:val="%1."/>
      <w:numFmt w:val="decimal"/>
      <w:start w:val="22"/>
    </w:lvl>
  </w:abstractNum>
  <w:abstractNum w:abstractNumId="330">
    <w:nsid w:val="5992A02E"/>
    <w:multiLevelType w:val="hybridMultilevel"/>
    <w:lvl w:ilvl="0">
      <w:lvlJc w:val="left"/>
      <w:lvlText w:val="%1."/>
      <w:numFmt w:val="decimal"/>
      <w:start w:val="23"/>
    </w:lvl>
  </w:abstractNum>
  <w:abstractNum w:abstractNumId="331">
    <w:nsid w:val="29EF532D"/>
    <w:multiLevelType w:val="hybridMultilevel"/>
    <w:lvl w:ilvl="0">
      <w:lvlJc w:val="left"/>
      <w:lvlText w:val="%1."/>
      <w:numFmt w:val="decimal"/>
      <w:start w:val="24"/>
    </w:lvl>
  </w:abstractNum>
  <w:abstractNum w:abstractNumId="332">
    <w:nsid w:val="71D601AF"/>
    <w:multiLevelType w:val="hybridMultilevel"/>
    <w:lvl w:ilvl="0">
      <w:lvlJc w:val="left"/>
      <w:lvlText w:val="%1."/>
      <w:numFmt w:val="decimal"/>
      <w:start w:val="25"/>
    </w:lvl>
  </w:abstractNum>
  <w:abstractNum w:abstractNumId="333">
    <w:nsid w:val="52C77402"/>
    <w:multiLevelType w:val="hybridMultilevel"/>
    <w:lvl w:ilvl="0">
      <w:lvlJc w:val="left"/>
      <w:lvlText w:val="%1."/>
      <w:numFmt w:val="decimal"/>
      <w:start w:val="26"/>
    </w:lvl>
  </w:abstractNum>
  <w:abstractNum w:abstractNumId="334">
    <w:nsid w:val="2BB5B1C6"/>
    <w:multiLevelType w:val="hybridMultilevel"/>
    <w:lvl w:ilvl="0">
      <w:lvlJc w:val="left"/>
      <w:lvlText w:val="%1."/>
      <w:numFmt w:val="decimal"/>
      <w:start w:val="27"/>
    </w:lvl>
  </w:abstractNum>
  <w:abstractNum w:abstractNumId="335">
    <w:nsid w:val="66BE6B9"/>
    <w:multiLevelType w:val="hybridMultilevel"/>
    <w:lvl w:ilvl="0">
      <w:lvlJc w:val="left"/>
      <w:lvlText w:val="%1."/>
      <w:numFmt w:val="decimal"/>
      <w:start w:val="28"/>
    </w:lvl>
  </w:abstractNum>
  <w:abstractNum w:abstractNumId="336">
    <w:nsid w:val="622343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37">
    <w:nsid w:val="66D385C9"/>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338">
    <w:nsid w:val="596F6D8A"/>
    <w:multiLevelType w:val="hybridMultilevel"/>
    <w:lvl w:ilvl="0">
      <w:lvlJc w:val="left"/>
      <w:lvlText w:val="%1"/>
      <w:numFmt w:val="decimal"/>
      <w:start w:val="1"/>
    </w:lvl>
    <w:lvl w:ilvl="1">
      <w:lvlJc w:val="left"/>
      <w:lvlText w:val="(%2)"/>
      <w:numFmt w:val="lowerLetter"/>
      <w:start w:val="3"/>
    </w:lvl>
  </w:abstractNum>
  <w:abstractNum w:abstractNumId="339">
    <w:nsid w:val="5749361F"/>
    <w:multiLevelType w:val="hybridMultilevel"/>
    <w:lvl w:ilvl="0">
      <w:lvlJc w:val="left"/>
      <w:lvlText w:val="%1."/>
      <w:numFmt w:val="decimal"/>
      <w:start w:val="6"/>
    </w:lvl>
    <w:lvl w:ilvl="1">
      <w:lvlJc w:val="left"/>
      <w:lvlText w:val="(%2)"/>
      <w:numFmt w:val="lowerLetter"/>
      <w:start w:val="1"/>
    </w:lvl>
  </w:abstractNum>
  <w:abstractNum w:abstractNumId="340">
    <w:nsid w:val="73BC6770"/>
    <w:multiLevelType w:val="hybridMultilevel"/>
    <w:lvl w:ilvl="0">
      <w:lvlJc w:val="left"/>
      <w:lvlText w:val="%1."/>
      <w:numFmt w:val="decimal"/>
      <w:start w:val="7"/>
    </w:lvl>
  </w:abstractNum>
  <w:abstractNum w:abstractNumId="341">
    <w:nsid w:val="280E6897"/>
    <w:multiLevelType w:val="hybridMultilevel"/>
    <w:lvl w:ilvl="0">
      <w:lvlJc w:val="left"/>
      <w:lvlText w:val="%1."/>
      <w:numFmt w:val="decimal"/>
      <w:start w:val="12"/>
    </w:lvl>
  </w:abstractNum>
  <w:abstractNum w:abstractNumId="342">
    <w:nsid w:val="605138DE"/>
    <w:multiLevelType w:val="hybridMultilevel"/>
    <w:lvl w:ilvl="0">
      <w:lvlJc w:val="left"/>
      <w:lvlText w:val="%1."/>
      <w:numFmt w:val="decimal"/>
      <w:start w:val="1"/>
    </w:lvl>
  </w:abstractNum>
  <w:abstractNum w:abstractNumId="343">
    <w:nsid w:val="2622AD0C"/>
    <w:multiLevelType w:val="hybridMultilevel"/>
    <w:lvl w:ilvl="0">
      <w:lvlJc w:val="left"/>
      <w:lvlText w:val="%1."/>
      <w:numFmt w:val="decimal"/>
      <w:start w:val="2"/>
    </w:lvl>
  </w:abstractNum>
  <w:abstractNum w:abstractNumId="344">
    <w:nsid w:val="67997556"/>
    <w:multiLevelType w:val="hybridMultilevel"/>
    <w:lvl w:ilvl="0">
      <w:lvlJc w:val="left"/>
      <w:lvlText w:val="(%1)"/>
      <w:numFmt w:val="lowerRoman"/>
      <w:start w:val="2"/>
    </w:lvl>
  </w:abstractNum>
  <w:abstractNum w:abstractNumId="345">
    <w:nsid w:val="18333C89"/>
    <w:multiLevelType w:val="hybridMultilevel"/>
    <w:lvl w:ilvl="0">
      <w:lvlJc w:val="left"/>
      <w:lvlText w:val="%1."/>
      <w:numFmt w:val="decimal"/>
      <w:start w:val="3"/>
    </w:lvl>
  </w:abstractNum>
  <w:abstractNum w:abstractNumId="346">
    <w:nsid w:val="4BA9831A"/>
    <w:multiLevelType w:val="hybridMultilevel"/>
    <w:lvl w:ilvl="0">
      <w:lvlJc w:val="left"/>
      <w:lvlText w:val="%1."/>
      <w:numFmt w:val="decimal"/>
      <w:start w:val="4"/>
    </w:lvl>
  </w:abstractNum>
  <w:abstractNum w:abstractNumId="347">
    <w:nsid w:val="6D71A2B"/>
    <w:multiLevelType w:val="hybridMultilevel"/>
    <w:lvl w:ilvl="0">
      <w:lvlJc w:val="left"/>
      <w:lvlText w:val="%1."/>
      <w:numFmt w:val="decimal"/>
      <w:start w:val="5"/>
    </w:lvl>
  </w:abstractNum>
  <w:abstractNum w:abstractNumId="348">
    <w:nsid w:val="CFC7321"/>
    <w:multiLevelType w:val="hybridMultilevel"/>
    <w:lvl w:ilvl="0">
      <w:lvlJc w:val="left"/>
      <w:lvlText w:val="(%1)"/>
      <w:numFmt w:val="lowerLetter"/>
      <w:start w:val="2"/>
    </w:lvl>
  </w:abstractNum>
  <w:abstractNum w:abstractNumId="349">
    <w:nsid w:val="1421971B"/>
    <w:multiLevelType w:val="hybridMultilevel"/>
    <w:lvl w:ilvl="0">
      <w:lvlJc w:val="left"/>
      <w:lvlText w:val="%1."/>
      <w:numFmt w:val="decimal"/>
      <w:start w:val="6"/>
    </w:lvl>
  </w:abstractNum>
  <w:abstractNum w:abstractNumId="350">
    <w:nsid w:val="1F404301"/>
    <w:multiLevelType w:val="hybridMultilevel"/>
    <w:lvl w:ilvl="0">
      <w:lvlJc w:val="left"/>
      <w:lvlText w:val="(%1)"/>
      <w:numFmt w:val="decimal"/>
      <w:start w:val="1"/>
    </w:lvl>
  </w:abstractNum>
  <w:abstractNum w:abstractNumId="351">
    <w:nsid w:val="116E0907"/>
    <w:multiLevelType w:val="hybridMultilevel"/>
    <w:lvl w:ilvl="0">
      <w:lvlJc w:val="left"/>
      <w:lvlText w:val="%1."/>
      <w:numFmt w:val="decimal"/>
      <w:start w:val="7"/>
    </w:lvl>
  </w:abstractNum>
  <w:abstractNum w:abstractNumId="352">
    <w:nsid w:val="4B683D0D"/>
    <w:multiLevelType w:val="hybridMultilevel"/>
    <w:lvl w:ilvl="0">
      <w:lvlJc w:val="left"/>
      <w:lvlText w:val="%1."/>
      <w:numFmt w:val="decimal"/>
      <w:start w:val="1"/>
    </w:lvl>
  </w:abstractNum>
  <w:abstractNum w:abstractNumId="353">
    <w:nsid w:val="76E41D8"/>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54">
    <w:nsid w:val="71DCE0FD"/>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1"/>
    </w:lvl>
  </w:abstractNum>
  <w:abstractNum w:abstractNumId="355">
    <w:nsid w:val="7906328B"/>
    <w:multiLevelType w:val="hybridMultilevel"/>
    <w:lvl w:ilvl="0">
      <w:lvlJc w:val="left"/>
      <w:lvlText w:val="%1."/>
      <w:numFmt w:val="decimal"/>
      <w:start w:val="4"/>
    </w:lvl>
    <w:lvl w:ilvl="1">
      <w:lvlJc w:val="left"/>
      <w:lvlText w:val="(%2)"/>
      <w:numFmt w:val="lowerLetter"/>
      <w:start w:val="1"/>
    </w:lvl>
  </w:abstractNum>
  <w:abstractNum w:abstractNumId="356">
    <w:nsid w:val="72BBC16"/>
    <w:multiLevelType w:val="hybridMultilevel"/>
    <w:lvl w:ilvl="0">
      <w:lvlJc w:val="left"/>
      <w:lvlText w:val="%1"/>
      <w:numFmt w:val="lowerLetter"/>
      <w:start w:val="1"/>
    </w:lvl>
    <w:lvl w:ilvl="1">
      <w:lvlJc w:val="left"/>
      <w:lvlText w:val="%2."/>
      <w:numFmt w:val="decimal"/>
      <w:start w:val="6"/>
    </w:lvl>
  </w:abstractNum>
  <w:abstractNum w:abstractNumId="357">
    <w:nsid w:val="766D98C2"/>
    <w:multiLevelType w:val="hybridMultilevel"/>
    <w:lvl w:ilvl="0">
      <w:lvlJc w:val="left"/>
      <w:lvlText w:val="(%1)"/>
      <w:numFmt w:val="lowerLetter"/>
      <w:start w:val="25"/>
    </w:lvl>
    <w:lvl w:ilvl="1">
      <w:lvlJc w:val="left"/>
      <w:lvlText w:val="%2"/>
      <w:numFmt w:val="decimal"/>
      <w:start w:val="1"/>
    </w:lvl>
  </w:abstractNum>
  <w:abstractNum w:abstractNumId="358">
    <w:nsid w:val="3C09D4A1"/>
    <w:multiLevelType w:val="hybridMultilevel"/>
    <w:lvl w:ilvl="0">
      <w:lvlJc w:val="left"/>
      <w:lvlText w:val="%1."/>
      <w:numFmt w:val="decimal"/>
      <w:start w:val="11"/>
    </w:lvl>
  </w:abstractNum>
  <w:abstractNum w:abstractNumId="359">
    <w:nsid w:val="20E45CA4"/>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jpe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jpeg"/><Relationship Id="rId303" Type="http://schemas.openxmlformats.org/officeDocument/2006/relationships/image" Target="media/image291.jpe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396" Type="http://schemas.openxmlformats.org/officeDocument/2006/relationships/image" Target="media/image384.png"/><Relationship Id="rId397" Type="http://schemas.openxmlformats.org/officeDocument/2006/relationships/image" Target="media/image385.png"/><Relationship Id="rId398" Type="http://schemas.openxmlformats.org/officeDocument/2006/relationships/image" Target="media/image386.png"/><Relationship Id="rId399" Type="http://schemas.openxmlformats.org/officeDocument/2006/relationships/image" Target="media/image387.png"/><Relationship Id="rId400" Type="http://schemas.openxmlformats.org/officeDocument/2006/relationships/image" Target="media/image388.png"/><Relationship Id="rId401" Type="http://schemas.openxmlformats.org/officeDocument/2006/relationships/image" Target="media/image389.png"/><Relationship Id="rId402" Type="http://schemas.openxmlformats.org/officeDocument/2006/relationships/image" Target="media/image390.png"/><Relationship Id="rId403" Type="http://schemas.openxmlformats.org/officeDocument/2006/relationships/image" Target="media/image391.png"/><Relationship Id="rId404" Type="http://schemas.openxmlformats.org/officeDocument/2006/relationships/image" Target="media/image392.png"/><Relationship Id="rId405" Type="http://schemas.openxmlformats.org/officeDocument/2006/relationships/image" Target="media/image393.png"/><Relationship Id="rId406" Type="http://schemas.openxmlformats.org/officeDocument/2006/relationships/image" Target="media/image394.png"/><Relationship Id="rId407" Type="http://schemas.openxmlformats.org/officeDocument/2006/relationships/image" Target="media/image395.png"/><Relationship Id="rId408"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pn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jpeg"/><Relationship Id="rId417" Type="http://schemas.openxmlformats.org/officeDocument/2006/relationships/image" Target="media/image405.png"/><Relationship Id="rId418" Type="http://schemas.openxmlformats.org/officeDocument/2006/relationships/image" Target="media/image406.png"/><Relationship Id="rId419" Type="http://schemas.openxmlformats.org/officeDocument/2006/relationships/image" Target="media/image407.png"/><Relationship Id="rId420" Type="http://schemas.openxmlformats.org/officeDocument/2006/relationships/image" Target="media/image408.jpeg"/><Relationship Id="rId421" Type="http://schemas.openxmlformats.org/officeDocument/2006/relationships/image" Target="media/image409.png"/><Relationship Id="rId422" Type="http://schemas.openxmlformats.org/officeDocument/2006/relationships/image" Target="media/image410.png"/><Relationship Id="rId423" Type="http://schemas.openxmlformats.org/officeDocument/2006/relationships/image" Target="media/image411.png"/><Relationship Id="rId424" Type="http://schemas.openxmlformats.org/officeDocument/2006/relationships/image" Target="media/image412.png"/><Relationship Id="rId425" Type="http://schemas.openxmlformats.org/officeDocument/2006/relationships/image" Target="media/image413.png"/><Relationship Id="rId426" Type="http://schemas.openxmlformats.org/officeDocument/2006/relationships/image" Target="media/image414.png"/><Relationship Id="rId427" Type="http://schemas.openxmlformats.org/officeDocument/2006/relationships/image" Target="media/image415.png"/><Relationship Id="rId428" Type="http://schemas.openxmlformats.org/officeDocument/2006/relationships/image" Target="media/image416.png"/><Relationship Id="rId429" Type="http://schemas.openxmlformats.org/officeDocument/2006/relationships/image" Target="media/image417.png"/><Relationship Id="rId430" Type="http://schemas.openxmlformats.org/officeDocument/2006/relationships/image" Target="media/image418.png"/><Relationship Id="rId431" Type="http://schemas.openxmlformats.org/officeDocument/2006/relationships/image" Target="media/image419.png"/><Relationship Id="rId432" Type="http://schemas.openxmlformats.org/officeDocument/2006/relationships/image" Target="media/image420.pn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37" Type="http://schemas.openxmlformats.org/officeDocument/2006/relationships/image" Target="media/image425.png"/><Relationship Id="rId438" Type="http://schemas.openxmlformats.org/officeDocument/2006/relationships/image" Target="media/image426.png"/><Relationship Id="rId439" Type="http://schemas.openxmlformats.org/officeDocument/2006/relationships/image" Target="media/image427.png"/><Relationship Id="rId440" Type="http://schemas.openxmlformats.org/officeDocument/2006/relationships/image" Target="media/image428.png"/><Relationship Id="rId441" Type="http://schemas.openxmlformats.org/officeDocument/2006/relationships/image" Target="media/image429.png"/><Relationship Id="rId442" Type="http://schemas.openxmlformats.org/officeDocument/2006/relationships/image" Target="media/image430.png"/><Relationship Id="rId443" Type="http://schemas.openxmlformats.org/officeDocument/2006/relationships/image" Target="media/image431.png"/><Relationship Id="rId444" Type="http://schemas.openxmlformats.org/officeDocument/2006/relationships/image" Target="media/image432.png"/><Relationship Id="rId445" Type="http://schemas.openxmlformats.org/officeDocument/2006/relationships/image" Target="media/image433.png"/><Relationship Id="rId446" Type="http://schemas.openxmlformats.org/officeDocument/2006/relationships/image" Target="media/image434.png"/><Relationship Id="rId447" Type="http://schemas.openxmlformats.org/officeDocument/2006/relationships/image" Target="media/image435.png"/><Relationship Id="rId448" Type="http://schemas.openxmlformats.org/officeDocument/2006/relationships/image" Target="media/image436.png"/><Relationship Id="rId449" Type="http://schemas.openxmlformats.org/officeDocument/2006/relationships/image" Target="media/image437.png"/><Relationship Id="rId450" Type="http://schemas.openxmlformats.org/officeDocument/2006/relationships/image" Target="media/image438.png"/><Relationship Id="rId451" Type="http://schemas.openxmlformats.org/officeDocument/2006/relationships/image" Target="media/image439.png"/><Relationship Id="rId452" Type="http://schemas.openxmlformats.org/officeDocument/2006/relationships/image" Target="media/image440.png"/><Relationship Id="rId453" Type="http://schemas.openxmlformats.org/officeDocument/2006/relationships/image" Target="media/image441.png"/><Relationship Id="rId454" Type="http://schemas.openxmlformats.org/officeDocument/2006/relationships/image" Target="media/image442.png"/><Relationship Id="rId455" Type="http://schemas.openxmlformats.org/officeDocument/2006/relationships/image" Target="media/image443.png"/><Relationship Id="rId456" Type="http://schemas.openxmlformats.org/officeDocument/2006/relationships/image" Target="media/image444.png"/><Relationship Id="rId457" Type="http://schemas.openxmlformats.org/officeDocument/2006/relationships/image" Target="media/image445.png"/><Relationship Id="rId458" Type="http://schemas.openxmlformats.org/officeDocument/2006/relationships/image" Target="media/image446.png"/><Relationship Id="rId459" Type="http://schemas.openxmlformats.org/officeDocument/2006/relationships/image" Target="media/image447.png"/><Relationship Id="rId460" Type="http://schemas.openxmlformats.org/officeDocument/2006/relationships/image" Target="media/image448.png"/><Relationship Id="rId461" Type="http://schemas.openxmlformats.org/officeDocument/2006/relationships/image" Target="media/image449.png"/><Relationship Id="rId462" Type="http://schemas.openxmlformats.org/officeDocument/2006/relationships/image" Target="media/image450.png"/><Relationship Id="rId463" Type="http://schemas.openxmlformats.org/officeDocument/2006/relationships/image" Target="media/image451.png"/><Relationship Id="rId464" Type="http://schemas.openxmlformats.org/officeDocument/2006/relationships/image" Target="media/image452.png"/><Relationship Id="rId465" Type="http://schemas.openxmlformats.org/officeDocument/2006/relationships/image" Target="media/image453.png"/><Relationship Id="rId466" Type="http://schemas.openxmlformats.org/officeDocument/2006/relationships/image" Target="media/image454.png"/><Relationship Id="rId467" Type="http://schemas.openxmlformats.org/officeDocument/2006/relationships/image" Target="media/image455.png"/><Relationship Id="rId468" Type="http://schemas.openxmlformats.org/officeDocument/2006/relationships/image" Target="media/image456.png"/><Relationship Id="rId469" Type="http://schemas.openxmlformats.org/officeDocument/2006/relationships/image" Target="media/image457.png"/><Relationship Id="rId470" Type="http://schemas.openxmlformats.org/officeDocument/2006/relationships/image" Target="media/image458.png"/><Relationship Id="rId471" Type="http://schemas.openxmlformats.org/officeDocument/2006/relationships/image" Target="media/image459.png"/><Relationship Id="rId472" Type="http://schemas.openxmlformats.org/officeDocument/2006/relationships/image" Target="media/image460.png"/><Relationship Id="rId473" Type="http://schemas.openxmlformats.org/officeDocument/2006/relationships/image" Target="media/image461.png"/><Relationship Id="rId474" Type="http://schemas.openxmlformats.org/officeDocument/2006/relationships/image" Target="media/image462.png"/><Relationship Id="rId475" Type="http://schemas.openxmlformats.org/officeDocument/2006/relationships/image" Target="media/image463.png"/><Relationship Id="rId476" Type="http://schemas.openxmlformats.org/officeDocument/2006/relationships/image" Target="media/image464.png"/><Relationship Id="rId477" Type="http://schemas.openxmlformats.org/officeDocument/2006/relationships/image" Target="media/image465.png"/><Relationship Id="rId478" Type="http://schemas.openxmlformats.org/officeDocument/2006/relationships/image" Target="media/image466.png"/><Relationship Id="rId479" Type="http://schemas.openxmlformats.org/officeDocument/2006/relationships/image" Target="media/image467.png"/><Relationship Id="rId480" Type="http://schemas.openxmlformats.org/officeDocument/2006/relationships/image" Target="media/image468.png"/><Relationship Id="rId481" Type="http://schemas.openxmlformats.org/officeDocument/2006/relationships/image" Target="media/image469.png"/><Relationship Id="rId482" Type="http://schemas.openxmlformats.org/officeDocument/2006/relationships/image" Target="media/image470.png"/><Relationship Id="rId483" Type="http://schemas.openxmlformats.org/officeDocument/2006/relationships/image" Target="media/image471.png"/><Relationship Id="rId484" Type="http://schemas.openxmlformats.org/officeDocument/2006/relationships/image" Target="media/image472.png"/><Relationship Id="rId485" Type="http://schemas.openxmlformats.org/officeDocument/2006/relationships/image" Target="media/image473.png"/><Relationship Id="rId486" Type="http://schemas.openxmlformats.org/officeDocument/2006/relationships/image" Target="media/image474.png"/><Relationship Id="rId487" Type="http://schemas.openxmlformats.org/officeDocument/2006/relationships/image" Target="media/image475.png"/><Relationship Id="rId488" Type="http://schemas.openxmlformats.org/officeDocument/2006/relationships/image" Target="media/image476.png"/><Relationship Id="rId489" Type="http://schemas.openxmlformats.org/officeDocument/2006/relationships/image" Target="media/image477.png"/><Relationship Id="rId490" Type="http://schemas.openxmlformats.org/officeDocument/2006/relationships/image" Target="media/image478.png"/><Relationship Id="rId491" Type="http://schemas.openxmlformats.org/officeDocument/2006/relationships/image" Target="media/image479.png"/><Relationship Id="rId492" Type="http://schemas.openxmlformats.org/officeDocument/2006/relationships/image" Target="media/image480.png"/><Relationship Id="rId493" Type="http://schemas.openxmlformats.org/officeDocument/2006/relationships/image" Target="media/image481.png"/><Relationship Id="rId494" Type="http://schemas.openxmlformats.org/officeDocument/2006/relationships/image" Target="media/image482.png"/><Relationship Id="rId495" Type="http://schemas.openxmlformats.org/officeDocument/2006/relationships/image" Target="media/image483.png"/><Relationship Id="rId496" Type="http://schemas.openxmlformats.org/officeDocument/2006/relationships/image" Target="media/image484.png"/><Relationship Id="rId497" Type="http://schemas.openxmlformats.org/officeDocument/2006/relationships/image" Target="media/image485.png"/><Relationship Id="rId498" Type="http://schemas.openxmlformats.org/officeDocument/2006/relationships/image" Target="media/image486.png"/><Relationship Id="rId499" Type="http://schemas.openxmlformats.org/officeDocument/2006/relationships/image" Target="media/image487.png"/><Relationship Id="rId500" Type="http://schemas.openxmlformats.org/officeDocument/2006/relationships/image" Target="media/image488.png"/><Relationship Id="rId501" Type="http://schemas.openxmlformats.org/officeDocument/2006/relationships/image" Target="media/image489.png"/><Relationship Id="rId502" Type="http://schemas.openxmlformats.org/officeDocument/2006/relationships/image" Target="media/image490.png"/><Relationship Id="rId503" Type="http://schemas.openxmlformats.org/officeDocument/2006/relationships/image" Target="media/image491.png"/><Relationship Id="rId504" Type="http://schemas.openxmlformats.org/officeDocument/2006/relationships/image" Target="media/image492.png"/><Relationship Id="rId505" Type="http://schemas.openxmlformats.org/officeDocument/2006/relationships/image" Target="media/image493.png"/><Relationship Id="rId506" Type="http://schemas.openxmlformats.org/officeDocument/2006/relationships/image" Target="media/image494.png"/><Relationship Id="rId507" Type="http://schemas.openxmlformats.org/officeDocument/2006/relationships/image" Target="media/image495.png"/><Relationship Id="rId508" Type="http://schemas.openxmlformats.org/officeDocument/2006/relationships/image" Target="media/image496.png"/><Relationship Id="rId509" Type="http://schemas.openxmlformats.org/officeDocument/2006/relationships/image" Target="media/image497.png"/><Relationship Id="rId510" Type="http://schemas.openxmlformats.org/officeDocument/2006/relationships/image" Target="media/image498.png"/><Relationship Id="rId511" Type="http://schemas.openxmlformats.org/officeDocument/2006/relationships/image" Target="media/image499.png"/><Relationship Id="rId512" Type="http://schemas.openxmlformats.org/officeDocument/2006/relationships/image" Target="media/image500.png"/><Relationship Id="rId513" Type="http://schemas.openxmlformats.org/officeDocument/2006/relationships/image" Target="media/image501.png"/><Relationship Id="rId514" Type="http://schemas.openxmlformats.org/officeDocument/2006/relationships/image" Target="media/image502.png"/><Relationship Id="rId515" Type="http://schemas.openxmlformats.org/officeDocument/2006/relationships/image" Target="media/image503.png"/><Relationship Id="rId516" Type="http://schemas.openxmlformats.org/officeDocument/2006/relationships/image" Target="media/image504.png"/><Relationship Id="rId517" Type="http://schemas.openxmlformats.org/officeDocument/2006/relationships/image" Target="media/image505.png"/><Relationship Id="rId518" Type="http://schemas.openxmlformats.org/officeDocument/2006/relationships/image" Target="media/image506.png"/><Relationship Id="rId519" Type="http://schemas.openxmlformats.org/officeDocument/2006/relationships/image" Target="media/image507.png"/><Relationship Id="rId520" Type="http://schemas.openxmlformats.org/officeDocument/2006/relationships/image" Target="media/image508.png"/><Relationship Id="rId521" Type="http://schemas.openxmlformats.org/officeDocument/2006/relationships/image" Target="media/image509.png"/><Relationship Id="rId522" Type="http://schemas.openxmlformats.org/officeDocument/2006/relationships/image" Target="media/image510.png"/><Relationship Id="rId523" Type="http://schemas.openxmlformats.org/officeDocument/2006/relationships/image" Target="media/image511.png"/><Relationship Id="rId524" Type="http://schemas.openxmlformats.org/officeDocument/2006/relationships/image" Target="media/image512.png"/><Relationship Id="rId525" Type="http://schemas.openxmlformats.org/officeDocument/2006/relationships/image" Target="media/image513.png"/><Relationship Id="rId526" Type="http://schemas.openxmlformats.org/officeDocument/2006/relationships/image" Target="media/image514.png"/><Relationship Id="rId527" Type="http://schemas.openxmlformats.org/officeDocument/2006/relationships/image" Target="media/image515.png"/><Relationship Id="rId528" Type="http://schemas.openxmlformats.org/officeDocument/2006/relationships/image" Target="media/image516.png"/><Relationship Id="rId529" Type="http://schemas.openxmlformats.org/officeDocument/2006/relationships/image" Target="media/image517.png"/><Relationship Id="rId530" Type="http://schemas.openxmlformats.org/officeDocument/2006/relationships/image" Target="media/image518.png"/><Relationship Id="rId531" Type="http://schemas.openxmlformats.org/officeDocument/2006/relationships/image" Target="media/image519.png"/><Relationship Id="rId532" Type="http://schemas.openxmlformats.org/officeDocument/2006/relationships/image" Target="media/image520.png"/><Relationship Id="rId533" Type="http://schemas.openxmlformats.org/officeDocument/2006/relationships/image" Target="media/image521.png"/><Relationship Id="rId534" Type="http://schemas.openxmlformats.org/officeDocument/2006/relationships/image" Target="media/image522.png"/><Relationship Id="rId535" Type="http://schemas.openxmlformats.org/officeDocument/2006/relationships/image" Target="media/image523.png"/><Relationship Id="rId536" Type="http://schemas.openxmlformats.org/officeDocument/2006/relationships/image" Target="media/image524.png"/><Relationship Id="rId537" Type="http://schemas.openxmlformats.org/officeDocument/2006/relationships/image" Target="media/image525.png"/><Relationship Id="rId538" Type="http://schemas.openxmlformats.org/officeDocument/2006/relationships/image" Target="media/image526.png"/><Relationship Id="rId539" Type="http://schemas.openxmlformats.org/officeDocument/2006/relationships/image" Target="media/image527.png"/><Relationship Id="rId540" Type="http://schemas.openxmlformats.org/officeDocument/2006/relationships/image" Target="media/image528.png"/><Relationship Id="rId541" Type="http://schemas.openxmlformats.org/officeDocument/2006/relationships/image" Target="media/image529.png"/><Relationship Id="rId542" Type="http://schemas.openxmlformats.org/officeDocument/2006/relationships/image" Target="media/image530.png"/><Relationship Id="rId543" Type="http://schemas.openxmlformats.org/officeDocument/2006/relationships/image" Target="media/image531.png"/><Relationship Id="rId544" Type="http://schemas.openxmlformats.org/officeDocument/2006/relationships/image" Target="media/image532.png"/><Relationship Id="rId545" Type="http://schemas.openxmlformats.org/officeDocument/2006/relationships/image" Target="media/image533.png"/><Relationship Id="rId546" Type="http://schemas.openxmlformats.org/officeDocument/2006/relationships/image" Target="media/image534.png"/><Relationship Id="rId547" Type="http://schemas.openxmlformats.org/officeDocument/2006/relationships/image" Target="media/image535.png"/><Relationship Id="rId548" Type="http://schemas.openxmlformats.org/officeDocument/2006/relationships/image" Target="media/image536.png"/><Relationship Id="rId549" Type="http://schemas.openxmlformats.org/officeDocument/2006/relationships/image" Target="media/image537.png"/><Relationship Id="rId550" Type="http://schemas.openxmlformats.org/officeDocument/2006/relationships/image" Target="media/image538.png"/><Relationship Id="rId551" Type="http://schemas.openxmlformats.org/officeDocument/2006/relationships/image" Target="media/image539.png"/><Relationship Id="rId256" Type="http://schemas.openxmlformats.org/officeDocument/2006/relationships/hyperlink" Target="http://www.sec.gov/Archives/edgar/data/1842279/000119312521028823/d118209ds1.htm" TargetMode="External"/><Relationship Id="rId257" Type="http://schemas.openxmlformats.org/officeDocument/2006/relationships/hyperlink" Target="http://www.sec.gov/Archives/edgar/data/1842279/000119312521028823/d118209dex991.htm" TargetMode="External"/><Relationship Id="rId258" Type="http://schemas.openxmlformats.org/officeDocument/2006/relationships/hyperlink" Target="http://www.sec.gov/Archives/edgar/data/1842279/000119312521028823/d118209dex992.htm" TargetMode="External"/><Relationship Id="rId259" Type="http://schemas.openxmlformats.org/officeDocument/2006/relationships/hyperlink" Target="http://www.sec.gov/Archives/edgar/data/1842279/000119312521028823/d118209dex993.htm" TargetMode="External"/><Relationship Id="rId260" Type="http://schemas.openxmlformats.org/officeDocument/2006/relationships/hyperlink" Target="http://www.sec.gov/Archives/edgar/data/1842279/000119312521028823/d118209d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2021-03-09T05:15:45Z</dcterms:created>
  <dcterms:modified xsi:type="dcterms:W3CDTF">2021-03-09T05:15:45Z</dcterms:modified>
</cp:coreProperties>
</file>