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6, 2025</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30"/>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right="20" w:firstLine="594"/>
        <w:spacing w:after="0" w:line="282" w:lineRule="auto"/>
        <w:rPr>
          <w:sz w:val="20"/>
          <w:szCs w:val="20"/>
          <w:color w:val="auto"/>
        </w:rPr>
      </w:pPr>
      <w:r>
        <w:rPr>
          <w:rFonts w:ascii="Times New Roman" w:cs="Times New Roman" w:eastAsia="Times New Roman" w:hAnsi="Times New Roman"/>
          <w:sz w:val="18"/>
          <w:szCs w:val="18"/>
          <w:color w:val="auto"/>
        </w:rPr>
        <w:t>On November 6, 2025, OPAL Fuels Inc. (the "Company") issued a press release regarding its financial results for the quarter ended September 30, 2025. A copy of the press release is furnished as Exhibit 99.1 hereto.</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to supplement the Company’s financial statements presented in accordance with accounting principles generally accepted in the United States of America ("GAAP") in Exhibit 99.1, the Company uses a non-GAAP financial measure that it calls adjusted EBITDA ("Adjusted EBITDA"). This non-GAAP financial measure adjusts net income for interest and financing expense, net, net income attributable to non-redeemable non-controlling interests, depreciation, amortization and accretion, adjustments to reflect Adjusted EBITDA from equity method investments, fair value changes and non-recurring charges, stock-based compensation, major maintenance on Renewable Power, RNG development costs, and ITC proceeds, net. Management believes this non-GAAP financial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above (and/or other items that may arise in the future as the Company’s management deems appropriate), and the Company expects to continue to incur expenses, charges or gains like the non-GAAP adjustments described above.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Borders>
              <w:bottom w:val="single" w:sz="8" w:color="CCEEFF"/>
            </w:tcBorders>
            <w:shd w:val="clear" w:color="auto" w:fill="CCEEFF"/>
          </w:tcPr>
          <w:p>
            <w:pPr>
              <w:spacing w:after="0"/>
              <w:rPr>
                <w:sz w:val="24"/>
                <w:szCs w:val="24"/>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860" w:type="dxa"/>
            <w:vAlign w:val="bottom"/>
            <w:tcBorders>
              <w:top w:val="single" w:sz="8" w:color="auto"/>
            </w:tcBorders>
          </w:tcPr>
          <w:p>
            <w:pPr>
              <w:spacing w:after="0"/>
              <w:rPr>
                <w:sz w:val="21"/>
                <w:szCs w:val="21"/>
                <w:color w:val="auto"/>
              </w:rPr>
            </w:pPr>
          </w:p>
        </w:tc>
        <w:tc>
          <w:tcPr>
            <w:tcW w:w="37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OPAL Fuels Inc., dated November 6, 2025.</w:t>
            </w:r>
          </w:p>
        </w:tc>
        <w:tc>
          <w:tcPr>
            <w:tcW w:w="320" w:type="dxa"/>
            <w:vAlign w:val="bottom"/>
          </w:tcPr>
          <w:p>
            <w:pPr>
              <w:spacing w:after="0"/>
              <w:rPr>
                <w:sz w:val="17"/>
                <w:szCs w:val="17"/>
                <w:color w:val="auto"/>
              </w:rPr>
            </w:pPr>
          </w:p>
        </w:tc>
      </w:tr>
      <w:tr>
        <w:trPr>
          <w:trHeight w:val="61"/>
        </w:trPr>
        <w:tc>
          <w:tcPr>
            <w:tcW w:w="2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60" w:type="dxa"/>
            <w:vAlign w:val="bottom"/>
            <w:tcBorders>
              <w:top w:val="single" w:sz="8" w:color="0000FF"/>
            </w:tcBorders>
            <w:shd w:val="clear" w:color="auto" w:fill="CCEEFF"/>
          </w:tcPr>
          <w:p>
            <w:pPr>
              <w:spacing w:after="0"/>
              <w:rPr>
                <w:sz w:val="5"/>
                <w:szCs w:val="5"/>
                <w:color w:val="auto"/>
              </w:rPr>
            </w:pPr>
          </w:p>
        </w:tc>
        <w:tc>
          <w:tcPr>
            <w:tcW w:w="3720" w:type="dxa"/>
            <w:vAlign w:val="bottom"/>
            <w:tcBorders>
              <w:top w:val="single" w:sz="8" w:color="CCEEFF"/>
            </w:tcBorders>
            <w:shd w:val="clear" w:color="auto" w:fill="CCEEFF"/>
          </w:tcPr>
          <w:p>
            <w:pPr>
              <w:spacing w:after="0"/>
              <w:rPr>
                <w:sz w:val="5"/>
                <w:szCs w:val="5"/>
                <w:color w:val="auto"/>
              </w:rPr>
            </w:pPr>
          </w:p>
        </w:tc>
        <w:tc>
          <w:tcPr>
            <w:tcW w:w="320" w:type="dxa"/>
            <w:vAlign w:val="bottom"/>
          </w:tcPr>
          <w:p>
            <w:pPr>
              <w:spacing w:after="0"/>
              <w:rPr>
                <w:sz w:val="5"/>
                <w:szCs w:val="5"/>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681"/>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 w:name="page5"/>
    <w:bookmarkEnd w:id="4"/>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17"/>
          <w:szCs w:val="17"/>
          <w:color w:val="auto"/>
        </w:rPr>
        <w:t>November 7, 2025</w:t>
      </w:r>
    </w:p>
    <w:p>
      <w:pPr>
        <w:spacing w:after="0" w:line="7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57734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Reports Third Quarter 2025 Results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WHITE PLAINS, N.Y. – (November 6, 2025) – </w:t>
      </w:r>
      <w:r>
        <w:rPr>
          <w:rFonts w:ascii="Times New Roman" w:cs="Times New Roman" w:eastAsia="Times New Roman" w:hAnsi="Times New Roman"/>
          <w:sz w:val="22"/>
          <w:szCs w:val="22"/>
          <w:u w:val="single" w:color="auto"/>
          <w:color w:val="0000FF"/>
        </w:rPr>
        <w:t>OPAL Fuels</w:t>
      </w:r>
      <w:r>
        <w:rPr>
          <w:rFonts w:ascii="Times New Roman" w:cs="Times New Roman" w:eastAsia="Times New Roman" w:hAnsi="Times New Roman"/>
          <w:sz w:val="22"/>
          <w:szCs w:val="22"/>
          <w:color w:val="auto"/>
        </w:rPr>
        <w:t xml:space="preserve"> (“OPAL Fuels” or the “Company”) (Nasdaq: OPAL) today announced financial and operating results for the three and nine months ended September 30, 2025.</w:t>
      </w:r>
    </w:p>
    <w:p>
      <w:pPr>
        <w:spacing w:after="0" w:line="1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"Third quarter results were in line with our expectations," said Adam Comora, Co-Chief Executive Officer of OPAL Fuels. "RNG production continues to increase, up 8% sequentially and 30% when compared to the third quarter of 2024. We are pleased operationally with the progress made in the third quarter and we expect full year results to be within our 2025 guidance range, despite a lower D3 RIN price environment. We continue to execute on our strategic growth objectives having placed our Atlantic RNG Project online last month and today announce our CMS RNG Project in North Carolina has entered construction representing 1.0 million MMBtu of annual design capacity net to OPAL Fuels. We continue to see a positive policy environment where RNG receives bipartisan support. In the quarter, we completed our fourth sale of IRA Investment Tax Credits with aggregate total gross sale proceeds greater than $40 million this year and expect to begin recognizing 45Z production tax credits in the fourth quarter."</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"Our annual design capacity is now at 9.1 million MMBtu across twelve operating projects, our vertical integration with the marketing and distribution of RNG and CNG as a transportation fuel continues to contribute to our growth," said Co-Chief Executive Officer Jonathan Maurer. "We are building an energy infrastructure platform to address heavy-duty transportation, historically a hard to de-carbonize sector. At present, RNG and CNG are the most attractive alternatives to replace diesel for the Class 8 trucking market. We are positioned to lead faster adoption in this market which is building long-term and sustainable intrinsic value for OPAL shareholders.”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Highlights</w:t>
      </w:r>
    </w:p>
    <w:p>
      <w:pPr>
        <w:spacing w:after="0" w:line="251" w:lineRule="exact"/>
        <w:rPr>
          <w:sz w:val="20"/>
          <w:szCs w:val="20"/>
          <w:color w:val="auto"/>
        </w:rPr>
      </w:pPr>
    </w:p>
    <w:p>
      <w:pPr>
        <w:ind w:left="66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for the three and nine months ended September 30, 2025, was $83.4 million and $249.2 million respectively, a decrease of (1)% and an increase 13% respectively, compared to the prior-year period.</w:t>
      </w:r>
    </w:p>
    <w:p>
      <w:pPr>
        <w:spacing w:after="0" w:line="130"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for the three and nine months ended September 30, 2025, was $11.4 million and $20.2 million respectively, compared to $17.1 million and $19.7 million in the same periods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ind w:left="660" w:right="140" w:hanging="328"/>
        <w:spacing w:after="0" w:line="271"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Basic and diluted net income per share attributable to Class A common shareholders for the three and nine months ended September 30, 2025 were $0.05 and $0.07 compared to $0.09 and $0.07 in the comparable periods last year.</w:t>
      </w:r>
    </w:p>
    <w:p>
      <w:pPr>
        <w:spacing w:after="0" w:line="125" w:lineRule="exact"/>
        <w:rPr>
          <w:rFonts w:ascii="Times New Roman" w:cs="Times New Roman" w:eastAsia="Times New Roman" w:hAnsi="Times New Roman"/>
          <w:sz w:val="22"/>
          <w:szCs w:val="22"/>
          <w:color w:val="auto"/>
        </w:rPr>
      </w:pPr>
    </w:p>
    <w:p>
      <w:pPr>
        <w:ind w:left="660" w:right="20" w:hanging="328"/>
        <w:spacing w:after="0" w:line="233"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for the three and nine months ended September 30, 2025, was $19.5 million and $56.0 million respectively, compared to $31.1 million</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and $67.4 million</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respectively, in the comparable periods last year.</w:t>
      </w:r>
    </w:p>
    <w:p>
      <w:pPr>
        <w:spacing w:after="0" w:line="6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September 30, 2025, RNG Pending Monetization totaled $14.7 million.</w:t>
      </w:r>
    </w:p>
    <w:p>
      <w:pPr>
        <w:spacing w:after="0" w:line="17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Completed sale of $17.3 million of IRA Investment Tax Credits.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Operational Highlights</w:t>
      </w:r>
    </w:p>
    <w:p>
      <w:pPr>
        <w:spacing w:after="0" w:line="200" w:lineRule="exact"/>
        <w:rPr>
          <w:sz w:val="20"/>
          <w:szCs w:val="20"/>
          <w:color w:val="auto"/>
        </w:rPr>
      </w:pPr>
    </w:p>
    <w:p>
      <w:pPr>
        <w:spacing w:after="0" w:line="226" w:lineRule="exact"/>
        <w:rPr>
          <w:sz w:val="20"/>
          <w:szCs w:val="20"/>
          <w:color w:val="auto"/>
        </w:rPr>
      </w:pPr>
    </w:p>
    <w:p>
      <w:pPr>
        <w:ind w:left="660" w:hanging="328"/>
        <w:spacing w:after="0" w:line="284"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RNG produced was 1.3 million and 3.5 million MMBtu for the three and nine months ended September 30, 2025, an increase of 30% and 25% respectively, compared to the prior-year periods.</w:t>
      </w:r>
      <w:r>
        <w:rPr>
          <w:rFonts w:ascii="Times New Roman" w:cs="Times New Roman" w:eastAsia="Times New Roman" w:hAnsi="Times New Roman"/>
          <w:sz w:val="28"/>
          <w:szCs w:val="28"/>
          <w:color w:val="auto"/>
          <w:vertAlign w:val="superscript"/>
        </w:rPr>
        <w:t>3</w:t>
      </w:r>
    </w:p>
    <w:p>
      <w:pPr>
        <w:spacing w:after="0" w:line="21" w:lineRule="exact"/>
        <w:rPr>
          <w:rFonts w:ascii="Times New Roman" w:cs="Times New Roman" w:eastAsia="Times New Roman" w:hAnsi="Times New Roman"/>
          <w:sz w:val="22"/>
          <w:szCs w:val="22"/>
          <w:color w:val="auto"/>
        </w:rPr>
      </w:pPr>
    </w:p>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Fuel Station Services segment sold, dispensed, and serviced an aggregate of 38.9 million and 120.4 million GGEs of transportation fuel for the three and nine months ended September 30, 2025, an increase of 1% and 10% respectively, compared to the prior-year periods. Of this amount, RNG dispensed as a transportation fuel was 20.4 and 60.5 million GGEs, an increase of 4% and 11% respectively, compared to the prior-year periods.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Construction Update</w:t>
      </w:r>
    </w:p>
    <w:p>
      <w:pPr>
        <w:spacing w:after="0" w:line="197" w:lineRule="exact"/>
        <w:rPr>
          <w:sz w:val="20"/>
          <w:szCs w:val="20"/>
          <w:color w:val="auto"/>
        </w:rPr>
      </w:pPr>
    </w:p>
    <w:p>
      <w:pPr>
        <w:ind w:left="660" w:hanging="328"/>
        <w:spacing w:after="0" w:line="274"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Atlantic RNG Project commenced commercial operations last month. This project represents approximately 0.3 million MMBtu for OPAL Fuels’ 50% ownership share of annual design capacity.</w:t>
      </w:r>
      <w:r>
        <w:rPr>
          <w:rFonts w:ascii="Times New Roman" w:cs="Times New Roman" w:eastAsia="Times New Roman" w:hAnsi="Times New Roman"/>
          <w:sz w:val="28"/>
          <w:szCs w:val="28"/>
          <w:color w:val="auto"/>
          <w:vertAlign w:val="superscript"/>
        </w:rPr>
        <w:t>4,5</w:t>
      </w:r>
    </w:p>
    <w:p>
      <w:pPr>
        <w:spacing w:after="0" w:line="32" w:lineRule="exact"/>
        <w:rPr>
          <w:rFonts w:ascii="Times New Roman" w:cs="Times New Roman" w:eastAsia="Times New Roman" w:hAnsi="Times New Roman"/>
          <w:sz w:val="22"/>
          <w:szCs w:val="22"/>
          <w:color w:val="auto"/>
        </w:rPr>
      </w:pPr>
    </w:p>
    <w:p>
      <w:pPr>
        <w:ind w:left="660" w:hanging="328"/>
        <w:spacing w:after="0" w:line="284"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Burlington and Cottonwood RNG projects, representing an aggregate annual design capacity of 1.1 million MMBtu for OPAL's share, are expected to commence commercial operations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14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7" w:lineRule="exact"/>
        <w:rPr>
          <w:sz w:val="20"/>
          <w:szCs w:val="20"/>
          <w:color w:val="auto"/>
        </w:rPr>
      </w:pPr>
    </w:p>
    <w:p>
      <w:pPr>
        <w:ind w:right="180" w:firstLine="8"/>
        <w:spacing w:after="0" w:line="184" w:lineRule="auto"/>
        <w:tabs>
          <w:tab w:leader="none" w:pos="124"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This is a non-GAAP financial measure. A reconciliation of this non-GAAP financial measure to its comparable GAAP financial measure has been provided in the financial tables included in this press release. An explanation of this measure and how it is calculated is also included below under the heading “Non-GAAP Financial Measures."</w:t>
      </w:r>
    </w:p>
    <w:p>
      <w:pPr>
        <w:spacing w:after="0" w:line="139" w:lineRule="exact"/>
        <w:rPr>
          <w:sz w:val="20"/>
          <w:szCs w:val="20"/>
          <w:color w:val="auto"/>
        </w:rPr>
      </w:pPr>
    </w:p>
    <w:p>
      <w:pPr>
        <w:ind w:left="140" w:hanging="132"/>
        <w:spacing w:after="0"/>
        <w:tabs>
          <w:tab w:leader="none" w:pos="140"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The Company updated its policy in Q3’24 to include virtual pipeline costs as an add-back to Adjusted EBITDA.</w:t>
      </w:r>
    </w:p>
    <w:p>
      <w:pPr>
        <w:spacing w:after="0" w:line="137" w:lineRule="exact"/>
        <w:rPr>
          <w:sz w:val="20"/>
          <w:szCs w:val="20"/>
          <w:color w:val="auto"/>
        </w:rPr>
      </w:pPr>
    </w:p>
    <w:p>
      <w:pPr>
        <w:ind w:left="140" w:hanging="132"/>
        <w:spacing w:after="0"/>
        <w:tabs>
          <w:tab w:leader="none" w:pos="14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Represents OPAL Fuels' proportional share with respect to RNG projects owned with joint venture partners. Includes Sunoma and Biotown.</w:t>
      </w:r>
    </w:p>
    <w:p>
      <w:pPr>
        <w:spacing w:after="0" w:line="271" w:lineRule="exact"/>
        <w:rPr>
          <w:sz w:val="20"/>
          <w:szCs w:val="20"/>
          <w:color w:val="auto"/>
        </w:rPr>
      </w:pPr>
    </w:p>
    <w:p>
      <w:pPr>
        <w:ind w:right="240" w:firstLine="8"/>
        <w:spacing w:after="0" w:line="184" w:lineRule="auto"/>
        <w:tabs>
          <w:tab w:leader="none" w:pos="124"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Design capacity is the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spacing w:after="0" w:line="125" w:lineRule="exact"/>
        <w:rPr>
          <w:sz w:val="20"/>
          <w:szCs w:val="20"/>
          <w:color w:val="auto"/>
        </w:rPr>
      </w:pPr>
    </w:p>
    <w:p>
      <w:pPr>
        <w:ind w:left="140" w:hanging="132"/>
        <w:spacing w:after="0"/>
        <w:tabs>
          <w:tab w:leader="none" w:pos="140"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Represents OPAL Fuels' proportional share with respect to RNG projects owned with joint venture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7" w:name="page8"/>
    <w:bookmarkEnd w:id="7"/>
    <w:p>
      <w:pPr>
        <w:ind w:left="660" w:hanging="328"/>
        <w:spacing w:after="0" w:line="271" w:lineRule="auto"/>
        <w:tabs>
          <w:tab w:leader="none" w:pos="65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Kirby RNG Project located in California, representing an aggregate annual design capacity of 0.7 million MMBtu for OPAL's 100% ownership, is expected to commence commercial operations in 2027.</w:t>
      </w:r>
    </w:p>
    <w:p>
      <w:pPr>
        <w:spacing w:after="0" w:line="130" w:lineRule="exact"/>
        <w:rPr>
          <w:rFonts w:ascii="Times New Roman" w:cs="Times New Roman" w:eastAsia="Times New Roman" w:hAnsi="Times New Roman"/>
          <w:sz w:val="22"/>
          <w:szCs w:val="22"/>
          <w:color w:val="auto"/>
        </w:rPr>
      </w:pPr>
    </w:p>
    <w:p>
      <w:pPr>
        <w:ind w:left="660" w:right="20" w:hanging="328"/>
        <w:spacing w:after="0" w:line="270"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2"/>
          <w:szCs w:val="22"/>
          <w:color w:val="auto"/>
        </w:rPr>
        <w:t>In October 2025, the Company began construction of the CMS Concord RNG facility in North Carolina. This project represents approximately 0.7 million MMBtu for OPAL's 70% ownership share of annual design capacity.</w:t>
      </w:r>
    </w:p>
    <w:p>
      <w:pPr>
        <w:spacing w:after="0" w:line="172" w:lineRule="exact"/>
        <w:rPr>
          <w:rFonts w:ascii="Arial" w:cs="Arial" w:eastAsia="Arial" w:hAnsi="Arial"/>
          <w:sz w:val="22"/>
          <w:szCs w:val="22"/>
          <w:color w:val="auto"/>
        </w:rPr>
      </w:pPr>
    </w:p>
    <w:p>
      <w:pPr>
        <w:ind w:left="660" w:right="20" w:hanging="328"/>
        <w:spacing w:after="0" w:line="227" w:lineRule="auto"/>
        <w:tabs>
          <w:tab w:leader="none" w:pos="65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Completion of construction at two dairy projects in California (Hilltop and Vander Schaaf) continues to be delayed due to a dispute with the prior Engineering, Procurement and Construction contractor over a series of change order requests.</w:t>
      </w:r>
      <w:r>
        <w:rPr>
          <w:rFonts w:ascii="Times New Roman" w:cs="Times New Roman" w:eastAsia="Times New Roman" w:hAnsi="Times New Roman"/>
          <w:sz w:val="27"/>
          <w:szCs w:val="27"/>
          <w:color w:val="auto"/>
          <w:vertAlign w:val="superscript"/>
        </w:rPr>
        <w:t>6</w:t>
      </w:r>
    </w:p>
    <w:p>
      <w:pPr>
        <w:spacing w:after="0" w:line="1" w:lineRule="exact"/>
        <w:rPr>
          <w:rFonts w:ascii="Times New Roman" w:cs="Times New Roman" w:eastAsia="Times New Roman" w:hAnsi="Times New Roman"/>
          <w:sz w:val="21"/>
          <w:szCs w:val="21"/>
          <w:color w:val="auto"/>
        </w:rPr>
      </w:pPr>
    </w:p>
    <w:p>
      <w:pPr>
        <w:ind w:left="660" w:right="20" w:hanging="328"/>
        <w:spacing w:after="0" w:line="248" w:lineRule="auto"/>
        <w:tabs>
          <w:tab w:leader="none" w:pos="65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September 30, 2025, we had 47 operating fueling stations owned by OPAL and an additional 16 under construction. There are also 25 fueling stations under construction owned by third parties.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Guidance</w:t>
      </w:r>
    </w:p>
    <w:p>
      <w:pPr>
        <w:spacing w:after="0" w:line="1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We maintain full year 2025 guidance.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2" w:lineRule="exact"/>
        <w:rPr>
          <w:sz w:val="20"/>
          <w:szCs w:val="20"/>
          <w:color w:val="auto"/>
        </w:rPr>
      </w:pPr>
    </w:p>
    <w:p>
      <w:pPr>
        <w:ind w:left="140" w:hanging="132"/>
        <w:spacing w:after="0"/>
        <w:tabs>
          <w:tab w:leader="none" w:pos="140"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For more information, please see the Company’s Quarterly Report on Form 10-Q for the quarter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158115</wp:posOffset>
            </wp:positionV>
            <wp:extent cx="616331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63310" cy="274320"/>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(in thousands of dollars, except RNG Fuel data)</w:t>
      </w:r>
    </w:p>
    <w:p>
      <w:pPr>
        <w:spacing w:after="0" w:line="26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Revenue</w:t>
      </w:r>
    </w:p>
    <w:p>
      <w:pPr>
        <w:spacing w:after="0" w:line="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RNG Fuel</w:t>
      </w:r>
    </w:p>
    <w:p>
      <w:pPr>
        <w:spacing w:after="0" w:line="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Fuel Station Services</w:t>
      </w:r>
    </w:p>
    <w:p>
      <w:pPr>
        <w:spacing w:after="0" w:line="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Renewable Power</w:t>
      </w:r>
    </w:p>
    <w:p>
      <w:pPr>
        <w:spacing w:after="0" w:line="6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Total Revenue </w:t>
      </w:r>
      <w:r>
        <w:rPr>
          <w:rFonts w:ascii="Times New Roman" w:cs="Times New Roman" w:eastAsia="Times New Roman" w:hAnsi="Times New Roman"/>
          <w:sz w:val="23"/>
          <w:szCs w:val="23"/>
          <w:color w:val="auto"/>
          <w:vertAlign w:val="superscript"/>
        </w:rPr>
        <w:t>(1)</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Cost of sales</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Project development and startup costs</w:t>
      </w:r>
    </w:p>
    <w:p>
      <w:pPr>
        <w:spacing w:after="0" w:line="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Other operating expenses </w:t>
      </w:r>
      <w:r>
        <w:rPr>
          <w:rFonts w:ascii="Times New Roman" w:cs="Times New Roman" w:eastAsia="Times New Roman" w:hAnsi="Times New Roman"/>
          <w:sz w:val="23"/>
          <w:szCs w:val="23"/>
          <w:color w:val="auto"/>
          <w:vertAlign w:val="superscript"/>
        </w:rPr>
        <w:t>(2)</w:t>
      </w:r>
    </w:p>
    <w:p>
      <w:pPr>
        <w:spacing w:after="0" w:line="24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Net income</w:t>
      </w:r>
    </w:p>
    <w:p>
      <w:pPr>
        <w:ind w:left="780"/>
        <w:spacing w:after="0" w:line="236" w:lineRule="auto"/>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(3)</w:t>
      </w:r>
    </w:p>
    <w:p>
      <w:pPr>
        <w:ind w:left="900"/>
        <w:spacing w:after="0" w:line="219" w:lineRule="auto"/>
        <w:rPr>
          <w:sz w:val="20"/>
          <w:szCs w:val="20"/>
          <w:color w:val="auto"/>
        </w:rPr>
      </w:pPr>
      <w:r>
        <w:rPr>
          <w:rFonts w:ascii="Times New Roman" w:cs="Times New Roman" w:eastAsia="Times New Roman" w:hAnsi="Times New Roman"/>
          <w:sz w:val="18"/>
          <w:szCs w:val="18"/>
          <w:color w:val="auto"/>
        </w:rPr>
        <w:t xml:space="preserve">RNG Fuel </w:t>
      </w:r>
      <w:r>
        <w:rPr>
          <w:rFonts w:ascii="Times New Roman" w:cs="Times New Roman" w:eastAsia="Times New Roman" w:hAnsi="Times New Roman"/>
          <w:sz w:val="23"/>
          <w:szCs w:val="23"/>
          <w:color w:val="auto"/>
          <w:vertAlign w:val="superscript"/>
        </w:rPr>
        <w:t>(4)</w:t>
      </w:r>
    </w:p>
    <w:p>
      <w:pPr>
        <w:ind w:left="900"/>
        <w:spacing w:after="0"/>
        <w:rPr>
          <w:sz w:val="20"/>
          <w:szCs w:val="20"/>
          <w:color w:val="auto"/>
        </w:rPr>
      </w:pPr>
      <w:r>
        <w:rPr>
          <w:rFonts w:ascii="Times New Roman" w:cs="Times New Roman" w:eastAsia="Times New Roman" w:hAnsi="Times New Roman"/>
          <w:sz w:val="18"/>
          <w:szCs w:val="18"/>
          <w:color w:val="auto"/>
        </w:rPr>
        <w:t>Fuel Station Services</w:t>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Renewable Power</w:t>
      </w:r>
    </w:p>
    <w:p>
      <w:pPr>
        <w:spacing w:after="0" w:line="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Corporate</w:t>
      </w:r>
    </w:p>
    <w:p>
      <w:pPr>
        <w:spacing w:after="0" w:line="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Consolidated Adjusted EBITDA</w:t>
      </w:r>
    </w:p>
    <w:p>
      <w:pPr>
        <w:spacing w:after="0" w:line="27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RNG Fuel volume produced (Million MMBtus)</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RNG Fuel volume dispensed (Million GGEs)</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Total volumes sold, dispensed, and serviced (Million GGEs)</w:t>
      </w:r>
    </w:p>
    <w:p>
      <w:pPr>
        <w:spacing w:after="0" w:line="251"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revenues from equity method investments.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4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3"/>
          </w:tcPr>
          <w:p>
            <w:pPr>
              <w:jc w:val="right"/>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440" w:type="dxa"/>
            <w:vAlign w:val="bottom"/>
            <w:tcBorders>
              <w:top w:val="single" w:sz="8" w:color="auto"/>
            </w:tcBorders>
            <w:gridSpan w:val="4"/>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1"/>
        </w:trPr>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r>
      <w:tr>
        <w:trPr>
          <w:trHeight w:val="225"/>
        </w:trPr>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6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63,036</w:t>
            </w:r>
          </w:p>
        </w:tc>
      </w:tr>
      <w:tr>
        <w:trPr>
          <w:trHeight w:val="257"/>
        </w:trPr>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51,722</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45,395</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149,426</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121,794</w:t>
            </w:r>
          </w:p>
        </w:tc>
      </w:tr>
      <w:tr>
        <w:trPr>
          <w:trHeight w:val="256"/>
        </w:trPr>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24,144</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35,119</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83,357</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84,047</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249,220</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219,949</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8"/>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51,368</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173,602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147,457</w:t>
            </w:r>
          </w:p>
        </w:tc>
      </w:tr>
      <w:tr>
        <w:trPr>
          <w:trHeight w:val="229"/>
        </w:trPr>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10,523</w:t>
            </w:r>
          </w:p>
        </w:tc>
      </w:tr>
      <w:tr>
        <w:trPr>
          <w:trHeight w:val="234"/>
        </w:trPr>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19,305</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13,567</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62,698</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40,401</w:t>
            </w:r>
          </w:p>
        </w:tc>
      </w:tr>
      <w:tr>
        <w:trPr>
          <w:trHeight w:val="513"/>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17,107</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20,229</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19,692</w:t>
            </w:r>
          </w:p>
        </w:tc>
      </w:tr>
      <w:tr>
        <w:trPr>
          <w:trHeight w:val="454"/>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16,956</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22,657</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53,537</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56,444</w:t>
            </w:r>
          </w:p>
        </w:tc>
      </w:tr>
      <w:tr>
        <w:trPr>
          <w:trHeight w:val="229"/>
        </w:trPr>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27,610</w:t>
            </w:r>
          </w:p>
        </w:tc>
      </w:tr>
      <w:tr>
        <w:trPr>
          <w:trHeight w:val="229"/>
        </w:trPr>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17,214</w:t>
            </w:r>
          </w:p>
        </w:tc>
      </w:tr>
      <w:tr>
        <w:trPr>
          <w:trHeight w:val="234"/>
        </w:trPr>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(33,861)</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19,456</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31,103</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56,028</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8"/>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34"/>
        </w:trPr>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-3230880</wp:posOffset>
            </wp:positionV>
            <wp:extent cx="616331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63310" cy="14541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-2922270</wp:posOffset>
            </wp:positionV>
            <wp:extent cx="616331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63310" cy="162560"/>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-2596515</wp:posOffset>
            </wp:positionV>
            <wp:extent cx="616331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63310" cy="171450"/>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-2262505</wp:posOffset>
            </wp:positionV>
            <wp:extent cx="616331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63310" cy="14541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-1971040</wp:posOffset>
            </wp:positionV>
            <wp:extent cx="616331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63310" cy="14541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-1662430</wp:posOffset>
            </wp:positionV>
            <wp:extent cx="616331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63310" cy="16319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-1353820</wp:posOffset>
            </wp:positionV>
            <wp:extent cx="616331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63310" cy="14541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-1062355</wp:posOffset>
            </wp:positionV>
            <wp:extent cx="616331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63310" cy="14541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-770890</wp:posOffset>
            </wp:positionV>
            <wp:extent cx="616331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3310" cy="171450"/>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-436245</wp:posOffset>
            </wp:positionV>
            <wp:extent cx="616331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63310" cy="14541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-145415</wp:posOffset>
            </wp:positionV>
            <wp:extent cx="616331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63310" cy="146050"/>
                    </a:xfrm>
                    <a:prstGeom prst="rect">
                      <a:avLst/>
                    </a:prstGeom>
                    <a:noFill/>
                  </pic:spPr>
                </pic:pic>
              </a:graphicData>
            </a:graphic>
          </wp:anchor>
        </w:drawing>
      </w:r>
    </w:p>
    <w:p>
      <w:pPr>
        <w:spacing w:after="0" w:line="598" w:lineRule="exact"/>
        <w:rPr>
          <w:sz w:val="20"/>
          <w:szCs w:val="20"/>
          <w:color w:val="auto"/>
        </w:rPr>
      </w:pPr>
    </w:p>
    <w:p>
      <w:pPr>
        <w:sectPr>
          <w:pgSz w:w="11900" w:h="16838" w:orient="portrait"/>
          <w:cols w:equalWidth="0" w:num="2">
            <w:col w:w="5140" w:space="520"/>
            <w:col w:w="5580"/>
          </w:cols>
          <w:pgMar w:left="320" w:top="1418" w:right="339" w:bottom="1440" w:gutter="0" w:footer="0" w:header="0"/>
          <w:type w:val="continuous"/>
        </w:sectPr>
      </w:pPr>
    </w:p>
    <w:p>
      <w:pPr>
        <w:ind w:left="260" w:hanging="252"/>
        <w:spacing w:after="0" w:line="221" w:lineRule="auto"/>
        <w:tabs>
          <w:tab w:leader="none" w:pos="163"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selling, general and administrative expenses, depreciation and amortization expenses, impairment and income from equity method investments. Please refer to the Statement of Operations at the end of the press release for additional information.</w:t>
      </w:r>
    </w:p>
    <w:p>
      <w:pPr>
        <w:spacing w:after="0" w:line="177" w:lineRule="exact"/>
        <w:rPr>
          <w:rFonts w:ascii="Times New Roman" w:cs="Times New Roman" w:eastAsia="Times New Roman" w:hAnsi="Times New Roman"/>
          <w:sz w:val="19"/>
          <w:szCs w:val="19"/>
          <w:color w:val="auto"/>
          <w:vertAlign w:val="superscript"/>
        </w:rPr>
      </w:pPr>
    </w:p>
    <w:p>
      <w:pPr>
        <w:ind w:left="260" w:hanging="252"/>
        <w:spacing w:after="0" w:line="228" w:lineRule="auto"/>
        <w:tabs>
          <w:tab w:leader="none" w:pos="149"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is a non-GAAP financial measure. A reconciliation of this non-GAAP financial measure to a comparable GAAP financial measure has been provided in the financial tables included in this press release. An explanation of this measure and how it is calculated is also included below under the heading “Non-GAAP Financial Measures.”</w:t>
      </w:r>
    </w:p>
    <w:p>
      <w:pPr>
        <w:spacing w:after="0" w:line="163" w:lineRule="exact"/>
        <w:rPr>
          <w:rFonts w:ascii="Times New Roman" w:cs="Times New Roman" w:eastAsia="Times New Roman" w:hAnsi="Times New Roman"/>
          <w:sz w:val="18"/>
          <w:szCs w:val="18"/>
          <w:color w:val="auto"/>
          <w:vertAlign w:val="superscript"/>
        </w:rPr>
      </w:pPr>
    </w:p>
    <w:p>
      <w:pPr>
        <w:ind w:left="260" w:hanging="252"/>
        <w:spacing w:after="0" w:line="302" w:lineRule="auto"/>
        <w:tabs>
          <w:tab w:leader="none" w:pos="149"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incremental virtual pipeline costs (i.e., actual costs less anticipated operating costs of a permanent interconnection) on our Prince William RNG project which are temporary in nature and expected to be incurred in 2025 until the permanent interconnection is expected to be operational.</w:t>
      </w:r>
    </w:p>
    <w:p>
      <w:pPr>
        <w:sectPr>
          <w:pgSz w:w="11900" w:h="16838" w:orient="portrait"/>
          <w:cols w:equalWidth="0" w:num="1">
            <w:col w:w="11240"/>
          </w:cols>
          <w:pgMar w:left="320" w:top="14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Results of Operations from equity method investments</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of dollars)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77,097</w:t>
            </w:r>
          </w:p>
        </w:tc>
        <w:tc>
          <w:tcPr>
            <w:tcW w:w="0" w:type="dxa"/>
            <w:vAlign w:val="bottom"/>
          </w:tcPr>
          <w:p>
            <w:pPr>
              <w:spacing w:after="0"/>
              <w:rPr>
                <w:sz w:val="1"/>
                <w:szCs w:val="1"/>
                <w:color w:val="auto"/>
              </w:rPr>
            </w:pPr>
          </w:p>
        </w:tc>
      </w:tr>
      <w:tr>
        <w:trPr>
          <w:trHeight w:val="25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21,167</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31,812</w:t>
            </w:r>
          </w:p>
        </w:tc>
        <w:tc>
          <w:tcPr>
            <w:tcW w:w="0" w:type="dxa"/>
            <w:vAlign w:val="bottom"/>
          </w:tcPr>
          <w:p>
            <w:pPr>
              <w:spacing w:after="0"/>
              <w:rPr>
                <w:sz w:val="1"/>
                <w:szCs w:val="1"/>
                <w:color w:val="auto"/>
              </w:rPr>
            </w:pPr>
          </w:p>
        </w:tc>
      </w:tr>
      <w:tr>
        <w:trPr>
          <w:trHeight w:val="26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26,579</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OPAL’s share of revenues from equity method investments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34,851</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33,724</w:t>
            </w:r>
          </w:p>
        </w:tc>
        <w:tc>
          <w:tcPr>
            <w:tcW w:w="0" w:type="dxa"/>
            <w:vAlign w:val="bottom"/>
          </w:tcPr>
          <w:p>
            <w:pPr>
              <w:spacing w:after="0"/>
              <w:rPr>
                <w:sz w:val="1"/>
                <w:szCs w:val="1"/>
                <w:color w:val="auto"/>
              </w:rPr>
            </w:pPr>
          </w:p>
        </w:tc>
      </w:tr>
      <w:tr>
        <w:trPr>
          <w:trHeight w:val="25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OPAL’s share of gross profit from equity method investments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0" w:type="dxa"/>
            <w:vAlign w:val="bottom"/>
          </w:tcPr>
          <w:p>
            <w:pPr>
              <w:spacing w:after="0"/>
              <w:rPr>
                <w:sz w:val="1"/>
                <w:szCs w:val="1"/>
                <w:color w:val="auto"/>
              </w:rPr>
            </w:pPr>
          </w:p>
        </w:tc>
      </w:tr>
      <w:tr>
        <w:trPr>
          <w:trHeight w:val="256"/>
        </w:trPr>
        <w:tc>
          <w:tcPr>
            <w:tcW w:w="58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OPAL’s share of net income from equity method investments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OPAL’s share of Adjusted EBITDA from equity method investments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firstLine="8"/>
        <w:spacing w:after="0" w:line="362" w:lineRule="auto"/>
        <w:tabs>
          <w:tab w:leader="none" w:pos="132" w:val="left"/>
        </w:tabs>
        <w:numPr>
          <w:ilvl w:val="0"/>
          <w:numId w:val="1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Net income from equity method investments represents our portion of the net income from equity method investments including $1.7 million and $5.2 million of amortization expense related to basis differences for the three and nine months ended September 30, 2025, and $1.4 million and $4.3 million for the three and nine months ended September 30,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Landfill RNG Facility Capacity and Utilization Summary</w:t>
      </w:r>
    </w:p>
    <w:p>
      <w:pPr>
        <w:spacing w:after="0" w:line="19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5600" w:type="dxa"/>
            <w:vAlign w:val="bottom"/>
            <w:shd w:val="clear" w:color="auto" w:fill="CCEEFF"/>
          </w:tcPr>
          <w:p>
            <w:pPr>
              <w:spacing w:after="0"/>
              <w:rPr>
                <w:sz w:val="17"/>
                <w:szCs w:val="17"/>
                <w:color w:val="auto"/>
              </w:rPr>
            </w:pPr>
          </w:p>
        </w:tc>
        <w:tc>
          <w:tcPr>
            <w:tcW w:w="27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8"/>
        </w:trPr>
        <w:tc>
          <w:tcPr>
            <w:tcW w:w="56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1060" w:type="dxa"/>
            <w:vAlign w:val="bottom"/>
            <w:tcBorders>
              <w:bottom w:val="single" w:sz="8" w:color="auto"/>
            </w:tcBorders>
            <w:shd w:val="clear" w:color="auto" w:fill="CCEEFF"/>
          </w:tcPr>
          <w:p>
            <w:pPr>
              <w:spacing w:after="0"/>
              <w:rPr>
                <w:sz w:val="20"/>
                <w:szCs w:val="20"/>
                <w:color w:val="auto"/>
              </w:rPr>
            </w:pPr>
          </w:p>
        </w:tc>
        <w:tc>
          <w:tcPr>
            <w:tcW w:w="276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Landfill RNG Facility Capacity and Utilization</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Design Capacity (Million MMBtus) </w:t>
            </w:r>
            <w:r>
              <w:rPr>
                <w:rFonts w:ascii="Times New Roman" w:cs="Times New Roman" w:eastAsia="Times New Roman" w:hAnsi="Times New Roman"/>
                <w:sz w:val="23"/>
                <w:szCs w:val="23"/>
                <w:color w:val="auto"/>
                <w:vertAlign w:val="superscript"/>
              </w:rPr>
              <w:t>(1)</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6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Volume of Inlet Gas (Million MMBtus) </w:t>
            </w:r>
            <w:r>
              <w:rPr>
                <w:rFonts w:ascii="Times New Roman" w:cs="Times New Roman" w:eastAsia="Times New Roman" w:hAnsi="Times New Roman"/>
                <w:sz w:val="23"/>
                <w:szCs w:val="23"/>
                <w:color w:val="auto"/>
                <w:vertAlign w:val="superscript"/>
              </w:rPr>
              <w:t>(2)</w:t>
            </w:r>
          </w:p>
        </w:tc>
        <w:tc>
          <w:tcPr>
            <w:tcW w:w="7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6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Inlet Design Capacity Utilization (%) </w:t>
            </w:r>
            <w:r>
              <w:rPr>
                <w:rFonts w:ascii="Times New Roman" w:cs="Times New Roman" w:eastAsia="Times New Roman" w:hAnsi="Times New Roman"/>
                <w:sz w:val="23"/>
                <w:szCs w:val="23"/>
                <w:color w:val="auto"/>
                <w:vertAlign w:val="superscript"/>
              </w:rPr>
              <w:t>(2)</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RNG Fuel volume produced (Million MMBtus)</w:t>
            </w:r>
            <w:r>
              <w:rPr>
                <w:rFonts w:ascii="Times New Roman" w:cs="Times New Roman" w:eastAsia="Times New Roman" w:hAnsi="Times New Roman"/>
                <w:sz w:val="23"/>
                <w:szCs w:val="23"/>
                <w:color w:val="auto"/>
                <w:vertAlign w:val="superscript"/>
              </w:rPr>
              <w:t>(3)</w:t>
            </w:r>
          </w:p>
        </w:tc>
        <w:tc>
          <w:tcPr>
            <w:tcW w:w="7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12"/>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Utilization of Inlet Gas (%) </w:t>
            </w:r>
            <w:r>
              <w:rPr>
                <w:rFonts w:ascii="Times New Roman" w:cs="Times New Roman" w:eastAsia="Times New Roman" w:hAnsi="Times New Roman"/>
                <w:sz w:val="23"/>
                <w:szCs w:val="23"/>
                <w:color w:val="auto"/>
                <w:vertAlign w:val="superscript"/>
              </w:rPr>
              <w:t>(4)</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77 %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76 %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firstLine="8"/>
        <w:spacing w:after="0" w:line="281" w:lineRule="auto"/>
        <w:tabs>
          <w:tab w:leader="none" w:pos="159"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136" w:lineRule="exact"/>
        <w:rPr>
          <w:rFonts w:ascii="Times New Roman" w:cs="Times New Roman" w:eastAsia="Times New Roman" w:hAnsi="Times New Roman"/>
          <w:sz w:val="9"/>
          <w:szCs w:val="9"/>
          <w:color w:val="auto"/>
        </w:rPr>
      </w:pPr>
    </w:p>
    <w:p>
      <w:pPr>
        <w:jc w:val="both"/>
        <w:ind w:firstLine="8"/>
        <w:spacing w:after="0" w:line="403" w:lineRule="auto"/>
        <w:tabs>
          <w:tab w:leader="none" w:pos="132"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 Excludes Sunoma and Biotown.</w:t>
      </w:r>
    </w:p>
    <w:p>
      <w:pPr>
        <w:spacing w:after="0" w:line="257" w:lineRule="exact"/>
        <w:rPr>
          <w:rFonts w:ascii="Times New Roman" w:cs="Times New Roman" w:eastAsia="Times New Roman" w:hAnsi="Times New Roman"/>
          <w:sz w:val="15"/>
          <w:szCs w:val="15"/>
          <w:color w:val="auto"/>
          <w:vertAlign w:val="superscript"/>
        </w:rPr>
      </w:pPr>
    </w:p>
    <w:p>
      <w:pPr>
        <w:ind w:left="160" w:hanging="152"/>
        <w:spacing w:after="0"/>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Sunoma and Biotown</w:t>
      </w:r>
    </w:p>
    <w:p>
      <w:pPr>
        <w:spacing w:after="0" w:line="162" w:lineRule="exact"/>
        <w:rPr>
          <w:rFonts w:ascii="Times New Roman" w:cs="Times New Roman" w:eastAsia="Times New Roman" w:hAnsi="Times New Roman"/>
          <w:sz w:val="19"/>
          <w:szCs w:val="19"/>
          <w:color w:val="auto"/>
          <w:vertAlign w:val="superscript"/>
        </w:rPr>
      </w:pPr>
    </w:p>
    <w:p>
      <w:pPr>
        <w:jc w:val="both"/>
        <w:ind w:firstLine="8"/>
        <w:spacing w:after="0" w:line="281" w:lineRule="auto"/>
        <w:tabs>
          <w:tab w:leader="none" w:pos="132"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 Excludes Sunoma and Biotown.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RNG Pending Monetization Summary</w:t>
      </w:r>
    </w:p>
    <w:p>
      <w:pPr>
        <w:spacing w:after="0" w:line="229"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-125095</wp:posOffset>
            </wp:positionV>
            <wp:extent cx="707199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 thousands, except average realized sales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78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RNG Fuel</w:t>
            </w:r>
          </w:p>
        </w:tc>
        <w:tc>
          <w:tcPr>
            <w:tcW w:w="102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Fuel Station</w:t>
            </w: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78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RNG awaiting credit generation using quarter end price </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8,387</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RIN Metrics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as of July 1, 2025</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Generated in current period</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Sales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(22,141)</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RIN credit balance (Available for sale) as of September 30, 2025</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D3 price per RIN at quarter end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RINs using quarter end price </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LCFS Metrics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(net share) as of July 1, 2025</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Generated in current period</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Sales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LCFS credit balance (Available for sale) as of September 30, 2025</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LCFS credit price at quarter end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LCFSs using quarter end price </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3,376</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3,976</w:t>
            </w: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RECs using quarter end price</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7"/>
        </w:trPr>
        <w:tc>
          <w:tcPr>
            <w:tcW w:w="7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Metrics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realized sales price during quarter - RIN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realized sales price during quarter - LCFS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Value of RNG Pending Monetization and Credits at quarter end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9,304</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5,386</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14,707</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8"/>
        <w:spacing w:after="0" w:line="337" w:lineRule="auto"/>
        <w:tabs>
          <w:tab w:leader="none" w:pos="132"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Reflects OPAL’s ownership share of RIN and LCFS credits (i.e., net of joint venture partners’ ownership), including equity method investments, and presented net of discounts and any direct transaction costs such as dispensing fees, third-party royalties and transaction costs as applicable.</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8" w:right="339" w:bottom="1440" w:gutter="0" w:footer="0" w:header="0"/>
          <w:type w:val="continuous"/>
        </w:sectPr>
      </w:pPr>
    </w:p>
    <w:bookmarkStart w:id="11" w:name="page12"/>
    <w:bookmarkEnd w:id="11"/>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of September 30, 2025, our liquidity was $183.8 million, consisting of $138.4 million of unused capacity under our $450.0 million senior secured credit facility, $15.5 million of unused capacity under the associated revolver, and $29.9 million of cash and cash equivalents.</w:t>
      </w:r>
    </w:p>
    <w:p>
      <w:pPr>
        <w:spacing w:after="0" w:line="1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We expect that our available cash together with our other assets, expected cash flows from operations, and access to expected sources of capital will be sufficient to meet our existing commitments for a period of at least twelve months from the date of this report.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Capital Expenditures</w:t>
      </w:r>
    </w:p>
    <w:p>
      <w:pPr>
        <w:spacing w:after="0" w:line="1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During the nine months ended September 30, 2025, OPAL Fuels invested $60.9 million across RNG projects in construction and OPAL Fuels owned fueling stations in construction as compared to $72.8 million in the prior year.</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addition, for the nine months ended September 30, 2025, the Company's portion of capital expenditures in unconsolidated entities was $17.9 million. This represents our share of capital expenditures incurred by equity method investments.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Call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webcast to review OPAL Fuels’ Third Quarter 2025 results is being held tomorrow, November 7, 2025 at 11:00AM EDT.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Materials to be discussed in the webcast will be available before the call on the Company's website.</w:t>
      </w:r>
    </w:p>
    <w:p>
      <w:pPr>
        <w:spacing w:after="0" w:line="179"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21"/>
          <w:szCs w:val="21"/>
          <w:color w:val="auto"/>
        </w:rPr>
        <w:t xml:space="preserve">Participants may access the call at </w:t>
      </w:r>
      <w:r>
        <w:rPr>
          <w:rFonts w:ascii="Times New Roman" w:cs="Times New Roman" w:eastAsia="Times New Roman" w:hAnsi="Times New Roman"/>
          <w:sz w:val="21"/>
          <w:szCs w:val="21"/>
          <w:color w:val="0000FF"/>
        </w:rPr>
        <w:t>https://edge.media-server.com/mmc/p/5s3pfnti</w:t>
      </w:r>
      <w:r>
        <w:rPr>
          <w:rFonts w:ascii="Times New Roman" w:cs="Times New Roman" w:eastAsia="Times New Roman" w:hAnsi="Times New Roman"/>
          <w:sz w:val="21"/>
          <w:szCs w:val="21"/>
          <w:color w:val="auto"/>
        </w:rPr>
        <w:t xml:space="preserve">. Investors can also listen to a webcast of the presentation on the Company’s Investor Relations website at </w:t>
      </w:r>
      <w:r>
        <w:rPr>
          <w:rFonts w:ascii="Times New Roman" w:cs="Times New Roman" w:eastAsia="Times New Roman" w:hAnsi="Times New Roman"/>
          <w:sz w:val="21"/>
          <w:szCs w:val="21"/>
          <w:color w:val="3051F2"/>
        </w:rPr>
        <w:t>https://investors.opalfuels.com/news-events/events-presentations.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“D3” </w:t>
      </w:r>
      <w:r>
        <w:rPr>
          <w:rFonts w:ascii="Times New Roman" w:cs="Times New Roman" w:eastAsia="Times New Roman" w:hAnsi="Times New Roman"/>
          <w:sz w:val="18"/>
          <w:szCs w:val="18"/>
          <w:color w:val="auto"/>
        </w:rPr>
        <w:t>refers to cellulosic biofuel with a 60% GHG reduction requirement.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“GGE” </w:t>
      </w:r>
      <w:r>
        <w:rPr>
          <w:rFonts w:ascii="Times New Roman" w:cs="Times New Roman" w:eastAsia="Times New Roman" w:hAnsi="Times New Roman"/>
          <w:sz w:val="18"/>
          <w:szCs w:val="18"/>
          <w:color w:val="auto"/>
        </w:rPr>
        <w:t>refers to gasoline gallon equivalent. The conversion ratio is 1 MMBtu of natural gas equal to 7.74 GGE.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“LCFS” </w:t>
      </w:r>
      <w:r>
        <w:rPr>
          <w:rFonts w:ascii="Times New Roman" w:cs="Times New Roman" w:eastAsia="Times New Roman" w:hAnsi="Times New Roman"/>
          <w:sz w:val="18"/>
          <w:szCs w:val="18"/>
          <w:color w:val="auto"/>
        </w:rPr>
        <w:t>refers to Low Carbon Fuel Standard or similar types of federal and state programs.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“MMBtu” </w:t>
      </w:r>
      <w:r>
        <w:rPr>
          <w:rFonts w:ascii="Times New Roman" w:cs="Times New Roman" w:eastAsia="Times New Roman" w:hAnsi="Times New Roman"/>
          <w:sz w:val="18"/>
          <w:szCs w:val="18"/>
          <w:color w:val="auto"/>
        </w:rPr>
        <w:t>refers to million British thermal units.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“RECs” </w:t>
      </w:r>
      <w:r>
        <w:rPr>
          <w:rFonts w:ascii="Times New Roman" w:cs="Times New Roman" w:eastAsia="Times New Roman" w:hAnsi="Times New Roman"/>
          <w:sz w:val="18"/>
          <w:szCs w:val="18"/>
          <w:color w:val="auto"/>
        </w:rPr>
        <w:t>refers to renewable energy credits.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“Renewable Power” </w:t>
      </w:r>
      <w:r>
        <w:rPr>
          <w:rFonts w:ascii="Times New Roman" w:cs="Times New Roman" w:eastAsia="Times New Roman" w:hAnsi="Times New Roman"/>
          <w:sz w:val="18"/>
          <w:szCs w:val="18"/>
          <w:color w:val="auto"/>
        </w:rPr>
        <w:t>refers to electricity generated from renewable 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“RIN” </w:t>
      </w:r>
      <w:r>
        <w:rPr>
          <w:rFonts w:ascii="Times New Roman" w:cs="Times New Roman" w:eastAsia="Times New Roman" w:hAnsi="Times New Roman"/>
          <w:sz w:val="18"/>
          <w:szCs w:val="18"/>
          <w:color w:val="auto"/>
        </w:rPr>
        <w:t>refers to Renewable Identification Numbers.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“RNG” </w:t>
      </w:r>
      <w:r>
        <w:rPr>
          <w:rFonts w:ascii="Times New Roman" w:cs="Times New Roman" w:eastAsia="Times New Roman" w:hAnsi="Times New Roman"/>
          <w:sz w:val="18"/>
          <w:szCs w:val="18"/>
          <w:color w:val="auto"/>
        </w:rPr>
        <w:t>refers to renewable natural gas.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“VIEs” </w:t>
      </w:r>
      <w:r>
        <w:rPr>
          <w:rFonts w:ascii="Times New Roman" w:cs="Times New Roman" w:eastAsia="Times New Roman" w:hAnsi="Times New Roman"/>
          <w:sz w:val="18"/>
          <w:szCs w:val="18"/>
          <w:color w:val="auto"/>
        </w:rPr>
        <w:t>refers to variable interest entities.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OPAL Fuels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563C1"/>
        </w:rPr>
        <w:t xml:space="preserve">OPAL Fuels </w:t>
      </w:r>
      <w:r>
        <w:rPr>
          <w:rFonts w:ascii="Times New Roman" w:cs="Times New Roman" w:eastAsia="Times New Roman" w:hAnsi="Times New Roman"/>
          <w:sz w:val="18"/>
          <w:szCs w:val="18"/>
          <w:color w:val="000000"/>
        </w:rPr>
        <w:t>(Nasdaq: OPAL) is a leader in the capture and conversion of biogas into low carbon intensity RNG and Renewable Power. OPAL</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 xml:space="preserve">Fuels is also a leader in the marketing and distribution of RNG to heavy duty trucking and other hard to decarbonize industrial sectors. For additional information, and to learn more about OPAL Fuels and how it is leading the effort to capture North America’s naturally occurring methane and decarbonize the economy, please visit </w:t>
      </w:r>
      <w:r>
        <w:rPr>
          <w:rFonts w:ascii="Times New Roman" w:cs="Times New Roman" w:eastAsia="Times New Roman" w:hAnsi="Times New Roman"/>
          <w:sz w:val="18"/>
          <w:szCs w:val="18"/>
          <w:color w:val="0563C1"/>
        </w:rPr>
        <w:t>www.opalfuels.com</w:t>
      </w:r>
      <w:r>
        <w:rPr>
          <w:rFonts w:ascii="Times New Roman" w:cs="Times New Roman" w:eastAsia="Times New Roman" w:hAnsi="Times New Roman"/>
          <w:sz w:val="18"/>
          <w:szCs w:val="18"/>
          <w:color w:val="000000"/>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“Forward-Looking Statements and Risk Factor Summary” in the Company's annual report on Form 10-K and quarterly reports on Form 10-Q,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580"/>
          </w:cols>
          <w:pgMar w:left="980" w:top="1440" w:right="339" w:bottom="1440" w:gutter="0" w:footer="0" w:header="0"/>
        </w:sectPr>
      </w:pPr>
    </w:p>
    <w:bookmarkStart w:id="13" w:name="page14"/>
    <w:bookmarkEnd w:id="13"/>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02"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Todd Firestone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 Investor Relations and Corporate Development</w:t>
      </w:r>
    </w:p>
    <w:p>
      <w:pPr>
        <w:spacing w:after="0" w:line="185" w:lineRule="exact"/>
        <w:rPr>
          <w:sz w:val="20"/>
          <w:szCs w:val="20"/>
          <w:color w:val="auto"/>
        </w:rPr>
      </w:pPr>
    </w:p>
    <w:p>
      <w:pPr>
        <w:ind w:left="4" w:right="8760" w:hanging="4"/>
        <w:spacing w:after="0" w:line="486" w:lineRule="auto"/>
        <w:tabs>
          <w:tab w:leader="none" w:pos="43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705-4001 </w:t>
      </w:r>
      <w:r>
        <w:rPr>
          <w:rFonts w:ascii="Times New Roman" w:cs="Times New Roman" w:eastAsia="Times New Roman" w:hAnsi="Times New Roman"/>
          <w:sz w:val="17"/>
          <w:szCs w:val="17"/>
          <w:u w:val="single" w:color="auto"/>
          <w:color w:val="3051F2"/>
        </w:rPr>
        <w:t>investors@opalfuels.com</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Harrison Feuer</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Senior Director, Communications and Public Policy</w:t>
      </w:r>
    </w:p>
    <w:p>
      <w:pPr>
        <w:spacing w:after="0" w:line="185" w:lineRule="exact"/>
        <w:rPr>
          <w:sz w:val="20"/>
          <w:szCs w:val="20"/>
          <w:color w:val="auto"/>
        </w:rPr>
      </w:pPr>
    </w:p>
    <w:p>
      <w:pPr>
        <w:ind w:left="4" w:right="8940" w:hanging="4"/>
        <w:spacing w:after="0" w:line="528" w:lineRule="auto"/>
        <w:tabs>
          <w:tab w:leader="none" w:pos="43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721-3723 hfeuer@opalfuels.com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584"/>
          </w:cols>
          <w:pgMar w:left="976" w:top="1417" w:right="339" w:bottom="1440" w:gutter="0" w:footer="0" w:header="0"/>
        </w:sectPr>
      </w:pPr>
    </w:p>
    <w:bookmarkStart w:id="14" w:name="page15"/>
    <w:bookmarkEnd w:id="14"/>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OPAL FUELS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of U.S. dollars, except share and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5"/>
        </w:trPr>
        <w:tc>
          <w:tcPr>
            <w:tcW w:w="8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66"/>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 (includes $119 and $358 at September 30, 2025 and December 31, 2024, respectively, related to consolidated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8"/>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VIEs)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24,310</w:t>
            </w:r>
          </w:p>
        </w:tc>
      </w:tr>
      <w:tr>
        <w:trPr>
          <w:trHeight w:val="2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6"/>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receivable, net of allowances of $2,454 and $—, respectively (includes $17 and $435 at September 30, 2025 and December 31,</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92"/>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2024, respectively, related to consolidated VIEs)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31,113</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32,013</w:t>
            </w:r>
          </w:p>
        </w:tc>
      </w:tr>
      <w:tr>
        <w:trPr>
          <w:trHeight w:val="193"/>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related party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21,691</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14,522</w:t>
            </w:r>
          </w:p>
        </w:tc>
      </w:tr>
      <w:tr>
        <w:trPr>
          <w:trHeight w:val="2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6"/>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Restricted cash - current (includes $906 and $972 at September 30, 2025 and December 31, 2024, respectively, related to consolidated</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92"/>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VIEs)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r>
      <w:tr>
        <w:trPr>
          <w:trHeight w:val="193"/>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Fuel tax credits receivable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5,639</w:t>
            </w:r>
          </w:p>
        </w:tc>
      </w:tr>
      <w:tr>
        <w:trPr>
          <w:trHeight w:val="2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Contract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12,646</w:t>
            </w:r>
          </w:p>
        </w:tc>
        <w:tc>
          <w:tcPr>
            <w:tcW w:w="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11,075</w:t>
            </w:r>
          </w:p>
        </w:tc>
      </w:tr>
      <w:tr>
        <w:trPr>
          <w:trHeight w:val="193"/>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Parts inventory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12,082</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10,294</w:t>
            </w:r>
          </w:p>
        </w:tc>
      </w:tr>
      <w:tr>
        <w:trPr>
          <w:trHeight w:val="2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6"/>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 and other current assets (includes $1,100 and $144 at September 30, 2025 and December 31, 2024, respectively, related to</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2"/>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consolidated VIEs)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10,984</w:t>
            </w: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18,363</w:t>
            </w:r>
          </w:p>
        </w:tc>
      </w:tr>
      <w:tr>
        <w:trPr>
          <w:trHeight w:val="186"/>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122,785</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117,188</w:t>
            </w:r>
          </w:p>
        </w:tc>
      </w:tr>
      <w:tr>
        <w:trPr>
          <w:trHeight w:val="23"/>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46"/>
        </w:trPr>
        <w:tc>
          <w:tcPr>
            <w:tcW w:w="824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Property, plant, and equipment, net (includes $30,931 and $25,428 at September 30, 2025 and December 31, 2024, respectively, related to</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92"/>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consolidated VIEs)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484,351</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458,258</w:t>
            </w:r>
          </w:p>
        </w:tc>
      </w:tr>
      <w:tr>
        <w:trPr>
          <w:trHeight w:val="193"/>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Investment in other entities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227,545</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223,594</w:t>
            </w:r>
          </w:p>
        </w:tc>
      </w:tr>
      <w:tr>
        <w:trPr>
          <w:trHeight w:val="2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24,182</w:t>
            </w:r>
          </w:p>
        </w:tc>
        <w:tc>
          <w:tcPr>
            <w:tcW w:w="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23,483</w:t>
            </w:r>
          </w:p>
        </w:tc>
      </w:tr>
      <w:tr>
        <w:trPr>
          <w:trHeight w:val="166"/>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Restricted cash - non-current (includes $2,633 and $2,315 at September 30, 2025 and December 31, 2024, respectively, related to</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8"/>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consolidated VIEs)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w:t>
            </w:r>
          </w:p>
        </w:tc>
      </w:tr>
      <w:tr>
        <w:trPr>
          <w:trHeight w:val="2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54,608</w:t>
            </w: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54,608</w:t>
            </w:r>
          </w:p>
        </w:tc>
      </w:tr>
      <w:tr>
        <w:trPr>
          <w:trHeight w:val="209"/>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916,749</w:t>
            </w: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881,077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3"/>
        </w:trPr>
        <w:tc>
          <w:tcPr>
            <w:tcW w:w="824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payable (includes $178 and $22 at September 30, 2025 and December 31, 2024, respectively, related to consolidated VIEs)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15,281</w:t>
            </w:r>
          </w:p>
        </w:tc>
        <w:tc>
          <w:tcPr>
            <w:tcW w:w="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16,419</w:t>
            </w:r>
          </w:p>
        </w:tc>
      </w:tr>
      <w:tr>
        <w:trPr>
          <w:trHeight w:val="166"/>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 related party (includes $83 and $426 at September 30, 2025 and December 31, 2024, respectively, related to</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8"/>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consolidated VIEs)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7,425</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7,932</w:t>
            </w:r>
          </w:p>
        </w:tc>
      </w:tr>
      <w:tr>
        <w:trPr>
          <w:trHeight w:val="2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Fuel tax credits payable</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w:t>
            </w:r>
          </w:p>
        </w:tc>
      </w:tr>
      <w:tr>
        <w:trPr>
          <w:trHeight w:val="193"/>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payroll (includes $39 and $45 at September 30, 2025 and December 31, 2024, respectively, related to consolidated VIEs)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8,611</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9,580</w:t>
            </w:r>
          </w:p>
        </w:tc>
      </w:tr>
      <w:tr>
        <w:trPr>
          <w:trHeight w:val="2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and payable capital expenditures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10,014</w:t>
            </w:r>
          </w:p>
        </w:tc>
        <w:tc>
          <w:tcPr>
            <w:tcW w:w="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23,238</w:t>
            </w:r>
          </w:p>
        </w:tc>
      </w:tr>
      <w:tr>
        <w:trPr>
          <w:trHeight w:val="193"/>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environmental credit rebates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4,593</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r>
      <w:tr>
        <w:trPr>
          <w:trHeight w:val="2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6"/>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 (includes $1,148 and $974 at September 30, 2025 and December 31, 2024, respectively,</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92"/>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related to consolidated VIEs)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14,880</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14,717</w:t>
            </w:r>
          </w:p>
        </w:tc>
      </w:tr>
      <w:tr>
        <w:trPr>
          <w:trHeight w:val="193"/>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Contract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8,378</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9,276</w:t>
            </w:r>
          </w:p>
        </w:tc>
      </w:tr>
      <w:tr>
        <w:trPr>
          <w:trHeight w:val="2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OPAL Term Loan - current portion</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9,349</w:t>
            </w:r>
          </w:p>
        </w:tc>
        <w:tc>
          <w:tcPr>
            <w:tcW w:w="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10,865</w:t>
            </w:r>
          </w:p>
        </w:tc>
      </w:tr>
      <w:tr>
        <w:trPr>
          <w:trHeight w:val="166"/>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Sunoma Loan - current portion (includes $1,861 and $1,756 at September 30, 2025 and December 31, 2024, respectively, related to</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8"/>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consolidated VIEs)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r>
      <w:tr>
        <w:trPr>
          <w:trHeight w:val="23"/>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83,461</w:t>
            </w: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103,596</w:t>
            </w:r>
          </w:p>
        </w:tc>
      </w:tr>
      <w:tr>
        <w:trPr>
          <w:trHeight w:val="186"/>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OPAL Term Loan, net of debt issuance costs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313,324</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266,630</w:t>
            </w:r>
          </w:p>
        </w:tc>
      </w:tr>
      <w:tr>
        <w:trPr>
          <w:trHeight w:val="24"/>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6"/>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Sunoma Loan, net of debt issuance costs (includes $17,071 and $18,373 at September 30, 2025 and December 31, 2024, respectively,</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92"/>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related to consolidated VIEs)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17,071</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18,373</w:t>
            </w:r>
          </w:p>
        </w:tc>
      </w:tr>
      <w:tr>
        <w:trPr>
          <w:trHeight w:val="193"/>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 liabilities - non-current portion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11,940</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12,155</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long-term liabilities (includes $1,307 and $2,495 at September 30, 2025 and December 31, 2024, respectively, related to consolidated</w:t>
            </w: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VIEs)</w:t>
            </w: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8,157</w:t>
            </w: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15,291</w:t>
            </w:r>
          </w:p>
        </w:tc>
        <w:tc>
          <w:tcPr>
            <w:tcW w:w="0" w:type="dxa"/>
            <w:vAlign w:val="bottom"/>
          </w:tcPr>
          <w:p>
            <w:pPr>
              <w:spacing w:after="0"/>
              <w:rPr>
                <w:sz w:val="1"/>
                <w:szCs w:val="1"/>
                <w:color w:val="auto"/>
              </w:rPr>
            </w:pPr>
          </w:p>
        </w:tc>
      </w:tr>
      <w:tr>
        <w:trPr>
          <w:trHeight w:val="210"/>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5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433,953</w:t>
            </w: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416,045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4"/>
                <w:szCs w:val="14"/>
                <w:i w:val="1"/>
                <w:iCs w:val="1"/>
                <w:color w:val="auto"/>
              </w:rPr>
              <w:t>Note 12</w:t>
            </w:r>
          </w:p>
        </w:tc>
        <w:tc>
          <w:tcPr>
            <w:tcW w:w="5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Redeemable preferred non-controlling interests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342,528</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482,863</w:t>
            </w:r>
          </w:p>
        </w:tc>
        <w:tc>
          <w:tcPr>
            <w:tcW w:w="0" w:type="dxa"/>
            <w:vAlign w:val="bottom"/>
          </w:tcPr>
          <w:p>
            <w:pPr>
              <w:spacing w:after="0"/>
              <w:rPr>
                <w:sz w:val="1"/>
                <w:szCs w:val="1"/>
                <w:color w:val="auto"/>
              </w:rPr>
            </w:pPr>
          </w:p>
        </w:tc>
      </w:tr>
      <w:tr>
        <w:trPr>
          <w:trHeight w:val="193"/>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 common stock, $0.0001 par value, 340,000,000 shares authorized as of September 30, 2025 and December 31, 2024; shares issued:</w:t>
            </w: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30,631,960 and 30,065,260 at September 30, 2025 and December 31, 2024, respectively; shares outstanding: 28,996,177 and 28,429,477</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8"/>
        </w:trPr>
        <w:tc>
          <w:tcPr>
            <w:tcW w:w="8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at September 30, 2025 and December 31, 2024, respectively</w:t>
            </w:r>
          </w:p>
        </w:tc>
        <w:tc>
          <w:tcPr>
            <w:tcW w:w="9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7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Class B common stock, $0.0001 par value, 160,000,000 shares authorized as of September 30, 2025 and December 31, 2024; 121,500,000</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issued and outstanding as of September 30, 2025 and 71,500,000 issued and outstanding as of December 31,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C common stock, $0.0001 par value, 160,000,000 shares authorized as of September 30, 2025 and December 31, 2024; none issued</w:t>
            </w: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and outstanding as of September 30, 2025 and December 31, 2024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87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Class D common stock, $0.0001 par value, 160,000,000 shares authorized as of September 30, 2025 and December 31, 2024; 22,899,037</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shares issued and outstanding at September 30, 2025 and 72,899,037 issued and outstanding as of December 31,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19,089</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(137,004)</w:t>
            </w:r>
          </w:p>
        </w:tc>
        <w:tc>
          <w:tcPr>
            <w:tcW w:w="0" w:type="dxa"/>
            <w:vAlign w:val="bottom"/>
          </w:tcPr>
          <w:p>
            <w:pPr>
              <w:spacing w:after="0"/>
              <w:rPr>
                <w:sz w:val="1"/>
                <w:szCs w:val="1"/>
                <w:color w:val="auto"/>
              </w:rPr>
            </w:pPr>
          </w:p>
        </w:tc>
      </w:tr>
      <w:tr>
        <w:trPr>
          <w:trHeight w:val="193"/>
        </w:trPr>
        <w:tc>
          <w:tcPr>
            <w:tcW w:w="8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 common stock in treasury, at cost; 1,635,783 at September 30, 2025 and December 31, 2024</w:t>
            </w: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Stockholders' equity (deficit) attributable to the Company</w:t>
            </w:r>
          </w:p>
        </w:tc>
        <w:tc>
          <w:tcPr>
            <w:tcW w:w="5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7,480</w:t>
            </w:r>
          </w:p>
        </w:tc>
        <w:tc>
          <w:tcPr>
            <w:tcW w:w="5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(148,449)</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Non-redeemable non-controlling interests</w:t>
            </w: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5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10,268</w:t>
            </w:r>
          </w:p>
        </w:tc>
        <w:tc>
          <w:tcPr>
            <w:tcW w:w="5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(147,831)</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8780" w:type="dxa"/>
            <w:vAlign w:val="bottom"/>
            <w:gridSpan w:val="2"/>
            <w:shd w:val="clear" w:color="auto" w:fill="CCEEFF"/>
          </w:tcPr>
          <w:p>
            <w:pPr>
              <w:ind w:left="340"/>
              <w:spacing w:after="0" w:line="210" w:lineRule="exact"/>
              <w:rPr>
                <w:sz w:val="20"/>
                <w:szCs w:val="20"/>
                <w:color w:val="auto"/>
              </w:rPr>
            </w:pPr>
            <w:r>
              <w:rPr>
                <w:rFonts w:ascii="Times New Roman" w:cs="Times New Roman" w:eastAsia="Times New Roman" w:hAnsi="Times New Roman"/>
                <w:sz w:val="13"/>
                <w:szCs w:val="13"/>
                <w:color w:val="auto"/>
              </w:rPr>
              <w:t xml:space="preserve">Total liabilities, Redeemable preferred non-controlling interests, Redeemable non-controlling interests and Stockholders' equity (deficit) </w:t>
            </w:r>
            <w:r>
              <w:rPr>
                <w:rFonts w:ascii="Times New Roman" w:cs="Times New Roman" w:eastAsia="Times New Roman" w:hAnsi="Times New Roman"/>
                <w:sz w:val="24"/>
                <w:szCs w:val="24"/>
                <w:color w:val="auto"/>
                <w:vertAlign w:val="superscript"/>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916,749</w:t>
            </w:r>
          </w:p>
        </w:tc>
        <w:tc>
          <w:tcPr>
            <w:tcW w:w="5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881,077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16" w:name="page17"/>
    <w:bookmarkEnd w:id="16"/>
    <w:p>
      <w:pPr>
        <w:ind w:left="5020"/>
        <w:spacing w:after="0"/>
        <w:rPr>
          <w:sz w:val="20"/>
          <w:szCs w:val="20"/>
          <w:color w:val="auto"/>
        </w:rPr>
      </w:pPr>
      <w:r>
        <w:rPr>
          <w:rFonts w:ascii="Times New Roman" w:cs="Times New Roman" w:eastAsia="Times New Roman" w:hAnsi="Times New Roman"/>
          <w:sz w:val="22"/>
          <w:szCs w:val="22"/>
          <w:b w:val="1"/>
          <w:bCs w:val="1"/>
          <w:color w:val="auto"/>
        </w:rPr>
        <w:t>OPAL FUELS INC.</w:t>
      </w:r>
    </w:p>
    <w:p>
      <w:pPr>
        <w:spacing w:after="0" w:line="3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(In thousands of U.S. dollars, except share and per share data)</w:t>
      </w:r>
    </w:p>
    <w:p>
      <w:pPr>
        <w:spacing w:after="0" w:line="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216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6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30,</w:t>
            </w:r>
          </w:p>
        </w:tc>
        <w:tc>
          <w:tcPr>
            <w:tcW w:w="8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6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RNG Fuel (includes revenues from related parties of $17,950 and $22,798 for the three months ended September 30,</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 and 2024, respectively; $55,929 and $54,174 for the nine months ended September 30, 2025 and 2024,</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22,921</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25,864</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75,650</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63,036</w:t>
            </w:r>
          </w:p>
        </w:tc>
        <w:tc>
          <w:tcPr>
            <w:tcW w:w="0" w:type="dxa"/>
            <w:vAlign w:val="bottom"/>
          </w:tcPr>
          <w:p>
            <w:pPr>
              <w:spacing w:after="0"/>
              <w:rPr>
                <w:sz w:val="1"/>
                <w:szCs w:val="1"/>
                <w:color w:val="auto"/>
              </w:rPr>
            </w:pPr>
          </w:p>
        </w:tc>
      </w:tr>
      <w:tr>
        <w:trPr>
          <w:trHeight w:val="23"/>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Fuel Station Services (includes revenues from related parties of $11,492 and $12,526 for the three months ended</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2025 and 2024, respectively; $40,921 and $34,234 for the nine months ended September 30, 2025 and</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respectively)</w:t>
            </w: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51,722</w:t>
            </w: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45,395</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149,426</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121,794</w:t>
            </w:r>
          </w:p>
        </w:tc>
        <w:tc>
          <w:tcPr>
            <w:tcW w:w="0" w:type="dxa"/>
            <w:vAlign w:val="bottom"/>
          </w:tcPr>
          <w:p>
            <w:pPr>
              <w:spacing w:after="0"/>
              <w:rPr>
                <w:sz w:val="1"/>
                <w:szCs w:val="1"/>
                <w:color w:val="auto"/>
              </w:rPr>
            </w:pPr>
          </w:p>
        </w:tc>
      </w:tr>
      <w:tr>
        <w:trPr>
          <w:trHeight w:val="166"/>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Renewable Power (includes revenues from related parties of $2,022 and $1,799 for the three months ended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2025 and 2024, respectively; $4,676 and $5,129 for the nine months ended September 30, 2025 and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 respectively)</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8,714</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12,788</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24,144</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35,119</w:t>
            </w:r>
          </w:p>
        </w:tc>
        <w:tc>
          <w:tcPr>
            <w:tcW w:w="0" w:type="dxa"/>
            <w:vAlign w:val="bottom"/>
          </w:tcPr>
          <w:p>
            <w:pPr>
              <w:spacing w:after="0"/>
              <w:rPr>
                <w:sz w:val="1"/>
                <w:szCs w:val="1"/>
                <w:color w:val="auto"/>
              </w:rPr>
            </w:pPr>
          </w:p>
        </w:tc>
      </w:tr>
      <w:tr>
        <w:trPr>
          <w:trHeight w:val="23"/>
        </w:trPr>
        <w:tc>
          <w:tcPr>
            <w:tcW w:w="6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83,357</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84,047</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249,220</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219,949</w:t>
            </w:r>
          </w:p>
        </w:tc>
        <w:tc>
          <w:tcPr>
            <w:tcW w:w="0" w:type="dxa"/>
            <w:vAlign w:val="bottom"/>
          </w:tcPr>
          <w:p>
            <w:pPr>
              <w:spacing w:after="0"/>
              <w:rPr>
                <w:sz w:val="1"/>
                <w:szCs w:val="1"/>
                <w:color w:val="auto"/>
              </w:rPr>
            </w:pPr>
          </w:p>
        </w:tc>
      </w:tr>
      <w:tr>
        <w:trPr>
          <w:trHeight w:val="173"/>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sales - RNG Fuel</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11,774</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9,985</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35,341</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26,644</w:t>
            </w:r>
          </w:p>
        </w:tc>
        <w:tc>
          <w:tcPr>
            <w:tcW w:w="0" w:type="dxa"/>
            <w:vAlign w:val="bottom"/>
          </w:tcPr>
          <w:p>
            <w:pPr>
              <w:spacing w:after="0"/>
              <w:rPr>
                <w:sz w:val="1"/>
                <w:szCs w:val="1"/>
                <w:color w:val="auto"/>
              </w:rPr>
            </w:pPr>
          </w:p>
        </w:tc>
      </w:tr>
      <w:tr>
        <w:trPr>
          <w:trHeight w:val="193"/>
        </w:trPr>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 of sales - Fuel Station Services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40,230</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33,609</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118,683</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94,882</w:t>
            </w:r>
          </w:p>
        </w:tc>
        <w:tc>
          <w:tcPr>
            <w:tcW w:w="0" w:type="dxa"/>
            <w:vAlign w:val="bottom"/>
          </w:tcPr>
          <w:p>
            <w:pPr>
              <w:spacing w:after="0"/>
              <w:rPr>
                <w:sz w:val="1"/>
                <w:szCs w:val="1"/>
                <w:color w:val="auto"/>
              </w:rPr>
            </w:pPr>
          </w:p>
        </w:tc>
      </w:tr>
      <w:tr>
        <w:trPr>
          <w:trHeight w:val="23"/>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sales - Renewable Power</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5,917</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7,774</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19,578</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25,931</w:t>
            </w:r>
          </w:p>
        </w:tc>
        <w:tc>
          <w:tcPr>
            <w:tcW w:w="0" w:type="dxa"/>
            <w:vAlign w:val="bottom"/>
          </w:tcPr>
          <w:p>
            <w:pPr>
              <w:spacing w:after="0"/>
              <w:rPr>
                <w:sz w:val="1"/>
                <w:szCs w:val="1"/>
                <w:color w:val="auto"/>
              </w:rPr>
            </w:pPr>
          </w:p>
        </w:tc>
      </w:tr>
      <w:tr>
        <w:trPr>
          <w:trHeight w:val="193"/>
        </w:trPr>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Project development and startup costs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6,803</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12,101</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10,523</w:t>
            </w:r>
          </w:p>
        </w:tc>
        <w:tc>
          <w:tcPr>
            <w:tcW w:w="0" w:type="dxa"/>
            <w:vAlign w:val="bottom"/>
          </w:tcPr>
          <w:p>
            <w:pPr>
              <w:spacing w:after="0"/>
              <w:rPr>
                <w:sz w:val="1"/>
                <w:szCs w:val="1"/>
                <w:color w:val="auto"/>
              </w:rPr>
            </w:pPr>
          </w:p>
        </w:tc>
      </w:tr>
      <w:tr>
        <w:trPr>
          <w:trHeight w:val="23"/>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14,376</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12,692</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47,803</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39,552</w:t>
            </w:r>
          </w:p>
        </w:tc>
        <w:tc>
          <w:tcPr>
            <w:tcW w:w="0" w:type="dxa"/>
            <w:vAlign w:val="bottom"/>
          </w:tcPr>
          <w:p>
            <w:pPr>
              <w:spacing w:after="0"/>
              <w:rPr>
                <w:sz w:val="1"/>
                <w:szCs w:val="1"/>
                <w:color w:val="auto"/>
              </w:rPr>
            </w:pPr>
          </w:p>
        </w:tc>
      </w:tr>
      <w:tr>
        <w:trPr>
          <w:trHeight w:val="193"/>
        </w:trPr>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5,566</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4,697</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16,772</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12,677</w:t>
            </w:r>
          </w:p>
        </w:tc>
        <w:tc>
          <w:tcPr>
            <w:tcW w:w="0" w:type="dxa"/>
            <w:vAlign w:val="bottom"/>
          </w:tcPr>
          <w:p>
            <w:pPr>
              <w:spacing w:after="0"/>
              <w:rPr>
                <w:sz w:val="1"/>
                <w:szCs w:val="1"/>
                <w:color w:val="auto"/>
              </w:rPr>
            </w:pPr>
          </w:p>
        </w:tc>
      </w:tr>
      <w:tr>
        <w:trPr>
          <w:trHeight w:val="24"/>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(11,828)</w:t>
            </w:r>
          </w:p>
        </w:tc>
        <w:tc>
          <w:tcPr>
            <w:tcW w:w="0" w:type="dxa"/>
            <w:vAlign w:val="bottom"/>
          </w:tcPr>
          <w:p>
            <w:pPr>
              <w:spacing w:after="0"/>
              <w:rPr>
                <w:sz w:val="1"/>
                <w:szCs w:val="1"/>
                <w:color w:val="auto"/>
              </w:rPr>
            </w:pPr>
          </w:p>
        </w:tc>
      </w:tr>
      <w:tr>
        <w:trPr>
          <w:trHeight w:val="186"/>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79,769</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71,738</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248,401</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198,381</w:t>
            </w:r>
          </w:p>
        </w:tc>
        <w:tc>
          <w:tcPr>
            <w:tcW w:w="0" w:type="dxa"/>
            <w:vAlign w:val="bottom"/>
          </w:tcPr>
          <w:p>
            <w:pPr>
              <w:spacing w:after="0"/>
              <w:rPr>
                <w:sz w:val="1"/>
                <w:szCs w:val="1"/>
                <w:color w:val="auto"/>
              </w:rPr>
            </w:pPr>
          </w:p>
        </w:tc>
      </w:tr>
      <w:tr>
        <w:trPr>
          <w:trHeight w:val="23"/>
        </w:trPr>
        <w:tc>
          <w:tcPr>
            <w:tcW w:w="6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income</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12,309</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21,568</w:t>
            </w:r>
          </w:p>
        </w:tc>
        <w:tc>
          <w:tcPr>
            <w:tcW w:w="0" w:type="dxa"/>
            <w:vAlign w:val="bottom"/>
          </w:tcPr>
          <w:p>
            <w:pPr>
              <w:spacing w:after="0"/>
              <w:rPr>
                <w:sz w:val="1"/>
                <w:szCs w:val="1"/>
                <w:color w:val="auto"/>
              </w:rPr>
            </w:pPr>
          </w:p>
        </w:tc>
      </w:tr>
      <w:tr>
        <w:trPr>
          <w:trHeight w:val="173"/>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financing expense, net</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(5,026)</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(19,330)</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(13,976)</w:t>
            </w:r>
          </w:p>
        </w:tc>
        <w:tc>
          <w:tcPr>
            <w:tcW w:w="0" w:type="dxa"/>
            <w:vAlign w:val="bottom"/>
          </w:tcPr>
          <w:p>
            <w:pPr>
              <w:spacing w:after="0"/>
              <w:rPr>
                <w:sz w:val="1"/>
                <w:szCs w:val="1"/>
                <w:color w:val="auto"/>
              </w:rPr>
            </w:pPr>
          </w:p>
        </w:tc>
      </w:tr>
      <w:tr>
        <w:trPr>
          <w:trHeight w:val="193"/>
        </w:trPr>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 in fair value of derivative instruments, net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0" w:type="dxa"/>
            <w:vAlign w:val="bottom"/>
          </w:tcPr>
          <w:p>
            <w:pPr>
              <w:spacing w:after="0"/>
              <w:rPr>
                <w:sz w:val="1"/>
                <w:szCs w:val="1"/>
                <w:color w:val="auto"/>
              </w:rPr>
            </w:pPr>
          </w:p>
        </w:tc>
      </w:tr>
      <w:tr>
        <w:trPr>
          <w:trHeight w:val="23"/>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income</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0" w:type="dxa"/>
            <w:vAlign w:val="bottom"/>
          </w:tcPr>
          <w:p>
            <w:pPr>
              <w:spacing w:after="0"/>
              <w:rPr>
                <w:sz w:val="1"/>
                <w:szCs w:val="1"/>
                <w:color w:val="auto"/>
              </w:rPr>
            </w:pPr>
          </w:p>
        </w:tc>
      </w:tr>
      <w:tr>
        <w:trPr>
          <w:trHeight w:val="186"/>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other expenses</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(6,769)</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(16,880)</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(10,782)</w:t>
            </w:r>
          </w:p>
        </w:tc>
        <w:tc>
          <w:tcPr>
            <w:tcW w:w="0" w:type="dxa"/>
            <w:vAlign w:val="bottom"/>
          </w:tcPr>
          <w:p>
            <w:pPr>
              <w:spacing w:after="0"/>
              <w:rPr>
                <w:sz w:val="1"/>
                <w:szCs w:val="1"/>
                <w:color w:val="auto"/>
              </w:rPr>
            </w:pPr>
          </w:p>
        </w:tc>
      </w:tr>
      <w:tr>
        <w:trPr>
          <w:trHeight w:val="23"/>
        </w:trPr>
        <w:tc>
          <w:tcPr>
            <w:tcW w:w="6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(Loss) income before income tax benefit</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8,201</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(16,061)</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10,786</w:t>
            </w:r>
          </w:p>
        </w:tc>
        <w:tc>
          <w:tcPr>
            <w:tcW w:w="0" w:type="dxa"/>
            <w:vAlign w:val="bottom"/>
          </w:tcPr>
          <w:p>
            <w:pPr>
              <w:spacing w:after="0"/>
              <w:rPr>
                <w:sz w:val="1"/>
                <w:szCs w:val="1"/>
                <w:color w:val="auto"/>
              </w:rPr>
            </w:pPr>
          </w:p>
        </w:tc>
      </w:tr>
      <w:tr>
        <w:trPr>
          <w:trHeight w:val="186"/>
        </w:trPr>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benefit</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14,567</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36,290</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0" w:type="dxa"/>
            <w:vAlign w:val="bottom"/>
          </w:tcPr>
          <w:p>
            <w:pPr>
              <w:spacing w:after="0"/>
              <w:rPr>
                <w:sz w:val="1"/>
                <w:szCs w:val="1"/>
                <w:color w:val="auto"/>
              </w:rPr>
            </w:pPr>
          </w:p>
        </w:tc>
      </w:tr>
      <w:tr>
        <w:trPr>
          <w:trHeight w:val="23"/>
        </w:trPr>
        <w:tc>
          <w:tcPr>
            <w:tcW w:w="6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11,386</w:t>
            </w: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17,107</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20,229</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19,692</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1418" w:right="339" w:bottom="1440" w:gutter="0" w:footer="0" w:header="0"/>
        </w:sectPr>
      </w:pPr>
    </w:p>
    <w:p>
      <w:pPr>
        <w:ind w:left="160"/>
        <w:spacing w:after="0"/>
        <w:rPr>
          <w:sz w:val="20"/>
          <w:szCs w:val="20"/>
          <w:color w:val="auto"/>
        </w:rPr>
      </w:pPr>
      <w:r>
        <w:rPr>
          <w:rFonts w:ascii="Times New Roman" w:cs="Times New Roman" w:eastAsia="Times New Roman" w:hAnsi="Times New Roman"/>
          <w:sz w:val="14"/>
          <w:szCs w:val="14"/>
          <w:color w:val="auto"/>
        </w:rPr>
        <w:t>Net income attributable to redeemable non-controlling interests</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Net income attributable to non-redeemable non-controlling interests</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Dividends on redeemable preferred non-controlling interests</w:t>
      </w:r>
    </w:p>
    <w:p>
      <w:pPr>
        <w:spacing w:after="0" w:line="96" w:lineRule="exact"/>
        <w:rPr>
          <w:sz w:val="20"/>
          <w:szCs w:val="20"/>
          <w:color w:val="auto"/>
        </w:rPr>
      </w:pPr>
    </w:p>
    <w:p>
      <w:pPr>
        <w:ind w:left="340" w:right="2040" w:hanging="179"/>
        <w:spacing w:after="0" w:line="376" w:lineRule="auto"/>
        <w:rPr>
          <w:sz w:val="20"/>
          <w:szCs w:val="20"/>
          <w:color w:val="auto"/>
        </w:rPr>
      </w:pPr>
      <w:r>
        <w:rPr>
          <w:rFonts w:ascii="Times New Roman" w:cs="Times New Roman" w:eastAsia="Times New Roman" w:hAnsi="Times New Roman"/>
          <w:sz w:val="14"/>
          <w:szCs w:val="14"/>
          <w:color w:val="auto"/>
        </w:rPr>
        <w:t>Net income attributable to Class A common stockholders Weighted average shares outstanding of Class A common stock: Basic</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Diluted</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Per share amounts:</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Basic</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7,226</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11,998</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10,034</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9,618</w:t>
            </w:r>
          </w:p>
        </w:tc>
      </w:tr>
      <w:tr>
        <w:trPr>
          <w:trHeight w:val="216"/>
        </w:trPr>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216"/>
        </w:trPr>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7,853</w:t>
            </w:r>
          </w:p>
        </w:tc>
      </w:tr>
      <w:tr>
        <w:trPr>
          <w:trHeight w:val="23"/>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w:t>
            </w:r>
          </w:p>
        </w:tc>
      </w:tr>
      <w:tr>
        <w:trPr>
          <w:trHeight w:val="23"/>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75"/>
        </w:trPr>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28,279,527</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27,709,203</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28,090,014</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27,585,620</w:t>
            </w:r>
          </w:p>
        </w:tc>
      </w:tr>
      <w:tr>
        <w:trPr>
          <w:trHeight w:val="216"/>
        </w:trPr>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29,592,822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27,743,417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29,013,705</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27,644,164</w:t>
            </w:r>
          </w:p>
        </w:tc>
      </w:tr>
      <w:tr>
        <w:trPr>
          <w:trHeight w:val="432"/>
        </w:trPr>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r>
      <w:tr>
        <w:trPr>
          <w:trHeight w:val="216"/>
        </w:trPr>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-1244600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-970280</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-670560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-396240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-121920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40"/>
          </w:cols>
          <w:pgMar w:left="320" w:top="14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8" w:right="339" w:bottom="1440" w:gutter="0" w:footer="0" w:header="0"/>
          <w:type w:val="continuous"/>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OPAL FUELS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CASH FLOWS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w:t>
      </w:r>
    </w:p>
    <w:p>
      <w:pPr>
        <w:sectPr>
          <w:pgSz w:w="11900" w:h="16838" w:orient="portrait"/>
          <w:cols w:equalWidth="0" w:num="1">
            <w:col w:w="11220"/>
          </w:cols>
          <w:pgMar w:left="34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Depreciation, amortization, and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Allowance for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Income from equity method investments</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Distributions from return on investment in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Gain on nonmonetary asset</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Gain on lease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Reduction of carrying amount of operating lease right-of-use assets</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Write-offs of capitalized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Amortization of deferred financing costs</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Paid-in-kind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Change in fair value of commodity swaps</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Gain on note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Unrealized gain on derivative financial instruments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Accounts receivable,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Fuel tax credits receivable</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Parts inventory</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Prepaid expense and other current and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Accounts payable,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Fuel tax credits payable</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Accrued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and non-current liabilities</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Operating lease liabilities - current and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Contract liabilities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p>
      <w:pPr>
        <w:spacing w:after="0" w:line="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 for short-term investments</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Distributions from return of investment in equity method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paid to equity method investments</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received from (paid for) note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OPAL Term Loan and Revolving loan</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Financing costs paid to other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Repayment of OPAL Revolving Loan</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Repayment of Sunoma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Repayment of principal portion of finance lease liabilities</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 of preferred dividends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19030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88"/>
        </w:trPr>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20,229</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19,692</w:t>
            </w:r>
          </w:p>
        </w:tc>
      </w:tr>
      <w:tr>
        <w:trPr>
          <w:trHeight w:val="432"/>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16,772</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12,677</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(11,828)</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8,059</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13,661</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r>
      <w:tr>
        <w:trPr>
          <w:trHeight w:val="432"/>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(3,536)</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(11,986)</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(7,169)</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8,593</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9,859</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2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40,017</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31,917</w:t>
            </w:r>
          </w:p>
        </w:tc>
      </w:tr>
      <w:tr>
        <w:trPr>
          <w:trHeight w:val="2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89"/>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(60,890)</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(72,805)</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6,236</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(16,656)</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(13,956)</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2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(69,933)</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(86,546)</w:t>
            </w:r>
          </w:p>
        </w:tc>
      </w:tr>
      <w:tr>
        <w:trPr>
          <w:trHeight w:val="2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89"/>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16"/>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(7,852)</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(10,469)</w:t>
            </w:r>
          </w:p>
        </w:tc>
      </w:tr>
    </w:tbl>
    <w:p>
      <w:pPr>
        <w:spacing w:after="0" w:line="200" w:lineRule="exact"/>
        <w:rPr>
          <w:sz w:val="20"/>
          <w:szCs w:val="20"/>
          <w:color w:val="auto"/>
        </w:rPr>
      </w:pPr>
    </w:p>
    <w:p>
      <w:pPr>
        <w:sectPr>
          <w:pgSz w:w="11900" w:h="16838" w:orient="portrait"/>
          <w:cols w:equalWidth="0" w:num="2">
            <w:col w:w="7500" w:space="720"/>
            <w:col w:w="3000"/>
          </w:cols>
          <w:pgMar w:left="340" w:top="14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20"/>
          </w:cols>
          <w:pgMar w:left="340" w:top="1418" w:right="339" w:bottom="1440" w:gutter="0" w:footer="0" w:header="0"/>
          <w:type w:val="continuous"/>
        </w:sectPr>
      </w:pPr>
    </w:p>
    <w:bookmarkStart w:id="18" w:name="page19"/>
    <w:bookmarkEnd w:id="1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Distribution to non-redeemable non-controlling interest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r>
      <w:tr>
        <w:trPr>
          <w:trHeight w:val="193"/>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Capital contribution from non-redeemable non-controlling interests</w:t>
            </w: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issuance of shares of Class A common stock under the ATM program, net</w:t>
            </w:r>
          </w:p>
        </w:tc>
        <w:tc>
          <w:tcPr>
            <w:tcW w:w="5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93"/>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for taxes related to net share settlement of equity awards</w:t>
            </w: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r>
      <w:tr>
        <w:trPr>
          <w:trHeight w:val="23"/>
        </w:trPr>
        <w:tc>
          <w:tcPr>
            <w:tcW w:w="8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34,971</w:t>
            </w: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31,581</w:t>
            </w: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restricted cash, and cash equivalents</w:t>
            </w:r>
          </w:p>
        </w:tc>
        <w:tc>
          <w:tcPr>
            <w:tcW w:w="5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5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(23,048)</w:t>
            </w:r>
          </w:p>
        </w:tc>
      </w:tr>
      <w:tr>
        <w:trPr>
          <w:trHeight w:val="23"/>
        </w:trPr>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restricted cash, and cash equivalents, beginning of period</w:t>
            </w:r>
          </w:p>
        </w:tc>
        <w:tc>
          <w:tcPr>
            <w:tcW w:w="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29,228</w:t>
            </w: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47,242</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restricted cash, and cash equivalents, end of period</w:t>
            </w: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34,283</w:t>
            </w: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24,194</w:t>
            </w:r>
          </w:p>
        </w:tc>
      </w:tr>
      <w:tr>
        <w:trPr>
          <w:trHeight w:val="21"/>
        </w:trPr>
        <w:tc>
          <w:tcPr>
            <w:tcW w:w="8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 (Unaudited)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release includes various financial measures that are non-GAAP financial measures as defined under the rules of the Securities and Exchange Commission. We believe these measures provide important supplemental information to investors to use in evaluating ongoing operating results. We use these measures, together with accounting principles generally accepted in the United States ("GAAP" or "U.S. GAAP"),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give a more complete understanding of factors and trends affecting our business. We strongly encourage you to review all of our financial statements and publicly filed reports in their entirety and to not solely rely on any single non-GAAP financial measure.</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We strongly encourage you to review all of our financial statements and publicly filed reports in their entirety and to not solely rely on any single non-GAAP financial measure.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supplement the Company's unaudited condensed consolidated financial statements presented in accordance with GAAP, the Company uses a non-GAAP financial measure that it calls adjusted EBITDA ("Adjusted EBITDA"). This non-GAAP financial measure adjusts net income for interest and financing expense, net, net income attributable to non-redeemable non-controlling interests, depreciation, amortization and accretion, adjustments to reflect Adjusted EBITDA from equity method investments, fair value changes and non-recurring charges, Stock-based compensation, major maintenance on Renewable Power, RNG development costs, and ITC proceeds, net.</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believes this non-GAAP financial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our net income to Adjusted EBITDA:</w:t>
      </w:r>
    </w:p>
    <w:p>
      <w:pPr>
        <w:spacing w:after="0" w:line="18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Reconciliation of GAAP Net Income to Adjusted EBITDA</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 and 2024</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6"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1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2560" w:type="dxa"/>
            <w:vAlign w:val="bottom"/>
            <w:tcBorders>
              <w:top w:val="single" w:sz="8" w:color="auto"/>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2560" w:type="dxa"/>
            <w:vAlign w:val="bottom"/>
            <w:tcBorders>
              <w:top w:val="single" w:sz="8" w:color="auto"/>
              <w:bottom w:val="single" w:sz="8" w:color="auto"/>
            </w:tcBorders>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RNG Fuel</w:t>
            </w:r>
          </w:p>
        </w:tc>
        <w:tc>
          <w:tcPr>
            <w:tcW w:w="8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Fuel Station</w:t>
            </w:r>
          </w:p>
        </w:tc>
        <w:tc>
          <w:tcPr>
            <w:tcW w:w="100" w:type="dxa"/>
            <w:vAlign w:val="bottom"/>
          </w:tcPr>
          <w:p>
            <w:pPr>
              <w:spacing w:after="0"/>
              <w:rPr>
                <w:sz w:val="11"/>
                <w:szCs w:val="11"/>
                <w:color w:val="auto"/>
              </w:rPr>
            </w:pPr>
          </w:p>
        </w:tc>
        <w:tc>
          <w:tcPr>
            <w:tcW w:w="760" w:type="dxa"/>
            <w:vAlign w:val="bottom"/>
          </w:tcPr>
          <w:p>
            <w:pPr>
              <w:jc w:val="right"/>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100" w:type="dxa"/>
            <w:vAlign w:val="bottom"/>
          </w:tcPr>
          <w:p>
            <w:pPr>
              <w:spacing w:after="0"/>
              <w:rPr>
                <w:sz w:val="11"/>
                <w:szCs w:val="11"/>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80" w:type="dxa"/>
            <w:vAlign w:val="bottom"/>
          </w:tcPr>
          <w:p>
            <w:pPr>
              <w:spacing w:after="0"/>
              <w:rPr>
                <w:sz w:val="11"/>
                <w:szCs w:val="11"/>
                <w:color w:val="auto"/>
              </w:rPr>
            </w:pPr>
          </w:p>
        </w:tc>
        <w:tc>
          <w:tcPr>
            <w:tcW w:w="680" w:type="dxa"/>
            <w:vAlign w:val="bottom"/>
            <w:tcBorders>
              <w:right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RNG Fuel</w:t>
            </w:r>
          </w:p>
        </w:tc>
        <w:tc>
          <w:tcPr>
            <w:tcW w:w="84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Fuel Station</w:t>
            </w:r>
          </w:p>
        </w:tc>
        <w:tc>
          <w:tcPr>
            <w:tcW w:w="100" w:type="dxa"/>
            <w:vAlign w:val="bottom"/>
          </w:tcPr>
          <w:p>
            <w:pPr>
              <w:spacing w:after="0"/>
              <w:rPr>
                <w:sz w:val="11"/>
                <w:szCs w:val="11"/>
                <w:color w:val="auto"/>
              </w:rPr>
            </w:pPr>
          </w:p>
        </w:tc>
        <w:tc>
          <w:tcPr>
            <w:tcW w:w="760" w:type="dxa"/>
            <w:vAlign w:val="bottom"/>
          </w:tcPr>
          <w:p>
            <w:pPr>
              <w:jc w:val="right"/>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100" w:type="dxa"/>
            <w:vAlign w:val="bottom"/>
          </w:tcPr>
          <w:p>
            <w:pPr>
              <w:spacing w:after="0"/>
              <w:rPr>
                <w:sz w:val="11"/>
                <w:szCs w:val="11"/>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1"/>
                <w:szCs w:val="11"/>
                <w:color w:val="auto"/>
              </w:rPr>
            </w:pP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9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9"/>
                <w:szCs w:val="9"/>
                <w:color w:val="auto"/>
              </w:rPr>
              <w:t>(1)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13,876</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9,848</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(14,192)</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11,386</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38,272</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(46,707)</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20,229</w:t>
            </w:r>
          </w:p>
        </w:tc>
        <w:tc>
          <w:tcPr>
            <w:tcW w:w="0" w:type="dxa"/>
            <w:vAlign w:val="bottom"/>
          </w:tcPr>
          <w:p>
            <w:pPr>
              <w:spacing w:after="0"/>
              <w:rPr>
                <w:sz w:val="1"/>
                <w:szCs w:val="1"/>
                <w:color w:val="auto"/>
              </w:rPr>
            </w:pPr>
          </w:p>
        </w:tc>
      </w:tr>
      <w:tr>
        <w:trPr>
          <w:trHeight w:val="170"/>
        </w:trPr>
        <w:tc>
          <w:tcPr>
            <w:tcW w:w="1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vMerge w:val="continue"/>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vMerge w:val="continue"/>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vMerge w:val="continue"/>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480" w:type="dxa"/>
            <w:vAlign w:val="bottom"/>
            <w:gridSpan w:val="7"/>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4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Adjusted EBITDA</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and financing expense,</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6,929</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6,898</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19,333</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19,330</w:t>
            </w:r>
          </w:p>
        </w:tc>
        <w:tc>
          <w:tcPr>
            <w:tcW w:w="0" w:type="dxa"/>
            <w:vAlign w:val="bottom"/>
          </w:tcPr>
          <w:p>
            <w:pPr>
              <w:spacing w:after="0"/>
              <w:rPr>
                <w:sz w:val="1"/>
                <w:szCs w:val="1"/>
                <w:color w:val="auto"/>
              </w:rPr>
            </w:pPr>
          </w:p>
        </w:tc>
      </w:tr>
      <w:tr>
        <w:trPr>
          <w:trHeight w:val="193"/>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Net income attributable to non-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redeemable non-controlling</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right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Depreciation, amortization and</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5,565</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8,984</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4,924</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2,863</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16,771</w:t>
            </w:r>
          </w:p>
        </w:tc>
        <w:tc>
          <w:tcPr>
            <w:tcW w:w="0" w:type="dxa"/>
            <w:vAlign w:val="bottom"/>
          </w:tcPr>
          <w:p>
            <w:pPr>
              <w:spacing w:after="0"/>
              <w:rPr>
                <w:sz w:val="1"/>
                <w:szCs w:val="1"/>
                <w:color w:val="auto"/>
              </w:rPr>
            </w:pPr>
          </w:p>
        </w:tc>
      </w:tr>
      <w:tr>
        <w:trPr>
          <w:trHeight w:val="193"/>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Adjustments to reflect Adjusted</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EBITDA from equity method</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4,899</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13,156</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13,156</w:t>
            </w:r>
          </w:p>
        </w:tc>
        <w:tc>
          <w:tcPr>
            <w:tcW w:w="0" w:type="dxa"/>
            <w:vAlign w:val="bottom"/>
          </w:tcPr>
          <w:p>
            <w:pPr>
              <w:spacing w:after="0"/>
              <w:rPr>
                <w:sz w:val="1"/>
                <w:szCs w:val="1"/>
                <w:color w:val="auto"/>
              </w:rPr>
            </w:pPr>
          </w:p>
        </w:tc>
      </w:tr>
      <w:tr>
        <w:trPr>
          <w:trHeight w:val="201"/>
        </w:trPr>
        <w:tc>
          <w:tcPr>
            <w:tcW w:w="19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investments </w:t>
            </w:r>
            <w:r>
              <w:rPr>
                <w:rFonts w:ascii="Times New Roman" w:cs="Times New Roman" w:eastAsia="Times New Roman" w:hAnsi="Times New Roman"/>
                <w:sz w:val="18"/>
                <w:szCs w:val="18"/>
                <w:color w:val="auto"/>
                <w:vertAlign w:val="superscript"/>
              </w:rPr>
              <w:t>(2)</w:t>
            </w: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right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94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Fair value changes and non-</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361</w:t>
            </w:r>
          </w:p>
        </w:tc>
        <w:tc>
          <w:tcPr>
            <w:tcW w:w="180" w:type="dxa"/>
            <w:vAlign w:val="bottom"/>
          </w:tcPr>
          <w:p>
            <w:pPr>
              <w:spacing w:after="0"/>
              <w:rPr>
                <w:sz w:val="11"/>
                <w:szCs w:val="11"/>
                <w:color w:val="auto"/>
              </w:rPr>
            </w:pPr>
          </w:p>
        </w:tc>
        <w:tc>
          <w:tcPr>
            <w:tcW w:w="68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1,564</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3,445</w:t>
            </w:r>
          </w:p>
        </w:tc>
        <w:tc>
          <w:tcPr>
            <w:tcW w:w="0" w:type="dxa"/>
            <w:vAlign w:val="bottom"/>
          </w:tcPr>
          <w:p>
            <w:pPr>
              <w:spacing w:after="0"/>
              <w:rPr>
                <w:sz w:val="1"/>
                <w:szCs w:val="1"/>
                <w:color w:val="auto"/>
              </w:rPr>
            </w:pPr>
          </w:p>
        </w:tc>
      </w:tr>
      <w:tr>
        <w:trPr>
          <w:trHeight w:val="201"/>
        </w:trPr>
        <w:tc>
          <w:tcPr>
            <w:tcW w:w="194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recurring charges </w:t>
            </w:r>
            <w:r>
              <w:rPr>
                <w:rFonts w:ascii="Times New Roman" w:cs="Times New Roman" w:eastAsia="Times New Roman" w:hAnsi="Times New Roman"/>
                <w:sz w:val="18"/>
                <w:szCs w:val="18"/>
                <w:color w:val="auto"/>
                <w:vertAlign w:val="superscript"/>
              </w:rPr>
              <w:t>(3)</w:t>
            </w: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902</w:t>
            </w:r>
          </w:p>
        </w:tc>
        <w:tc>
          <w:tcPr>
            <w:tcW w:w="18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0" w:type="dxa"/>
            <w:vAlign w:val="bottom"/>
          </w:tcPr>
          <w:p>
            <w:pPr>
              <w:spacing w:after="0"/>
              <w:rPr>
                <w:sz w:val="1"/>
                <w:szCs w:val="1"/>
                <w:color w:val="auto"/>
              </w:rPr>
            </w:pPr>
          </w:p>
        </w:tc>
      </w:tr>
      <w:tr>
        <w:trPr>
          <w:trHeight w:val="195"/>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RNG development costs </w:t>
            </w:r>
            <w:r>
              <w:rPr>
                <w:rFonts w:ascii="Times New Roman" w:cs="Times New Roman" w:eastAsia="Times New Roman" w:hAnsi="Times New Roman"/>
                <w:sz w:val="9"/>
                <w:szCs w:val="9"/>
                <w:color w:val="auto"/>
              </w:rPr>
              <w:t>(4)</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1,672</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9,531</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9,531</w:t>
            </w:r>
          </w:p>
        </w:tc>
        <w:tc>
          <w:tcPr>
            <w:tcW w:w="0" w:type="dxa"/>
            <w:vAlign w:val="bottom"/>
          </w:tcPr>
          <w:p>
            <w:pPr>
              <w:spacing w:after="0"/>
              <w:rPr>
                <w:sz w:val="1"/>
                <w:szCs w:val="1"/>
                <w:color w:val="auto"/>
              </w:rPr>
            </w:pPr>
          </w:p>
        </w:tc>
      </w:tr>
      <w:tr>
        <w:trPr>
          <w:trHeight w:val="146"/>
        </w:trPr>
        <w:tc>
          <w:tcPr>
            <w:tcW w:w="19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Major maintenance for</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w:t>
            </w: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Renewable Power</w:t>
            </w: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right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ITC proceeds, net</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(14,567)</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(14,567)</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(36,290)</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(36,290)</w:t>
            </w:r>
          </w:p>
        </w:tc>
        <w:tc>
          <w:tcPr>
            <w:tcW w:w="0" w:type="dxa"/>
            <w:vAlign w:val="bottom"/>
          </w:tcPr>
          <w:p>
            <w:pPr>
              <w:spacing w:after="0"/>
              <w:rPr>
                <w:sz w:val="1"/>
                <w:szCs w:val="1"/>
                <w:color w:val="auto"/>
              </w:rPr>
            </w:pPr>
          </w:p>
        </w:tc>
      </w:tr>
      <w:tr>
        <w:trPr>
          <w:trHeight w:val="228"/>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16,956</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(12,929)</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19,456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53,537</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(41,291)</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56,028</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840"/>
          </w:cols>
          <w:pgMar w:left="320" w:top="1417" w:right="739" w:bottom="1440" w:gutter="0" w:footer="0" w:header="0"/>
        </w:sectPr>
      </w:pPr>
    </w:p>
    <w:bookmarkStart w:id="21" w:name="page22"/>
    <w:bookmarkEnd w:id="21"/>
    <w:p>
      <w:pPr>
        <w:spacing w:after="0" w:line="3" w:lineRule="exact"/>
        <w:rPr>
          <w:sz w:val="20"/>
          <w:szCs w:val="20"/>
          <w:color w:val="auto"/>
        </w:rPr>
      </w:pPr>
    </w:p>
    <w:tbl>
      <w:tblPr>
        <w:tblLayout w:type="fixed"/>
        <w:tblInd w:w="412" w:type="dxa"/>
        <w:tblCellMar>
          <w:top w:w="0" w:type="dxa"/>
          <w:left w:w="0" w:type="dxa"/>
          <w:bottom w:w="0" w:type="dxa"/>
          <w:right w:w="0" w:type="dxa"/>
        </w:tblCellMar>
      </w:tblPr>
      <w:tr>
        <w:trPr>
          <w:trHeight w:val="243"/>
        </w:trPr>
        <w:tc>
          <w:tcPr>
            <w:tcW w:w="19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160" w:type="dxa"/>
            <w:vAlign w:val="bottom"/>
            <w:tcBorders>
              <w:top w:val="single" w:sz="8" w:color="auto"/>
              <w:bottom w:val="single" w:sz="8" w:color="auto"/>
              <w:right w:val="single" w:sz="8" w:color="CCEEFF"/>
            </w:tcBorders>
            <w:gridSpan w:val="9"/>
            <w:shd w:val="clear" w:color="auto" w:fill="CCEEFF"/>
          </w:tcPr>
          <w:p>
            <w:pPr>
              <w:jc w:val="center"/>
              <w:ind w:right="68"/>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3560" w:type="dxa"/>
            <w:vAlign w:val="bottom"/>
            <w:tcBorders>
              <w:top w:val="single" w:sz="8" w:color="auto"/>
              <w:bottom w:val="single" w:sz="8" w:color="auto"/>
            </w:tcBorders>
            <w:gridSpan w:val="8"/>
            <w:shd w:val="clear" w:color="auto" w:fill="CCEEFF"/>
          </w:tcPr>
          <w:p>
            <w:pPr>
              <w:jc w:val="center"/>
              <w:ind w:left="387"/>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b w:val="1"/>
                <w:bCs w:val="1"/>
                <w:color w:val="auto"/>
                <w:w w:val="98"/>
              </w:rPr>
              <w:t>RNG Fuel</w:t>
            </w:r>
          </w:p>
        </w:tc>
        <w:tc>
          <w:tcPr>
            <w:tcW w:w="8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Fuel Station</w:t>
            </w:r>
          </w:p>
        </w:tc>
        <w:tc>
          <w:tcPr>
            <w:tcW w:w="120" w:type="dxa"/>
            <w:vAlign w:val="bottom"/>
          </w:tcPr>
          <w:p>
            <w:pPr>
              <w:spacing w:after="0"/>
              <w:rPr>
                <w:sz w:val="11"/>
                <w:szCs w:val="11"/>
                <w:color w:val="auto"/>
              </w:rPr>
            </w:pPr>
          </w:p>
        </w:tc>
        <w:tc>
          <w:tcPr>
            <w:tcW w:w="760" w:type="dxa"/>
            <w:vAlign w:val="bottom"/>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100" w:type="dxa"/>
            <w:vAlign w:val="bottom"/>
          </w:tcPr>
          <w:p>
            <w:pPr>
              <w:spacing w:after="0"/>
              <w:rPr>
                <w:sz w:val="11"/>
                <w:szCs w:val="11"/>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80" w:type="dxa"/>
            <w:vAlign w:val="bottom"/>
          </w:tcPr>
          <w:p>
            <w:pPr>
              <w:spacing w:after="0"/>
              <w:rPr>
                <w:sz w:val="11"/>
                <w:szCs w:val="11"/>
                <w:color w:val="auto"/>
              </w:rPr>
            </w:pPr>
          </w:p>
        </w:tc>
        <w:tc>
          <w:tcPr>
            <w:tcW w:w="700" w:type="dxa"/>
            <w:vAlign w:val="bottom"/>
            <w:tcBorders>
              <w:right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74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w w:val="98"/>
              </w:rPr>
              <w:t>RNG Fuel</w:t>
            </w:r>
          </w:p>
        </w:tc>
        <w:tc>
          <w:tcPr>
            <w:tcW w:w="8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Fuel Station</w:t>
            </w:r>
          </w:p>
        </w:tc>
        <w:tc>
          <w:tcPr>
            <w:tcW w:w="100" w:type="dxa"/>
            <w:vAlign w:val="bottom"/>
          </w:tcPr>
          <w:p>
            <w:pPr>
              <w:spacing w:after="0"/>
              <w:rPr>
                <w:sz w:val="11"/>
                <w:szCs w:val="11"/>
                <w:color w:val="auto"/>
              </w:rPr>
            </w:pPr>
          </w:p>
        </w:tc>
        <w:tc>
          <w:tcPr>
            <w:tcW w:w="76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100" w:type="dxa"/>
            <w:vAlign w:val="bottom"/>
          </w:tcPr>
          <w:p>
            <w:pPr>
              <w:spacing w:after="0"/>
              <w:rPr>
                <w:sz w:val="11"/>
                <w:szCs w:val="11"/>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80" w:type="dxa"/>
            <w:vAlign w:val="bottom"/>
          </w:tcPr>
          <w:p>
            <w:pPr>
              <w:spacing w:after="0"/>
              <w:rPr>
                <w:sz w:val="11"/>
                <w:szCs w:val="11"/>
                <w:color w:val="auto"/>
              </w:rPr>
            </w:pPr>
          </w:p>
        </w:tc>
        <w:tc>
          <w:tcPr>
            <w:tcW w:w="5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19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18"/>
                <w:szCs w:val="18"/>
                <w:color w:val="auto"/>
                <w:vertAlign w:val="superscript"/>
              </w:rPr>
              <w:t>(1)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(12,312)</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17,107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6,608</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(37,490)</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19,692</w:t>
            </w:r>
          </w:p>
        </w:tc>
        <w:tc>
          <w:tcPr>
            <w:tcW w:w="0" w:type="dxa"/>
            <w:vAlign w:val="bottom"/>
          </w:tcPr>
          <w:p>
            <w:pPr>
              <w:spacing w:after="0"/>
              <w:rPr>
                <w:sz w:val="1"/>
                <w:szCs w:val="1"/>
                <w:color w:val="auto"/>
              </w:rPr>
            </w:pPr>
          </w:p>
        </w:tc>
      </w:tr>
      <w:tr>
        <w:trPr>
          <w:trHeight w:val="112"/>
        </w:trPr>
        <w:tc>
          <w:tcPr>
            <w:tcW w:w="1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vMerge w:val="continue"/>
            <w:shd w:val="clear" w:color="auto" w:fill="CCEEFF"/>
          </w:tcPr>
          <w:p>
            <w:pPr>
              <w:spacing w:after="0"/>
              <w:rPr>
                <w:sz w:val="9"/>
                <w:szCs w:val="9"/>
                <w:color w:val="auto"/>
              </w:rPr>
            </w:pPr>
          </w:p>
        </w:tc>
        <w:tc>
          <w:tcPr>
            <w:tcW w:w="720" w:type="dxa"/>
            <w:vAlign w:val="bottom"/>
            <w:tcBorders>
              <w:bottom w:val="single" w:sz="8" w:color="CCEEFF"/>
            </w:tcBorders>
            <w:vMerge w:val="continue"/>
            <w:shd w:val="clear" w:color="auto" w:fill="CCEEFF"/>
          </w:tcPr>
          <w:p>
            <w:pPr>
              <w:spacing w:after="0"/>
              <w:rPr>
                <w:sz w:val="9"/>
                <w:szCs w:val="9"/>
                <w:color w:val="auto"/>
              </w:rPr>
            </w:pPr>
          </w:p>
        </w:tc>
        <w:tc>
          <w:tcPr>
            <w:tcW w:w="140" w:type="dxa"/>
            <w:vAlign w:val="bottom"/>
            <w:tcBorders>
              <w:bottom w:val="single" w:sz="8" w:color="CCEEFF"/>
            </w:tcBorders>
            <w:vMerge w:val="continue"/>
            <w:shd w:val="clear" w:color="auto" w:fill="CCEEFF"/>
          </w:tcPr>
          <w:p>
            <w:pPr>
              <w:spacing w:after="0"/>
              <w:rPr>
                <w:sz w:val="9"/>
                <w:szCs w:val="9"/>
                <w:color w:val="auto"/>
              </w:rPr>
            </w:pPr>
          </w:p>
        </w:tc>
        <w:tc>
          <w:tcPr>
            <w:tcW w:w="70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vMerge w:val="continue"/>
            <w:shd w:val="clear" w:color="auto" w:fill="CCEEFF"/>
          </w:tcPr>
          <w:p>
            <w:pPr>
              <w:spacing w:after="0"/>
              <w:rPr>
                <w:sz w:val="9"/>
                <w:szCs w:val="9"/>
                <w:color w:val="auto"/>
              </w:rPr>
            </w:pPr>
          </w:p>
        </w:tc>
        <w:tc>
          <w:tcPr>
            <w:tcW w:w="7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vMerge w:val="continue"/>
            <w:shd w:val="clear" w:color="auto" w:fill="CCEEFF"/>
          </w:tcPr>
          <w:p>
            <w:pPr>
              <w:spacing w:after="0"/>
              <w:rPr>
                <w:sz w:val="9"/>
                <w:szCs w:val="9"/>
                <w:color w:val="auto"/>
              </w:rPr>
            </w:pPr>
          </w:p>
        </w:tc>
        <w:tc>
          <w:tcPr>
            <w:tcW w:w="740" w:type="dxa"/>
            <w:vAlign w:val="bottom"/>
            <w:tcBorders>
              <w:bottom w:val="single" w:sz="8" w:color="CCEEFF"/>
            </w:tcBorders>
            <w:vMerge w:val="continue"/>
            <w:shd w:val="clear" w:color="auto" w:fill="CCEEFF"/>
          </w:tcPr>
          <w:p>
            <w:pPr>
              <w:spacing w:after="0"/>
              <w:rPr>
                <w:sz w:val="9"/>
                <w:szCs w:val="9"/>
                <w:color w:val="auto"/>
              </w:rPr>
            </w:pPr>
          </w:p>
        </w:tc>
        <w:tc>
          <w:tcPr>
            <w:tcW w:w="180" w:type="dxa"/>
            <w:vAlign w:val="bottom"/>
            <w:tcBorders>
              <w:bottom w:val="single" w:sz="8" w:color="CCEEFF"/>
            </w:tcBorders>
            <w:vMerge w:val="continue"/>
            <w:shd w:val="clear" w:color="auto" w:fill="CCEEFF"/>
          </w:tcPr>
          <w:p>
            <w:pPr>
              <w:spacing w:after="0"/>
              <w:rPr>
                <w:sz w:val="9"/>
                <w:szCs w:val="9"/>
                <w:color w:val="auto"/>
              </w:rPr>
            </w:pPr>
          </w:p>
        </w:tc>
        <w:tc>
          <w:tcPr>
            <w:tcW w:w="700" w:type="dxa"/>
            <w:vAlign w:val="bottom"/>
            <w:tcBorders>
              <w:bottom w:val="single" w:sz="8" w:color="CCEEFF"/>
              <w:right w:val="single" w:sz="8" w:color="auto"/>
            </w:tcBorders>
            <w:vMerge w:val="continue"/>
            <w:shd w:val="clear" w:color="auto" w:fill="CCEEFF"/>
          </w:tcPr>
          <w:p>
            <w:pPr>
              <w:spacing w:after="0"/>
              <w:rPr>
                <w:sz w:val="9"/>
                <w:szCs w:val="9"/>
                <w:color w:val="auto"/>
              </w:rPr>
            </w:pPr>
          </w:p>
        </w:tc>
        <w:tc>
          <w:tcPr>
            <w:tcW w:w="100" w:type="dxa"/>
            <w:vAlign w:val="bottom"/>
            <w:tcBorders>
              <w:bottom w:val="single" w:sz="8" w:color="CCEEFF"/>
            </w:tcBorders>
            <w:vMerge w:val="continue"/>
            <w:shd w:val="clear" w:color="auto" w:fill="CCEEFF"/>
          </w:tcPr>
          <w:p>
            <w:pPr>
              <w:spacing w:after="0"/>
              <w:rPr>
                <w:sz w:val="9"/>
                <w:szCs w:val="9"/>
                <w:color w:val="auto"/>
              </w:rPr>
            </w:pPr>
          </w:p>
        </w:tc>
        <w:tc>
          <w:tcPr>
            <w:tcW w:w="740" w:type="dxa"/>
            <w:vAlign w:val="bottom"/>
            <w:tcBorders>
              <w:bottom w:val="single" w:sz="8" w:color="CCEEFF"/>
            </w:tcBorders>
            <w:vMerge w:val="continue"/>
            <w:shd w:val="clear" w:color="auto" w:fill="CCEEFF"/>
          </w:tcPr>
          <w:p>
            <w:pPr>
              <w:spacing w:after="0"/>
              <w:rPr>
                <w:sz w:val="9"/>
                <w:szCs w:val="9"/>
                <w:color w:val="auto"/>
              </w:rPr>
            </w:pPr>
          </w:p>
        </w:tc>
        <w:tc>
          <w:tcPr>
            <w:tcW w:w="140" w:type="dxa"/>
            <w:vAlign w:val="bottom"/>
            <w:tcBorders>
              <w:bottom w:val="single" w:sz="8" w:color="CCEEFF"/>
            </w:tcBorders>
            <w:vMerge w:val="continue"/>
            <w:shd w:val="clear" w:color="auto" w:fill="CCEEFF"/>
          </w:tcPr>
          <w:p>
            <w:pPr>
              <w:spacing w:after="0"/>
              <w:rPr>
                <w:sz w:val="9"/>
                <w:szCs w:val="9"/>
                <w:color w:val="auto"/>
              </w:rPr>
            </w:pPr>
          </w:p>
        </w:tc>
        <w:tc>
          <w:tcPr>
            <w:tcW w:w="70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vMerge w:val="continue"/>
            <w:shd w:val="clear" w:color="auto" w:fill="CCEEFF"/>
          </w:tcPr>
          <w:p>
            <w:pPr>
              <w:spacing w:after="0"/>
              <w:rPr>
                <w:sz w:val="9"/>
                <w:szCs w:val="9"/>
                <w:color w:val="auto"/>
              </w:rPr>
            </w:pPr>
          </w:p>
        </w:tc>
        <w:tc>
          <w:tcPr>
            <w:tcW w:w="7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vMerge w:val="continue"/>
            <w:shd w:val="clear" w:color="auto" w:fill="CCEEFF"/>
          </w:tcPr>
          <w:p>
            <w:pPr>
              <w:spacing w:after="0"/>
              <w:rPr>
                <w:sz w:val="9"/>
                <w:szCs w:val="9"/>
                <w:color w:val="auto"/>
              </w:rPr>
            </w:pPr>
          </w:p>
        </w:tc>
        <w:tc>
          <w:tcPr>
            <w:tcW w:w="740" w:type="dxa"/>
            <w:vAlign w:val="bottom"/>
            <w:tcBorders>
              <w:bottom w:val="single" w:sz="8" w:color="CCEEFF"/>
            </w:tcBorders>
            <w:vMerge w:val="continue"/>
            <w:shd w:val="clear" w:color="auto" w:fill="CCEEFF"/>
          </w:tcPr>
          <w:p>
            <w:pPr>
              <w:spacing w:after="0"/>
              <w:rPr>
                <w:sz w:val="9"/>
                <w:szCs w:val="9"/>
                <w:color w:val="auto"/>
              </w:rPr>
            </w:pPr>
          </w:p>
        </w:tc>
        <w:tc>
          <w:tcPr>
            <w:tcW w:w="280" w:type="dxa"/>
            <w:vAlign w:val="bottom"/>
            <w:tcBorders>
              <w:bottom w:val="single" w:sz="8" w:color="CCEEFF"/>
            </w:tcBorders>
            <w:vMerge w:val="continue"/>
            <w:shd w:val="clear" w:color="auto" w:fill="CCEEFF"/>
          </w:tcPr>
          <w:p>
            <w:pPr>
              <w:spacing w:after="0"/>
              <w:rPr>
                <w:sz w:val="9"/>
                <w:szCs w:val="9"/>
                <w:color w:val="auto"/>
              </w:rPr>
            </w:pPr>
          </w:p>
        </w:tc>
        <w:tc>
          <w:tcPr>
            <w:tcW w:w="58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460" w:type="dxa"/>
            <w:vAlign w:val="bottom"/>
            <w:gridSpan w:val="7"/>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4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Adjusted EBITDA</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Interest and financing expense,</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80" w:type="dxa"/>
            <w:vAlign w:val="bottom"/>
          </w:tcPr>
          <w:p>
            <w:pPr>
              <w:spacing w:after="0"/>
              <w:rPr>
                <w:sz w:val="12"/>
                <w:szCs w:val="12"/>
                <w:color w:val="auto"/>
              </w:rPr>
            </w:pPr>
          </w:p>
        </w:tc>
        <w:tc>
          <w:tcPr>
            <w:tcW w:w="7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5,027</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14,427</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2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13,977</w:t>
            </w:r>
          </w:p>
        </w:tc>
        <w:tc>
          <w:tcPr>
            <w:tcW w:w="0" w:type="dxa"/>
            <w:vAlign w:val="bottom"/>
          </w:tcPr>
          <w:p>
            <w:pPr>
              <w:spacing w:after="0"/>
              <w:rPr>
                <w:sz w:val="1"/>
                <w:szCs w:val="1"/>
                <w:color w:val="auto"/>
              </w:rPr>
            </w:pPr>
          </w:p>
        </w:tc>
      </w:tr>
      <w:tr>
        <w:trPr>
          <w:trHeight w:val="19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income attributable to non-</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redeemable non-controlling</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Depreciation, amortization and</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4,697</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5,482</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4,184</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12,677</w:t>
            </w:r>
          </w:p>
        </w:tc>
        <w:tc>
          <w:tcPr>
            <w:tcW w:w="0" w:type="dxa"/>
            <w:vAlign w:val="bottom"/>
          </w:tcPr>
          <w:p>
            <w:pPr>
              <w:spacing w:after="0"/>
              <w:rPr>
                <w:sz w:val="1"/>
                <w:szCs w:val="1"/>
                <w:color w:val="auto"/>
              </w:rPr>
            </w:pPr>
          </w:p>
        </w:tc>
      </w:tr>
      <w:tr>
        <w:trPr>
          <w:trHeight w:val="19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accretion</w:t>
            </w: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Adjustments to reflect Adjusted</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EBITDA from equity method</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3,721</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8,883</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8,883</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investments </w:t>
            </w:r>
            <w:r>
              <w:rPr>
                <w:rFonts w:ascii="Times New Roman" w:cs="Times New Roman" w:eastAsia="Times New Roman" w:hAnsi="Times New Roman"/>
                <w:sz w:val="9"/>
                <w:szCs w:val="9"/>
                <w:color w:val="auto"/>
              </w:rPr>
              <w:t>(2)</w:t>
            </w: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9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Fair value changes and non-</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80" w:type="dxa"/>
            <w:vAlign w:val="bottom"/>
          </w:tcPr>
          <w:p>
            <w:pPr>
              <w:spacing w:after="0"/>
              <w:rPr>
                <w:sz w:val="11"/>
                <w:szCs w:val="11"/>
                <w:color w:val="auto"/>
              </w:rPr>
            </w:pPr>
          </w:p>
        </w:tc>
        <w:tc>
          <w:tcPr>
            <w:tcW w:w="7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201"/>
        </w:trPr>
        <w:tc>
          <w:tcPr>
            <w:tcW w:w="1920" w:type="dxa"/>
            <w:vAlign w:val="bottom"/>
          </w:tcPr>
          <w:p>
            <w:pPr>
              <w:spacing w:after="0" w:line="201" w:lineRule="exact"/>
              <w:rPr>
                <w:sz w:val="20"/>
                <w:szCs w:val="20"/>
                <w:color w:val="auto"/>
              </w:rPr>
            </w:pPr>
            <w:r>
              <w:rPr>
                <w:rFonts w:ascii="Times New Roman" w:cs="Times New Roman" w:eastAsia="Times New Roman" w:hAnsi="Times New Roman"/>
                <w:sz w:val="14"/>
                <w:szCs w:val="14"/>
                <w:color w:val="auto"/>
              </w:rPr>
              <w:t xml:space="preserve">recurring charges </w:t>
            </w:r>
            <w:r>
              <w:rPr>
                <w:rFonts w:ascii="Times New Roman" w:cs="Times New Roman" w:eastAsia="Times New Roman" w:hAnsi="Times New Roman"/>
                <w:sz w:val="18"/>
                <w:szCs w:val="18"/>
                <w:color w:val="auto"/>
                <w:vertAlign w:val="superscript"/>
              </w:rPr>
              <w:t>(3)</w:t>
            </w: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8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RNG development costs </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5,733</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5,733</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9,107</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9,107</w:t>
            </w:r>
          </w:p>
        </w:tc>
        <w:tc>
          <w:tcPr>
            <w:tcW w:w="0" w:type="dxa"/>
            <w:vAlign w:val="bottom"/>
          </w:tcPr>
          <w:p>
            <w:pPr>
              <w:spacing w:after="0"/>
              <w:rPr>
                <w:sz w:val="1"/>
                <w:szCs w:val="1"/>
                <w:color w:val="auto"/>
              </w:rPr>
            </w:pPr>
          </w:p>
        </w:tc>
      </w:tr>
      <w:tr>
        <w:trPr>
          <w:trHeight w:val="139"/>
        </w:trPr>
        <w:tc>
          <w:tcPr>
            <w:tcW w:w="19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Major maintenance for</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6,812</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6,812</w:t>
            </w:r>
          </w:p>
        </w:tc>
        <w:tc>
          <w:tcPr>
            <w:tcW w:w="0" w:type="dxa"/>
            <w:vAlign w:val="bottom"/>
          </w:tcPr>
          <w:p>
            <w:pPr>
              <w:spacing w:after="0"/>
              <w:rPr>
                <w:sz w:val="1"/>
                <w:szCs w:val="1"/>
                <w:color w:val="auto"/>
              </w:rPr>
            </w:pPr>
          </w:p>
        </w:tc>
      </w:tr>
      <w:tr>
        <w:trPr>
          <w:trHeight w:val="198"/>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Renewable Power</w:t>
            </w: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ITC proceeds, net</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0" w:type="dxa"/>
            <w:vAlign w:val="bottom"/>
          </w:tcPr>
          <w:p>
            <w:pPr>
              <w:spacing w:after="0"/>
              <w:rPr>
                <w:sz w:val="1"/>
                <w:szCs w:val="1"/>
                <w:color w:val="auto"/>
              </w:rPr>
            </w:pPr>
          </w:p>
        </w:tc>
      </w:tr>
      <w:tr>
        <w:trPr>
          <w:trHeight w:val="228"/>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(10,494)</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31,103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(33,861)</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67,407</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2" w:hanging="152"/>
        <w:spacing w:after="0"/>
        <w:tabs>
          <w:tab w:leader="none" w:pos="152"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income (loss) by segment is included in our quarterly report on Form 10-Q.</w:t>
      </w:r>
    </w:p>
    <w:p>
      <w:pPr>
        <w:spacing w:after="0" w:line="132" w:lineRule="exact"/>
        <w:rPr>
          <w:rFonts w:ascii="Times New Roman" w:cs="Times New Roman" w:eastAsia="Times New Roman" w:hAnsi="Times New Roman"/>
          <w:sz w:val="19"/>
          <w:szCs w:val="19"/>
          <w:color w:val="auto"/>
          <w:vertAlign w:val="superscript"/>
        </w:rPr>
      </w:pPr>
    </w:p>
    <w:p>
      <w:pPr>
        <w:ind w:left="152" w:hanging="152"/>
        <w:spacing w:after="0"/>
        <w:tabs>
          <w:tab w:leader="none" w:pos="152"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interest, depreciation, amortization and accretion and RNG development costs incurred on equity method investments.</w:t>
      </w:r>
    </w:p>
    <w:p>
      <w:pPr>
        <w:spacing w:after="0" w:line="162" w:lineRule="exact"/>
        <w:rPr>
          <w:rFonts w:ascii="Times New Roman" w:cs="Times New Roman" w:eastAsia="Times New Roman" w:hAnsi="Times New Roman"/>
          <w:sz w:val="19"/>
          <w:szCs w:val="19"/>
          <w:color w:val="auto"/>
          <w:vertAlign w:val="superscript"/>
        </w:rPr>
      </w:pPr>
    </w:p>
    <w:p>
      <w:pPr>
        <w:ind w:left="-8" w:firstLine="8"/>
        <w:spacing w:after="0" w:line="281" w:lineRule="auto"/>
        <w:tabs>
          <w:tab w:leader="none" w:pos="137"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changes in the fair value of earnout liabilities, and note receivable. Also includes ITC costs and one-time, non-recurring charges, such as: (i) certain development-related expenses for RNG facilities—specifically lease and legal costs incurred during the construction phase that were not eligible for capitalization under GAAP (2024); and (ii) contract restructuring costs associated with an existing customer exit agreement (2025).</w:t>
      </w:r>
    </w:p>
    <w:p>
      <w:pPr>
        <w:spacing w:after="0" w:line="136" w:lineRule="exact"/>
        <w:rPr>
          <w:rFonts w:ascii="Times New Roman" w:cs="Times New Roman" w:eastAsia="Times New Roman" w:hAnsi="Times New Roman"/>
          <w:sz w:val="9"/>
          <w:szCs w:val="9"/>
          <w:color w:val="auto"/>
        </w:rPr>
      </w:pPr>
    </w:p>
    <w:p>
      <w:pPr>
        <w:ind w:left="-8" w:right="220" w:firstLine="8"/>
        <w:spacing w:after="0" w:line="362" w:lineRule="auto"/>
        <w:tabs>
          <w:tab w:leader="none" w:pos="124" w:val="left"/>
        </w:tabs>
        <w:numPr>
          <w:ilvl w:val="0"/>
          <w:numId w:val="2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Includes virtual pipeline costs on our Prince William and Polk facilities. These are temporary additional transportation costs incurred until a permanent pipeline solution is completed. Also includes RNG development costs which are lease costs related to Central Valley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0"/>
          <w:szCs w:val="20"/>
          <w:color w:val="auto"/>
        </w:rPr>
        <w:t>17</w:t>
      </w:r>
    </w:p>
    <w:sectPr>
      <w:pgSz w:w="11900" w:h="16838" w:orient="portrait"/>
      <w:cols w:equalWidth="0" w:num="1">
        <w:col w:w="11152"/>
      </w:cols>
      <w:pgMar w:left="328"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bullet"/>
      <w:start w:val="1"/>
    </w:lvl>
  </w:abstractNum>
  <w:abstractNum w:abstractNumId="6">
    <w:nsid w:val="DED7263"/>
    <w:multiLevelType w:val="hybridMultilevel"/>
    <w:lvl w:ilvl="0">
      <w:lvlJc w:val="left"/>
      <w:lvlText w:val="2"/>
      <w:numFmt w:val="bullet"/>
      <w:start w:val="1"/>
    </w:lvl>
  </w:abstractNum>
  <w:abstractNum w:abstractNumId="7">
    <w:nsid w:val="7FDCC233"/>
    <w:multiLevelType w:val="hybridMultilevel"/>
    <w:lvl w:ilvl="0">
      <w:lvlJc w:val="left"/>
      <w:lvlText w:val="3"/>
      <w:numFmt w:val="bullet"/>
      <w:start w:val="1"/>
    </w:lvl>
  </w:abstractNum>
  <w:abstractNum w:abstractNumId="8">
    <w:nsid w:val="1BEFD79F"/>
    <w:multiLevelType w:val="hybridMultilevel"/>
    <w:lvl w:ilvl="0">
      <w:lvlJc w:val="left"/>
      <w:lvlText w:val="4"/>
      <w:numFmt w:val="bullet"/>
      <w:start w:val="1"/>
    </w:lvl>
  </w:abstractNum>
  <w:abstractNum w:abstractNumId="9">
    <w:nsid w:val="41A7C4C9"/>
    <w:multiLevelType w:val="hybridMultilevel"/>
    <w:lvl w:ilvl="0">
      <w:lvlJc w:val="left"/>
      <w:lvlText w:val="5"/>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6"/>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914"/>
    </w:lvl>
  </w:abstractNum>
  <w:abstractNum w:abstractNumId="19">
    <w:nsid w:val="436C6125"/>
    <w:multiLevelType w:val="hybridMultilevel"/>
    <w:lvl w:ilvl="0">
      <w:lvlJc w:val="left"/>
      <w:lvlText w:val="(%1)"/>
      <w:numFmt w:val="decimal"/>
      <w:start w:val="914"/>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2025-11-07T08:23:46Z</dcterms:created>
  <dcterms:modified xsi:type="dcterms:W3CDTF">2025-11-07T08:23:46Z</dcterms:modified>
</cp:coreProperties>
</file>