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920"/>
        <w:spacing w:after="0"/>
        <w:rPr>
          <w:sz w:val="20"/>
          <w:szCs w:val="20"/>
          <w:color w:val="auto"/>
        </w:rPr>
      </w:pPr>
      <w:r>
        <w:rPr>
          <w:rFonts w:ascii="Times New Roman" w:cs="Times New Roman" w:eastAsia="Times New Roman" w:hAnsi="Times New Roman"/>
          <w:sz w:val="17"/>
          <w:szCs w:val="17"/>
          <w:b w:val="1"/>
          <w:bCs w:val="1"/>
          <w:color w:val="auto"/>
        </w:rPr>
        <w:t>Filed by ArcLight Clean Transition Corp. II pursuant to</w:t>
      </w:r>
    </w:p>
    <w:p>
      <w:pPr>
        <w:spacing w:after="0" w:line="43" w:lineRule="exact"/>
        <w:rPr>
          <w:sz w:val="24"/>
          <w:szCs w:val="24"/>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Rule 425 under the Securities Act of 1933</w:t>
      </w:r>
    </w:p>
    <w:p>
      <w:pPr>
        <w:spacing w:after="0" w:line="9" w:lineRule="exact"/>
        <w:rPr>
          <w:sz w:val="24"/>
          <w:szCs w:val="24"/>
          <w:color w:val="auto"/>
        </w:rPr>
      </w:pPr>
    </w:p>
    <w:p>
      <w:pPr>
        <w:ind w:left="8040"/>
        <w:spacing w:after="0"/>
        <w:rPr>
          <w:sz w:val="20"/>
          <w:szCs w:val="20"/>
          <w:color w:val="auto"/>
        </w:rPr>
      </w:pPr>
      <w:r>
        <w:rPr>
          <w:rFonts w:ascii="Times New Roman" w:cs="Times New Roman" w:eastAsia="Times New Roman" w:hAnsi="Times New Roman"/>
          <w:sz w:val="17"/>
          <w:szCs w:val="17"/>
          <w:b w:val="1"/>
          <w:bCs w:val="1"/>
          <w:color w:val="auto"/>
        </w:rPr>
        <w:t>and deemed filed pursuant to Rule 14a-12</w:t>
      </w:r>
    </w:p>
    <w:p>
      <w:pPr>
        <w:spacing w:after="0" w:line="21" w:lineRule="exact"/>
        <w:rPr>
          <w:sz w:val="24"/>
          <w:szCs w:val="24"/>
          <w:color w:val="auto"/>
        </w:rPr>
      </w:pPr>
    </w:p>
    <w:p>
      <w:pPr>
        <w:ind w:left="8000"/>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ArcLight Clean Transition Corp. II</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001-40272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971675"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7167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Hugh Donnell Joins OPAL Fuels as Senior Vice President of Business Development and Sustainability</w:t>
      </w:r>
    </w:p>
    <w:p>
      <w:pPr>
        <w:spacing w:after="0" w:line="22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WHITE PLAINS, N.Y. – (April 4, 2022) – </w:t>
      </w:r>
      <w:r>
        <w:rPr>
          <w:rFonts w:ascii="Times New Roman" w:cs="Times New Roman" w:eastAsia="Times New Roman" w:hAnsi="Times New Roman"/>
          <w:sz w:val="18"/>
          <w:szCs w:val="18"/>
          <w:u w:val="single" w:color="auto"/>
          <w:color w:val="auto"/>
        </w:rPr>
        <w:t>OPAL Fuels LLC,</w:t>
      </w:r>
      <w:r>
        <w:rPr>
          <w:rFonts w:ascii="Times New Roman" w:cs="Times New Roman" w:eastAsia="Times New Roman" w:hAnsi="Times New Roman"/>
          <w:sz w:val="18"/>
          <w:szCs w:val="18"/>
          <w:color w:val="auto"/>
        </w:rPr>
        <w:t xml:space="preserve"> a vertically integrated producer and distributor of renewable natural gas (RNG), today announced Hugh Donnell has joined the company as its Senior Vice President of Business Development and Sustainability. In this new role, Mr. Donnell will help lead OPAL Fuels’ efforts to transition fleets to net-zero now solutions that drive cost savings and support their Environmental, Social and Governance (ESG) goals and objectives.</w:t>
      </w:r>
    </w:p>
    <w:p>
      <w:pPr>
        <w:spacing w:after="0" w:line="18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Donnell will lead an outreach program to fleets with proven, lower operating cost, clean technologies that are available at scale today. He will also assist in developing strategic partnerships with equipment suppliers and other channel partners to drive further adoption of RNG as a transportation fuel. In addition, Mr. Donnell will represent OPAL Fuels at industry trade organizations, host key sustainability events, and help coordinate regulatory relations efforts.</w:t>
      </w:r>
    </w:p>
    <w:p>
      <w:pPr>
        <w:spacing w:after="0" w:line="18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OPAL Fuels, we are focused on helping fleets navigate their decarbonization goals while also saving significantly on their total cost of operations – RNG can do that today,” said Adam Comora, Co-CEO of OPAL Fuels. “We welcome Hugh to the team and are excited about the experience and capabilities he brings that will help grow our company through the increased adoption of renewable natural gas and, in the future, green hydrogen produced from RNG.”</w:t>
      </w:r>
    </w:p>
    <w:p>
      <w:pPr>
        <w:spacing w:after="0" w:line="18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Donnell brings to OPAL Fuels three decades of sales growth and management experience at Cummins, an industry leader in clean, reliable, renewable natural gas engines. In his most recent role at Cummins Westport, reporting to the President of CWI Joint Venture, he was responsible for the business growth and market development of renewable natural gas engines, which included working closely with state and federal government air quality agencies. Additionally, Mr. Donnell brings extensive experience in and a thorough understanding of alternative technologies for on-highway goods movement.</w:t>
      </w:r>
    </w:p>
    <w:p>
      <w:pPr>
        <w:spacing w:after="0" w:line="18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look forward to collaborating with the team at OPAL Fuels to advance RNG adoption as a ‘right now’ sustainability solution with renewable natural gas engines and future technologies powered by green hydrogen,” said Mr. Donnell. “The team’s depth and breadth of expertise to execute on a robust pipeline of RNG projects is core to our ability to meet the fast-growing demand for cost-effective, low- and ultra-low carbon renewable fuel solutions.”</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RNG is an abundant and proven low-cost, low-carbon fuel, chemically identical to the natural gas Americans use to cook and heat their homes, with one critical difference: it's not a fossil fuel pumped from the ground. Instead, RNG is created by capturing and purifying methane emissions from decomposed organic matter created by landfill and animal waste.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About OPAL Fuels LLC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OPAL Fuels 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FORTISTAR portfolio company, is a leading vertically integrated renewable fuels platform involved in the production and distribution of renewable natural gas (RNG) for the heavy-duty truck market. RNG is a proven low-carbon fuel that is rapidly decarbonizing the transportation industry now while also significantly reducing costs for fleet owners. OPAL Fuels captures harmful methane emissions at the source and recycles the trapped energy into a commercially viable, lower-cost alternative to diesel fuel. OPAL Fuels also develops and constructs RNG and hydrogen fueling stations. As a producer and distributor of carbon-reducing fuel for heavy-duty truck fleets for more than a decade, the company delivers best-in-class, complete renewable solutions to customers and production partners. To learn more about OPAL Fuels and how it is leading the effort to capture North America's harmful methane emissions and decarbonize the transportation industry, please visit www</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opalfuels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com and follow the company on LinkedIn and Twitter at @OPALFuels.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OPAL Fuels also previously announced an agreement for a business combination with ArcLight Clean Transition Corp. II (Nasdaq: ACTD) (“ArcLight”), which is expected to result in OPAL Fuels becoming a public company listed on the Nasdaq Stock Exchange in second quarter of 2022, subject to customary closing conditions.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ArcLight has filed with the SEC a Registration Statement on Form S-4 (as amended, the “Registration Statement”), which includes a preliminary proxy statement/prospectus of ArcLight, in connection with the proposed merger transaction (the “Business Combination”) involving ArcLight and OPAL Fuels. After the Registration Statement is declared effective, ArcLight will mail a definitive proxy statement/prospectus and other relevant documents to stockholders of ArcLight as of a record date to be established for voting on the Business Combination. ArcLight’s stockholders and other interested persons are advised to read, the preliminary proxy statement/prospectus, and amendments thereto, and, when available, the definitive proxy statement/prospectus in connection with ArcLight’s solicitation of proxies for its stockholders’ meeting to be held to approve the Business Combination because the proxy statement/prospectus will contain important information about ArcLight, OPAL Fuels and the Business Combination. Stockholders will also be able to obtain copies of the Registration Statement, without charge, once available, at the SEC’s website at www.sec.gov. In addition, the documents filed by ArcLight may be obtained free of charge from ArcLight at https://www.arclightclean.com or by directing a request to: ArcLight Clean Transition Corp. II, 200 Clarendon Street, 55th Floor, Boston, MA 02116.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ArcLight, OPAL Fuels and their respective directors, executive officers, other members of management and employees, under SEC rules, may be deemed to be participants in the solicitation of proxies of ArcLight’s shareholders in connection with the Business Combination. </w:t>
      </w:r>
      <w:r>
        <w:rPr>
          <w:rFonts w:ascii="Times New Roman" w:cs="Times New Roman" w:eastAsia="Times New Roman" w:hAnsi="Times New Roman"/>
          <w:sz w:val="18"/>
          <w:szCs w:val="18"/>
          <w:color w:val="auto"/>
        </w:rPr>
        <w:t>Investors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 may obtain more detailed information regarding the names and interests in the Business Combination of ArcLight’s directors and officers, and OPAL Fuels’ directors and executive officers, in ArcLight’s filings with the SEC, including the Registration Statement.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in this communication may be considered forward-looking statements. Forward-looking statements are statements that are not historical facts and generally relate to future events or ArcLight’s or the OPAL Fuels’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including the identification of a target business and a potential business combination or other such transaction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ArcLight and its management, and OPAL Fuels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Note Regarding Forward-Looking Statements” in the Registration Statement and other filings with the Securities and Exchange Commission (SEC), as well as (1) the inability to complete the proposed transaction; (2) factors associated with companies, such as OPAL Fuels, that are engaged in the production and integration of renewable natural gas (RNG), including anticipated trends, growth rates, and challenges in those businesses and in the markets in which they operate; (3) macroeconomic conditions related to the global COVID-19 pandemic; (4) the effects of increased competition; (5) contractual arrangements with, and the cooperation of, landfill and livestock waste site owners and operators, on which OPAL Fuels operates its landfill gas and livestock waste projects that generate electricity and RNG prices for environmental attributes, low carbon fuel standard credits and other incentives; (6) the ability to identify, acquire, develop and operate renewable projects and RNG fueling stations; (7) the failure to realize the anticipated benefits of the proposed transaction, which may be affected by, among other things, competition, the ability of the combined company to grow and manage growth profitably, maintain relationships with customers and suppliers and retain key employees; (8) delays in obtaining, adverse conditions contained in, or the inability to obtain necessary regulatory approvals or complete regulatory reviews required to complete the proposed transaction; (9) the outcome of any legal proceedings that may be instituted in connection with the proposed transaction; (10) the amount of redemption requests made by ArcLight’s public shareholders; and (11) the ability of the combined company that results from the proposed transaction to issue equity or equity-linked securities or obtain debt financing in connection with the transaction or in the future.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Both ArcLight and OPAL Fuels expressly disclaim any obligations or undertaking to release publicly any updates or revisions to any forward-looking statements contained herein to reflect any change in ArcLight’s or OPAL Fuels’ expectations with respect thereto or any change in events, conditions or circumstances on which any statement is based.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neither an offer to purchase, nor a solicitation of an offer to sell, subscribe for or buy, any securities or the solicitation of any vote in any jurisdiction pursuant to the Business Combination or otherwise, nor shall there be any sale, issuance or transfer or securities in any jurisdiction in contravention of applicable law. No offer of securities shall be made except by means of a prospectus meeting the requirements of Section 10 of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Jason Stewart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Public Relations and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914-421-5336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jstewart@opalfuels.com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OPALFuelsPR@icrinc.com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OPALFuelsIR@icrinc.com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2022-04-04T15:03:42Z</dcterms:created>
  <dcterms:modified xsi:type="dcterms:W3CDTF">2022-04-04T15:03:42Z</dcterms:modified>
</cp:coreProperties>
</file>