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30, 2023</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44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20" w:type="dxa"/>
            <w:vAlign w:val="bottom"/>
          </w:tcPr>
          <w:p>
            <w:pPr>
              <w:spacing w:after="0"/>
              <w:rPr>
                <w:sz w:val="21"/>
                <w:szCs w:val="21"/>
                <w:color w:val="auto"/>
              </w:rPr>
            </w:pPr>
          </w:p>
        </w:tc>
        <w:tc>
          <w:tcPr>
            <w:tcW w:w="2320" w:type="dxa"/>
            <w:vAlign w:val="bottom"/>
          </w:tcPr>
          <w:p>
            <w:pPr>
              <w:ind w:left="280"/>
              <w:spacing w:after="0"/>
              <w:rPr>
                <w:sz w:val="20"/>
                <w:szCs w:val="20"/>
                <w:color w:val="auto"/>
              </w:rPr>
            </w:pPr>
            <w:r>
              <w:rPr>
                <w:rFonts w:ascii="Arial" w:cs="Arial" w:eastAsia="Arial" w:hAnsi="Arial"/>
                <w:sz w:val="18"/>
                <w:szCs w:val="18"/>
                <w:b w:val="1"/>
                <w:bCs w:val="1"/>
                <w:color w:val="auto"/>
              </w:rPr>
              <w:t>Trading Symbol(s)</w:t>
            </w:r>
          </w:p>
        </w:tc>
        <w:tc>
          <w:tcPr>
            <w:tcW w:w="46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44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Class A common stock, par value $.0001 per share</w:t>
            </w:r>
          </w:p>
        </w:tc>
        <w:tc>
          <w:tcPr>
            <w:tcW w:w="2320" w:type="dxa"/>
            <w:vAlign w:val="bottom"/>
          </w:tcPr>
          <w:p>
            <w:pPr>
              <w:ind w:left="980"/>
              <w:spacing w:after="0"/>
              <w:rPr>
                <w:sz w:val="20"/>
                <w:szCs w:val="20"/>
                <w:color w:val="auto"/>
              </w:rPr>
            </w:pPr>
            <w:r>
              <w:rPr>
                <w:rFonts w:ascii="Arial" w:cs="Arial" w:eastAsia="Arial" w:hAnsi="Arial"/>
                <w:sz w:val="18"/>
                <w:szCs w:val="18"/>
                <w:color w:val="auto"/>
              </w:rPr>
              <w:t>OPAL</w:t>
            </w:r>
          </w:p>
        </w:tc>
        <w:tc>
          <w:tcPr>
            <w:tcW w:w="46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March 30, 2023, OPAL Fuels Inc. (the “</w:t>
      </w:r>
      <w:r>
        <w:rPr>
          <w:rFonts w:ascii="Arial" w:cs="Arial" w:eastAsia="Arial" w:hAnsi="Arial"/>
          <w:sz w:val="18"/>
          <w:szCs w:val="18"/>
          <w:b w:val="1"/>
          <w:bCs w:val="1"/>
          <w:color w:val="auto"/>
        </w:rPr>
        <w:t>Company</w:t>
      </w:r>
      <w:r>
        <w:rPr>
          <w:rFonts w:ascii="Arial" w:cs="Arial" w:eastAsia="Arial" w:hAnsi="Arial"/>
          <w:sz w:val="18"/>
          <w:szCs w:val="18"/>
          <w:color w:val="auto"/>
        </w:rPr>
        <w:t>”) issued an aggregate of 49,633 shares of Class A common stock, par value $0.0001 per share (the “</w:t>
      </w:r>
      <w:r>
        <w:rPr>
          <w:rFonts w:ascii="Arial" w:cs="Arial" w:eastAsia="Arial" w:hAnsi="Arial"/>
          <w:sz w:val="18"/>
          <w:szCs w:val="18"/>
          <w:b w:val="1"/>
          <w:bCs w:val="1"/>
          <w:color w:val="auto"/>
        </w:rPr>
        <w:t>Class A Common Stock</w:t>
      </w:r>
      <w:r>
        <w:rPr>
          <w:rFonts w:ascii="Arial" w:cs="Arial" w:eastAsia="Arial" w:hAnsi="Arial"/>
          <w:sz w:val="18"/>
          <w:szCs w:val="18"/>
          <w:color w:val="auto"/>
        </w:rPr>
        <w:t>”), to certain accredited entities and managed accounts for which Encompass Capital Advisors LLC exercises investment discretion (the “</w:t>
      </w:r>
      <w:r>
        <w:rPr>
          <w:rFonts w:ascii="Arial" w:cs="Arial" w:eastAsia="Arial" w:hAnsi="Arial"/>
          <w:sz w:val="18"/>
          <w:szCs w:val="18"/>
          <w:b w:val="1"/>
          <w:bCs w:val="1"/>
          <w:color w:val="auto"/>
        </w:rPr>
        <w:t>Investors</w:t>
      </w:r>
      <w:r>
        <w:rPr>
          <w:rFonts w:ascii="Arial" w:cs="Arial" w:eastAsia="Arial" w:hAnsi="Arial"/>
          <w:sz w:val="18"/>
          <w:szCs w:val="18"/>
          <w:color w:val="auto"/>
        </w:rPr>
        <w:t>”) pursuant to a securities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with the Investors (the “</w:t>
      </w:r>
      <w:r>
        <w:rPr>
          <w:rFonts w:ascii="Arial" w:cs="Arial" w:eastAsia="Arial" w:hAnsi="Arial"/>
          <w:sz w:val="18"/>
          <w:szCs w:val="18"/>
          <w:b w:val="1"/>
          <w:bCs w:val="1"/>
          <w:color w:val="auto"/>
        </w:rPr>
        <w:t>Offering</w:t>
      </w:r>
      <w:r>
        <w:rPr>
          <w:rFonts w:ascii="Arial" w:cs="Arial" w:eastAsia="Arial" w:hAnsi="Arial"/>
          <w:sz w:val="18"/>
          <w:szCs w:val="18"/>
          <w:color w:val="auto"/>
        </w:rPr>
        <w:t>”). The shares of Class A Common Stock were issued to the Investors as consideration for their prior agreement to tender all warrants held by the Investors in the Company’s voluntary warrant exchange offer which closed on December 22, 2022, as further described in the form of Purchase Agreement filed as Exhibit 10.1 hereto.</w:t>
      </w:r>
    </w:p>
    <w:p>
      <w:pPr>
        <w:spacing w:after="0" w:line="21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securities issued in the Offering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until so registered the securities may not be offered or sold absent registration or availability of an applicable exemption from registration.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form of the Purchase Agreement is filed as Exhibit 10.1 to this Current Report on Form 8-K. The foregoing summary of the terms of the Purchase Agreement is subject to, and qualified in its entirety by, the full text of the Purchase Agreement which is incorporated herein by reference. The representations, warranties and covenants contained in the Purchase Agreement were made solely for the benefit of the parties to the Purchase Agreement and may be subject to limitations agreed upon by the contracting parties. No statement in this report or the attached exhibits is an offer to sell or a solicitation of an offer to purchase the Company’s securities, and no offer, solicitation or sale will be made in any jurisdiction in which such offer, solicitation or sale is unlawful.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contained above in Item 1.01 is hereby incorporated by reference into this Item 3.02. The Class A Common Stock is being sold and will be issued without registration under the Securities Act, in reliance on the exemptions provided by Section 4(a)(2) of the Securities Act as a transaction not involving a public offering and Rule 506 promulgated under the Securities Act as sales to accredited investors, and in reliance on similar exemptions under applicable state laws.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Exhibit Number</w:t>
            </w:r>
          </w:p>
        </w:tc>
        <w:tc>
          <w:tcPr>
            <w:tcW w:w="20" w:type="dxa"/>
            <w:vAlign w:val="bottom"/>
          </w:tcPr>
          <w:p>
            <w:pPr>
              <w:spacing w:after="0"/>
              <w:rPr>
                <w:sz w:val="20"/>
                <w:szCs w:val="20"/>
                <w:color w:val="auto"/>
              </w:rPr>
            </w:pPr>
          </w:p>
        </w:tc>
        <w:tc>
          <w:tcPr>
            <w:tcW w:w="890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52"/>
        </w:trPr>
        <w:tc>
          <w:tcPr>
            <w:tcW w:w="224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4"/>
          </w:tcPr>
          <w:p>
            <w:pPr>
              <w:spacing w:after="0"/>
              <w:rPr>
                <w:sz w:val="20"/>
                <w:szCs w:val="20"/>
                <w:color w:val="auto"/>
              </w:rPr>
            </w:pPr>
            <w:r>
              <w:rPr>
                <w:rFonts w:ascii="Arial" w:cs="Arial" w:eastAsia="Arial" w:hAnsi="Arial"/>
                <w:sz w:val="18"/>
                <w:szCs w:val="18"/>
                <w:color w:val="0000FF"/>
                <w:w w:val="95"/>
              </w:rPr>
              <w:t>Securities Purchase Agreement, dated March 30, 2023, by and between OPAL Fuels Inc. and the purchasers named</w:t>
            </w:r>
          </w:p>
        </w:tc>
      </w:tr>
      <w:tr>
        <w:trPr>
          <w:trHeight w:val="210"/>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therein</w:t>
            </w:r>
          </w:p>
        </w:tc>
        <w:tc>
          <w:tcPr>
            <w:tcW w:w="360" w:type="dxa"/>
            <w:vAlign w:val="bottom"/>
            <w:gridSpan w:val="2"/>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400" w:type="dxa"/>
            <w:vAlign w:val="bottom"/>
            <w:gridSpan w:val="3"/>
          </w:tcPr>
          <w:p>
            <w:pPr>
              <w:spacing w:after="0" w:line="20" w:lineRule="exact"/>
              <w:rPr>
                <w:sz w:val="1"/>
                <w:szCs w:val="1"/>
                <w:color w:val="auto"/>
              </w:rPr>
            </w:pPr>
          </w:p>
        </w:tc>
      </w:tr>
      <w:tr>
        <w:trPr>
          <w:trHeight w:val="291"/>
        </w:trPr>
        <w:tc>
          <w:tcPr>
            <w:tcW w:w="224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4"/>
          </w:tcPr>
          <w:p>
            <w:pPr>
              <w:spacing w:after="0"/>
              <w:rPr>
                <w:sz w:val="20"/>
                <w:szCs w:val="20"/>
                <w:color w:val="auto"/>
              </w:rPr>
            </w:pPr>
            <w:r>
              <w:rPr>
                <w:rFonts w:ascii="Arial" w:cs="Arial" w:eastAsia="Arial" w:hAnsi="Arial"/>
                <w:sz w:val="18"/>
                <w:szCs w:val="18"/>
                <w:color w:val="auto"/>
              </w:rPr>
              <w:t>Cover Page Interactive Data File</w:t>
            </w:r>
          </w:p>
        </w:tc>
      </w:tr>
      <w:tr>
        <w:trPr>
          <w:trHeight w:val="133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April 5, 2023</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SECURITIES PURCHASE AGREEMENT</w:t>
      </w:r>
    </w:p>
    <w:p>
      <w:pPr>
        <w:spacing w:after="0" w:line="16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This Securities Purchase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dated as of March 30, 2023, by and among OPAL Fuels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purchaser identified on the signature page hereto (including its successors and assigns, the “</w:t>
      </w:r>
      <w:r>
        <w:rPr>
          <w:rFonts w:ascii="Arial" w:cs="Arial" w:eastAsia="Arial" w:hAnsi="Arial"/>
          <w:sz w:val="20"/>
          <w:szCs w:val="20"/>
          <w:u w:val="single" w:color="auto"/>
          <w:color w:val="auto"/>
        </w:rPr>
        <w:t>Purchaser</w:t>
      </w:r>
      <w:r>
        <w:rPr>
          <w:rFonts w:ascii="Arial" w:cs="Arial" w:eastAsia="Arial" w:hAnsi="Arial"/>
          <w:sz w:val="20"/>
          <w:szCs w:val="20"/>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On December 22, 2022, the Company announced (i) the closing of a registered exchange offer relating to its</w:t>
      </w:r>
    </w:p>
    <w:p>
      <w:pPr>
        <w:spacing w:after="0" w:line="226" w:lineRule="auto"/>
        <w:rPr>
          <w:sz w:val="20"/>
          <w:szCs w:val="20"/>
          <w:color w:val="auto"/>
        </w:rPr>
      </w:pPr>
      <w:r>
        <w:rPr>
          <w:rFonts w:ascii="Arial" w:cs="Arial" w:eastAsia="Arial" w:hAnsi="Arial"/>
          <w:sz w:val="18"/>
          <w:szCs w:val="18"/>
          <w:color w:val="auto"/>
        </w:rPr>
        <w:t xml:space="preserve">outstanding public and private placement warrants to purchase shares of its Class A common stock, par value $0.0001 per share (the “Class A </w:t>
      </w:r>
      <w:r>
        <w:rPr>
          <w:rFonts w:ascii="Arial" w:cs="Arial" w:eastAsia="Arial" w:hAnsi="Arial"/>
          <w:sz w:val="18"/>
          <w:szCs w:val="18"/>
          <w:u w:val="single" w:color="auto"/>
          <w:color w:val="auto"/>
        </w:rPr>
        <w:t>common stock</w:t>
      </w:r>
      <w:r>
        <w:rPr>
          <w:rFonts w:ascii="Arial" w:cs="Arial" w:eastAsia="Arial" w:hAnsi="Arial"/>
          <w:sz w:val="18"/>
          <w:szCs w:val="18"/>
          <w:color w:val="auto"/>
        </w:rPr>
        <w:t>”) and (ii) the closing of the consent solicitation related to the exchange offer, which solicited consents from holders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1685"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1685" cy="265430"/>
                    </a:xfrm>
                    <a:prstGeom prst="rect">
                      <a:avLst/>
                    </a:prstGeom>
                    <a:noFill/>
                  </pic:spPr>
                </pic:pic>
              </a:graphicData>
            </a:graphic>
          </wp:anchor>
        </w:drawing>
      </w:r>
    </w:p>
    <w:p>
      <w:pPr>
        <w:spacing w:after="0" w:line="213" w:lineRule="auto"/>
        <w:rPr>
          <w:sz w:val="20"/>
          <w:szCs w:val="20"/>
          <w:color w:val="auto"/>
        </w:rPr>
      </w:pPr>
      <w:r>
        <w:rPr>
          <w:rFonts w:ascii="Arial" w:cs="Arial" w:eastAsia="Arial" w:hAnsi="Arial"/>
          <w:sz w:val="20"/>
          <w:szCs w:val="20"/>
          <w:color w:val="auto"/>
        </w:rPr>
        <w:t>Company’s warrants to amend that certain Warrant Agreement, dated as of March 25, 2021, by and between the Company (as</w:t>
      </w:r>
    </w:p>
    <w:p>
      <w:pPr>
        <w:spacing w:after="0" w:line="220" w:lineRule="auto"/>
        <w:rPr>
          <w:sz w:val="20"/>
          <w:szCs w:val="20"/>
          <w:color w:val="auto"/>
        </w:rPr>
      </w:pPr>
      <w:r>
        <w:rPr>
          <w:rFonts w:ascii="Arial" w:cs="Arial" w:eastAsia="Arial" w:hAnsi="Arial"/>
          <w:sz w:val="20"/>
          <w:szCs w:val="20"/>
          <w:color w:val="auto"/>
          <w:highlight w:val="white"/>
        </w:rPr>
        <w:t>successor ArcLight Clean Transition Corp. II) and Continental Stock Transfer &amp; Trust Company, as the warrant agent, that governs all of the Company’s warrants (the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-26670</wp:posOffset>
            </wp:positionV>
            <wp:extent cx="989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pursuant to the exchange offer, the Company offered to all warrant holders the opportunity to receive 0.250 shares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Class A common stock in exchange for each outstanding warrant tendered by the holder and exchanged pursuant to the exchange offer, and pursuant to the Warrant Agreement, as amended, each warrant not tendered and exchanged prior to the closing of the exchange offer was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automatically exchanged for 0.225 shares of Class A common stock, which was a ratio 10% less than the exchange ratio applicable to the warrants tendered in the exchange offer;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in connection with the exchange offer, the Purchaser executed that certain Tender and Support Agreement, dated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November 18, 2022, by and among the Company and the Purchaser, pursuant to which the Purchaser indicated its intention to tender its 1,985,236 warrants prior to the expiration of the exchange offer in order to receive an aggregate of 496,309 shares of Class A common stock</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 ratio of 0.250 shares of Class A common stock per warrant);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Transfer Agent (as defined below) has advised the Company that it mailed: (i) a Letter of Transmittal and Consent,</w:t>
      </w:r>
    </w:p>
    <w:p>
      <w:pPr>
        <w:ind w:firstLine="8"/>
        <w:spacing w:after="0" w:line="227" w:lineRule="auto"/>
        <w:tabs>
          <w:tab w:leader="none" w:pos="292" w:val="left"/>
        </w:tabs>
        <w:numPr>
          <w:ilvl w:val="0"/>
          <w:numId w:val="2"/>
        </w:numPr>
        <w:rPr>
          <w:rFonts w:ascii="Arial" w:cs="Arial" w:eastAsia="Arial" w:hAnsi="Arial"/>
          <w:sz w:val="20"/>
          <w:szCs w:val="20"/>
          <w:color w:val="auto"/>
        </w:rPr>
      </w:pPr>
      <w:r>
        <w:rPr>
          <w:rFonts w:ascii="Arial" w:cs="Arial" w:eastAsia="Arial" w:hAnsi="Arial"/>
          <w:sz w:val="20"/>
          <w:szCs w:val="20"/>
          <w:color w:val="auto"/>
        </w:rPr>
        <w:t>a return envelope imprinted with “Opal Fuels, Inc. Attn Reorg”, and (iii) a W8/W9, which materials were required to be completed by the Purchaser and returned to the Transfer Agent in order to tender its warrants;</w:t>
      </w:r>
    </w:p>
    <w:p>
      <w:pPr>
        <w:spacing w:after="0" w:line="197"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WHEREAS, the Purchaser has provided documentary evidence supporting its claim that it never received the documents required to tender its warrants;</w:t>
      </w:r>
    </w:p>
    <w:p>
      <w:pPr>
        <w:spacing w:after="0" w:line="196"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WHEREAS, the warrants held by the Purchaser were automatically converted into 446,676 shares of Class A common stock (a ratio of 0.225 shares of Class A common stock per warrant) according to the terms of the Warrant Agreement, as amended; and</w:t>
      </w:r>
    </w:p>
    <w:p>
      <w:pPr>
        <w:spacing w:after="0" w:line="167"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WHEREAS, subject to the terms and conditions set forth in this Agreement and pursuant to Section 4(a)(2)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Rule 506 promulgated thereunder, the Company desires to issue and sell to the Purchaser and</w:t>
      </w:r>
    </w:p>
    <w:p>
      <w:pPr>
        <w:jc w:val="both"/>
        <w:spacing w:after="0" w:line="226" w:lineRule="auto"/>
        <w:rPr>
          <w:sz w:val="20"/>
          <w:szCs w:val="20"/>
          <w:color w:val="auto"/>
        </w:rPr>
      </w:pPr>
      <w:r>
        <w:rPr>
          <w:rFonts w:ascii="Arial" w:cs="Arial" w:eastAsia="Arial" w:hAnsi="Arial"/>
          <w:sz w:val="18"/>
          <w:szCs w:val="18"/>
          <w:color w:val="auto"/>
        </w:rPr>
        <w:t>certain other entities and managed accounts for which Encompass Capital Advisors LLC exercises investment discretion, and the Purchaser and such other related Persons desires to purchase from the Company, 49,633 restricted shares of Class A common stock in the aggregate,</w:t>
      </w:r>
    </w:p>
    <w:p>
      <w:pPr>
        <w:spacing w:after="0" w:line="224" w:lineRule="auto"/>
        <w:rPr>
          <w:sz w:val="20"/>
          <w:szCs w:val="20"/>
          <w:color w:val="auto"/>
        </w:rPr>
      </w:pPr>
      <w:r>
        <w:rPr>
          <w:rFonts w:ascii="Arial" w:cs="Arial" w:eastAsia="Arial" w:hAnsi="Arial"/>
          <w:sz w:val="19"/>
          <w:szCs w:val="19"/>
          <w:color w:val="auto"/>
        </w:rPr>
        <w:t>representing the difference of (i) the number of shares of Class A common stock that would have been issued in the aggregate to the</w:t>
      </w:r>
    </w:p>
    <w:p>
      <w:pPr>
        <w:spacing w:after="0" w:line="255" w:lineRule="auto"/>
        <w:rPr>
          <w:sz w:val="20"/>
          <w:szCs w:val="20"/>
          <w:color w:val="auto"/>
        </w:rPr>
      </w:pPr>
      <w:r>
        <w:rPr>
          <w:rFonts w:ascii="Arial" w:cs="Arial" w:eastAsia="Arial" w:hAnsi="Arial"/>
          <w:sz w:val="16"/>
          <w:szCs w:val="16"/>
          <w:color w:val="auto"/>
        </w:rPr>
        <w:t>Purchaser and certain other entities and managed accounts for which Encompass Capital Advisors LLC exercises investment discretion if the Purchaser and such other related Persons had timely tendered its warrants in the exchange offer, and (ii) the number of shares of Class A</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common stock that were issued in the aggregate to the Purchaser and such other related Persons pursuant to the Warrant Agreement, as amended.</w:t>
      </w:r>
    </w:p>
    <w:p>
      <w:pPr>
        <w:spacing w:after="0" w:line="143"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the Purchaser agree as follows:</w:t>
      </w:r>
    </w:p>
    <w:p>
      <w:pPr>
        <w:sectPr>
          <w:pgSz w:w="11900" w:h="16838" w:orient="portrait"/>
          <w:cols w:equalWidth="0" w:num="1">
            <w:col w:w="11240"/>
          </w:cols>
          <w:pgMar w:left="320" w:top="139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ARTICLE I.</w:t>
      </w: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14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Definitions</w:t>
      </w:r>
      <w:r>
        <w:rPr>
          <w:rFonts w:ascii="Arial" w:cs="Arial" w:eastAsia="Arial" w:hAnsi="Arial"/>
          <w:sz w:val="20"/>
          <w:szCs w:val="20"/>
          <w:color w:val="auto"/>
        </w:rPr>
        <w:t>. In addition to the terms defined elsewhere in this Agreement, for all purposes of this Agreement, the following terms have the meanings set forth in this Section 1.1:</w:t>
      </w:r>
    </w:p>
    <w:p>
      <w:pPr>
        <w:spacing w:after="0" w:line="142" w:lineRule="exact"/>
        <w:rPr>
          <w:sz w:val="20"/>
          <w:szCs w:val="20"/>
          <w:color w:val="auto"/>
        </w:rPr>
      </w:pPr>
    </w:p>
    <w:p>
      <w:pPr>
        <w:ind w:left="660" w:right="2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Directors</w:t>
      </w:r>
      <w:r>
        <w:rPr>
          <w:rFonts w:ascii="Arial" w:cs="Arial" w:eastAsia="Arial" w:hAnsi="Arial"/>
          <w:sz w:val="20"/>
          <w:szCs w:val="20"/>
          <w:color w:val="auto"/>
        </w:rPr>
        <w:t>” means the board of directors of the Company.</w:t>
      </w:r>
    </w:p>
    <w:p>
      <w:pPr>
        <w:spacing w:after="0" w:line="162" w:lineRule="exact"/>
        <w:rPr>
          <w:sz w:val="20"/>
          <w:szCs w:val="20"/>
          <w:color w:val="auto"/>
        </w:rPr>
      </w:pPr>
    </w:p>
    <w:p>
      <w:pPr>
        <w:ind w:left="66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Saturday, Sunday or other day on which commercial banks in The City of New York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highlight w:val="white"/>
        </w:rPr>
        <w:t>, for clarification, commercial banks shall not be deemed</w:t>
      </w:r>
    </w:p>
    <w:p>
      <w:pPr>
        <w:ind w:left="660"/>
        <w:spacing w:after="0" w:line="226" w:lineRule="auto"/>
        <w:rPr>
          <w:sz w:val="20"/>
          <w:szCs w:val="20"/>
          <w:color w:val="auto"/>
        </w:rPr>
      </w:pPr>
      <w:r>
        <w:rPr>
          <w:rFonts w:ascii="Arial" w:cs="Arial" w:eastAsia="Arial" w:hAnsi="Arial"/>
          <w:sz w:val="18"/>
          <w:szCs w:val="18"/>
          <w:color w:val="auto"/>
        </w:rPr>
        <w:t>to be authorized or required by law to remain closed due to “stay at home”, “shelter-in-place”, “non-essential employee” or any other similar orders or restrictions or the closure of any physical branch locations at the direction of any governmental authority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-246380</wp:posOffset>
            </wp:positionV>
            <wp:extent cx="6720840"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386080"/>
                    </a:xfrm>
                    <a:prstGeom prst="rect">
                      <a:avLst/>
                    </a:prstGeom>
                    <a:noFill/>
                  </pic:spPr>
                </pic:pic>
              </a:graphicData>
            </a:graphic>
          </wp:anchor>
        </w:drawing>
      </w:r>
    </w:p>
    <w:p>
      <w:pPr>
        <w:ind w:left="660"/>
        <w:spacing w:after="0" w:line="227" w:lineRule="auto"/>
        <w:rPr>
          <w:sz w:val="20"/>
          <w:szCs w:val="20"/>
          <w:color w:val="auto"/>
        </w:rPr>
      </w:pPr>
      <w:r>
        <w:rPr>
          <w:rFonts w:ascii="Arial" w:cs="Arial" w:eastAsia="Arial" w:hAnsi="Arial"/>
          <w:sz w:val="20"/>
          <w:szCs w:val="20"/>
          <w:color w:val="auto"/>
        </w:rPr>
        <w:t xml:space="preserve">long as the electronic funds transfer systems (including for wire transfers) of commercial banks in The City of New York generally </w:t>
      </w:r>
      <w:r>
        <w:rPr>
          <w:rFonts w:ascii="Arial" w:cs="Arial" w:eastAsia="Arial" w:hAnsi="Arial"/>
          <w:sz w:val="20"/>
          <w:szCs w:val="20"/>
          <w:color w:val="auto"/>
          <w:highlight w:val="white"/>
        </w:rPr>
        <w:t>are open for use by customers on such day.</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w:t>
      </w:r>
      <w:r>
        <w:rPr>
          <w:rFonts w:ascii="Arial" w:cs="Arial" w:eastAsia="Arial" w:hAnsi="Arial"/>
          <w:sz w:val="20"/>
          <w:szCs w:val="20"/>
          <w:color w:val="auto"/>
        </w:rPr>
        <w:t>” means the closing of the purchase and sale of the Shares pursuant to Section 2.1.</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Trading Day on which the Agreement has been executed and delivered by the applicable parties</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thereto.</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Commission</w:t>
      </w:r>
      <w:r>
        <w:rPr>
          <w:rFonts w:ascii="Arial" w:cs="Arial" w:eastAsia="Arial" w:hAnsi="Arial"/>
          <w:sz w:val="20"/>
          <w:szCs w:val="20"/>
          <w:color w:val="auto"/>
        </w:rPr>
        <w:t>” means the United States Securities and Exchange Commission.</w:t>
      </w:r>
    </w:p>
    <w:p>
      <w:pPr>
        <w:spacing w:after="0" w:line="162" w:lineRule="exact"/>
        <w:rPr>
          <w:sz w:val="20"/>
          <w:szCs w:val="20"/>
          <w:color w:val="auto"/>
        </w:rPr>
      </w:pPr>
    </w:p>
    <w:p>
      <w:pPr>
        <w:ind w:left="66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 A common stock</w:t>
      </w:r>
      <w:r>
        <w:rPr>
          <w:rFonts w:ascii="Arial" w:cs="Arial" w:eastAsia="Arial" w:hAnsi="Arial"/>
          <w:sz w:val="20"/>
          <w:szCs w:val="20"/>
          <w:color w:val="auto"/>
        </w:rPr>
        <w:t>” means the Class A common stock of the Company, par value $0.0001 per share, and any other class of securities into which such securities may hereafter be reclassified or changed.</w:t>
      </w:r>
    </w:p>
    <w:p>
      <w:pPr>
        <w:spacing w:after="0" w:line="142" w:lineRule="exact"/>
        <w:rPr>
          <w:sz w:val="20"/>
          <w:szCs w:val="20"/>
          <w:color w:val="auto"/>
        </w:rPr>
      </w:pPr>
    </w:p>
    <w:p>
      <w:pPr>
        <w:ind w:left="66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 and the rules and regulations promulgated thereunder.</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shall have the meaning ascribed to such term in Section 3.1(a).</w:t>
      </w:r>
    </w:p>
    <w:p>
      <w:pPr>
        <w:spacing w:after="0" w:line="175" w:lineRule="exact"/>
        <w:rPr>
          <w:sz w:val="20"/>
          <w:szCs w:val="20"/>
          <w:color w:val="auto"/>
        </w:rPr>
      </w:pPr>
    </w:p>
    <w:p>
      <w:pPr>
        <w:ind w:left="660" w:right="2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30" w:lineRule="exact"/>
        <w:rPr>
          <w:sz w:val="20"/>
          <w:szCs w:val="20"/>
          <w:color w:val="auto"/>
        </w:rPr>
      </w:pPr>
    </w:p>
    <w:p>
      <w:pPr>
        <w:ind w:left="660"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Proceeding</w:t>
      </w:r>
      <w:r>
        <w:rPr>
          <w:rFonts w:ascii="Arial" w:cs="Arial" w:eastAsia="Arial" w:hAnsi="Arial"/>
          <w:sz w:val="20"/>
          <w:szCs w:val="20"/>
          <w:color w:val="auto"/>
        </w:rPr>
        <w:t>” means an action, claim, suit, investigation or proceeding (including, without limitation, an informal investigation or partial proceeding, such as a deposition), whether commenced or threatened.</w:t>
      </w:r>
    </w:p>
    <w:p>
      <w:pPr>
        <w:spacing w:after="0" w:line="155" w:lineRule="exact"/>
        <w:rPr>
          <w:sz w:val="20"/>
          <w:szCs w:val="20"/>
          <w:color w:val="auto"/>
        </w:rPr>
      </w:pPr>
    </w:p>
    <w:p>
      <w:pPr>
        <w:ind w:left="66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w:t>
      </w:r>
    </w:p>
    <w:p>
      <w:pPr>
        <w:ind w:left="660"/>
        <w:spacing w:after="0"/>
        <w:rPr>
          <w:sz w:val="20"/>
          <w:szCs w:val="20"/>
          <w:color w:val="auto"/>
        </w:rPr>
      </w:pPr>
      <w:r>
        <w:rPr>
          <w:rFonts w:ascii="Arial" w:cs="Arial" w:eastAsia="Arial" w:hAnsi="Arial"/>
          <w:sz w:val="20"/>
          <w:szCs w:val="20"/>
          <w:color w:val="auto"/>
        </w:rPr>
        <w:t>purpose and effect as such Rule.</w:t>
      </w:r>
    </w:p>
    <w:p>
      <w:pPr>
        <w:spacing w:after="0" w:line="146" w:lineRule="exact"/>
        <w:rPr>
          <w:sz w:val="20"/>
          <w:szCs w:val="20"/>
          <w:color w:val="auto"/>
        </w:rPr>
      </w:pPr>
    </w:p>
    <w:p>
      <w:pPr>
        <w:ind w:left="66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Shares</w:t>
      </w:r>
      <w:r>
        <w:rPr>
          <w:rFonts w:ascii="Arial" w:cs="Arial" w:eastAsia="Arial" w:hAnsi="Arial"/>
          <w:sz w:val="20"/>
          <w:szCs w:val="20"/>
          <w:color w:val="auto"/>
        </w:rPr>
        <w:t>” means the shares of Class A common stock issued or issuable to the Purchaser pursuant to this Agreement in the number set forth next to the Purchaser’s name on its signature page hereto.</w:t>
      </w:r>
    </w:p>
    <w:p>
      <w:pPr>
        <w:spacing w:after="0" w:line="142" w:lineRule="exact"/>
        <w:rPr>
          <w:sz w:val="20"/>
          <w:szCs w:val="20"/>
          <w:color w:val="auto"/>
        </w:rPr>
      </w:pPr>
    </w:p>
    <w:p>
      <w:pPr>
        <w:ind w:left="66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Short Sales</w:t>
      </w:r>
      <w:r>
        <w:rPr>
          <w:rFonts w:ascii="Arial" w:cs="Arial" w:eastAsia="Arial" w:hAnsi="Arial"/>
          <w:sz w:val="20"/>
          <w:szCs w:val="20"/>
          <w:color w:val="auto"/>
        </w:rPr>
        <w:t>” means all “short sales” as defined in Rule 200 of Regulation SHO under the Exchange Act (but shall not be deemed to include locating and/or borrowing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4" w:right="339" w:bottom="1440" w:gutter="0" w:footer="0" w:header="0"/>
        </w:sectPr>
      </w:pPr>
    </w:p>
    <w:bookmarkStart w:id="6" w:name="page7"/>
    <w:bookmarkEnd w:id="6"/>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Trading Day</w:t>
      </w:r>
      <w:r>
        <w:rPr>
          <w:rFonts w:ascii="Arial" w:cs="Arial" w:eastAsia="Arial" w:hAnsi="Arial"/>
          <w:sz w:val="20"/>
          <w:szCs w:val="20"/>
          <w:color w:val="auto"/>
        </w:rPr>
        <w:t>” means a day on which the principal Trading Market is open for trading.</w:t>
      </w:r>
    </w:p>
    <w:p>
      <w:pPr>
        <w:spacing w:after="0" w:line="162" w:lineRule="exact"/>
        <w:rPr>
          <w:sz w:val="20"/>
          <w:szCs w:val="20"/>
          <w:color w:val="auto"/>
        </w:rPr>
      </w:pPr>
    </w:p>
    <w:p>
      <w:pPr>
        <w:jc w:val="both"/>
        <w:ind w:left="660"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Trading Market</w:t>
      </w:r>
      <w:r>
        <w:rPr>
          <w:rFonts w:ascii="Arial" w:cs="Arial" w:eastAsia="Arial" w:hAnsi="Arial"/>
          <w:sz w:val="20"/>
          <w:szCs w:val="20"/>
          <w:color w:val="auto"/>
        </w:rPr>
        <w:t>” means any of the following markets or exchanges on which the Class A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44" w:lineRule="exact"/>
        <w:rPr>
          <w:sz w:val="20"/>
          <w:szCs w:val="20"/>
          <w:color w:val="auto"/>
        </w:rPr>
      </w:pPr>
    </w:p>
    <w:p>
      <w:pPr>
        <w:jc w:val="both"/>
        <w:ind w:left="66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 Agent</w:t>
      </w:r>
      <w:r>
        <w:rPr>
          <w:rFonts w:ascii="Arial" w:cs="Arial" w:eastAsia="Arial" w:hAnsi="Arial"/>
          <w:sz w:val="20"/>
          <w:szCs w:val="20"/>
          <w:color w:val="auto"/>
        </w:rPr>
        <w:t>” means Continental Stock Transfer &amp; Trust Company, the current transfer agent of the Company and any successor transfer agent of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jc w:val="center"/>
        <w:spacing w:after="0"/>
        <w:rPr>
          <w:sz w:val="20"/>
          <w:szCs w:val="20"/>
          <w:color w:val="auto"/>
        </w:rPr>
      </w:pPr>
      <w:r>
        <w:rPr>
          <w:rFonts w:ascii="Arial" w:cs="Arial" w:eastAsia="Arial" w:hAnsi="Arial"/>
          <w:sz w:val="20"/>
          <w:szCs w:val="20"/>
          <w:b w:val="1"/>
          <w:bCs w:val="1"/>
          <w:color w:val="auto"/>
        </w:rPr>
        <w:t>PURCHASE AND SALE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the Company agrees to issue and sell</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Shares to the Purchaser as consideration for the Purchaser’s prior agreement to tender all warrants held by the Purchaser in the Company’s voluntary warrant exchange offer. The Company shall deliver to the Purchaser its Shares, and the Company and the Purchaser</w:t>
      </w:r>
    </w:p>
    <w:p>
      <w:pPr>
        <w:spacing w:after="0" w:line="236" w:lineRule="auto"/>
        <w:rPr>
          <w:sz w:val="20"/>
          <w:szCs w:val="20"/>
          <w:color w:val="auto"/>
        </w:rPr>
      </w:pPr>
      <w:r>
        <w:rPr>
          <w:rFonts w:ascii="Arial" w:cs="Arial" w:eastAsia="Arial" w:hAnsi="Arial"/>
          <w:sz w:val="18"/>
          <w:szCs w:val="18"/>
          <w:color w:val="auto"/>
        </w:rPr>
        <w:t>shall deliver the other items set forth in Section 2.2 at the Closing. Upon satisfaction of the covenants and conditions set forth in Sections 2.2</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and 2.3, the Closing shall occur at the offices of Sheppard, Mullin, Richter &amp; Hampton LLP, with offices located at 30 Rockefeller Plaza, New York, New York 10112, or such other location as the parties shall mutually agree.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Deliveries</w:t>
      </w:r>
      <w:r>
        <w:rPr>
          <w:rFonts w:ascii="Arial" w:cs="Arial" w:eastAsia="Arial" w:hAnsi="Arial"/>
          <w:sz w:val="20"/>
          <w:szCs w:val="20"/>
          <w:color w:val="auto"/>
        </w:rPr>
        <w:t>.</w:t>
      </w:r>
    </w:p>
    <w:p>
      <w:pPr>
        <w:spacing w:after="0" w:line="175" w:lineRule="exact"/>
        <w:rPr>
          <w:sz w:val="20"/>
          <w:szCs w:val="20"/>
          <w:color w:val="auto"/>
        </w:rPr>
      </w:pPr>
    </w:p>
    <w:p>
      <w:pPr>
        <w:ind w:left="1580" w:hanging="276"/>
        <w:spacing w:after="0"/>
        <w:tabs>
          <w:tab w:leader="none" w:pos="1580" w:val="left"/>
        </w:tabs>
        <w:numPr>
          <w:ilvl w:val="0"/>
          <w:numId w:val="3"/>
        </w:numPr>
        <w:rPr>
          <w:rFonts w:ascii="Arial" w:cs="Arial" w:eastAsia="Arial" w:hAnsi="Arial"/>
          <w:sz w:val="19"/>
          <w:szCs w:val="19"/>
          <w:color w:val="auto"/>
        </w:rPr>
      </w:pPr>
      <w:r>
        <w:rPr>
          <w:rFonts w:ascii="Arial" w:cs="Arial" w:eastAsia="Arial" w:hAnsi="Arial"/>
          <w:sz w:val="19"/>
          <w:szCs w:val="19"/>
          <w:color w:val="auto"/>
        </w:rPr>
        <w:t>On or prior to the Closing Date, the Company shall deliver or cause to be delivered to the Purchaser the following:</w:t>
      </w:r>
    </w:p>
    <w:p>
      <w:pPr>
        <w:spacing w:after="0" w:line="173" w:lineRule="exact"/>
        <w:rPr>
          <w:rFonts w:ascii="Arial" w:cs="Arial" w:eastAsia="Arial" w:hAnsi="Arial"/>
          <w:sz w:val="19"/>
          <w:szCs w:val="19"/>
          <w:color w:val="auto"/>
        </w:rPr>
      </w:pPr>
    </w:p>
    <w:p>
      <w:pPr>
        <w:ind w:left="2180" w:hanging="228"/>
        <w:spacing w:after="0"/>
        <w:tabs>
          <w:tab w:leader="none" w:pos="2180" w:val="left"/>
        </w:tabs>
        <w:numPr>
          <w:ilvl w:val="1"/>
          <w:numId w:val="3"/>
        </w:numPr>
        <w:rPr>
          <w:rFonts w:ascii="Arial" w:cs="Arial" w:eastAsia="Arial" w:hAnsi="Arial"/>
          <w:sz w:val="20"/>
          <w:szCs w:val="20"/>
          <w:color w:val="auto"/>
        </w:rPr>
      </w:pPr>
      <w:r>
        <w:rPr>
          <w:rFonts w:ascii="Arial" w:cs="Arial" w:eastAsia="Arial" w:hAnsi="Arial"/>
          <w:sz w:val="20"/>
          <w:szCs w:val="20"/>
          <w:color w:val="auto"/>
        </w:rPr>
        <w:t>this Agreement duly executed by the Company; and</w:t>
      </w:r>
    </w:p>
    <w:p>
      <w:pPr>
        <w:spacing w:after="0" w:line="161" w:lineRule="exact"/>
        <w:rPr>
          <w:rFonts w:ascii="Arial" w:cs="Arial" w:eastAsia="Arial" w:hAnsi="Arial"/>
          <w:sz w:val="20"/>
          <w:szCs w:val="20"/>
          <w:color w:val="auto"/>
        </w:rPr>
      </w:pPr>
    </w:p>
    <w:p>
      <w:pPr>
        <w:jc w:val="both"/>
        <w:ind w:left="1300" w:firstLine="652"/>
        <w:spacing w:after="0" w:line="227" w:lineRule="auto"/>
        <w:tabs>
          <w:tab w:leader="none" w:pos="2241" w:val="left"/>
        </w:tabs>
        <w:numPr>
          <w:ilvl w:val="1"/>
          <w:numId w:val="3"/>
        </w:numPr>
        <w:rPr>
          <w:rFonts w:ascii="Arial" w:cs="Arial" w:eastAsia="Arial" w:hAnsi="Arial"/>
          <w:sz w:val="20"/>
          <w:szCs w:val="20"/>
          <w:color w:val="auto"/>
        </w:rPr>
      </w:pPr>
      <w:r>
        <w:rPr>
          <w:rFonts w:ascii="Arial" w:cs="Arial" w:eastAsia="Arial" w:hAnsi="Arial"/>
          <w:sz w:val="20"/>
          <w:szCs w:val="20"/>
          <w:color w:val="auto"/>
        </w:rPr>
        <w:t>a copy of the instructions to the Transfer Agent instructing the Transfer Agent to deliver evidence of the issuance of the Purchaser’s Shares hereunder as held in DRS book-entry form by the Transfer Agent and registered in the name of the Purchaser, which evidence shall be reasonably satisfactory to the Purchaser.</w:t>
      </w:r>
    </w:p>
    <w:p>
      <w:pPr>
        <w:spacing w:after="0" w:line="143" w:lineRule="exact"/>
        <w:rPr>
          <w:rFonts w:ascii="Arial" w:cs="Arial" w:eastAsia="Arial" w:hAnsi="Arial"/>
          <w:sz w:val="20"/>
          <w:szCs w:val="20"/>
          <w:color w:val="auto"/>
        </w:rPr>
      </w:pPr>
    </w:p>
    <w:p>
      <w:pPr>
        <w:ind w:left="660" w:firstLine="644"/>
        <w:spacing w:after="0" w:line="236" w:lineRule="auto"/>
        <w:tabs>
          <w:tab w:leader="none" w:pos="1592"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or prior to the Closing Date, the Purchaser shall deliver or cause to be delivered to the Company this Agreement duly executed by the Purchaser.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Closing Conditions</w:t>
      </w:r>
      <w:r>
        <w:rPr>
          <w:rFonts w:ascii="Arial" w:cs="Arial" w:eastAsia="Arial" w:hAnsi="Arial"/>
          <w:sz w:val="20"/>
          <w:szCs w:val="20"/>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obligations of the Company hereunder in connection with the Closing are subject to the following conditions being</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met:</w:t>
      </w:r>
    </w:p>
    <w:p>
      <w:pPr>
        <w:spacing w:after="0" w:line="146" w:lineRule="exact"/>
        <w:rPr>
          <w:sz w:val="20"/>
          <w:szCs w:val="20"/>
          <w:color w:val="auto"/>
        </w:rPr>
      </w:pPr>
    </w:p>
    <w:p>
      <w:pPr>
        <w:jc w:val="both"/>
        <w:ind w:left="1300" w:firstLine="652"/>
        <w:spacing w:after="0" w:line="239" w:lineRule="auto"/>
        <w:tabs>
          <w:tab w:leader="none" w:pos="2191" w:val="left"/>
        </w:tabs>
        <w:numPr>
          <w:ilvl w:val="1"/>
          <w:numId w:val="4"/>
        </w:numPr>
        <w:rPr>
          <w:rFonts w:ascii="Arial" w:cs="Arial" w:eastAsia="Arial" w:hAnsi="Arial"/>
          <w:sz w:val="19"/>
          <w:szCs w:val="19"/>
          <w:color w:val="auto"/>
        </w:rPr>
      </w:pPr>
      <w:r>
        <w:rPr>
          <w:rFonts w:ascii="Arial" w:cs="Arial" w:eastAsia="Arial" w:hAnsi="Arial"/>
          <w:sz w:val="19"/>
          <w:szCs w:val="19"/>
          <w:color w:val="auto"/>
        </w:rPr>
        <w:t>the accuracy in all material respects (or, to the extent representations or warranties are qualified by materiality or Material Adverse Effect, in all respects) on the Closing Date of the representations and warranties of the Purchaser contained herein (unless as of a specific date therein in which case they shall be accurate as of such date);</w:t>
      </w:r>
    </w:p>
    <w:p>
      <w:pPr>
        <w:spacing w:after="0" w:line="143" w:lineRule="exact"/>
        <w:rPr>
          <w:rFonts w:ascii="Arial" w:cs="Arial" w:eastAsia="Arial" w:hAnsi="Arial"/>
          <w:sz w:val="19"/>
          <w:szCs w:val="19"/>
          <w:color w:val="auto"/>
        </w:rPr>
      </w:pPr>
    </w:p>
    <w:p>
      <w:pPr>
        <w:ind w:left="1300" w:firstLine="652"/>
        <w:spacing w:after="0" w:line="236" w:lineRule="auto"/>
        <w:tabs>
          <w:tab w:leader="none" w:pos="2258" w:val="left"/>
        </w:tabs>
        <w:numPr>
          <w:ilvl w:val="1"/>
          <w:numId w:val="4"/>
        </w:numPr>
        <w:rPr>
          <w:rFonts w:ascii="Arial" w:cs="Arial" w:eastAsia="Arial" w:hAnsi="Arial"/>
          <w:sz w:val="20"/>
          <w:szCs w:val="20"/>
          <w:color w:val="auto"/>
        </w:rPr>
      </w:pPr>
      <w:r>
        <w:rPr>
          <w:rFonts w:ascii="Arial" w:cs="Arial" w:eastAsia="Arial" w:hAnsi="Arial"/>
          <w:sz w:val="20"/>
          <w:szCs w:val="20"/>
          <w:color w:val="auto"/>
        </w:rPr>
        <w:t>all obligations, covenants and agreements of the Purchaser required to be performed at or prior to the Closing Date shall have been performed; and</w:t>
      </w:r>
    </w:p>
    <w:p>
      <w:pPr>
        <w:spacing w:after="0" w:line="141" w:lineRule="exact"/>
        <w:rPr>
          <w:rFonts w:ascii="Arial" w:cs="Arial" w:eastAsia="Arial" w:hAnsi="Arial"/>
          <w:sz w:val="20"/>
          <w:szCs w:val="20"/>
          <w:color w:val="auto"/>
        </w:rPr>
      </w:pPr>
    </w:p>
    <w:p>
      <w:pPr>
        <w:ind w:left="2300" w:hanging="348"/>
        <w:spacing w:after="0"/>
        <w:tabs>
          <w:tab w:leader="none" w:pos="2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delivery by the Purchaser of the item set forth in Section 2.2(b) of this Agreement.</w:t>
      </w:r>
    </w:p>
    <w:p>
      <w:pPr>
        <w:spacing w:after="0" w:line="161" w:lineRule="exact"/>
        <w:rPr>
          <w:rFonts w:ascii="Arial" w:cs="Arial" w:eastAsia="Arial" w:hAnsi="Arial"/>
          <w:sz w:val="20"/>
          <w:szCs w:val="20"/>
          <w:color w:val="auto"/>
        </w:rPr>
      </w:pPr>
    </w:p>
    <w:p>
      <w:pPr>
        <w:ind w:left="1600" w:hanging="296"/>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obligations of the Purchaser hereunder in connection with the Closing are subject to the following conditions being</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met:</w:t>
      </w:r>
    </w:p>
    <w:p>
      <w:pPr>
        <w:spacing w:after="0" w:line="146" w:lineRule="exact"/>
        <w:rPr>
          <w:sz w:val="20"/>
          <w:szCs w:val="20"/>
          <w:color w:val="auto"/>
        </w:rPr>
      </w:pPr>
    </w:p>
    <w:p>
      <w:pPr>
        <w:jc w:val="both"/>
        <w:ind w:left="1300" w:firstLine="652"/>
        <w:spacing w:after="0" w:line="223" w:lineRule="auto"/>
        <w:tabs>
          <w:tab w:leader="none" w:pos="2191"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accuracy in all material respects (or, to the extent representations or warranties are qualified by materiality or Material Adverse Effect, in all respects) when made and on the Closing Date of the representations and warranties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5" w:right="339" w:bottom="1440" w:gutter="0" w:footer="0" w:header="0"/>
        </w:sectPr>
      </w:pPr>
    </w:p>
    <w:bookmarkStart w:id="7" w:name="page8"/>
    <w:bookmarkEnd w:id="7"/>
    <w:p>
      <w:pPr>
        <w:ind w:left="1300"/>
        <w:spacing w:after="0"/>
        <w:rPr>
          <w:sz w:val="20"/>
          <w:szCs w:val="20"/>
          <w:color w:val="auto"/>
        </w:rPr>
      </w:pPr>
      <w:r>
        <w:rPr>
          <w:rFonts w:ascii="Arial" w:cs="Arial" w:eastAsia="Arial" w:hAnsi="Arial"/>
          <w:sz w:val="20"/>
          <w:szCs w:val="20"/>
          <w:color w:val="auto"/>
        </w:rPr>
        <w:t>contained herein (unless as of a specific date therein in which case they shall be accurate as of such date);</w:t>
      </w:r>
    </w:p>
    <w:p>
      <w:pPr>
        <w:spacing w:after="0" w:line="162" w:lineRule="exact"/>
        <w:rPr>
          <w:sz w:val="20"/>
          <w:szCs w:val="20"/>
          <w:color w:val="auto"/>
        </w:rPr>
      </w:pPr>
    </w:p>
    <w:p>
      <w:pPr>
        <w:ind w:left="1300" w:right="20" w:firstLine="652"/>
        <w:spacing w:after="0" w:line="236" w:lineRule="auto"/>
        <w:tabs>
          <w:tab w:leader="none" w:pos="2258" w:val="left"/>
        </w:tabs>
        <w:numPr>
          <w:ilvl w:val="0"/>
          <w:numId w:val="7"/>
        </w:numPr>
        <w:rPr>
          <w:rFonts w:ascii="Arial" w:cs="Arial" w:eastAsia="Arial" w:hAnsi="Arial"/>
          <w:sz w:val="20"/>
          <w:szCs w:val="20"/>
          <w:color w:val="auto"/>
        </w:rPr>
      </w:pPr>
      <w:r>
        <w:rPr>
          <w:rFonts w:ascii="Arial" w:cs="Arial" w:eastAsia="Arial" w:hAnsi="Arial"/>
          <w:sz w:val="20"/>
          <w:szCs w:val="20"/>
          <w:color w:val="auto"/>
        </w:rPr>
        <w:t>all obligations, covenants and agreements of the Company required to be performed at or prior to the Closing Date shall have been performed;</w:t>
      </w:r>
    </w:p>
    <w:p>
      <w:pPr>
        <w:spacing w:after="0" w:line="141" w:lineRule="exact"/>
        <w:rPr>
          <w:rFonts w:ascii="Arial" w:cs="Arial" w:eastAsia="Arial" w:hAnsi="Arial"/>
          <w:sz w:val="20"/>
          <w:szCs w:val="20"/>
          <w:color w:val="auto"/>
        </w:rPr>
      </w:pPr>
    </w:p>
    <w:p>
      <w:pPr>
        <w:ind w:left="2300" w:hanging="348"/>
        <w:spacing w:after="0"/>
        <w:tabs>
          <w:tab w:leader="none" w:pos="2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delivery by the Company of the items set forth in Section 2.2(a) of this Agreement; and</w:t>
      </w:r>
    </w:p>
    <w:p>
      <w:pPr>
        <w:spacing w:after="0" w:line="175" w:lineRule="exact"/>
        <w:rPr>
          <w:rFonts w:ascii="Arial" w:cs="Arial" w:eastAsia="Arial" w:hAnsi="Arial"/>
          <w:sz w:val="20"/>
          <w:szCs w:val="20"/>
          <w:color w:val="auto"/>
        </w:rPr>
      </w:pPr>
    </w:p>
    <w:p>
      <w:pPr>
        <w:ind w:left="2280" w:hanging="328"/>
        <w:spacing w:after="0"/>
        <w:tabs>
          <w:tab w:leader="none" w:pos="228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there shall have been no Material Adverse Effect with respect to the Company since the date hereof.</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hereby makes the following representations and warranties to the</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Purchaser:</w:t>
      </w:r>
    </w:p>
    <w:p>
      <w:pPr>
        <w:spacing w:after="0" w:line="159" w:lineRule="exact"/>
        <w:rPr>
          <w:sz w:val="20"/>
          <w:szCs w:val="20"/>
          <w:color w:val="auto"/>
        </w:rPr>
      </w:pPr>
    </w:p>
    <w:p>
      <w:pPr>
        <w:jc w:val="both"/>
        <w:ind w:left="660" w:firstLine="644"/>
        <w:spacing w:after="0" w:line="230" w:lineRule="auto"/>
        <w:tabs>
          <w:tab w:leader="none" w:pos="1577"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is an entity duly incorporated, validly existing and in good standing under the laws of the jurisdiction of its incorporation, with the requisite power and authority to own and use its properties and assets and to carry on its business as currently conducted. The Company is not in violation or default of any of the provisions of its certificate of incorporation, bylaws or other organizational or charter documents. The Company is duly qualified to conduct business and is in good standing as a foreign corporation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the Agreement,</w:t>
      </w:r>
    </w:p>
    <w:p>
      <w:pPr>
        <w:spacing w:after="0" w:line="4" w:lineRule="exact"/>
        <w:rPr>
          <w:rFonts w:ascii="Arial" w:cs="Arial" w:eastAsia="Arial" w:hAnsi="Arial"/>
          <w:sz w:val="18"/>
          <w:szCs w:val="18"/>
          <w:color w:val="auto"/>
        </w:rPr>
      </w:pPr>
    </w:p>
    <w:p>
      <w:pPr>
        <w:jc w:val="both"/>
        <w:ind w:left="660" w:hanging="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material adverse effect on the results of operations, assets, business, prospects or condition (financial or otherwise) of the Company, or (iii) a material adverse effect on the Company’s ability to perform in any material respect on a timely basis its obligations under the Agreement (any of (i), (ii) or (iii),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and no Proceeding has been instituted in any such jurisdiction revoking, limiting or curtailing or seeking to revoke, limit or curtail such power and authority or qualification.</w:t>
      </w:r>
    </w:p>
    <w:p>
      <w:pPr>
        <w:spacing w:after="0" w:line="141" w:lineRule="exact"/>
        <w:rPr>
          <w:rFonts w:ascii="Arial" w:cs="Arial" w:eastAsia="Arial" w:hAnsi="Arial"/>
          <w:sz w:val="18"/>
          <w:szCs w:val="18"/>
          <w:color w:val="auto"/>
        </w:rPr>
      </w:pPr>
    </w:p>
    <w:p>
      <w:pPr>
        <w:jc w:val="both"/>
        <w:ind w:left="660" w:firstLine="644"/>
        <w:spacing w:after="0" w:line="235" w:lineRule="auto"/>
        <w:tabs>
          <w:tab w:leader="none" w:pos="1642"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Authorization; Enforcement</w:t>
      </w:r>
      <w:r>
        <w:rPr>
          <w:rFonts w:ascii="Arial" w:cs="Arial" w:eastAsia="Arial" w:hAnsi="Arial"/>
          <w:sz w:val="18"/>
          <w:szCs w:val="18"/>
          <w:color w:val="auto"/>
        </w:rPr>
        <w:t>. The Company has the requisite corporate power and authority to enter into and to consummate the transactions contemplated by the Agreement and otherwise to carry out its obligations hereunder. The execution and delivery of the Agreement by the Company and the consummation by it of the transactions contemplated hereby have been duly authorized by all necessary action on the part of the Company and no further action is required by the Company, the Board of Directors or the Company’s stockholders in connection herewith or therewith other than in connection with the Required Approvals (as defined below). The Agreement has been (or upon delivery will have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46" w:lineRule="exact"/>
        <w:rPr>
          <w:rFonts w:ascii="Arial" w:cs="Arial" w:eastAsia="Arial" w:hAnsi="Arial"/>
          <w:sz w:val="18"/>
          <w:szCs w:val="18"/>
          <w:color w:val="auto"/>
        </w:rPr>
      </w:pPr>
    </w:p>
    <w:p>
      <w:pPr>
        <w:jc w:val="both"/>
        <w:ind w:left="660" w:firstLine="644"/>
        <w:spacing w:after="0" w:line="243" w:lineRule="auto"/>
        <w:tabs>
          <w:tab w:leader="none" w:pos="1577"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by the Company of the Agreement, the issuance and sale of the Shares and the consummation by it of the transactions contemplated hereby do not and will not (i) conflict with or violate any provision of the Company’s certificate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give to others any rights of termination, amendment, anti-dilution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5"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similar adjustments, acceleration or cancellation (with or without notice, lapse of time or both) of, any agreement, credit facility, debt</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or other instrument (evidencing a Company debt or otherwise) or other understanding to which the Company is a party or by which any property or asset of the Company is bound or affected, or (iii) subject to the Required Approvals (as defined below), conflict</w:t>
      </w:r>
    </w:p>
    <w:p>
      <w:pPr>
        <w:ind w:left="660"/>
        <w:spacing w:after="0" w:line="224" w:lineRule="auto"/>
        <w:rPr>
          <w:sz w:val="20"/>
          <w:szCs w:val="20"/>
          <w:color w:val="auto"/>
        </w:rPr>
      </w:pPr>
      <w:r>
        <w:rPr>
          <w:rFonts w:ascii="Arial" w:cs="Arial" w:eastAsia="Arial" w:hAnsi="Arial"/>
          <w:sz w:val="19"/>
          <w:szCs w:val="19"/>
          <w:color w:val="auto"/>
        </w:rPr>
        <w:t>with or result in a violation of any law, rule, regulation, order, judgment, injunction, decree or other restriction of any court or</w:t>
      </w:r>
    </w:p>
    <w:p>
      <w:pPr>
        <w:ind w:left="660"/>
        <w:spacing w:after="0" w:line="226" w:lineRule="auto"/>
        <w:rPr>
          <w:sz w:val="20"/>
          <w:szCs w:val="20"/>
          <w:color w:val="auto"/>
        </w:rPr>
      </w:pPr>
      <w:r>
        <w:rPr>
          <w:rFonts w:ascii="Arial" w:cs="Arial" w:eastAsia="Arial" w:hAnsi="Arial"/>
          <w:sz w:val="18"/>
          <w:szCs w:val="18"/>
          <w:color w:val="auto"/>
        </w:rPr>
        <w:t>governmental authority to which the Company is subject (including federal and state securities laws and regulations), or by which any property or asset of the Company is bound or affected; except in the case of each of clauses (ii) and (iii), such as could not have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 reasonably be expected to result in a Material Adverse Effect.</w:t>
      </w:r>
    </w:p>
    <w:p>
      <w:pPr>
        <w:spacing w:after="0" w:line="146" w:lineRule="exact"/>
        <w:rPr>
          <w:sz w:val="20"/>
          <w:szCs w:val="20"/>
          <w:color w:val="auto"/>
        </w:rPr>
      </w:pPr>
    </w:p>
    <w:p>
      <w:pPr>
        <w:jc w:val="both"/>
        <w:ind w:left="660" w:firstLine="644"/>
        <w:spacing w:after="0" w:line="214" w:lineRule="auto"/>
        <w:tabs>
          <w:tab w:leader="none" w:pos="1588"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Filings, Consents and Approvals</w:t>
      </w:r>
      <w:r>
        <w:rPr>
          <w:rFonts w:ascii="Arial" w:cs="Arial" w:eastAsia="Arial" w:hAnsi="Arial"/>
          <w:sz w:val="20"/>
          <w:szCs w:val="20"/>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Agreement, other than: (i) the filings required pursuant to Section 4.3 of the Agreement, (ii) the notice and/or application(s) to each applicable Trading Market for the issuance and sale of the Shares and the listing of the Shares for trading thereon in the time and manner required thereby and (iii) the filing of Form D with the Commission and such filings as are required to be made under applicable state securities laws (collectively, the “</w:t>
      </w:r>
      <w:r>
        <w:rPr>
          <w:rFonts w:ascii="Arial" w:cs="Arial" w:eastAsia="Arial" w:hAnsi="Arial"/>
          <w:sz w:val="20"/>
          <w:szCs w:val="20"/>
          <w:u w:val="single" w:color="auto"/>
          <w:color w:val="auto"/>
        </w:rPr>
        <w:t>Required Approvals</w:t>
      </w:r>
      <w:r>
        <w:rPr>
          <w:rFonts w:ascii="Arial" w:cs="Arial" w:eastAsia="Arial" w:hAnsi="Arial"/>
          <w:sz w:val="20"/>
          <w:szCs w:val="20"/>
          <w:color w:val="auto"/>
        </w:rPr>
        <w:t>”).</w:t>
      </w:r>
    </w:p>
    <w:p>
      <w:pPr>
        <w:spacing w:after="0" w:line="157" w:lineRule="exact"/>
        <w:rPr>
          <w:rFonts w:ascii="Arial" w:cs="Arial" w:eastAsia="Arial" w:hAnsi="Arial"/>
          <w:sz w:val="20"/>
          <w:szCs w:val="20"/>
          <w:color w:val="auto"/>
        </w:rPr>
      </w:pPr>
    </w:p>
    <w:p>
      <w:pPr>
        <w:jc w:val="both"/>
        <w:ind w:left="660" w:firstLine="644"/>
        <w:spacing w:after="0" w:line="216" w:lineRule="auto"/>
        <w:tabs>
          <w:tab w:leader="none" w:pos="1577"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Issuance of the Shares</w:t>
      </w:r>
      <w:r>
        <w:rPr>
          <w:rFonts w:ascii="Arial" w:cs="Arial" w:eastAsia="Arial" w:hAnsi="Arial"/>
          <w:sz w:val="20"/>
          <w:szCs w:val="20"/>
          <w:color w:val="auto"/>
        </w:rPr>
        <w:t>. The Shares are duly authorized and, when issued in accordance with the Agreement, will be duly and validly issued, fully paid and nonassessable, free and clear of all liens imposed by the Company other than restrictions on transfer provided for in the Agreement. The Company has reserved from its duly authorized capital stock the maximum number of Shares issuable pursuant to the Agreement.</w:t>
      </w:r>
    </w:p>
    <w:p>
      <w:pPr>
        <w:spacing w:after="0" w:line="3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Representations and Warranties of the Purchaser</w:t>
      </w:r>
      <w:r>
        <w:rPr>
          <w:rFonts w:ascii="Arial" w:cs="Arial" w:eastAsia="Arial" w:hAnsi="Arial"/>
          <w:sz w:val="16"/>
          <w:szCs w:val="16"/>
          <w:color w:val="auto"/>
        </w:rPr>
        <w:t>. The Purchaser hereby represents and warrants as of the date hereof and as of the</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Closing Date to the Company as follows (unless as of a specific date therein, in which case they shall be accurate as of such date):</w:t>
      </w:r>
    </w:p>
    <w:p>
      <w:pPr>
        <w:spacing w:after="0" w:line="157" w:lineRule="exact"/>
        <w:rPr>
          <w:sz w:val="20"/>
          <w:szCs w:val="20"/>
          <w:color w:val="auto"/>
        </w:rPr>
      </w:pPr>
    </w:p>
    <w:p>
      <w:pPr>
        <w:jc w:val="both"/>
        <w:ind w:left="660" w:firstLine="644"/>
        <w:spacing w:after="0" w:line="235" w:lineRule="auto"/>
        <w:tabs>
          <w:tab w:leader="none" w:pos="1577"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Organization; Authority</w:t>
      </w:r>
      <w:r>
        <w:rPr>
          <w:rFonts w:ascii="Arial" w:cs="Arial" w:eastAsia="Arial" w:hAnsi="Arial"/>
          <w:sz w:val="18"/>
          <w:szCs w:val="18"/>
          <w:color w:val="auto"/>
        </w:rPr>
        <w:t>. The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Agreement and otherwise to carry out its obligations hereunder. The execution and delivery of the Agreement and performance by the Purchaser of the transactions contemplated by the Agreement have been duly authorized by all necessary corporate, partnership, limited liability company or similar action, as applicable, on the part of the Purchaser. The Agreement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46" w:lineRule="exact"/>
        <w:rPr>
          <w:rFonts w:ascii="Arial" w:cs="Arial" w:eastAsia="Arial" w:hAnsi="Arial"/>
          <w:sz w:val="18"/>
          <w:szCs w:val="18"/>
          <w:color w:val="auto"/>
        </w:rPr>
      </w:pPr>
    </w:p>
    <w:p>
      <w:pPr>
        <w:jc w:val="both"/>
        <w:ind w:left="660" w:firstLine="644"/>
        <w:spacing w:after="0" w:line="237" w:lineRule="auto"/>
        <w:tabs>
          <w:tab w:leader="none" w:pos="160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Own Account</w:t>
      </w:r>
      <w:r>
        <w:rPr>
          <w:rFonts w:ascii="Arial" w:cs="Arial" w:eastAsia="Arial" w:hAnsi="Arial"/>
          <w:sz w:val="18"/>
          <w:szCs w:val="18"/>
          <w:color w:val="auto"/>
        </w:rPr>
        <w:t>. The Purchaser understands that the Shares are “restricted securities” and have not been registered under the Securities Act or any applicable state securities law and that the Purchaser is acquiring the Shares as principal for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the Purchaser’s right to sell the Shares in compliance with applicable federal and state securities laws). The Purchaser is acquiring the Shares hereunder in the ordinary course of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5" w:right="339" w:bottom="1440" w:gutter="0" w:footer="0" w:header="0"/>
        </w:sectPr>
      </w:pPr>
    </w:p>
    <w:bookmarkStart w:id="9" w:name="page10"/>
    <w:bookmarkEnd w:id="9"/>
    <w:p>
      <w:pPr>
        <w:jc w:val="both"/>
        <w:ind w:left="660" w:firstLine="644"/>
        <w:spacing w:after="0" w:line="223" w:lineRule="auto"/>
        <w:tabs>
          <w:tab w:leader="none" w:pos="1590"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Purchaser Status</w:t>
      </w:r>
      <w:r>
        <w:rPr>
          <w:rFonts w:ascii="Arial" w:cs="Arial" w:eastAsia="Arial" w:hAnsi="Arial"/>
          <w:sz w:val="20"/>
          <w:szCs w:val="20"/>
          <w:color w:val="auto"/>
        </w:rPr>
        <w:t>. At the time the Purchaser was offered the Shares, it was, and as of the date hereof it is, either: (i) an “accredited investor” as defined in Rule 501(a)(1), (a)(2), (a)(3), (a)(7) or (a)(8) under the Securities Act or (ii) a “qualified institutional buyer” as defined in Rule 144A(a) under the Securities Act.</w:t>
      </w:r>
    </w:p>
    <w:p>
      <w:pPr>
        <w:spacing w:after="0" w:line="155" w:lineRule="exact"/>
        <w:rPr>
          <w:rFonts w:ascii="Arial" w:cs="Arial" w:eastAsia="Arial" w:hAnsi="Arial"/>
          <w:sz w:val="20"/>
          <w:szCs w:val="20"/>
          <w:color w:val="auto"/>
        </w:rPr>
      </w:pPr>
    </w:p>
    <w:p>
      <w:pPr>
        <w:jc w:val="both"/>
        <w:ind w:left="660" w:firstLine="644"/>
        <w:spacing w:after="0" w:line="246" w:lineRule="auto"/>
        <w:tabs>
          <w:tab w:leader="none" w:pos="1629"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Experience of the Purchaser</w:t>
      </w:r>
      <w:r>
        <w:rPr>
          <w:rFonts w:ascii="Arial" w:cs="Arial" w:eastAsia="Arial" w:hAnsi="Arial"/>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The Purchaser is able to bear the economic risk of an investment in the Shares and, at the present time, is able to afford a complete loss of such investment.</w:t>
      </w:r>
    </w:p>
    <w:p>
      <w:pPr>
        <w:spacing w:after="0" w:line="136" w:lineRule="exact"/>
        <w:rPr>
          <w:rFonts w:ascii="Arial" w:cs="Arial" w:eastAsia="Arial" w:hAnsi="Arial"/>
          <w:sz w:val="18"/>
          <w:szCs w:val="18"/>
          <w:color w:val="auto"/>
        </w:rPr>
      </w:pPr>
    </w:p>
    <w:p>
      <w:pPr>
        <w:jc w:val="both"/>
        <w:ind w:left="660" w:firstLine="644"/>
        <w:spacing w:after="0" w:line="220" w:lineRule="auto"/>
        <w:tabs>
          <w:tab w:leader="none" w:pos="1604"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General Solicitation</w:t>
      </w:r>
      <w:r>
        <w:rPr>
          <w:rFonts w:ascii="Arial" w:cs="Arial" w:eastAsia="Arial" w:hAnsi="Arial"/>
          <w:sz w:val="20"/>
          <w:szCs w:val="20"/>
          <w:color w:val="auto"/>
        </w:rPr>
        <w:t>. The Purchaser is not, to the Purchaser’s knowledge, purchasing the Shares as a result of any advertisement, article, notice or other communication regarding the Shares published in any newspaper, magazine or similar media or broadcast over television or radio or presented at any seminar or, to the knowledge of the Purchaser, any other general solicitation or general advertisement.</w:t>
      </w:r>
    </w:p>
    <w:p>
      <w:pPr>
        <w:spacing w:after="0" w:line="142" w:lineRule="exact"/>
        <w:rPr>
          <w:rFonts w:ascii="Arial" w:cs="Arial" w:eastAsia="Arial" w:hAnsi="Arial"/>
          <w:sz w:val="20"/>
          <w:szCs w:val="20"/>
          <w:color w:val="auto"/>
        </w:rPr>
      </w:pPr>
    </w:p>
    <w:p>
      <w:pPr>
        <w:jc w:val="both"/>
        <w:ind w:left="660" w:firstLine="644"/>
        <w:spacing w:after="0" w:line="234" w:lineRule="auto"/>
        <w:tabs>
          <w:tab w:leader="none" w:pos="1569"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Access to Information</w:t>
      </w:r>
      <w:r>
        <w:rPr>
          <w:rFonts w:ascii="Arial" w:cs="Arial" w:eastAsia="Arial" w:hAnsi="Arial"/>
          <w:sz w:val="18"/>
          <w:szCs w:val="18"/>
          <w:color w:val="auto"/>
        </w:rPr>
        <w:t>. The Purchaser acknowledges that it has had the opportunity to review the Agreement (including all exhibits and schedules hereto) and the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The Purchaser acknowledges and agrees that neither the Company nor any Affiliate of the Company has provided the Purchaser with any information or advice with respect to the Shares nor is such information or advice necessary or desired. Neither the Company nor any Affiliate of the Company has made or makes any representation as to the Company or the quality of the Shares. In connection with the issuance of the Shares to the Purchaser, neither the Company nor any of its Affiliates has acted as a financial advisor or fiduciary to the Purchaser.</w:t>
      </w:r>
    </w:p>
    <w:p>
      <w:pPr>
        <w:spacing w:after="0" w:line="144" w:lineRule="exact"/>
        <w:rPr>
          <w:rFonts w:ascii="Arial" w:cs="Arial" w:eastAsia="Arial" w:hAnsi="Arial"/>
          <w:sz w:val="18"/>
          <w:szCs w:val="18"/>
          <w:color w:val="auto"/>
        </w:rPr>
      </w:pPr>
    </w:p>
    <w:p>
      <w:pPr>
        <w:jc w:val="both"/>
        <w:ind w:left="660" w:firstLine="644"/>
        <w:spacing w:after="0" w:line="220" w:lineRule="auto"/>
        <w:tabs>
          <w:tab w:leader="none" w:pos="1615"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Other than to other Persons party to this Agreement or to the Purchaser’s representatives, including, without limitation, its officers, directors, partners, legal and other advisors, employees, agents and Affiliates, the Purchaser has maintained the confidentiality of all disclosures made to it in connection with this transaction (including the existence and terms of this transaction).</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acknowledges and agrees that the representations contained in this Section 3.2 shall not modify, amend or affect the Purchaser’s right to rely on the Company’s representations and warranties contained in this Agreement or any other document or instrument executed and/or delivered in connection with this Agreement or the consummation of the transactions contemplated hereby.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jc w:val="center"/>
        <w:spacing w:after="0"/>
        <w:rPr>
          <w:sz w:val="20"/>
          <w:szCs w:val="20"/>
          <w:color w:val="auto"/>
        </w:rPr>
      </w:pPr>
      <w:r>
        <w:rPr>
          <w:rFonts w:ascii="Arial" w:cs="Arial" w:eastAsia="Arial" w:hAnsi="Arial"/>
          <w:sz w:val="20"/>
          <w:szCs w:val="20"/>
          <w:b w:val="1"/>
          <w:bCs w:val="1"/>
          <w:color w:val="auto"/>
        </w:rPr>
        <w:t>OTHER AGREEMENTS OF THE PARTIES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Transfer Restrictions</w:t>
      </w:r>
      <w:r>
        <w:rPr>
          <w:rFonts w:ascii="Arial" w:cs="Arial" w:eastAsia="Arial" w:hAnsi="Arial"/>
          <w:sz w:val="20"/>
          <w:szCs w:val="20"/>
          <w:color w:val="auto"/>
        </w:rPr>
        <w:t>.</w:t>
      </w:r>
    </w:p>
    <w:p>
      <w:pPr>
        <w:spacing w:after="0" w:line="162" w:lineRule="exact"/>
        <w:rPr>
          <w:sz w:val="20"/>
          <w:szCs w:val="20"/>
          <w:color w:val="auto"/>
        </w:rPr>
      </w:pPr>
    </w:p>
    <w:p>
      <w:pPr>
        <w:jc w:val="both"/>
        <w:ind w:left="660" w:firstLine="644"/>
        <w:spacing w:after="0" w:line="231" w:lineRule="auto"/>
        <w:tabs>
          <w:tab w:leader="none" w:pos="1579"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Shares may only be disposed of in compliance with state and federal securities laws. In connection with any transfer of Shares other than pursuant to an effective registration statement or Rule 144, to the Company or to an Affiliate of the Purchaser, the Company may require the transferor thereof to provide to the Company an opinion of counsel selected by the transferor and reasonably acceptable to the Company, the form and substance of which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5" w:right="339" w:bottom="1440" w:gutter="0" w:footer="0" w:header="0"/>
        </w:sectPr>
      </w:pPr>
    </w:p>
    <w:bookmarkStart w:id="10" w:name="page11"/>
    <w:bookmarkEnd w:id="10"/>
    <w:p>
      <w:pPr>
        <w:ind w:left="660"/>
        <w:spacing w:after="0" w:line="236" w:lineRule="auto"/>
        <w:rPr>
          <w:sz w:val="20"/>
          <w:szCs w:val="20"/>
          <w:color w:val="auto"/>
        </w:rPr>
      </w:pPr>
      <w:r>
        <w:rPr>
          <w:rFonts w:ascii="Arial" w:cs="Arial" w:eastAsia="Arial" w:hAnsi="Arial"/>
          <w:sz w:val="20"/>
          <w:szCs w:val="20"/>
          <w:color w:val="auto"/>
        </w:rPr>
        <w:t>shall be reasonably satisfactory to the Company, to the effect that such transfer does not require registration of such transferred Shares under the Securities Act.</w:t>
      </w:r>
    </w:p>
    <w:p>
      <w:pPr>
        <w:spacing w:after="0" w:line="142" w:lineRule="exact"/>
        <w:rPr>
          <w:sz w:val="20"/>
          <w:szCs w:val="20"/>
          <w:color w:val="auto"/>
        </w:rPr>
      </w:pPr>
    </w:p>
    <w:p>
      <w:pPr>
        <w:ind w:left="660" w:firstLine="644"/>
        <w:spacing w:after="0" w:line="236" w:lineRule="auto"/>
        <w:tabs>
          <w:tab w:leader="none" w:pos="1615"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Purchaser agrees to the imprinting, so long as is required by this Section 4.1, of a legend on the Shares in the following form:</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SECURITIES HAVE NOT BEEN REGISTERED FOR OFFER OR SALE UNDER THE SECURITIES ACT OF 1933 OR</w:t>
      </w:r>
    </w:p>
    <w:p>
      <w:pPr>
        <w:spacing w:after="0" w:line="12" w:lineRule="exact"/>
        <w:rPr>
          <w:sz w:val="20"/>
          <w:szCs w:val="20"/>
          <w:color w:val="auto"/>
        </w:rPr>
      </w:pPr>
    </w:p>
    <w:p>
      <w:pPr>
        <w:ind w:left="660" w:right="20"/>
        <w:spacing w:after="0" w:line="215" w:lineRule="auto"/>
        <w:rPr>
          <w:sz w:val="20"/>
          <w:szCs w:val="20"/>
          <w:color w:val="auto"/>
        </w:rPr>
      </w:pPr>
      <w:r>
        <w:rPr>
          <w:rFonts w:ascii="Arial" w:cs="Arial" w:eastAsia="Arial" w:hAnsi="Arial"/>
          <w:sz w:val="19"/>
          <w:szCs w:val="19"/>
          <w:color w:val="auto"/>
        </w:rPr>
        <w:t>ANY STATE SECURITIES LAWS. THEY MAY NOT BE SOLD OR OFFERED FOR SALE EXCEPT PURSUANT TO AN EFFECTIVE REGISTRATION STATEMENT UNDER SAID ACT AND ANY APPLICABLE STATE SECURITIES LAW OR AN</w:t>
      </w:r>
    </w:p>
    <w:p>
      <w:pPr>
        <w:ind w:left="660"/>
        <w:spacing w:after="0"/>
        <w:rPr>
          <w:sz w:val="20"/>
          <w:szCs w:val="20"/>
          <w:color w:val="auto"/>
        </w:rPr>
      </w:pPr>
      <w:r>
        <w:rPr>
          <w:rFonts w:ascii="Arial" w:cs="Arial" w:eastAsia="Arial" w:hAnsi="Arial"/>
          <w:sz w:val="20"/>
          <w:szCs w:val="20"/>
          <w:color w:val="auto"/>
        </w:rPr>
        <w:t>APPLICABLE EXEMPTION FROM SUCH REGISTRATION REQUIREMENTS.</w:t>
      </w:r>
    </w:p>
    <w:p>
      <w:pPr>
        <w:spacing w:after="0" w:line="146" w:lineRule="exact"/>
        <w:rPr>
          <w:sz w:val="20"/>
          <w:szCs w:val="20"/>
          <w:color w:val="auto"/>
        </w:rPr>
      </w:pPr>
    </w:p>
    <w:p>
      <w:pPr>
        <w:ind w:left="1580" w:hanging="276"/>
        <w:spacing w:after="0"/>
        <w:tabs>
          <w:tab w:leader="none" w:pos="1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Certificates evidencing the Shares shall not contain any legend (including the legend set forth in Section 4.1(b) hereof),</w:t>
      </w:r>
    </w:p>
    <w:p>
      <w:pPr>
        <w:spacing w:after="0" w:line="11" w:lineRule="exact"/>
        <w:rPr>
          <w:rFonts w:ascii="Arial" w:cs="Arial" w:eastAsia="Arial" w:hAnsi="Arial"/>
          <w:sz w:val="18"/>
          <w:szCs w:val="18"/>
          <w:color w:val="auto"/>
        </w:rPr>
      </w:pPr>
    </w:p>
    <w:p>
      <w:pPr>
        <w:jc w:val="both"/>
        <w:ind w:left="660" w:hanging="4"/>
        <w:spacing w:after="0" w:line="232" w:lineRule="auto"/>
        <w:tabs>
          <w:tab w:leader="none" w:pos="9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following any sale of such Shares pursuant to Rule 144, (ii) if such Shares are eligible for sale under Rule 144, without the requirement for the Company to be in compliance with the current public information required under Rule 144 as to such Shares and without volume or manner-of-sale restrictions, or (iii) if such legend is not required under applicable requirements of the Securities Act (including judicial interpretations and pronouncements issued by the staff of the Commission). The Company shall cause its counsel to issue a legal opinion to the Transfer Agent or the Purchaser if required by the Transfer Agent to effect the removal of the legend hereunder, or if requested by the Purchaser, respectively. The Company agrees that following such time as such legend is no longer required under this Section 4.1(c), it will, no later than the earlier of (i) two (2) Trading Days and (ii) the number of Trading Days comprising the Standard Settlement Period (as defined below) following the delivery by the Purchaser to the Company or the Transfer Agent of a certificate representing Shares, as the case may be, issued with a restrictive legend, deliver or cause to be delivered to the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Shares subject to legend removal hereunder shall be transmitted by the Transfer Agent to the Purchaser by crediting the account of the Purchaser’s prime broker with the Depository Trust Company System as directed by the Purchaser. As used herein, “</w:t>
      </w:r>
      <w:r>
        <w:rPr>
          <w:rFonts w:ascii="Arial" w:cs="Arial" w:eastAsia="Arial" w:hAnsi="Arial"/>
          <w:sz w:val="18"/>
          <w:szCs w:val="18"/>
          <w:u w:val="single" w:color="auto"/>
          <w:color w:val="auto"/>
        </w:rPr>
        <w:t>Standard Settlement Period</w:t>
      </w:r>
      <w:r>
        <w:rPr>
          <w:rFonts w:ascii="Arial" w:cs="Arial" w:eastAsia="Arial" w:hAnsi="Arial"/>
          <w:sz w:val="18"/>
          <w:szCs w:val="18"/>
          <w:color w:val="auto"/>
        </w:rPr>
        <w:t>” means the standard settlement period, expressed in a number of Trading Days, on the Company’s primary Trading Market with respect to the Class A common stock as in effect on the date of delivery of a certificate representing Shares issued with a restrictive legend.</w:t>
      </w:r>
    </w:p>
    <w:p>
      <w:pPr>
        <w:spacing w:after="0" w:line="184" w:lineRule="exact"/>
        <w:rPr>
          <w:rFonts w:ascii="Arial" w:cs="Arial" w:eastAsia="Arial" w:hAnsi="Arial"/>
          <w:sz w:val="18"/>
          <w:szCs w:val="18"/>
          <w:color w:val="auto"/>
        </w:rPr>
      </w:pPr>
    </w:p>
    <w:p>
      <w:pPr>
        <w:jc w:val="both"/>
        <w:ind w:left="660" w:firstLine="644"/>
        <w:spacing w:after="0" w:line="259" w:lineRule="auto"/>
        <w:tabs>
          <w:tab w:leader="none" w:pos="1619"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Purchaser agrees with the Company that the Purchaser will sell the Shares pursuant to an exemption from the registration requirements of the Securities Act and acknowledges that the removal of the restrictive legend from certificates representing the Shares as set forth in this Section 4.1 is predicated upon the Company’s reliance upon this understanding.</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defined in Section 2 of the Securities Act) that would be integrated with the offer or sale of the Shares in a manner that would require the registration under the Securities Act of the sale of the Shares or that would be integrated with the offer or sale of the Shares for purposes of</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the rules and regulations of any Trading Market such that it would require shareholder approval prior to the closing of such other transaction unless shareholder approval is obtained before the closing of such subsequent transaction.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Securities Laws Disclosure; Publicity</w:t>
      </w:r>
      <w:r>
        <w:rPr>
          <w:rFonts w:ascii="Arial" w:cs="Arial" w:eastAsia="Arial" w:hAnsi="Arial"/>
          <w:sz w:val="18"/>
          <w:szCs w:val="18"/>
          <w:color w:val="auto"/>
        </w:rPr>
        <w:t>. The Company shall file a Current Report on Form 8-K (or satisfy this requirement by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filing of its annual report on Form 10-K), including the Agreement as an exhibit thereto, with the Commission within the time required by the Exchange Act. From and after the issuance of such report, the Company represents to the Purchaser that it shall have publicly disclosed all</w:t>
      </w:r>
    </w:p>
    <w:p>
      <w:pPr>
        <w:spacing w:after="0" w:line="224" w:lineRule="auto"/>
        <w:rPr>
          <w:sz w:val="20"/>
          <w:szCs w:val="20"/>
          <w:color w:val="auto"/>
        </w:rPr>
      </w:pPr>
      <w:r>
        <w:rPr>
          <w:rFonts w:ascii="Arial" w:cs="Arial" w:eastAsia="Arial" w:hAnsi="Arial"/>
          <w:sz w:val="19"/>
          <w:szCs w:val="19"/>
          <w:color w:val="auto"/>
        </w:rPr>
        <w:t>material, non-public information delivered to the Purchaser by the Company, or any of its officers, directors, employees or agents in</w:t>
      </w:r>
    </w:p>
    <w:p>
      <w:pPr>
        <w:spacing w:after="0" w:line="250" w:lineRule="auto"/>
        <w:rPr>
          <w:sz w:val="20"/>
          <w:szCs w:val="20"/>
          <w:color w:val="auto"/>
        </w:rPr>
      </w:pPr>
      <w:r>
        <w:rPr>
          <w:rFonts w:ascii="Arial" w:cs="Arial" w:eastAsia="Arial" w:hAnsi="Arial"/>
          <w:sz w:val="18"/>
          <w:szCs w:val="18"/>
          <w:color w:val="auto"/>
        </w:rPr>
        <w:t>connection with the transactions contemplated by the Agreement. In addition, effective upon the issuance of such report, the Company acknowledges and agrees that any and all confidentiality or similar obligations under any agreement, whether written or oral,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Company or any of its officers, directors, agents, employees or Affiliates on the one hand, and the Purchaser or any of its Affiliates on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hand, shall terminate. The Purchaser shall consult with the Company before issuing any press releases with respect to the transactions contemplated hereby, and the Purchaser shall not issue any press release or otherwise make any public statement with respect to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transactions contemplated hereby without the prior consent of the Company, with respect to any press release of the Purchaser, which consent</w:t>
      </w:r>
    </w:p>
    <w:p>
      <w:pPr>
        <w:spacing w:after="0" w:line="19"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shall not unreasonably be withheld or delayed, except if such disclosure is required by law, in which case the Purchaser shall promptly provide the Company with prior notice of such public statement or communication.</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the Purchaser is an acquiring person under any control share acquisition, business combination, poison pill (including any</w:t>
      </w:r>
    </w:p>
    <w:p>
      <w:pPr>
        <w:spacing w:after="0" w:line="235" w:lineRule="auto"/>
        <w:rPr>
          <w:sz w:val="20"/>
          <w:szCs w:val="20"/>
          <w:color w:val="auto"/>
        </w:rPr>
      </w:pPr>
      <w:r>
        <w:rPr>
          <w:rFonts w:ascii="Arial" w:cs="Arial" w:eastAsia="Arial" w:hAnsi="Arial"/>
          <w:sz w:val="18"/>
          <w:szCs w:val="18"/>
          <w:color w:val="auto"/>
        </w:rPr>
        <w:t>distribution under a rights agreement) or similar anti-takeover plan or arrangement in effect or hereafter adopted by the Company, or that the</w:t>
      </w:r>
    </w:p>
    <w:p>
      <w:pPr>
        <w:spacing w:after="0" w:line="220" w:lineRule="auto"/>
        <w:rPr>
          <w:sz w:val="20"/>
          <w:szCs w:val="20"/>
          <w:color w:val="auto"/>
        </w:rPr>
      </w:pPr>
      <w:r>
        <w:rPr>
          <w:rFonts w:ascii="Arial" w:cs="Arial" w:eastAsia="Arial" w:hAnsi="Arial"/>
          <w:sz w:val="20"/>
          <w:szCs w:val="20"/>
          <w:color w:val="auto"/>
        </w:rPr>
        <w:t>Purchaser could be deemed to trigger the provisions of any such plan or arrangement, by virtue of receiving Shares under the Agreement or under any other agreement between the Company and the Purchaser.</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Except with respect to the material terms and conditions of the transactions contemplated by the Agreement, which shall be disclosed pursuant to Section 4.3, the Company covenants and agrees that neither it, nor any other Person acting</w:t>
      </w:r>
    </w:p>
    <w:p>
      <w:pPr>
        <w:spacing w:after="0" w:line="235" w:lineRule="auto"/>
        <w:rPr>
          <w:sz w:val="20"/>
          <w:szCs w:val="20"/>
          <w:color w:val="auto"/>
        </w:rPr>
      </w:pPr>
      <w:r>
        <w:rPr>
          <w:rFonts w:ascii="Arial" w:cs="Arial" w:eastAsia="Arial" w:hAnsi="Arial"/>
          <w:sz w:val="18"/>
          <w:szCs w:val="18"/>
          <w:color w:val="auto"/>
        </w:rPr>
        <w:t>on its behalf will provide the Purchaser or its agents or counsel with any information that constitutes, or the Company reasonably believes</w:t>
      </w:r>
    </w:p>
    <w:p>
      <w:pPr>
        <w:spacing w:after="0" w:line="226" w:lineRule="auto"/>
        <w:rPr>
          <w:sz w:val="20"/>
          <w:szCs w:val="20"/>
          <w:color w:val="auto"/>
        </w:rPr>
      </w:pPr>
      <w:r>
        <w:rPr>
          <w:rFonts w:ascii="Arial" w:cs="Arial" w:eastAsia="Arial" w:hAnsi="Arial"/>
          <w:sz w:val="18"/>
          <w:szCs w:val="18"/>
          <w:color w:val="auto"/>
        </w:rPr>
        <w:t>constitutes, material non-public information, unless prior thereto the Purchaser shall have consented to the receipt of such information and agreed with the Company to keep such information confidential. The Company understands and confirms that the Purchaser is relying on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foregoing covenant in effecting transactions in securities of the Company. To the extent that the Company or any of its officers, director, agents, employees or Affiliates delivers any material, non-public information to the Purchaser without the Purchaser’s consent, the Company</w:t>
      </w:r>
    </w:p>
    <w:p>
      <w:pPr>
        <w:spacing w:after="0" w:line="236" w:lineRule="auto"/>
        <w:rPr>
          <w:sz w:val="20"/>
          <w:szCs w:val="20"/>
          <w:color w:val="auto"/>
        </w:rPr>
      </w:pPr>
      <w:r>
        <w:rPr>
          <w:rFonts w:ascii="Arial" w:cs="Arial" w:eastAsia="Arial" w:hAnsi="Arial"/>
          <w:sz w:val="18"/>
          <w:szCs w:val="18"/>
          <w:color w:val="auto"/>
        </w:rPr>
        <w:t>hereby covenants and agrees that the Purchaser shall not have any duty of confidentiality to the Company or any of its officers, directors,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agents, employees or Affiliates, or a duty to the Company or any of its officers, directors, agents, employees or Affiliates not to trade on the basis of, such material, non-public information, provided that the Purchaser shall remain subject to applicable law. The Company understands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confirms that the Purchaser is relying on the foregoing covenant in effecting transactions in securities of the Company.</w:t>
      </w:r>
    </w:p>
    <w:p>
      <w:pPr>
        <w:spacing w:after="0" w:line="14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Certain Transactions and Confidentiality</w:t>
      </w:r>
      <w:r>
        <w:rPr>
          <w:rFonts w:ascii="Arial" w:cs="Arial" w:eastAsia="Arial" w:hAnsi="Arial"/>
          <w:sz w:val="18"/>
          <w:szCs w:val="18"/>
          <w:color w:val="auto"/>
        </w:rPr>
        <w:t>. The Purchaser covenants that neither it, nor any Affiliate acting on its behalf or pursuant to any understanding with it will execute any purchases or sales, including Short Sales, of any of the Company’s securities during</w:t>
      </w:r>
    </w:p>
    <w:p>
      <w:pPr>
        <w:spacing w:after="0" w:line="226" w:lineRule="auto"/>
        <w:rPr>
          <w:sz w:val="20"/>
          <w:szCs w:val="20"/>
          <w:color w:val="auto"/>
        </w:rPr>
      </w:pPr>
      <w:r>
        <w:rPr>
          <w:rFonts w:ascii="Arial" w:cs="Arial" w:eastAsia="Arial" w:hAnsi="Arial"/>
          <w:sz w:val="18"/>
          <w:szCs w:val="18"/>
          <w:color w:val="auto"/>
        </w:rPr>
        <w:t>the period commencing with the execution of this Agreement and ending at such time that the transactions contemplated by this Agreement are first publicly announced pursuant to the report described in Section 4.3. The Purchaser covenants that until such time as the transactions</w:t>
      </w:r>
    </w:p>
    <w:p>
      <w:pPr>
        <w:spacing w:after="0" w:line="236" w:lineRule="auto"/>
        <w:rPr>
          <w:sz w:val="20"/>
          <w:szCs w:val="20"/>
          <w:color w:val="auto"/>
        </w:rPr>
      </w:pPr>
      <w:r>
        <w:rPr>
          <w:rFonts w:ascii="Arial" w:cs="Arial" w:eastAsia="Arial" w:hAnsi="Arial"/>
          <w:sz w:val="18"/>
          <w:szCs w:val="18"/>
          <w:color w:val="auto"/>
        </w:rPr>
        <w:t>contemplated by this Agreement are publicly disclosed by the Company pursuant to the report described in Section 4.3, the Purchaser will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maintain the confidentiality of the existence and terms of this transaction. Notwithstanding the foregoing and notwithstanding anything contained in this Agreement to the contrary, the Company expressly acknowledges and agrees that (i) the Purchaser does not make any</w:t>
      </w:r>
    </w:p>
    <w:p>
      <w:pPr>
        <w:spacing w:after="0" w:line="236" w:lineRule="auto"/>
        <w:rPr>
          <w:sz w:val="20"/>
          <w:szCs w:val="20"/>
          <w:color w:val="auto"/>
        </w:rPr>
      </w:pPr>
      <w:r>
        <w:rPr>
          <w:rFonts w:ascii="Arial" w:cs="Arial" w:eastAsia="Arial" w:hAnsi="Arial"/>
          <w:sz w:val="18"/>
          <w:szCs w:val="18"/>
          <w:color w:val="auto"/>
        </w:rPr>
        <w:t>representation, warranty or covenant hereby that it will not engage in effecting transactions in any securities of the Company after the time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the transactions contemplated by this Agreement are first publicly announced pursuant to the report described in Section 4.3, (ii) the Purchaser shall not be restricted or prohibited from effecting any transactions in any securities of the Company in accordance with applicable</w:t>
      </w:r>
    </w:p>
    <w:p>
      <w:pPr>
        <w:spacing w:after="0" w:line="236" w:lineRule="auto"/>
        <w:rPr>
          <w:sz w:val="20"/>
          <w:szCs w:val="20"/>
          <w:color w:val="auto"/>
        </w:rPr>
      </w:pPr>
      <w:r>
        <w:rPr>
          <w:rFonts w:ascii="Arial" w:cs="Arial" w:eastAsia="Arial" w:hAnsi="Arial"/>
          <w:sz w:val="18"/>
          <w:szCs w:val="18"/>
          <w:color w:val="auto"/>
        </w:rPr>
        <w:t>securities laws from and after the time that the transactions contemplated by this Agreement are first publicly announced pursuant to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report described in Section 4.3 and (iii) the Purchaser shall not have any duty of confidentiality or duty not to trade in the securities of the Company to the Company after the issuance of the report described in Section 4.3. Notwithstanding the foregoing, if the Purchaser is 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multi-managed investment vehicle whereby separate portfolio managers manage separate portions of the Purchaser’s assets and the portfolio</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managers have no direct knowledge of the investment decisions made by the portfolio managers managing other portions of the Purchaser’s assets, the covenant set forth above shall only apply with respect to the portion of assets managed by the portfolio manager that made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investment decision to purchase the Shares covered by this Agreement.</w:t>
      </w:r>
    </w:p>
    <w:p>
      <w:pPr>
        <w:spacing w:after="0" w:line="14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Form D; Blue Sky Filings</w:t>
      </w:r>
      <w:r>
        <w:rPr>
          <w:rFonts w:ascii="Arial" w:cs="Arial" w:eastAsia="Arial" w:hAnsi="Arial"/>
          <w:sz w:val="20"/>
          <w:szCs w:val="20"/>
          <w:color w:val="auto"/>
        </w:rPr>
        <w:t>. The Company agrees to timely file a Form D with respect to the Shares as required under Regulation D and to provide a copy thereof, promptly upon request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Purchaser. The Company shall take such action as the Company shall reasonably determine is necessary in order to obtain an exemption for,</w:t>
      </w:r>
    </w:p>
    <w:p>
      <w:pPr>
        <w:spacing w:after="0" w:line="35"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or to qualify the Shares for, sale to the Purchaser at the Closing under applicable securities or “Blue Sky” laws of the states of the United States, and shall provide evidence of such actions promptly upon request of the Purchaser.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4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Termination</w:t>
      </w:r>
      <w:r>
        <w:rPr>
          <w:rFonts w:ascii="Arial" w:cs="Arial" w:eastAsia="Arial" w:hAnsi="Arial"/>
          <w:sz w:val="18"/>
          <w:szCs w:val="18"/>
          <w:color w:val="auto"/>
        </w:rPr>
        <w:t>. Without limitation to the requirement that the Closing occur on the date hereof, this Agreement may be terminated by the Purchaser by written notice to the Company if the Closing has not been consummated on or before the fifth Trading Day following the</w:t>
      </w:r>
    </w:p>
    <w:p>
      <w:pPr>
        <w:jc w:val="both"/>
        <w:ind w:right="20"/>
        <w:spacing w:after="0" w:line="220" w:lineRule="auto"/>
        <w:rPr>
          <w:sz w:val="20"/>
          <w:szCs w:val="20"/>
          <w:color w:val="auto"/>
        </w:rPr>
      </w:pPr>
      <w:r>
        <w:rPr>
          <w:rFonts w:ascii="Arial" w:cs="Arial" w:eastAsia="Arial" w:hAnsi="Arial"/>
          <w:sz w:val="20"/>
          <w:szCs w:val="20"/>
          <w:color w:val="auto"/>
        </w:rPr>
        <w:t xml:space="preserve">date 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termination will affect the right of any party to sue for any breach by any other party (or parties).</w:t>
      </w:r>
    </w:p>
    <w:p>
      <w:pPr>
        <w:spacing w:after="0" w:line="15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Agreement to the contrary, each party shall pay the fees and expenses of its advisers, counsel, accountants and other experts, if any, and all other expenses incurred by such party incident to the negotiation,</w:t>
      </w:r>
    </w:p>
    <w:p>
      <w:pPr>
        <w:spacing w:after="0" w:line="235" w:lineRule="auto"/>
        <w:rPr>
          <w:sz w:val="20"/>
          <w:szCs w:val="20"/>
          <w:color w:val="auto"/>
        </w:rPr>
      </w:pPr>
      <w:r>
        <w:rPr>
          <w:rFonts w:ascii="Arial" w:cs="Arial" w:eastAsia="Arial" w:hAnsi="Arial"/>
          <w:sz w:val="18"/>
          <w:szCs w:val="18"/>
          <w:color w:val="auto"/>
        </w:rPr>
        <w:t>preparation, execution, delivery and performance of the Agreement. The Company shall pay all Transfer Agent fees (including, without</w:t>
      </w:r>
    </w:p>
    <w:p>
      <w:pPr>
        <w:jc w:val="both"/>
        <w:spacing w:after="0" w:line="220" w:lineRule="auto"/>
        <w:rPr>
          <w:sz w:val="20"/>
          <w:szCs w:val="20"/>
          <w:color w:val="auto"/>
        </w:rPr>
      </w:pPr>
      <w:r>
        <w:rPr>
          <w:rFonts w:ascii="Arial" w:cs="Arial" w:eastAsia="Arial" w:hAnsi="Arial"/>
          <w:sz w:val="20"/>
          <w:szCs w:val="20"/>
          <w:color w:val="auto"/>
        </w:rPr>
        <w:t>limitation, any fees required for same-day processing of any instruction letter delivered by the Company), stamp taxes and other taxes and duties levied in connection with the delivery of any Shares to the Purchaser.</w:t>
      </w:r>
    </w:p>
    <w:p>
      <w:pPr>
        <w:spacing w:after="0" w:line="14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Entire Agreement</w:t>
      </w:r>
      <w:r>
        <w:rPr>
          <w:rFonts w:ascii="Arial" w:cs="Arial" w:eastAsia="Arial" w:hAnsi="Arial"/>
          <w:sz w:val="19"/>
          <w:szCs w:val="19"/>
          <w:color w:val="auto"/>
        </w:rPr>
        <w:t>. The Agreement, together with the exhibits and schedules hereto, contains the entire understanding of the parties with respect to the subject matter hereof and supersedes all prior agreements and understandings, oral or written, with respect to such matters, which the parties acknowledge have been merged into such documents, exhibits and schedules.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in</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writing and shall be deemed given and effective on the earliest of: (a) the time of transmission, if such notice or communication is delivered via email attachment at the email address as set forth on the signature pages attached hereto at or prior to 5:30 p.m. (New York City time) on</w:t>
      </w:r>
    </w:p>
    <w:p>
      <w:pPr>
        <w:spacing w:after="0" w:line="236" w:lineRule="auto"/>
        <w:rPr>
          <w:sz w:val="20"/>
          <w:szCs w:val="20"/>
          <w:color w:val="auto"/>
        </w:rPr>
      </w:pPr>
      <w:r>
        <w:rPr>
          <w:rFonts w:ascii="Arial" w:cs="Arial" w:eastAsia="Arial" w:hAnsi="Arial"/>
          <w:sz w:val="18"/>
          <w:szCs w:val="18"/>
          <w:color w:val="auto"/>
        </w:rPr>
        <w:t>a Trading Day, (b) the next Trading Day after the time of transmission, if such notice or communication is delivered via email attachment at</w:t>
      </w:r>
    </w:p>
    <w:p>
      <w:pPr>
        <w:spacing w:after="0" w:line="1"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the email address as set forth on the signature pages attached hereto on a day that is not a Trading Day or later than 5:30 p.m. (New York City time) on any Trading Day, (c) the second (2</w:t>
      </w:r>
      <w:r>
        <w:rPr>
          <w:rFonts w:ascii="Arial" w:cs="Arial" w:eastAsia="Arial" w:hAnsi="Arial"/>
          <w:sz w:val="23"/>
          <w:szCs w:val="23"/>
          <w:color w:val="auto"/>
          <w:vertAlign w:val="superscript"/>
        </w:rPr>
        <w:t>nd</w:t>
      </w:r>
      <w:r>
        <w:rPr>
          <w:rFonts w:ascii="Arial" w:cs="Arial" w:eastAsia="Arial" w:hAnsi="Arial"/>
          <w:sz w:val="18"/>
          <w:szCs w:val="18"/>
          <w:color w:val="auto"/>
        </w:rPr>
        <w:t>) Trading Day following the date of mailing, if sent by U.S. nationally recognized overnight</w:t>
      </w:r>
    </w:p>
    <w:p>
      <w:pPr>
        <w:spacing w:after="0" w:line="1"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courier service or (d) upon actual receipt by the party to whom such notice is required to be given. The address for such notices and communications shall be as set forth on the signature pages attached hereto.</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Amendments; Waivers</w:t>
      </w:r>
      <w:r>
        <w:rPr>
          <w:rFonts w:ascii="Arial" w:cs="Arial" w:eastAsia="Arial" w:hAnsi="Arial"/>
          <w:sz w:val="18"/>
          <w:szCs w:val="18"/>
          <w:color w:val="auto"/>
        </w:rPr>
        <w:t>. No provision of this Agreement may be waived, modified, supplemented or amended except in a written</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instrument signed, in the case of an amendment, by the Company and the Purchaser or, in the case of a waiver, by the party against whom enforcement of any such waived provision is sought. No waiver of any default with respect to any provision, condition or requirement of this</w:t>
      </w:r>
    </w:p>
    <w:p>
      <w:pPr>
        <w:spacing w:after="0" w:line="236" w:lineRule="auto"/>
        <w:rPr>
          <w:sz w:val="20"/>
          <w:szCs w:val="20"/>
          <w:color w:val="auto"/>
        </w:rPr>
      </w:pPr>
      <w:r>
        <w:rPr>
          <w:rFonts w:ascii="Arial" w:cs="Arial" w:eastAsia="Arial" w:hAnsi="Arial"/>
          <w:sz w:val="18"/>
          <w:szCs w:val="18"/>
          <w:color w:val="auto"/>
        </w:rPr>
        <w:t>Agreement shall be deemed to be a continuing waiver in the future or a waiver of any subsequent default or a waiver of any other provision,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condition or requirement hereof, nor shall any delay or omission of any party to exercise any right hereunder in any manner impair the exercise of any such right. Any amendment effected in accordance with this Section 5.5 shall be binding upon the Purchaser and holder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Shares and the Company.</w:t>
      </w:r>
    </w:p>
    <w:p>
      <w:pPr>
        <w:spacing w:after="0" w:line="14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herein are for convenience only, do not constitute a part of this Agreement and shall not be deemed to limit or affect any of the provisions hereof.</w:t>
      </w:r>
    </w:p>
    <w:p>
      <w:pPr>
        <w:spacing w:after="0" w:line="1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Person to whom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5" w:right="339" w:bottom="1440" w:gutter="0" w:footer="0" w:header="0"/>
        </w:sectPr>
      </w:pPr>
    </w:p>
    <w:bookmarkStart w:id="13" w:name="page14"/>
    <w:bookmarkEnd w:id="13"/>
    <w:p>
      <w:pPr>
        <w:jc w:val="both"/>
        <w:ind w:right="20"/>
        <w:spacing w:after="0" w:line="236" w:lineRule="auto"/>
        <w:rPr>
          <w:sz w:val="20"/>
          <w:szCs w:val="20"/>
          <w:color w:val="auto"/>
        </w:rPr>
      </w:pPr>
      <w:r>
        <w:rPr>
          <w:rFonts w:ascii="Arial" w:cs="Arial" w:eastAsia="Arial" w:hAnsi="Arial"/>
          <w:sz w:val="20"/>
          <w:szCs w:val="20"/>
          <w:color w:val="auto"/>
        </w:rPr>
        <w:t>Purchaser assigns or transfers any Shares, provided that such transferee agrees in writing to be bound, with respect to the transferred Shares, by the provisions of the Agreement that apply to the Purchaser.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is intended for the benefit of the parties hereto and their respective successors and</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permitted assigns and is not for the benefit of, nor may any provision hereof be enforced by, any other Person, except as otherwise set forth in this Section 5.8.</w:t>
      </w:r>
    </w:p>
    <w:p>
      <w:pPr>
        <w:spacing w:after="0" w:line="156"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the Agreement shall be governed by and construed and enforced in accordance with the internal laws of the State of New York, without regard to the principles of</w:t>
      </w:r>
    </w:p>
    <w:p>
      <w:pPr>
        <w:spacing w:after="0" w:line="222" w:lineRule="auto"/>
        <w:rPr>
          <w:sz w:val="20"/>
          <w:szCs w:val="20"/>
          <w:color w:val="auto"/>
        </w:rPr>
      </w:pPr>
      <w:r>
        <w:rPr>
          <w:rFonts w:ascii="Arial" w:cs="Arial" w:eastAsia="Arial" w:hAnsi="Arial"/>
          <w:sz w:val="19"/>
          <w:szCs w:val="19"/>
          <w:color w:val="auto"/>
        </w:rPr>
        <w:t>conflicts of law thereof. Each party agrees that all legal Proceedings concerning the interpretations, enforcement and defense of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transactions contemplated by this Agreement (whether brought against a party hereto or its respective affiliates, directors, officers, shareholders, partners, members, employees or agents) shall be commenced exclusively in the state and federal courts sitting in the City of</w:t>
      </w:r>
    </w:p>
    <w:p>
      <w:pPr>
        <w:spacing w:after="0" w:line="236" w:lineRule="auto"/>
        <w:rPr>
          <w:sz w:val="20"/>
          <w:szCs w:val="20"/>
          <w:color w:val="auto"/>
        </w:rPr>
      </w:pPr>
      <w:r>
        <w:rPr>
          <w:rFonts w:ascii="Arial" w:cs="Arial" w:eastAsia="Arial" w:hAnsi="Arial"/>
          <w:sz w:val="18"/>
          <w:szCs w:val="18"/>
          <w:color w:val="auto"/>
        </w:rPr>
        <w:t>New York. Each party hereby irrevocably submits to the exclusive jurisdiction of the state and federal courts sitting in the City of New York,</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Borough of Manhattan for the adjudication of any dispute hereunder or in connection herewith or with any transaction contemplated hereby or discussed herein (including with respect to the enforcement of the Agreement), and hereby irrevocably waives, and agrees not to assert in</w:t>
      </w:r>
    </w:p>
    <w:p>
      <w:pPr>
        <w:spacing w:after="0" w:line="236" w:lineRule="auto"/>
        <w:rPr>
          <w:sz w:val="20"/>
          <w:szCs w:val="20"/>
          <w:color w:val="auto"/>
        </w:rPr>
      </w:pPr>
      <w:r>
        <w:rPr>
          <w:rFonts w:ascii="Arial" w:cs="Arial" w:eastAsia="Arial" w:hAnsi="Arial"/>
          <w:sz w:val="18"/>
          <w:szCs w:val="18"/>
          <w:color w:val="auto"/>
        </w:rPr>
        <w:t>any action, suit, inquiry, notice of violation, proceeding or investigation pending or, to the knowledge of the Company, threatened against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affecting the Company or its properties before or by any court, arbitrator, governmental or administrative agency or regulatory authority (federal, state, county, local or foreign) (collectively, an “</w:t>
      </w:r>
      <w:r>
        <w:rPr>
          <w:rFonts w:ascii="Arial" w:cs="Arial" w:eastAsia="Arial" w:hAnsi="Arial"/>
          <w:sz w:val="18"/>
          <w:szCs w:val="18"/>
          <w:u w:val="single" w:color="auto"/>
          <w:color w:val="auto"/>
        </w:rPr>
        <w:t>Action</w:t>
      </w:r>
      <w:r>
        <w:rPr>
          <w:rFonts w:ascii="Arial" w:cs="Arial" w:eastAsia="Arial" w:hAnsi="Arial"/>
          <w:sz w:val="18"/>
          <w:szCs w:val="18"/>
          <w:color w:val="auto"/>
        </w:rPr>
        <w:t>”) or Proceeding, any claim that it is not personally subject to the jurisdiction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any such court, that such Action or Proceeding is improper or is an inconvenient venue for such Proceeding. Each party hereby irrevocably waives personal service of process and consents to process being served in any such Action or Proceeding by mailing a copy thereof via</w:t>
      </w:r>
    </w:p>
    <w:p>
      <w:pPr>
        <w:spacing w:after="0" w:line="236" w:lineRule="auto"/>
        <w:rPr>
          <w:sz w:val="20"/>
          <w:szCs w:val="20"/>
          <w:color w:val="auto"/>
        </w:rPr>
      </w:pPr>
      <w:r>
        <w:rPr>
          <w:rFonts w:ascii="Arial" w:cs="Arial" w:eastAsia="Arial" w:hAnsi="Arial"/>
          <w:sz w:val="18"/>
          <w:szCs w:val="18"/>
          <w:color w:val="auto"/>
        </w:rPr>
        <w:t>registered or certified mail or overnight delivery (with evidence of delivery) to such party at the address in effect for notices to it under this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Agreement and agrees that such service shall constitute good and sufficient service of process and notice thereof. Nothing contained herein shall be deemed to limit in any way any right to serve process in any other manner permitted by law. If any party shall commence an Action</w:t>
      </w:r>
    </w:p>
    <w:p>
      <w:pPr>
        <w:spacing w:after="0" w:line="236" w:lineRule="auto"/>
        <w:rPr>
          <w:sz w:val="20"/>
          <w:szCs w:val="20"/>
          <w:color w:val="auto"/>
        </w:rPr>
      </w:pPr>
      <w:r>
        <w:rPr>
          <w:rFonts w:ascii="Arial" w:cs="Arial" w:eastAsia="Arial" w:hAnsi="Arial"/>
          <w:sz w:val="18"/>
          <w:szCs w:val="18"/>
          <w:color w:val="auto"/>
        </w:rPr>
        <w:t>or Proceeding to enforce any provisions of the Agreement, then the prevailing party in such Action or Proceeding shall be reimbursed by the</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non-prevailing party for its reasonable attorneys’ fees and other costs and expenses incurred with the investigation, preparation and prosecution of such Action or Proceeding.</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Survival</w:t>
      </w:r>
      <w:r>
        <w:rPr>
          <w:rFonts w:ascii="Arial" w:cs="Arial" w:eastAsia="Arial" w:hAnsi="Arial"/>
          <w:sz w:val="19"/>
          <w:szCs w:val="19"/>
          <w:color w:val="auto"/>
        </w:rPr>
        <w:t>. The representations and warranties contained herein shall survive the Closing and the delivery of the Shares.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one and the same agreement and shall become effective when counterparts have been signed by each party and delivered to each other party, it being understood that the parties need not sign the same counterpart. In the event that any signature is delivered by e-mail delivery of a</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“.pdf” format data file, such signature shall create a valid and binding obligation of the party executing (or on whose behalf such signature is executed) with the same force and effect as if such “.pdf” signature page were an original thereof.</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w:t>
      </w:r>
    </w:p>
    <w:p>
      <w:pPr>
        <w:spacing w:after="0" w:line="235" w:lineRule="auto"/>
        <w:rPr>
          <w:sz w:val="20"/>
          <w:szCs w:val="20"/>
          <w:color w:val="auto"/>
        </w:rPr>
      </w:pPr>
      <w:r>
        <w:rPr>
          <w:rFonts w:ascii="Arial" w:cs="Arial" w:eastAsia="Arial" w:hAnsi="Arial"/>
          <w:sz w:val="18"/>
          <w:szCs w:val="18"/>
          <w:color w:val="auto"/>
        </w:rPr>
        <w:t>to find and employ an alternative means to achieve the same or substantially the same result as that contemplated by such term, provision,</w:t>
      </w:r>
    </w:p>
    <w:p>
      <w:pPr>
        <w:jc w:val="both"/>
        <w:spacing w:after="0" w:line="226" w:lineRule="auto"/>
        <w:rPr>
          <w:sz w:val="20"/>
          <w:szCs w:val="20"/>
          <w:color w:val="auto"/>
        </w:rPr>
      </w:pPr>
      <w:r>
        <w:rPr>
          <w:rFonts w:ascii="Arial" w:cs="Arial" w:eastAsia="Arial" w:hAnsi="Arial"/>
          <w:sz w:val="18"/>
          <w:szCs w:val="18"/>
          <w:color w:val="auto"/>
        </w:rPr>
        <w:t>covenant or restriction. It is hereby stipulated and declared to be the intention of the parties that they would have executed the remaining terms, provisions, covenants and restrictions without including any of such that may be hereafter declared invalid, illegal, void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unenforceable.</w:t>
      </w:r>
    </w:p>
    <w:p>
      <w:pPr>
        <w:spacing w:after="0" w:line="14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Remedies</w:t>
      </w:r>
      <w:r>
        <w:rPr>
          <w:rFonts w:ascii="Arial" w:cs="Arial" w:eastAsia="Arial" w:hAnsi="Arial"/>
          <w:sz w:val="18"/>
          <w:szCs w:val="18"/>
          <w:color w:val="auto"/>
        </w:rPr>
        <w:t>. In addition to being entitled to exercise all rights provided herein or granted by law, including recovery of damages, the Purchaser and the Company will be entitled to specific performance under the Agreement. The parties agree that monetary damages may not be adequate compensation for any loss incurred by reason of any breach of obligations contained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5" w:right="339" w:bottom="1440" w:gutter="0" w:footer="0" w:header="0"/>
        </w:sectPr>
      </w:pPr>
    </w:p>
    <w:bookmarkStart w:id="14" w:name="page15"/>
    <w:bookmarkEnd w:id="14"/>
    <w:p>
      <w:pPr>
        <w:ind w:right="20"/>
        <w:spacing w:after="0" w:line="236" w:lineRule="auto"/>
        <w:rPr>
          <w:sz w:val="20"/>
          <w:szCs w:val="20"/>
          <w:color w:val="auto"/>
        </w:rPr>
      </w:pPr>
      <w:r>
        <w:rPr>
          <w:rFonts w:ascii="Arial" w:cs="Arial" w:eastAsia="Arial" w:hAnsi="Arial"/>
          <w:sz w:val="20"/>
          <w:szCs w:val="20"/>
          <w:color w:val="auto"/>
        </w:rPr>
        <w:t>and hereby agree to waive and not to assert in any Action for specific performance of any such obligation the defense that a remedy at law would be adequate.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Saturdays, Sundays, Holidays, etc.</w:t>
      </w:r>
      <w:r>
        <w:rPr>
          <w:rFonts w:ascii="Arial" w:cs="Arial" w:eastAsia="Arial" w:hAnsi="Arial"/>
          <w:sz w:val="18"/>
          <w:szCs w:val="18"/>
          <w:color w:val="auto"/>
        </w:rPr>
        <w:t xml:space="preserve"> If the last or appointed day for the taking of any action or the expiration of any right required</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or granted herein shall not be a Business Day, then such action may be taken or such right may be exercised on the next succeeding Business Day.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agree that each of them and/or their respective counsel have reviewed and had an opportunity to revise</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Agreement and, therefore, the normal rule of construction to the effect that any ambiguities are to be resolved against the drafting party shall not be employed in the interpretation of the Agreement or any amendments hereto. In addition, each and every reference to share prices</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and shares of Class A common stock in the Agreement shall be subject to adjustment for reverse and forward stock splits, stock dividends, stock combinations and other similar transactions of the Class A common stock that occur after the date of the Agreement.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5.16 </w:t>
      </w:r>
      <w:r>
        <w:rPr>
          <w:rFonts w:ascii="Arial" w:cs="Arial" w:eastAsia="Arial" w:hAnsi="Arial"/>
          <w:sz w:val="20"/>
          <w:szCs w:val="20"/>
          <w:b w:val="1"/>
          <w:bCs w:val="1"/>
          <w:u w:val="single" w:color="auto"/>
          <w:color w:val="auto"/>
        </w:rPr>
        <w:t>WAIVER OF JURY TRIAL</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 ANY ACTION, SUIT, OR PROCEEDING IN ANY JURISDICTION BROUGHT BY</w:t>
      </w:r>
    </w:p>
    <w:p>
      <w:pPr>
        <w:spacing w:after="0" w:line="215" w:lineRule="auto"/>
        <w:rPr>
          <w:sz w:val="20"/>
          <w:szCs w:val="20"/>
          <w:color w:val="auto"/>
        </w:rPr>
      </w:pPr>
      <w:r>
        <w:rPr>
          <w:rFonts w:ascii="Arial" w:cs="Arial" w:eastAsia="Arial" w:hAnsi="Arial"/>
          <w:sz w:val="19"/>
          <w:szCs w:val="19"/>
          <w:b w:val="1"/>
          <w:bCs w:val="1"/>
          <w:u w:val="single" w:color="auto"/>
          <w:color w:val="auto"/>
        </w:rPr>
        <w:t>ANY PARTY AGAINST ANY OTHER PARTY, THE PARTIES EACH KNOWINGLY AND INTENTIONALLY, TO THE GREATEST EXTENT PERMITTED BY APPLICABLE LAW, HEREBY ABSOLUTELY, UNCONDITIONALLY, IRREVOCABLY</w:t>
      </w:r>
    </w:p>
    <w:p>
      <w:pPr>
        <w:spacing w:after="0"/>
        <w:rPr>
          <w:sz w:val="20"/>
          <w:szCs w:val="20"/>
          <w:color w:val="auto"/>
        </w:rPr>
      </w:pPr>
      <w:r>
        <w:rPr>
          <w:rFonts w:ascii="Arial" w:cs="Arial" w:eastAsia="Arial" w:hAnsi="Arial"/>
          <w:sz w:val="20"/>
          <w:szCs w:val="20"/>
          <w:b w:val="1"/>
          <w:bCs w:val="1"/>
          <w:u w:val="single" w:color="auto"/>
          <w:color w:val="auto"/>
        </w:rPr>
        <w:t>AND EXPRESSLY WAIVES FOREVER TRIAL BY JURY.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5" w:right="339" w:bottom="1440" w:gutter="0" w:footer="0" w:header="0"/>
        </w:sectPr>
      </w:pPr>
    </w:p>
    <w:bookmarkStart w:id="15" w:name="page16"/>
    <w:bookmarkEnd w:id="15"/>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Securities Purchase Agreement to be duly executed by their respective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760" w:type="dxa"/>
            <w:vAlign w:val="bottom"/>
            <w:gridSpan w:val="3"/>
          </w:tcPr>
          <w:p>
            <w:pPr>
              <w:spacing w:after="0"/>
              <w:rPr>
                <w:sz w:val="20"/>
                <w:szCs w:val="20"/>
                <w:color w:val="auto"/>
              </w:rPr>
            </w:pPr>
            <w:r>
              <w:rPr>
                <w:rFonts w:ascii="Arial" w:cs="Arial" w:eastAsia="Arial" w:hAnsi="Arial"/>
                <w:sz w:val="20"/>
                <w:szCs w:val="20"/>
                <w:color w:val="auto"/>
              </w:rPr>
              <w:t>authorized signatories as of the date first indicated above.</w:t>
            </w:r>
          </w:p>
        </w:tc>
        <w:tc>
          <w:tcPr>
            <w:tcW w:w="1560" w:type="dxa"/>
            <w:vAlign w:val="bottom"/>
          </w:tcPr>
          <w:p>
            <w:pPr>
              <w:spacing w:after="0"/>
              <w:rPr>
                <w:sz w:val="21"/>
                <w:szCs w:val="21"/>
                <w:color w:val="auto"/>
              </w:rPr>
            </w:pPr>
          </w:p>
        </w:tc>
      </w:tr>
      <w:tr>
        <w:trPr>
          <w:trHeight w:val="398"/>
        </w:trPr>
        <w:tc>
          <w:tcPr>
            <w:tcW w:w="6760" w:type="dxa"/>
            <w:vAlign w:val="bottom"/>
            <w:gridSpan w:val="3"/>
          </w:tcPr>
          <w:p>
            <w:pPr>
              <w:ind w:left="20"/>
              <w:spacing w:after="0"/>
              <w:rPr>
                <w:sz w:val="20"/>
                <w:szCs w:val="20"/>
                <w:color w:val="auto"/>
              </w:rPr>
            </w:pPr>
            <w:r>
              <w:rPr>
                <w:rFonts w:ascii="Arial" w:cs="Arial" w:eastAsia="Arial" w:hAnsi="Arial"/>
                <w:sz w:val="20"/>
                <w:szCs w:val="20"/>
                <w:b w:val="1"/>
                <w:bCs w:val="1"/>
                <w:color w:val="auto"/>
              </w:rPr>
              <w:t>OPAL FUELS INC.</w:t>
            </w:r>
          </w:p>
        </w:tc>
        <w:tc>
          <w:tcPr>
            <w:tcW w:w="1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0"/>
              </w:rPr>
              <w:t>Address for Notice:</w:t>
            </w:r>
          </w:p>
        </w:tc>
      </w:tr>
      <w:tr>
        <w:trPr>
          <w:trHeight w:val="554"/>
        </w:trPr>
        <w:tc>
          <w:tcPr>
            <w:tcW w:w="6760" w:type="dxa"/>
            <w:vAlign w:val="bottom"/>
            <w:gridSpan w:val="3"/>
          </w:tcPr>
          <w:p>
            <w:pPr>
              <w:ind w:left="20"/>
              <w:spacing w:after="0"/>
              <w:rPr>
                <w:sz w:val="20"/>
                <w:szCs w:val="20"/>
                <w:color w:val="auto"/>
              </w:rPr>
            </w:pPr>
            <w:r>
              <w:rPr>
                <w:rFonts w:ascii="Arial" w:cs="Arial" w:eastAsia="Arial" w:hAnsi="Arial"/>
                <w:sz w:val="20"/>
                <w:szCs w:val="20"/>
                <w:color w:val="auto"/>
              </w:rPr>
              <w:t>By:</w:t>
            </w:r>
          </w:p>
        </w:tc>
        <w:tc>
          <w:tcPr>
            <w:tcW w:w="1560" w:type="dxa"/>
            <w:vAlign w:val="bottom"/>
          </w:tcPr>
          <w:p>
            <w:pPr>
              <w:spacing w:after="0"/>
              <w:rPr>
                <w:sz w:val="20"/>
                <w:szCs w:val="20"/>
                <w:color w:val="auto"/>
              </w:rPr>
            </w:pPr>
            <w:r>
              <w:rPr>
                <w:rFonts w:ascii="Arial" w:cs="Arial" w:eastAsia="Arial" w:hAnsi="Arial"/>
                <w:sz w:val="20"/>
                <w:szCs w:val="20"/>
                <w:color w:val="auto"/>
              </w:rPr>
              <w:t>Email:</w:t>
            </w:r>
          </w:p>
        </w:tc>
      </w:tr>
      <w:tr>
        <w:trPr>
          <w:trHeight w:val="250"/>
        </w:trPr>
        <w:tc>
          <w:tcPr>
            <w:tcW w:w="460" w:type="dxa"/>
            <w:vAlign w:val="bottom"/>
          </w:tcPr>
          <w:p>
            <w:pPr>
              <w:spacing w:after="0"/>
              <w:rPr>
                <w:sz w:val="21"/>
                <w:szCs w:val="21"/>
                <w:color w:val="auto"/>
              </w:rPr>
            </w:pPr>
          </w:p>
        </w:tc>
        <w:tc>
          <w:tcPr>
            <w:tcW w:w="402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228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Fax:</w:t>
            </w:r>
          </w:p>
        </w:tc>
      </w:tr>
    </w:tbl>
    <w:p>
      <w:pPr>
        <w:spacing w:after="0" w:line="3"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Title:</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With a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[_____________]</w:t>
            </w:r>
          </w:p>
        </w:tc>
        <w:tc>
          <w:tcPr>
            <w:tcW w:w="4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0"/>
              </w:rPr>
              <w:t>Address for Notice:</w:t>
            </w:r>
          </w:p>
        </w:tc>
        <w:tc>
          <w:tcPr>
            <w:tcW w:w="0" w:type="dxa"/>
            <w:vAlign w:val="bottom"/>
          </w:tcPr>
          <w:p>
            <w:pPr>
              <w:spacing w:after="0"/>
              <w:rPr>
                <w:sz w:val="1"/>
                <w:szCs w:val="1"/>
                <w:color w:val="auto"/>
              </w:rPr>
            </w:pPr>
          </w:p>
        </w:tc>
      </w:tr>
      <w:tr>
        <w:trPr>
          <w:trHeight w:val="986"/>
        </w:trPr>
        <w:tc>
          <w:tcPr>
            <w:tcW w:w="2200" w:type="dxa"/>
            <w:vAlign w:val="bottom"/>
            <w:gridSpan w:val="2"/>
          </w:tcPr>
          <w:p>
            <w:pPr>
              <w:spacing w:after="0"/>
              <w:rPr>
                <w:sz w:val="20"/>
                <w:szCs w:val="20"/>
                <w:color w:val="auto"/>
              </w:rPr>
            </w:pPr>
            <w:r>
              <w:rPr>
                <w:rFonts w:ascii="Arial" w:cs="Arial" w:eastAsia="Arial" w:hAnsi="Arial"/>
                <w:sz w:val="20"/>
                <w:szCs w:val="20"/>
                <w:color w:val="auto"/>
              </w:rPr>
              <w:t>By:</w:t>
            </w:r>
          </w:p>
        </w:tc>
        <w:tc>
          <w:tcPr>
            <w:tcW w:w="4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20"/>
                <w:szCs w:val="20"/>
                <w:color w:val="auto"/>
              </w:rPr>
              <w:t>Email:</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1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4260" w:type="dxa"/>
            <w:vAlign w:val="bottom"/>
            <w:tcBorders>
              <w:top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560" w:type="dxa"/>
            <w:vAlign w:val="bottom"/>
            <w:gridSpan w:val="2"/>
            <w:vMerge w:val="restart"/>
          </w:tcPr>
          <w:p>
            <w:pPr>
              <w:spacing w:after="0"/>
              <w:rPr>
                <w:sz w:val="20"/>
                <w:szCs w:val="20"/>
                <w:color w:val="auto"/>
              </w:rPr>
            </w:pPr>
            <w:r>
              <w:rPr>
                <w:rFonts w:ascii="Arial" w:cs="Arial" w:eastAsia="Arial" w:hAnsi="Arial"/>
                <w:sz w:val="20"/>
                <w:szCs w:val="20"/>
                <w:color w:val="auto"/>
                <w:w w:val="94"/>
              </w:rPr>
              <w:t>Number of Shares</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44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Arial" w:cs="Arial" w:eastAsia="Arial" w:hAnsi="Arial"/>
                <w:sz w:val="20"/>
                <w:szCs w:val="20"/>
                <w:color w:val="auto"/>
              </w:rPr>
              <w:t>Title:</w:t>
            </w:r>
          </w:p>
        </w:tc>
        <w:tc>
          <w:tcPr>
            <w:tcW w:w="4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6"/>
        </w:trPr>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20" w:type="dxa"/>
            <w:vAlign w:val="bottom"/>
            <w:gridSpan w:val="4"/>
          </w:tcPr>
          <w:p>
            <w:pPr>
              <w:jc w:val="center"/>
              <w:ind w:right="220"/>
              <w:spacing w:after="0"/>
              <w:rPr>
                <w:sz w:val="20"/>
                <w:szCs w:val="20"/>
                <w:color w:val="auto"/>
              </w:rPr>
            </w:pPr>
            <w:r>
              <w:rPr>
                <w:rFonts w:ascii="Arial" w:cs="Arial" w:eastAsia="Arial" w:hAnsi="Arial"/>
                <w:sz w:val="20"/>
                <w:szCs w:val="20"/>
                <w:color w:val="auto"/>
                <w:w w:val="98"/>
              </w:rPr>
              <w:t>[REMAINDER OF PAGE INTENTIONALLY LEFT BLANK]</w:t>
            </w:r>
          </w:p>
        </w:tc>
        <w:tc>
          <w:tcPr>
            <w:tcW w:w="0" w:type="dxa"/>
            <w:vAlign w:val="bottom"/>
          </w:tcPr>
          <w:p>
            <w:pPr>
              <w:spacing w:after="0"/>
              <w:rPr>
                <w:sz w:val="1"/>
                <w:szCs w:val="1"/>
                <w:color w:val="auto"/>
              </w:rPr>
            </w:pPr>
          </w:p>
        </w:tc>
      </w:tr>
      <w:tr>
        <w:trPr>
          <w:trHeight w:val="1289"/>
        </w:trPr>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60" w:type="dxa"/>
            <w:vAlign w:val="bottom"/>
          </w:tcPr>
          <w:p>
            <w:pPr>
              <w:jc w:val="right"/>
              <w:ind w:right="637"/>
              <w:spacing w:after="0"/>
              <w:rPr>
                <w:sz w:val="20"/>
                <w:szCs w:val="20"/>
                <w:color w:val="auto"/>
              </w:rPr>
            </w:pPr>
            <w:r>
              <w:rPr>
                <w:rFonts w:ascii="Arial" w:cs="Arial" w:eastAsia="Arial" w:hAnsi="Arial"/>
                <w:sz w:val="22"/>
                <w:szCs w:val="22"/>
                <w:color w:val="auto"/>
              </w:rPr>
              <w:t>12</w:t>
            </w: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Roman"/>
      <w:start w:val="2"/>
    </w:lvl>
  </w:abstractNum>
  <w:abstractNum w:abstractNumId="2">
    <w:nsid w:val="12200854"/>
    <w:multiLevelType w:val="hybridMultilevel"/>
    <w:lvl w:ilvl="0">
      <w:lvlJc w:val="left"/>
      <w:lvlText w:val="(%1)"/>
      <w:numFmt w:val="lowerLetter"/>
      <w:start w:val="1"/>
    </w:lvl>
    <w:lvl w:ilvl="1">
      <w:lvlJc w:val="left"/>
      <w:lvlText w:val="(%2)"/>
      <w:numFmt w:val="lowerRoman"/>
      <w:start w:val="1"/>
    </w:lvl>
  </w:abstractNum>
  <w:abstractNum w:abstractNumId="3">
    <w:nsid w:val="4DB127F8"/>
    <w:multiLevelType w:val="hybridMultilevel"/>
    <w:lvl w:ilvl="0">
      <w:lvlJc w:val="left"/>
      <w:lvlText w:val="%1"/>
      <w:numFmt w:val="lowerLetter"/>
      <w:start w:val="1"/>
    </w:lvl>
    <w:lvl w:ilvl="1">
      <w:lvlJc w:val="left"/>
      <w:lvlText w:val="(%2)"/>
      <w:numFmt w:val="lowerRoman"/>
      <w:start w:val="1"/>
    </w:lvl>
  </w:abstractNum>
  <w:abstractNum w:abstractNumId="4">
    <w:nsid w:val="216231B"/>
    <w:multiLevelType w:val="hybridMultilevel"/>
    <w:lvl w:ilvl="0">
      <w:lvlJc w:val="left"/>
      <w:lvlText w:val="(%1)"/>
      <w:numFmt w:val="lowerLetter"/>
      <w:start w:val="2"/>
    </w:lvl>
    <w:lvl w:ilvl="1">
      <w:lvlJc w:val="left"/>
      <w:lvlText w:val="%2"/>
      <w:numFmt w:val="lowerRoman"/>
      <w:start w:val="1"/>
    </w:lvl>
  </w:abstractNum>
  <w:abstractNum w:abstractNumId="5">
    <w:nsid w:val="1F16E9E8"/>
    <w:multiLevelType w:val="hybridMultilevel"/>
    <w:lvl w:ilvl="0">
      <w:lvlJc w:val="left"/>
      <w:lvlText w:val="(%1)"/>
      <w:numFmt w:val="lowerRoman"/>
      <w:start w:val="1"/>
    </w:lvl>
  </w:abstractNum>
  <w:abstractNum w:abstractNumId="6">
    <w:nsid w:val="1190CDE7"/>
    <w:multiLevelType w:val="hybridMultilevel"/>
    <w:lvl w:ilvl="0">
      <w:lvlJc w:val="left"/>
      <w:lvlText w:val="(%1)"/>
      <w:numFmt w:val="lowerRoman"/>
      <w:start w:val="2"/>
    </w:lvl>
  </w:abstractNum>
  <w:abstractNum w:abstractNumId="7">
    <w:nsid w:val="66EF438D"/>
    <w:multiLevelType w:val="hybridMultilevel"/>
    <w:lvl w:ilvl="0">
      <w:lvlJc w:val="left"/>
      <w:lvlText w:val="%1"/>
      <w:numFmt w:val="lowerLetter"/>
      <w:start w:val="1"/>
    </w:lvl>
    <w:lvl w:ilvl="1">
      <w:lvlJc w:val="left"/>
      <w:lvlText w:val="(%2)"/>
      <w:numFmt w:val="lowerLetter"/>
      <w:start w:val="1"/>
    </w:lvl>
  </w:abstractNum>
  <w:abstractNum w:abstractNumId="8">
    <w:nsid w:val="140E0F76"/>
    <w:multiLevelType w:val="hybridMultilevel"/>
    <w:lvl w:ilvl="0">
      <w:lvlJc w:val="left"/>
      <w:lvlText w:val="(%1)"/>
      <w:numFmt w:val="lowerLetter"/>
      <w:start w:val="35"/>
    </w:lvl>
    <w:lvl w:ilvl="1">
      <w:lvlJc w:val="left"/>
      <w:lvlText w:val="(%2)"/>
      <w:numFmt w:val="lowerLetter"/>
      <w:start w:val="2"/>
    </w:lvl>
  </w:abstractNum>
  <w:abstractNum w:abstractNumId="9">
    <w:nsid w:val="3352255A"/>
    <w:multiLevelType w:val="hybridMultilevel"/>
    <w:lvl w:ilvl="0">
      <w:lvlJc w:val="left"/>
      <w:lvlText w:val="(%1)"/>
      <w:numFmt w:val="lowerLetter"/>
      <w:start w:val="4"/>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3"/>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Letter"/>
      <w:start w:val="1"/>
    </w:lvl>
    <w:lvl w:ilvl="1">
      <w:lvlJc w:val="left"/>
      <w:lvlText w:val="(%2)"/>
      <w:numFmt w:val="lowerLetter"/>
      <w:start w:val="3"/>
    </w:lvl>
  </w:abstractNum>
  <w:abstractNum w:abstractNumId="15">
    <w:nsid w:val="6B68079A"/>
    <w:multiLevelType w:val="hybridMultilevel"/>
    <w:lvl w:ilvl="0">
      <w:lvlJc w:val="left"/>
      <w:lvlText w:val="(%1)"/>
      <w:numFmt w:val="lowerLetter"/>
      <w:start w:val="9"/>
    </w:lvl>
    <w:lvl w:ilvl="1">
      <w:lvlJc w:val="left"/>
      <w:lvlText w:val="(%2)"/>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2023-04-05T15:15:10Z</dcterms:created>
  <dcterms:modified xsi:type="dcterms:W3CDTF">2023-04-05T15:15:10Z</dcterms:modified>
</cp:coreProperties>
</file>