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3"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-605790</wp:posOffset>
            </wp:positionV>
            <wp:extent cx="57150" cy="61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643890</wp:posOffset>
            </wp:positionV>
            <wp:extent cx="6998335" cy="7488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7488555"/>
                    </a:xfrm>
                    <a:prstGeom prst="rect">
                      <a:avLst/>
                    </a:prstGeom>
                    <a:noFill/>
                  </pic:spPr>
                </pic:pic>
              </a:graphicData>
            </a:graphic>
          </wp:anchor>
        </w:drawing>
      </w:r>
    </w:p>
    <w:p>
      <w:pPr>
        <w:spacing w:after="0" w:line="1027" w:lineRule="exact"/>
        <w:rPr>
          <w:sz w:val="24"/>
          <w:szCs w:val="24"/>
          <w:color w:val="auto"/>
        </w:rPr>
      </w:pPr>
    </w:p>
    <w:p>
      <w:pPr>
        <w:sectPr>
          <w:pgSz w:w="11900" w:h="16904" w:orient="portrait"/>
          <w:cols w:equalWidth="0" w:num="2">
            <w:col w:w="2320" w:space="360"/>
            <w:col w:w="8400"/>
          </w:cols>
          <w:pgMar w:left="460" w:top="214"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restart"/>
          </w:tcPr>
          <w:p>
            <w:pPr>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Comora Adam</w:t>
              </w:r>
            </w:hyperlink>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ind w:left="60"/>
              <w:spacing w:after="0" w:line="162"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OPAL Fuels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OPAL</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80" w:type="dxa"/>
            <w:vAlign w:val="bottom"/>
            <w:tcBorders>
              <w:bottom w:val="single" w:sz="8" w:color="0000EE"/>
            </w:tcBorders>
            <w:gridSpan w:val="2"/>
            <w:vMerge w:val="continue"/>
          </w:tcPr>
          <w:p>
            <w:pPr>
              <w:spacing w:after="0"/>
              <w:rPr>
                <w:sz w:val="5"/>
                <w:szCs w:val="5"/>
                <w:color w:val="auto"/>
              </w:rPr>
            </w:pPr>
          </w:p>
        </w:tc>
        <w:tc>
          <w:tcPr>
            <w:tcW w:w="140" w:type="dxa"/>
            <w:vAlign w:val="bottom"/>
            <w:vMerge w:val="restart"/>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180" w:type="dxa"/>
            <w:vAlign w:val="bottom"/>
            <w:gridSpan w:val="2"/>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140"/>
              <w:spacing w:after="0" w:line="117" w:lineRule="exact"/>
              <w:rPr>
                <w:sz w:val="20"/>
                <w:szCs w:val="20"/>
                <w:color w:val="auto"/>
              </w:rPr>
            </w:pPr>
            <w:r>
              <w:rPr>
                <w:rFonts w:ascii="Arial" w:cs="Arial" w:eastAsia="Arial" w:hAnsi="Arial"/>
                <w:sz w:val="12"/>
                <w:szCs w:val="12"/>
                <w:color w:val="auto"/>
              </w:rPr>
              <w:t>Officer (give title</w:t>
            </w:r>
          </w:p>
        </w:tc>
        <w:tc>
          <w:tcPr>
            <w:tcW w:w="300" w:type="dxa"/>
            <w:vAlign w:val="bottom"/>
          </w:tcPr>
          <w:p>
            <w:pPr>
              <w:spacing w:after="0"/>
              <w:rPr>
                <w:sz w:val="10"/>
                <w:szCs w:val="10"/>
                <w:color w:val="auto"/>
              </w:rPr>
            </w:pPr>
          </w:p>
        </w:tc>
        <w:tc>
          <w:tcPr>
            <w:tcW w:w="1460" w:type="dxa"/>
            <w:vAlign w:val="bottom"/>
            <w:gridSpan w:val="4"/>
          </w:tcPr>
          <w:p>
            <w:pPr>
              <w:ind w:left="220"/>
              <w:spacing w:after="0" w:line="117"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Borders>
              <w:top w:val="single" w:sz="8" w:color="EEEEEE"/>
            </w:tcBorders>
          </w:tcPr>
          <w:p>
            <w:pPr>
              <w:spacing w:after="0"/>
              <w:rPr>
                <w:sz w:val="6"/>
                <w:szCs w:val="6"/>
                <w:color w:val="auto"/>
              </w:rPr>
            </w:pPr>
          </w:p>
        </w:tc>
        <w:tc>
          <w:tcPr>
            <w:tcW w:w="1200" w:type="dxa"/>
            <w:vAlign w:val="bottom"/>
            <w:tcBorders>
              <w:top w:val="single" w:sz="8" w:color="EEEEEE"/>
              <w:bottom w:val="single" w:sz="8" w:color="EEEEEE"/>
            </w:tcBorders>
            <w:gridSpan w:val="2"/>
            <w:vMerge w:val="restart"/>
          </w:tcPr>
          <w:p>
            <w:pPr>
              <w:ind w:left="40"/>
              <w:spacing w:after="0"/>
              <w:rPr>
                <w:sz w:val="20"/>
                <w:szCs w:val="20"/>
                <w:color w:val="auto"/>
              </w:rPr>
            </w:pPr>
            <w:r>
              <w:rPr>
                <w:rFonts w:ascii="Arial" w:cs="Arial" w:eastAsia="Arial" w:hAnsi="Arial"/>
                <w:sz w:val="12"/>
                <w:szCs w:val="12"/>
                <w:color w:val="auto"/>
              </w:rPr>
              <w:t>(First)</w:t>
            </w:r>
          </w:p>
        </w:tc>
        <w:tc>
          <w:tcPr>
            <w:tcW w:w="960" w:type="dxa"/>
            <w:vAlign w:val="bottom"/>
            <w:tcBorders>
              <w:top w:val="single" w:sz="8" w:color="EEEEEE"/>
              <w:bottom w:val="single" w:sz="8" w:color="EEEEEE"/>
            </w:tcBorders>
            <w:vMerge w:val="restart"/>
          </w:tcPr>
          <w:p>
            <w:pPr>
              <w:ind w:left="60"/>
              <w:spacing w:after="0"/>
              <w:rPr>
                <w:sz w:val="20"/>
                <w:szCs w:val="20"/>
                <w:color w:val="auto"/>
              </w:rPr>
            </w:pPr>
            <w:r>
              <w:rPr>
                <w:rFonts w:ascii="Arial" w:cs="Arial" w:eastAsia="Arial" w:hAnsi="Arial"/>
                <w:sz w:val="12"/>
                <w:szCs w:val="12"/>
                <w:color w:val="auto"/>
              </w:rPr>
              <w:t>(Middle)</w:t>
            </w:r>
          </w:p>
        </w:tc>
        <w:tc>
          <w:tcPr>
            <w:tcW w:w="60" w:type="dxa"/>
            <w:vAlign w:val="bottom"/>
            <w:tcBorders>
              <w:top w:val="single" w:sz="8" w:color="EEEEEE"/>
            </w:tcBorders>
          </w:tcPr>
          <w:p>
            <w:pPr>
              <w:spacing w:after="0"/>
              <w:rPr>
                <w:sz w:val="6"/>
                <w:szCs w:val="6"/>
                <w:color w:val="auto"/>
              </w:rPr>
            </w:pPr>
          </w:p>
        </w:tc>
        <w:tc>
          <w:tcPr>
            <w:tcW w:w="240" w:type="dxa"/>
            <w:vAlign w:val="bottom"/>
            <w:tcBorders>
              <w:top w:val="single" w:sz="8" w:color="EEEEEE"/>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4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6"/>
                <w:szCs w:val="16"/>
                <w:color w:val="0000FF"/>
              </w:rPr>
              <w:t>Co-Chief Executive Officer</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ONE NORTH LEXINGTON AVE, 14TH FLOOR</w:t>
            </w:r>
          </w:p>
        </w:tc>
        <w:tc>
          <w:tcPr>
            <w:tcW w:w="1460" w:type="dxa"/>
            <w:vAlign w:val="bottom"/>
            <w:gridSpan w:val="6"/>
            <w:vMerge w:val="restart"/>
          </w:tcPr>
          <w:p>
            <w:pPr>
              <w:ind w:left="440"/>
              <w:spacing w:after="0"/>
              <w:rPr>
                <w:sz w:val="20"/>
                <w:szCs w:val="20"/>
                <w:color w:val="auto"/>
              </w:rPr>
            </w:pPr>
            <w:r>
              <w:rPr>
                <w:rFonts w:ascii="Times New Roman" w:cs="Times New Roman" w:eastAsia="Times New Roman" w:hAnsi="Times New Roman"/>
                <w:sz w:val="16"/>
                <w:szCs w:val="16"/>
                <w:color w:val="0000FF"/>
              </w:rPr>
              <w:t>03/31/2026</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40" w:type="dxa"/>
            <w:vAlign w:val="bottom"/>
            <w:gridSpan w:val="4"/>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60" w:type="dxa"/>
            <w:vAlign w:val="bottom"/>
            <w:gridSpan w:val="6"/>
            <w:vMerge w:val="continue"/>
          </w:tcPr>
          <w:p>
            <w:pPr>
              <w:spacing w:after="0"/>
              <w:rPr>
                <w:sz w:val="10"/>
                <w:szCs w:val="10"/>
                <w:color w:val="auto"/>
              </w:rPr>
            </w:pPr>
          </w:p>
        </w:tc>
        <w:tc>
          <w:tcPr>
            <w:tcW w:w="1460" w:type="dxa"/>
            <w:vAlign w:val="bottom"/>
            <w:gridSpan w:val="6"/>
            <w:vMerge w:val="continue"/>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40" w:type="dxa"/>
            <w:vAlign w:val="bottom"/>
          </w:tcPr>
          <w:p>
            <w:pPr>
              <w:spacing w:after="0"/>
              <w:rPr>
                <w:sz w:val="13"/>
                <w:szCs w:val="13"/>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WHITE PLAINS NY</w:t>
            </w: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10601</w:t>
            </w: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8"/>
            <w:vMerge w:val="continue"/>
          </w:tcPr>
          <w:p>
            <w:pPr>
              <w:spacing w:after="0"/>
              <w:rPr>
                <w:sz w:val="4"/>
                <w:szCs w:val="4"/>
                <w:color w:val="auto"/>
              </w:rPr>
            </w:pPr>
          </w:p>
        </w:tc>
        <w:tc>
          <w:tcPr>
            <w:tcW w:w="240" w:type="dxa"/>
            <w:vAlign w:val="bottom"/>
          </w:tcPr>
          <w:p>
            <w:pPr>
              <w:spacing w:after="0"/>
              <w:rPr>
                <w:sz w:val="4"/>
                <w:szCs w:val="4"/>
                <w:color w:val="auto"/>
              </w:rPr>
            </w:pPr>
          </w:p>
        </w:tc>
        <w:tc>
          <w:tcPr>
            <w:tcW w:w="342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960" w:type="dxa"/>
            <w:vAlign w:val="bottom"/>
            <w:vMerge w:val="restart"/>
          </w:tcPr>
          <w:p>
            <w:pPr>
              <w:ind w:left="6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3"/>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42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7"/>
          </w:tcPr>
          <w:p>
            <w:pPr>
              <w:ind w:left="9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6"/>
          </w:tcPr>
          <w:p>
            <w:pPr>
              <w:jc w:val="center"/>
              <w:ind w:left="597"/>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6"/>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6"/>
          </w:tcPr>
          <w:p>
            <w:pPr>
              <w:jc w:val="center"/>
              <w:ind w:left="757"/>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3"/>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70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Pr>
          <w:p>
            <w:pPr>
              <w:spacing w:after="0"/>
              <w:rPr>
                <w:sz w:val="21"/>
                <w:szCs w:val="21"/>
                <w:color w:val="auto"/>
              </w:rPr>
            </w:pPr>
          </w:p>
        </w:tc>
        <w:tc>
          <w:tcPr>
            <w:tcW w:w="8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ind w:left="54"/>
              <w:spacing w:after="0"/>
              <w:rPr>
                <w:sz w:val="20"/>
                <w:szCs w:val="20"/>
                <w:color w:val="auto"/>
              </w:rPr>
            </w:pPr>
            <w:r>
              <w:rPr>
                <w:rFonts w:ascii="Times New Roman" w:cs="Times New Roman" w:eastAsia="Times New Roman" w:hAnsi="Times New Roman"/>
                <w:sz w:val="16"/>
                <w:szCs w:val="16"/>
                <w:color w:val="0000FF"/>
                <w:w w:val="99"/>
              </w:rPr>
              <w:t>35,868</w:t>
            </w:r>
          </w:p>
        </w:tc>
        <w:tc>
          <w:tcPr>
            <w:tcW w:w="540" w:type="dxa"/>
            <w:vAlign w:val="bottom"/>
          </w:tcPr>
          <w:p>
            <w:pPr>
              <w:jc w:val="center"/>
              <w:ind w:left="115"/>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gridSpan w:val="2"/>
          </w:tcPr>
          <w:p>
            <w:pPr>
              <w:jc w:val="center"/>
              <w:ind w:left="3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290,385</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4"/>
                <w:szCs w:val="24"/>
                <w:color w:val="0000FF"/>
                <w:w w:val="87"/>
                <w:vertAlign w:val="subscript"/>
              </w:rPr>
              <w:t>F</w:t>
            </w:r>
            <w:r>
              <w:rPr>
                <w:rFonts w:ascii="Times New Roman" w:cs="Times New Roman" w:eastAsia="Times New Roman" w:hAnsi="Times New Roman"/>
                <w:sz w:val="10"/>
                <w:szCs w:val="10"/>
                <w:color w:val="008000"/>
                <w:w w:val="87"/>
              </w:rPr>
              <w:t>(2)</w:t>
            </w:r>
          </w:p>
        </w:tc>
        <w:tc>
          <w:tcPr>
            <w:tcW w:w="72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6"/>
                <w:szCs w:val="16"/>
                <w:color w:val="0000FF"/>
                <w:w w:val="99"/>
              </w:rPr>
              <w:t>12,930</w:t>
            </w:r>
          </w:p>
        </w:tc>
        <w:tc>
          <w:tcPr>
            <w:tcW w:w="54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2.52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277,455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Pr>
          <w:p>
            <w:pPr>
              <w:spacing w:after="0"/>
              <w:rPr>
                <w:sz w:val="21"/>
                <w:szCs w:val="21"/>
                <w:color w:val="auto"/>
              </w:rPr>
            </w:pPr>
          </w:p>
        </w:tc>
        <w:tc>
          <w:tcPr>
            <w:tcW w:w="8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ind w:left="54"/>
              <w:spacing w:after="0"/>
              <w:rPr>
                <w:sz w:val="20"/>
                <w:szCs w:val="20"/>
                <w:color w:val="auto"/>
              </w:rPr>
            </w:pPr>
            <w:r>
              <w:rPr>
                <w:rFonts w:ascii="Times New Roman" w:cs="Times New Roman" w:eastAsia="Times New Roman" w:hAnsi="Times New Roman"/>
                <w:sz w:val="16"/>
                <w:szCs w:val="16"/>
                <w:color w:val="0000FF"/>
                <w:w w:val="99"/>
              </w:rPr>
              <w:t>67,204</w:t>
            </w:r>
          </w:p>
        </w:tc>
        <w:tc>
          <w:tcPr>
            <w:tcW w:w="540" w:type="dxa"/>
            <w:vAlign w:val="bottom"/>
          </w:tcPr>
          <w:p>
            <w:pPr>
              <w:jc w:val="center"/>
              <w:ind w:left="115"/>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gridSpan w:val="2"/>
          </w:tcPr>
          <w:p>
            <w:pPr>
              <w:jc w:val="center"/>
              <w:ind w:left="3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344,659</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4"/>
                <w:szCs w:val="24"/>
                <w:color w:val="0000FF"/>
                <w:w w:val="87"/>
                <w:vertAlign w:val="subscript"/>
              </w:rPr>
              <w:t>F</w:t>
            </w:r>
            <w:r>
              <w:rPr>
                <w:rFonts w:ascii="Times New Roman" w:cs="Times New Roman" w:eastAsia="Times New Roman" w:hAnsi="Times New Roman"/>
                <w:sz w:val="10"/>
                <w:szCs w:val="10"/>
                <w:color w:val="008000"/>
                <w:w w:val="87"/>
              </w:rPr>
              <w:t>(2)</w:t>
            </w:r>
          </w:p>
        </w:tc>
        <w:tc>
          <w:tcPr>
            <w:tcW w:w="72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6"/>
                <w:szCs w:val="16"/>
                <w:color w:val="0000FF"/>
                <w:w w:val="99"/>
              </w:rPr>
              <w:t>24,227</w:t>
            </w:r>
          </w:p>
        </w:tc>
        <w:tc>
          <w:tcPr>
            <w:tcW w:w="54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2.52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320,432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Pr>
          <w:p>
            <w:pPr>
              <w:spacing w:after="0"/>
              <w:rPr>
                <w:sz w:val="21"/>
                <w:szCs w:val="21"/>
                <w:color w:val="auto"/>
              </w:rPr>
            </w:pPr>
          </w:p>
        </w:tc>
        <w:tc>
          <w:tcPr>
            <w:tcW w:w="8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ind w:left="54"/>
              <w:spacing w:after="0"/>
              <w:rPr>
                <w:sz w:val="20"/>
                <w:szCs w:val="20"/>
                <w:color w:val="auto"/>
              </w:rPr>
            </w:pPr>
            <w:r>
              <w:rPr>
                <w:rFonts w:ascii="Times New Roman" w:cs="Times New Roman" w:eastAsia="Times New Roman" w:hAnsi="Times New Roman"/>
                <w:sz w:val="16"/>
                <w:szCs w:val="16"/>
                <w:color w:val="0000FF"/>
                <w:w w:val="99"/>
              </w:rPr>
              <w:t>163,143</w:t>
            </w:r>
          </w:p>
        </w:tc>
        <w:tc>
          <w:tcPr>
            <w:tcW w:w="540" w:type="dxa"/>
            <w:vAlign w:val="bottom"/>
          </w:tcPr>
          <w:p>
            <w:pPr>
              <w:jc w:val="center"/>
              <w:ind w:left="115"/>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gridSpan w:val="2"/>
          </w:tcPr>
          <w:p>
            <w:pPr>
              <w:jc w:val="center"/>
              <w:ind w:left="3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483,575</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4"/>
                <w:szCs w:val="24"/>
                <w:color w:val="0000FF"/>
                <w:w w:val="87"/>
                <w:vertAlign w:val="subscript"/>
              </w:rPr>
              <w:t>F</w:t>
            </w:r>
            <w:r>
              <w:rPr>
                <w:rFonts w:ascii="Times New Roman" w:cs="Times New Roman" w:eastAsia="Times New Roman" w:hAnsi="Times New Roman"/>
                <w:sz w:val="10"/>
                <w:szCs w:val="10"/>
                <w:color w:val="008000"/>
                <w:w w:val="87"/>
              </w:rPr>
              <w:t>(2)</w:t>
            </w:r>
          </w:p>
        </w:tc>
        <w:tc>
          <w:tcPr>
            <w:tcW w:w="72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6"/>
                <w:szCs w:val="16"/>
                <w:color w:val="0000FF"/>
                <w:w w:val="99"/>
              </w:rPr>
              <w:t>58,813</w:t>
            </w:r>
          </w:p>
        </w:tc>
        <w:tc>
          <w:tcPr>
            <w:tcW w:w="54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2.52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424,762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Pr>
          <w:p>
            <w:pPr>
              <w:spacing w:after="0"/>
              <w:rPr>
                <w:sz w:val="21"/>
                <w:szCs w:val="21"/>
                <w:color w:val="auto"/>
              </w:rPr>
            </w:pPr>
          </w:p>
        </w:tc>
        <w:tc>
          <w:tcPr>
            <w:tcW w:w="86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center"/>
              <w:ind w:right="265"/>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ind w:left="54"/>
              <w:spacing w:after="0"/>
              <w:rPr>
                <w:sz w:val="20"/>
                <w:szCs w:val="20"/>
                <w:color w:val="auto"/>
              </w:rPr>
            </w:pPr>
            <w:r>
              <w:rPr>
                <w:rFonts w:ascii="Times New Roman" w:cs="Times New Roman" w:eastAsia="Times New Roman" w:hAnsi="Times New Roman"/>
                <w:sz w:val="16"/>
                <w:szCs w:val="16"/>
                <w:color w:val="0000FF"/>
                <w:w w:val="99"/>
              </w:rPr>
              <w:t>23,243</w:t>
            </w:r>
          </w:p>
        </w:tc>
        <w:tc>
          <w:tcPr>
            <w:tcW w:w="540" w:type="dxa"/>
            <w:vAlign w:val="bottom"/>
          </w:tcPr>
          <w:p>
            <w:pPr>
              <w:jc w:val="center"/>
              <w:ind w:left="115"/>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gridSpan w:val="2"/>
          </w:tcPr>
          <w:p>
            <w:pPr>
              <w:jc w:val="center"/>
              <w:ind w:left="32"/>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448,005</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120"/>
              <w:spacing w:after="0"/>
              <w:rPr>
                <w:sz w:val="20"/>
                <w:szCs w:val="20"/>
                <w:color w:val="auto"/>
              </w:rPr>
            </w:pPr>
            <w:r>
              <w:rPr>
                <w:rFonts w:ascii="Times New Roman" w:cs="Times New Roman" w:eastAsia="Times New Roman" w:hAnsi="Times New Roman"/>
                <w:sz w:val="16"/>
                <w:szCs w:val="16"/>
                <w:color w:val="0000FF"/>
              </w:rPr>
              <w:t>03/31/2026</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5"/>
              <w:spacing w:after="0"/>
              <w:rPr>
                <w:sz w:val="20"/>
                <w:szCs w:val="20"/>
                <w:color w:val="auto"/>
              </w:rPr>
            </w:pPr>
            <w:r>
              <w:rPr>
                <w:rFonts w:ascii="Times New Roman" w:cs="Times New Roman" w:eastAsia="Times New Roman" w:hAnsi="Times New Roman"/>
                <w:sz w:val="24"/>
                <w:szCs w:val="24"/>
                <w:color w:val="0000FF"/>
                <w:w w:val="87"/>
                <w:vertAlign w:val="subscript"/>
              </w:rPr>
              <w:t>F</w:t>
            </w:r>
            <w:r>
              <w:rPr>
                <w:rFonts w:ascii="Times New Roman" w:cs="Times New Roman" w:eastAsia="Times New Roman" w:hAnsi="Times New Roman"/>
                <w:sz w:val="10"/>
                <w:szCs w:val="10"/>
                <w:color w:val="008000"/>
                <w:w w:val="87"/>
              </w:rPr>
              <w:t>(2)</w:t>
            </w:r>
          </w:p>
        </w:tc>
        <w:tc>
          <w:tcPr>
            <w:tcW w:w="72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16"/>
                <w:szCs w:val="16"/>
                <w:color w:val="0000FF"/>
                <w:w w:val="99"/>
              </w:rPr>
              <w:t>8,379</w:t>
            </w:r>
          </w:p>
        </w:tc>
        <w:tc>
          <w:tcPr>
            <w:tcW w:w="540" w:type="dxa"/>
            <w:vAlign w:val="bottom"/>
            <w:tcBorders>
              <w:bottom w:val="single" w:sz="8" w:color="2C2C2C"/>
            </w:tcBorders>
          </w:tcPr>
          <w:p>
            <w:pPr>
              <w:jc w:val="center"/>
              <w:ind w:left="115"/>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gridSpan w:val="2"/>
          </w:tcPr>
          <w:p>
            <w:pPr>
              <w:jc w:val="center"/>
              <w:ind w:left="32"/>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2.52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439,626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6"/>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20" w:type="dxa"/>
            <w:vAlign w:val="bottom"/>
            <w:gridSpan w:val="15"/>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36"/>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jc w:val="center"/>
              <w:ind w:right="4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36"/>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3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8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35,868</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center"/>
              <w:ind w:right="380"/>
              <w:spacing w:after="0"/>
              <w:rPr>
                <w:sz w:val="20"/>
                <w:szCs w:val="20"/>
                <w:color w:val="auto"/>
              </w:rPr>
            </w:pPr>
            <w:r>
              <w:rPr>
                <w:rFonts w:ascii="Times New Roman" w:cs="Times New Roman" w:eastAsia="Times New Roman" w:hAnsi="Times New Roman"/>
                <w:sz w:val="12"/>
                <w:szCs w:val="12"/>
                <w:color w:val="0000FF"/>
                <w:w w:val="93"/>
              </w:rPr>
              <w:t>M</w:t>
            </w:r>
          </w:p>
        </w:tc>
        <w:tc>
          <w:tcPr>
            <w:tcW w:w="600" w:type="dxa"/>
            <w:vAlign w:val="bottom"/>
          </w:tcPr>
          <w:p>
            <w:pPr>
              <w:spacing w:after="0"/>
              <w:rPr>
                <w:sz w:val="11"/>
                <w:szCs w:val="11"/>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0000FF"/>
              </w:rPr>
              <w:t>35,868</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6"/>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1"/>
                <w:szCs w:val="11"/>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67,204</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center"/>
              <w:ind w:right="380"/>
              <w:spacing w:after="0"/>
              <w:rPr>
                <w:sz w:val="20"/>
                <w:szCs w:val="20"/>
                <w:color w:val="auto"/>
              </w:rPr>
            </w:pPr>
            <w:r>
              <w:rPr>
                <w:rFonts w:ascii="Times New Roman" w:cs="Times New Roman" w:eastAsia="Times New Roman" w:hAnsi="Times New Roman"/>
                <w:sz w:val="12"/>
                <w:szCs w:val="12"/>
                <w:color w:val="0000FF"/>
                <w:w w:val="93"/>
              </w:rPr>
              <w:t>M</w:t>
            </w:r>
          </w:p>
        </w:tc>
        <w:tc>
          <w:tcPr>
            <w:tcW w:w="600" w:type="dxa"/>
            <w:vAlign w:val="bottom"/>
          </w:tcPr>
          <w:p>
            <w:pPr>
              <w:spacing w:after="0"/>
              <w:rPr>
                <w:sz w:val="11"/>
                <w:szCs w:val="11"/>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0000FF"/>
              </w:rPr>
              <w:t>67,204</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6"/>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67,204</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163,143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center"/>
              <w:ind w:right="380"/>
              <w:spacing w:after="0"/>
              <w:rPr>
                <w:sz w:val="20"/>
                <w:szCs w:val="20"/>
                <w:color w:val="auto"/>
              </w:rPr>
            </w:pPr>
            <w:r>
              <w:rPr>
                <w:rFonts w:ascii="Times New Roman" w:cs="Times New Roman" w:eastAsia="Times New Roman" w:hAnsi="Times New Roman"/>
                <w:sz w:val="12"/>
                <w:szCs w:val="12"/>
                <w:color w:val="0000FF"/>
                <w:w w:val="93"/>
              </w:rPr>
              <w:t>M</w:t>
            </w:r>
          </w:p>
        </w:tc>
        <w:tc>
          <w:tcPr>
            <w:tcW w:w="600" w:type="dxa"/>
            <w:vAlign w:val="bottom"/>
          </w:tcPr>
          <w:p>
            <w:pPr>
              <w:spacing w:after="0"/>
              <w:rPr>
                <w:sz w:val="11"/>
                <w:szCs w:val="11"/>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0000FF"/>
              </w:rPr>
              <w:t>163,143</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6"/>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326,286</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23,243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center"/>
              <w:ind w:right="380"/>
              <w:spacing w:after="0"/>
              <w:rPr>
                <w:sz w:val="20"/>
                <w:szCs w:val="20"/>
                <w:color w:val="auto"/>
              </w:rPr>
            </w:pPr>
            <w:r>
              <w:rPr>
                <w:rFonts w:ascii="Times New Roman" w:cs="Times New Roman" w:eastAsia="Times New Roman" w:hAnsi="Times New Roman"/>
                <w:sz w:val="12"/>
                <w:szCs w:val="12"/>
                <w:color w:val="0000FF"/>
                <w:w w:val="93"/>
              </w:rPr>
              <w:t>M</w:t>
            </w:r>
          </w:p>
        </w:tc>
        <w:tc>
          <w:tcPr>
            <w:tcW w:w="600" w:type="dxa"/>
            <w:vAlign w:val="bottom"/>
          </w:tcPr>
          <w:p>
            <w:pPr>
              <w:spacing w:after="0"/>
              <w:rPr>
                <w:sz w:val="11"/>
                <w:szCs w:val="11"/>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0000FF"/>
              </w:rPr>
              <w:t>23,243</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6"/>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20" w:type="dxa"/>
            <w:vAlign w:val="bottom"/>
          </w:tcPr>
          <w:p>
            <w:pPr>
              <w:jc w:val="center"/>
              <w:ind w:left="201"/>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1"/>
                <w:szCs w:val="11"/>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(7)</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24"/>
                <w:szCs w:val="24"/>
                <w:color w:val="0000FF"/>
                <w:w w:val="94"/>
                <w:vertAlign w:val="subscript"/>
              </w:rPr>
              <w:t>A</w:t>
            </w:r>
            <w:r>
              <w:rPr>
                <w:rFonts w:ascii="Times New Roman" w:cs="Times New Roman" w:eastAsia="Times New Roman" w:hAnsi="Times New Roman"/>
                <w:sz w:val="10"/>
                <w:szCs w:val="10"/>
                <w:color w:val="008000"/>
                <w:w w:val="94"/>
              </w:rPr>
              <w:t>(8)</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405,729</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405,729</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6"/>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405,729</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options</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restart"/>
          </w:tcPr>
          <w:p>
            <w:pPr>
              <w:jc w:val="center"/>
              <w:ind w:right="380"/>
              <w:spacing w:after="0" w:line="199" w:lineRule="exact"/>
              <w:rPr>
                <w:sz w:val="20"/>
                <w:szCs w:val="20"/>
                <w:color w:val="auto"/>
              </w:rPr>
            </w:pPr>
            <w:r>
              <w:rPr>
                <w:rFonts w:ascii="Times New Roman" w:cs="Times New Roman" w:eastAsia="Times New Roman" w:hAnsi="Times New Roman"/>
                <w:sz w:val="23"/>
                <w:szCs w:val="23"/>
                <w:color w:val="0000FF"/>
                <w:w w:val="96"/>
                <w:vertAlign w:val="subscript"/>
              </w:rPr>
              <w:t>A</w:t>
            </w:r>
            <w:r>
              <w:rPr>
                <w:rFonts w:ascii="Times New Roman" w:cs="Times New Roman" w:eastAsia="Times New Roman" w:hAnsi="Times New Roman"/>
                <w:sz w:val="10"/>
                <w:szCs w:val="10"/>
                <w:color w:val="008000"/>
                <w:w w:val="96"/>
              </w:rPr>
              <w:t>(8)</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(9)(10)(11)(12)</w:t>
            </w: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226,640</w:t>
            </w: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vMerge w:val="restart"/>
          </w:tcPr>
          <w:p>
            <w:pPr>
              <w:jc w:val="center"/>
              <w:ind w:left="86"/>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2.52</w:t>
            </w:r>
          </w:p>
        </w:tc>
        <w:tc>
          <w:tcPr>
            <w:tcW w:w="140" w:type="dxa"/>
            <w:vAlign w:val="bottom"/>
          </w:tcPr>
          <w:p>
            <w:pPr>
              <w:spacing w:after="0"/>
              <w:rPr>
                <w:sz w:val="6"/>
                <w:szCs w:val="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03/31/2026</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226,640</w:t>
            </w: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03/31/2036</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restart"/>
          </w:tcPr>
          <w:p>
            <w:pPr>
              <w:jc w:val="center"/>
              <w:ind w:right="16"/>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226,640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4"/>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-3415030</wp:posOffset>
            </wp:positionV>
            <wp:extent cx="28575" cy="34207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42074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32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the right to receive, at settlement, one share of Class A common stock. This transaction represents the settlement of restricted stock units in shares of Class A common stock on their scheduled vesting date.</w:t>
      </w:r>
    </w:p>
    <w:p>
      <w:pPr>
        <w:ind w:left="40" w:right="22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shares held by the Company to satisfy tax withholding requirements on vesting of restricted stock units. The total value of securities withheld was based on a price of $2.52 per share, the closing price of Class A common stock on March 31, 2026.</w:t>
      </w:r>
    </w:p>
    <w:p>
      <w:pPr>
        <w:jc w:val="both"/>
        <w:ind w:left="40" w:right="24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2023, the Reporting Person was granted 107,605 restricted stock units ("RSUs") pursuant to the terms of the Issuer's 2022 Omnibus Equity Incentive Plan (the "Plan"). RSUs were scheduled to vest in three (3) equal installments on each of the following dates: (i) March 31, 2024, (ii) March 31, 2025, and (iii) March 31, 2026, provided that the Reporting Person continues to provide services to the Issuer through the applicable vesting date. Each restricted stock unit represents the right to receive, at settlement, one share of Class A common stock.</w:t>
      </w:r>
    </w:p>
    <w:p>
      <w:pPr>
        <w:spacing w:after="0" w:line="12" w:lineRule="exact"/>
        <w:rPr>
          <w:rFonts w:ascii="Times New Roman" w:cs="Times New Roman" w:eastAsia="Times New Roman" w:hAnsi="Times New Roman"/>
          <w:sz w:val="12"/>
          <w:szCs w:val="12"/>
          <w:color w:val="008000"/>
        </w:rPr>
      </w:pPr>
    </w:p>
    <w:p>
      <w:pPr>
        <w:jc w:val="both"/>
        <w:ind w:left="40" w:right="24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2024, the Reporting Person was granted 201,613 restricted stock units ("RSUs") pursuant to the terms of the Issuer's 2022 Omnibus Equity Incentive Plan (the "Plan"). RSUs were scheduled to vest in three (3) equal installments on each of the following dates: (i) March 31, 2025, (ii) March 31, 2026, and (iii) March 31, 2027, provided that the Reporting Person continues to provide services to the Issuer through the applicable vesting date. Each restricted stock unit represents the right to receive, at settlement, one share of Class A common stock.</w:t>
      </w:r>
    </w:p>
    <w:p>
      <w:pPr>
        <w:spacing w:after="0" w:line="12" w:lineRule="exact"/>
        <w:rPr>
          <w:rFonts w:ascii="Times New Roman" w:cs="Times New Roman" w:eastAsia="Times New Roman" w:hAnsi="Times New Roman"/>
          <w:sz w:val="12"/>
          <w:szCs w:val="12"/>
          <w:color w:val="008000"/>
        </w:rPr>
      </w:pPr>
    </w:p>
    <w:p>
      <w:pPr>
        <w:jc w:val="both"/>
        <w:ind w:left="40" w:right="24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2025, the Reporting Person was granted 489,429 restricted stock units ("RSUs") pursuant to the terms of the Issuer's 2022 Omnibus Equity Incentive Plan (the "Plan"). RSUs were scheduled to vest in three (3) equal installments on each of the following dates: (i) March 31, 2026, (ii) March 31, 2027, and (iii) March 31, 2028, provided that the Reporting Person continues to provide services to the Issuer through the</w:t>
      </w:r>
    </w:p>
    <w:p>
      <w:pPr>
        <w:sectPr>
          <w:pgSz w:w="11900" w:h="16904" w:orient="portrait"/>
          <w:cols w:equalWidth="0" w:num="1">
            <w:col w:w="11080"/>
          </w:cols>
          <w:pgMar w:left="460" w:top="214" w:right="359" w:bottom="0" w:gutter="0" w:footer="0" w:header="0"/>
          <w:type w:val="continuous"/>
        </w:sectPr>
      </w:pPr>
    </w:p>
    <w:bookmarkStart w:id="1" w:name="page2"/>
    <w:bookmarkEnd w:id="1"/>
    <w:p>
      <w:pPr>
        <w:ind w:left="3"/>
        <w:spacing w:after="0"/>
        <w:rPr>
          <w:sz w:val="20"/>
          <w:szCs w:val="20"/>
          <w:color w:val="auto"/>
        </w:rPr>
      </w:pPr>
      <w:r>
        <w:rPr>
          <w:rFonts w:ascii="Times New Roman" w:cs="Times New Roman" w:eastAsia="Times New Roman" w:hAnsi="Times New Roman"/>
          <w:sz w:val="12"/>
          <w:szCs w:val="12"/>
          <w:color w:val="008000"/>
        </w:rPr>
        <w:t>applicable vesting date. Each restricted stock unit represents the right to receive, at settlement, one share of Class A common stock.</w:t>
      </w:r>
    </w:p>
    <w:p>
      <w:pPr>
        <w:spacing w:after="0" w:line="49" w:lineRule="exact"/>
        <w:rPr>
          <w:sz w:val="20"/>
          <w:szCs w:val="20"/>
          <w:color w:val="auto"/>
        </w:rPr>
      </w:pPr>
    </w:p>
    <w:p>
      <w:pPr>
        <w:ind w:left="3" w:right="200" w:hanging="3"/>
        <w:spacing w:after="0" w:line="260"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2023 the Reporting Person was awarded a target number of performance-based restricted stock units ("PRSUs"), subject to satisfaction of performance conditions as determined by the Board of Directors of OPAL Fuels Inc. Each PRSU represented the right to receive, at settlement, one share of Class A common stock. The amount shown represents the actual number of units earned by the Reporting Person pursuant to the satisfaction of performance conditions.</w:t>
      </w:r>
    </w:p>
    <w:p>
      <w:pPr>
        <w:spacing w:after="0" w:line="12" w:lineRule="exact"/>
        <w:rPr>
          <w:rFonts w:ascii="Times New Roman" w:cs="Times New Roman" w:eastAsia="Times New Roman" w:hAnsi="Times New Roman"/>
          <w:sz w:val="12"/>
          <w:szCs w:val="12"/>
          <w:color w:val="008000"/>
        </w:rPr>
      </w:pPr>
    </w:p>
    <w:p>
      <w:pPr>
        <w:ind w:left="3" w:right="20" w:hanging="3"/>
        <w:spacing w:after="0" w:line="260"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March 31, 2026, the Reporting Person was granted 405,729 RSUs pursuant to the Plan. RSUs are scheduled to vest in three (3) equal installments on each of the following dates: (i) March 31, 2027, (ii) March 31, 2028, and (iii) March 31, 2029, provided that the Reporting Person continues to provide services to the Issuer through the applicable vesting date. Each restricted stock unit represents the right to receive, at settlement, one share of Class A common stock.</w:t>
      </w:r>
    </w:p>
    <w:p>
      <w:pPr>
        <w:spacing w:after="0" w:line="12" w:lineRule="exact"/>
        <w:rPr>
          <w:rFonts w:ascii="Times New Roman" w:cs="Times New Roman" w:eastAsia="Times New Roman" w:hAnsi="Times New Roman"/>
          <w:sz w:val="12"/>
          <w:szCs w:val="12"/>
          <w:color w:val="008000"/>
        </w:rPr>
      </w:pPr>
    </w:p>
    <w:p>
      <w:pPr>
        <w:ind w:left="123" w:hanging="123"/>
        <w:spacing w:after="0"/>
        <w:tabs>
          <w:tab w:leader="none" w:pos="12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Granted pursuant to the Issuer's 2022 Omnibus Equity Incentive Plan (the "Plan").</w:t>
      </w:r>
    </w:p>
    <w:p>
      <w:pPr>
        <w:spacing w:after="0" w:line="48" w:lineRule="exact"/>
        <w:rPr>
          <w:rFonts w:ascii="Times New Roman" w:cs="Times New Roman" w:eastAsia="Times New Roman" w:hAnsi="Times New Roman"/>
          <w:sz w:val="12"/>
          <w:szCs w:val="12"/>
          <w:color w:val="008000"/>
        </w:rPr>
      </w:pPr>
    </w:p>
    <w:p>
      <w:pPr>
        <w:ind w:left="3" w:hanging="3"/>
        <w:spacing w:after="0" w:line="260"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was granted an option to purchase shares of the Issuer's Class A common stock (the "Option") at an exercise price of $2.52 per share, which was the volume weighted average price of the Issuer's Class A common stock for the five days immediately preceding March 31, 2026, as quoted on the Nasdaq Stock Market. The Option vests in three (3) equal installments on each of the following dates: (i) March 31, 2027, (ii) March 31, 2028, and (iii) March 31, 2029, provided, that the Reporting Person continues to provide services to the Issuer through the applicable vesting date.</w:t>
      </w:r>
    </w:p>
    <w:p>
      <w:pPr>
        <w:spacing w:after="0" w:line="12" w:lineRule="exact"/>
        <w:rPr>
          <w:rFonts w:ascii="Times New Roman" w:cs="Times New Roman" w:eastAsia="Times New Roman" w:hAnsi="Times New Roman"/>
          <w:sz w:val="12"/>
          <w:szCs w:val="12"/>
          <w:color w:val="008000"/>
        </w:rPr>
      </w:pPr>
    </w:p>
    <w:p>
      <w:pPr>
        <w:ind w:left="3" w:right="120" w:hanging="3"/>
        <w:spacing w:after="0" w:line="281" w:lineRule="auto"/>
        <w:tabs>
          <w:tab w:leader="none" w:pos="19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p>
      <w:pPr>
        <w:ind w:left="3" w:hanging="3"/>
        <w:spacing w:after="0" w:line="281" w:lineRule="auto"/>
        <w:tabs>
          <w:tab w:leader="none" w:pos="18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p>
      <w:pPr>
        <w:sectPr>
          <w:pgSz w:w="11900" w:h="16838" w:orient="portrait"/>
          <w:cols w:equalWidth="0" w:num="1">
            <w:col w:w="10903"/>
          </w:cols>
          <w:pgMar w:left="497" w:top="127" w:right="499" w:bottom="1440" w:gutter="0" w:footer="0" w:header="0"/>
        </w:sectPr>
      </w:pPr>
    </w:p>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008000"/>
        </w:rPr>
        <w:t>12. Upon the occurrence of a termination by reason of the Reporting Person's death, any unvested portion of the Option shall accelerate and vest in full.</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Remarks:</w:t>
      </w:r>
    </w:p>
    <w:p>
      <w:pPr>
        <w:spacing w:after="0" w:line="128"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 John Coghlin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3258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771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716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6863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43" w:space="120"/>
            <w:col w:w="2140"/>
          </w:cols>
          <w:pgMar w:left="497" w:top="127" w:right="499" w:bottom="1440" w:gutter="0" w:footer="0" w:header="0"/>
          <w:type w:val="continuous"/>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700" w:hanging="3"/>
        <w:spacing w:after="0" w:line="325"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3"/>
      </w:cols>
      <w:pgMar w:left="497"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33088"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2026-04-02T15:46:48Z</dcterms:created>
  <dcterms:modified xsi:type="dcterms:W3CDTF">2026-04-02T15:46:48Z</dcterms:modified>
</cp:coreProperties>
</file>