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464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4648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57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Coghlin John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ONE NORTH LEXINGTON AVE, 14TH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OPAL Fuels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OPAL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03/31/2023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18"/>
        <w:spacing w:after="0"/>
        <w:rPr>
          <w:sz w:val="20"/>
          <w:szCs w:val="20"/>
          <w:color w:val="auto"/>
        </w:rPr>
      </w:pPr>
      <w:r>
        <w:rPr>
          <w:rFonts w:ascii="Arial" w:cs="Arial" w:eastAsia="Arial" w:hAnsi="Arial"/>
          <w:sz w:val="17"/>
          <w:szCs w:val="17"/>
          <w:color w:val="0000FF"/>
        </w:rPr>
        <w:t>General Counsel</w:t>
      </w:r>
    </w:p>
    <w:p>
      <w:pPr>
        <w:spacing w:after="0" w:line="317" w:lineRule="exact"/>
        <w:rPr>
          <w:sz w:val="24"/>
          <w:szCs w:val="24"/>
          <w:color w:val="auto"/>
        </w:rPr>
      </w:pPr>
    </w:p>
    <w:p>
      <w:pPr>
        <w:sectPr>
          <w:pgSz w:w="11900" w:h="16838" w:orient="portrait"/>
          <w:cols w:equalWidth="0" w:num="3">
            <w:col w:w="3520" w:space="400"/>
            <w:col w:w="3102" w:space="720"/>
            <w:col w:w="3338"/>
          </w:cols>
          <w:pgMar w:left="460" w:top="222" w:right="359" w:bottom="577" w:gutter="0" w:footer="0" w:header="0"/>
          <w:type w:val="continuous"/>
        </w:sectPr>
      </w:pP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7"/>
          </w:tcPr>
          <w:p>
            <w:pPr>
              <w:jc w:val="center"/>
              <w:ind w:right="19"/>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gridSpan w:val="3"/>
            <w:vMerge w:val="restart"/>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rPr>
              <w:t>WHITE</w:t>
            </w: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780" w:type="dxa"/>
            <w:vAlign w:val="bottom"/>
            <w:gridSpan w:val="2"/>
            <w:vMerge w:val="restart"/>
          </w:tcPr>
          <w:p>
            <w:pPr>
              <w:ind w:left="600"/>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10601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4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9"/>
              </w:rPr>
              <w:t>PLAINS</w:t>
            </w:r>
          </w:p>
        </w:tc>
        <w:tc>
          <w:tcPr>
            <w:tcW w:w="17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54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center"/>
              <w:ind w:left="5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Transaction</w:t>
            </w: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options</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1"/>
                <w:szCs w:val="11"/>
                <w:color w:val="008000"/>
              </w:rPr>
              <w:t>(1)</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92"/>
              </w:rPr>
              <w:t>(2)(3)(4)(5)</w:t>
            </w: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26,616</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6.97</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03/31/2023</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26,616</w:t>
            </w: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60" w:type="dxa"/>
            <w:vAlign w:val="bottom"/>
            <w:vMerge w:val="restart"/>
          </w:tcPr>
          <w:p>
            <w:pPr>
              <w:jc w:val="center"/>
              <w:ind w:right="2"/>
              <w:spacing w:after="0" w:line="143" w:lineRule="exact"/>
              <w:rPr>
                <w:sz w:val="20"/>
                <w:szCs w:val="20"/>
                <w:color w:val="auto"/>
              </w:rPr>
            </w:pPr>
            <w:r>
              <w:rPr>
                <w:rFonts w:ascii="Arial" w:cs="Arial" w:eastAsia="Arial" w:hAnsi="Arial"/>
                <w:sz w:val="13"/>
                <w:szCs w:val="13"/>
                <w:color w:val="0000FF"/>
                <w:w w:val="92"/>
              </w:rPr>
              <w:t>03/31/2033</w:t>
            </w:r>
          </w:p>
        </w:tc>
        <w:tc>
          <w:tcPr>
            <w:tcW w:w="66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6.97</w:t>
            </w:r>
          </w:p>
        </w:tc>
        <w:tc>
          <w:tcPr>
            <w:tcW w:w="600" w:type="dxa"/>
            <w:vAlign w:val="bottom"/>
            <w:vMerge w:val="restart"/>
          </w:tcPr>
          <w:p>
            <w:pPr>
              <w:jc w:val="center"/>
              <w:ind w:left="140"/>
              <w:spacing w:after="0" w:line="143" w:lineRule="exact"/>
              <w:rPr>
                <w:sz w:val="20"/>
                <w:szCs w:val="20"/>
                <w:color w:val="auto"/>
              </w:rPr>
            </w:pPr>
            <w:r>
              <w:rPr>
                <w:rFonts w:ascii="Arial" w:cs="Arial" w:eastAsia="Arial" w:hAnsi="Arial"/>
                <w:sz w:val="13"/>
                <w:szCs w:val="13"/>
                <w:color w:val="0000FF"/>
                <w:w w:val="90"/>
              </w:rPr>
              <w:t>26,616</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vMerge w:val="restart"/>
          </w:tcPr>
          <w:p>
            <w:pPr>
              <w:jc w:val="center"/>
              <w:ind w:right="42"/>
              <w:spacing w:after="0"/>
              <w:rPr>
                <w:sz w:val="20"/>
                <w:szCs w:val="20"/>
                <w:color w:val="auto"/>
              </w:rPr>
            </w:pPr>
            <w:r>
              <w:rPr>
                <w:rFonts w:ascii="Arial" w:cs="Arial" w:eastAsia="Arial" w:hAnsi="Arial"/>
                <w:sz w:val="11"/>
                <w:szCs w:val="11"/>
                <w:color w:val="008000"/>
                <w:w w:val="93"/>
              </w:rPr>
              <w:t>(7)(8)(9)(10)</w:t>
            </w: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(6)</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32,282</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3"/>
                <w:szCs w:val="13"/>
                <w:color w:val="0000FF"/>
                <w:w w:val="89"/>
              </w:rPr>
              <w:t>03/31/2023</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0000FF"/>
              </w:rPr>
              <w:t>32,282</w:t>
            </w: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center"/>
              <w:ind w:left="140"/>
              <w:spacing w:after="0" w:line="143" w:lineRule="exact"/>
              <w:rPr>
                <w:sz w:val="20"/>
                <w:szCs w:val="20"/>
                <w:color w:val="auto"/>
              </w:rPr>
            </w:pPr>
            <w:r>
              <w:rPr>
                <w:rFonts w:ascii="Arial" w:cs="Arial" w:eastAsia="Arial" w:hAnsi="Arial"/>
                <w:sz w:val="13"/>
                <w:szCs w:val="13"/>
                <w:color w:val="0000FF"/>
                <w:w w:val="90"/>
              </w:rPr>
              <w:t>57,282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vMerge w:val="restart"/>
          </w:tcPr>
          <w:p>
            <w:pPr>
              <w:jc w:val="center"/>
              <w:ind w:right="42"/>
              <w:spacing w:after="0"/>
              <w:rPr>
                <w:sz w:val="20"/>
                <w:szCs w:val="20"/>
                <w:color w:val="auto"/>
              </w:rPr>
            </w:pPr>
            <w:r>
              <w:rPr>
                <w:rFonts w:ascii="Arial" w:cs="Arial" w:eastAsia="Arial" w:hAnsi="Arial"/>
                <w:sz w:val="11"/>
                <w:szCs w:val="11"/>
                <w:color w:val="008000"/>
                <w:w w:val="90"/>
              </w:rPr>
              <w:t>(8)(9)(10)(11)</w:t>
            </w:r>
          </w:p>
        </w:tc>
        <w:tc>
          <w:tcPr>
            <w:tcW w:w="66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(6)</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50,216</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3"/>
                <w:szCs w:val="13"/>
                <w:color w:val="0000FF"/>
                <w:w w:val="89"/>
              </w:rPr>
              <w:t>03/31/2023</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0000FF"/>
              </w:rPr>
              <w:t>50,216</w:t>
            </w: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89"/>
              </w:rPr>
              <w:t>107,498</w:t>
            </w: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-2813685</wp:posOffset>
            </wp:positionV>
            <wp:extent cx="29210" cy="2819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194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Granted pursuant to the Issuer's 2022 Omnibus Equity Incentive Plan (the "Plan").</w:t>
      </w:r>
    </w:p>
    <w:p>
      <w:pPr>
        <w:spacing w:after="0" w:line="44" w:lineRule="exact"/>
        <w:rPr>
          <w:rFonts w:ascii="Arial" w:cs="Arial" w:eastAsia="Arial" w:hAnsi="Arial"/>
          <w:sz w:val="13"/>
          <w:szCs w:val="13"/>
          <w:color w:val="008000"/>
        </w:rPr>
      </w:pPr>
    </w:p>
    <w:p>
      <w:pPr>
        <w:ind w:left="40" w:right="40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was granted an option to purchase shares of the Issuer's Class A common stock (the "Option") at an exercise price of $6.97 per share, which was the closing price per share of the Issuer's Class A common stock on March 31, 2023, as quoted on the Nasdaq Stock Market. The Option vests in three (3) equal installments on each of the following dates: (i) March 31, 2024, (ii) March 31, 2025, and (iii) March 31, 2026, provided, that the Reporting Person continues to provide services to the Issuer through the applicable vesting date.</w:t>
      </w:r>
    </w:p>
    <w:p>
      <w:pPr>
        <w:spacing w:after="0" w:line="14" w:lineRule="exact"/>
        <w:rPr>
          <w:rFonts w:ascii="Arial" w:cs="Arial" w:eastAsia="Arial" w:hAnsi="Arial"/>
          <w:sz w:val="12"/>
          <w:szCs w:val="12"/>
          <w:color w:val="008000"/>
        </w:rPr>
      </w:pPr>
    </w:p>
    <w:p>
      <w:pPr>
        <w:ind w:left="40" w:right="36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spacing w:after="0" w:line="24" w:lineRule="exact"/>
        <w:rPr>
          <w:rFonts w:ascii="Arial" w:cs="Arial" w:eastAsia="Arial" w:hAnsi="Arial"/>
          <w:sz w:val="13"/>
          <w:szCs w:val="13"/>
          <w:color w:val="008000"/>
        </w:rPr>
      </w:pPr>
    </w:p>
    <w:p>
      <w:pPr>
        <w:ind w:left="40" w:right="280" w:firstLine="2"/>
        <w:spacing w:after="0" w:line="319"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occurrence of a termination by reason of the Reporting Person's death, any unvested portion of the Option shall accelerate and vest in full.</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at settlement, one share of the Issuers Class A common stock.</w:t>
      </w:r>
    </w:p>
    <w:p>
      <w:pPr>
        <w:spacing w:after="0" w:line="44" w:lineRule="exact"/>
        <w:rPr>
          <w:rFonts w:ascii="Arial" w:cs="Arial" w:eastAsia="Arial" w:hAnsi="Arial"/>
          <w:sz w:val="13"/>
          <w:szCs w:val="13"/>
          <w:color w:val="008000"/>
        </w:rPr>
      </w:pPr>
    </w:p>
    <w:p>
      <w:pPr>
        <w:ind w:left="40" w:right="26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two equal installments on March 31, 2024 and March 31, 2025, provided that the Reporting Person continues to provide services to the Issuer through the applicable vesting date.</w:t>
      </w:r>
    </w:p>
    <w:p>
      <w:pPr>
        <w:spacing w:after="0" w:line="24" w:lineRule="exact"/>
        <w:rPr>
          <w:rFonts w:ascii="Arial" w:cs="Arial" w:eastAsia="Arial" w:hAnsi="Arial"/>
          <w:sz w:val="13"/>
          <w:szCs w:val="13"/>
          <w:color w:val="008000"/>
        </w:rPr>
      </w:pPr>
    </w:p>
    <w:p>
      <w:pPr>
        <w:ind w:left="40" w:right="24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the event that the Reporting Person's employment is terminated by reason of the Reporting Person's disability or termination without cause, the restricted stock units (the "RSUs") shall vest with respect to the number of RSUs that would have vested upon the next vesting date following such termination had the Reporting Person remained an employee</w:t>
      </w:r>
    </w:p>
    <w:p>
      <w:pPr>
        <w:spacing w:after="0" w:line="24" w:lineRule="exact"/>
        <w:rPr>
          <w:rFonts w:ascii="Arial" w:cs="Arial" w:eastAsia="Arial" w:hAnsi="Arial"/>
          <w:sz w:val="13"/>
          <w:szCs w:val="13"/>
          <w:color w:val="008000"/>
        </w:rPr>
      </w:pPr>
    </w:p>
    <w:p>
      <w:pPr>
        <w:ind w:left="40" w:right="280" w:firstLine="2"/>
        <w:spacing w:after="0" w:line="319"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RSUs shall accelerate and vest in full.</w:t>
      </w:r>
    </w:p>
    <w:p>
      <w:pPr>
        <w:ind w:left="240" w:hanging="198"/>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occurrence of a termination by reason of the Reporting Person's death, any unvested portion of the RSUs shall accelerate and vest in full.</w:t>
      </w:r>
    </w:p>
    <w:p>
      <w:pPr>
        <w:spacing w:after="0" w:line="44" w:lineRule="exact"/>
        <w:rPr>
          <w:rFonts w:ascii="Arial" w:cs="Arial" w:eastAsia="Arial" w:hAnsi="Arial"/>
          <w:sz w:val="13"/>
          <w:szCs w:val="13"/>
          <w:color w:val="008000"/>
        </w:rPr>
      </w:pPr>
    </w:p>
    <w:p>
      <w:pPr>
        <w:ind w:left="40" w:right="220" w:firstLine="2"/>
        <w:spacing w:after="0" w:line="250" w:lineRule="auto"/>
        <w:tabs>
          <w:tab w:leader="none" w:pos="2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three equal installments on March 31, 2024, March 31, 2025 and March 31, 2026, provided that the Reporting Person continues to provide services to the Issuer through the applicable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John Coghlin</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04/04/2023</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57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0669"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2023-04-04T16:07:21Z</dcterms:created>
  <dcterms:modified xsi:type="dcterms:W3CDTF">2023-04-04T16:07:21Z</dcterms:modified>
</cp:coreProperties>
</file>