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  <w:gridSpan w:val="2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7"/>
              </w:rPr>
              <w:t>UNITED STATES</w:t>
            </w:r>
          </w:p>
        </w:tc>
      </w:tr>
      <w:tr>
        <w:trPr>
          <w:trHeight w:val="216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40" w:type="dxa"/>
            <w:vAlign w:val="bottom"/>
            <w:gridSpan w:val="3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SECURITIES AND EXCHANGE COMMISSION</w:t>
            </w:r>
          </w:p>
        </w:tc>
      </w:tr>
      <w:tr>
        <w:trPr>
          <w:trHeight w:val="238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40" w:type="dxa"/>
            <w:vAlign w:val="bottom"/>
            <w:gridSpan w:val="2"/>
          </w:tcPr>
          <w:p>
            <w:pPr>
              <w:jc w:val="center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Washington, D.C. 20549</w:t>
            </w:r>
          </w:p>
        </w:tc>
      </w:tr>
      <w:tr>
        <w:trPr>
          <w:trHeight w:val="223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46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gridSpan w:val="2"/>
          </w:tcPr>
          <w:p>
            <w:pPr>
              <w:jc w:val="center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SCHEDULE 14A</w:t>
            </w:r>
          </w:p>
        </w:tc>
      </w:tr>
      <w:tr>
        <w:trPr>
          <w:trHeight w:val="223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27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40" w:type="dxa"/>
            <w:vAlign w:val="bottom"/>
            <w:gridSpan w:val="3"/>
          </w:tcPr>
          <w:p>
            <w:pPr>
              <w:jc w:val="center"/>
              <w:ind w:lef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Proxy Statement Pursuant to Section 14(a) of</w:t>
            </w:r>
          </w:p>
        </w:tc>
      </w:tr>
      <w:tr>
        <w:trPr>
          <w:trHeight w:val="234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40" w:type="dxa"/>
            <w:vAlign w:val="bottom"/>
            <w:gridSpan w:val="2"/>
          </w:tcPr>
          <w:p>
            <w:pPr>
              <w:jc w:val="center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the Securities Exchange Act of 1934</w:t>
            </w:r>
          </w:p>
        </w:tc>
      </w:tr>
      <w:tr>
        <w:trPr>
          <w:trHeight w:val="378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Filed by the Registrant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gridSpan w:val="2"/>
          </w:tcPr>
          <w:p>
            <w:pPr>
              <w:ind w:left="2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☒</w:t>
            </w:r>
          </w:p>
        </w:tc>
      </w:tr>
      <w:tr>
        <w:trPr>
          <w:trHeight w:val="303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Filed by a Party other than the Registrant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gridSpan w:val="2"/>
          </w:tcPr>
          <w:p>
            <w:pPr>
              <w:ind w:left="2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</w:tr>
      <w:tr>
        <w:trPr>
          <w:trHeight w:val="399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Check the appropriate box: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98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OPAL FUELS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N/A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154305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626110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09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448310</wp:posOffset>
            </wp:positionH>
            <wp:positionV relativeFrom="page">
              <wp:posOffset>586105</wp:posOffset>
            </wp:positionV>
            <wp:extent cx="6652260" cy="90011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900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31750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767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448310</wp:posOffset>
            </wp:positionH>
            <wp:positionV relativeFrom="page">
              <wp:posOffset>448945</wp:posOffset>
            </wp:positionV>
            <wp:extent cx="6652260" cy="90011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900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31750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019"/>
      </w:cols>
      <w:pgMar w:left="1440" w:top="1440" w:right="1440" w:bottom="997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2025-04-25T16:37:01Z</dcterms:created>
  <dcterms:modified xsi:type="dcterms:W3CDTF">2025-04-25T16:37:01Z</dcterms:modified>
</cp:coreProperties>
</file>