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40"/>
        <w:spacing w:after="0"/>
        <w:rPr>
          <w:sz w:val="20"/>
          <w:szCs w:val="20"/>
          <w:color w:val="auto"/>
        </w:rPr>
      </w:pPr>
      <w:r>
        <w:rPr>
          <w:rFonts w:ascii="Times New Roman" w:cs="Times New Roman" w:eastAsia="Times New Roman" w:hAnsi="Times New Roman"/>
          <w:sz w:val="17"/>
          <w:szCs w:val="17"/>
          <w:color w:val="auto"/>
        </w:rPr>
        <w:t>Sheppard, Mullin, Richter &amp; Hampton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971675"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265430"/>
                    </a:xfrm>
                    <a:prstGeom prst="rect">
                      <a:avLst/>
                    </a:prstGeom>
                    <a:noFill/>
                  </pic:spPr>
                </pic:pic>
              </a:graphicData>
            </a:graphic>
          </wp:anchor>
        </w:drawing>
      </w:r>
    </w:p>
    <w:p>
      <w:pPr>
        <w:spacing w:after="0" w:line="19"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8"/>
          <w:szCs w:val="18"/>
          <w:color w:val="auto"/>
        </w:rPr>
        <w:t>New York, New York 10112-0015</w:t>
      </w:r>
    </w:p>
    <w:p>
      <w:pPr>
        <w:spacing w:after="0" w:line="9"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8"/>
          <w:szCs w:val="18"/>
          <w:color w:val="auto"/>
        </w:rPr>
        <w:t>212.653.8700 main</w:t>
      </w:r>
    </w:p>
    <w:p>
      <w:pPr>
        <w:spacing w:after="0" w:line="9"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8"/>
          <w:szCs w:val="18"/>
          <w:color w:val="auto"/>
        </w:rPr>
        <w:t>212.653.8701 fax</w:t>
      </w:r>
    </w:p>
    <w:p>
      <w:pPr>
        <w:spacing w:after="0" w:line="9"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8"/>
          <w:szCs w:val="18"/>
          <w:color w:val="auto"/>
        </w:rPr>
        <w:t>www.sheppardmullin.com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4,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Mark Wojciechowski and John Cannarella</w:t>
      </w:r>
    </w:p>
    <w:p>
      <w:pPr>
        <w:sectPr>
          <w:pgSz w:w="11900" w:h="16838" w:orient="portrait"/>
          <w:cols w:equalWidth="0" w:num="1">
            <w:col w:w="11240"/>
          </w:cols>
          <w:pgMar w:left="320" w:top="472"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10-K for the Fiscal Year ended December 31, 2022</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March 29, 2023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001-40272</w:t>
      </w:r>
    </w:p>
    <w:p>
      <w:pPr>
        <w:spacing w:after="0" w:line="200" w:lineRule="exact"/>
        <w:rPr>
          <w:sz w:val="24"/>
          <w:szCs w:val="24"/>
          <w:color w:val="auto"/>
        </w:rPr>
      </w:pPr>
    </w:p>
    <w:p>
      <w:pPr>
        <w:sectPr>
          <w:pgSz w:w="11900" w:h="16838" w:orient="portrait"/>
          <w:cols w:equalWidth="0" w:num="2">
            <w:col w:w="280" w:space="380"/>
            <w:col w:w="10580"/>
          </w:cols>
          <w:pgMar w:left="320" w:top="472"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 receipt of your correspondence dated September 15, 2023, with respect to the above referenced filing. OPAL Fuels Inc. (the “Company”) is preparing sample disclosure proposed to be used in future Exchange Act filings in response to the comments received, and respectfully requests an extension of time to respond to your comments until October 13, 2023.</w:t>
      </w:r>
    </w:p>
    <w:p>
      <w:pPr>
        <w:spacing w:after="0" w:line="1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call me at (212) 634-3085 if you have any questions, or if we can be of any assistance.</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 Edward Welch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Welch</w:t>
      </w:r>
    </w:p>
    <w:p>
      <w:pPr>
        <w:spacing w:after="0" w:line="27"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Sheppard, Mullin, Richter &amp; Hampton LLP</w:t>
      </w:r>
    </w:p>
    <w:sectPr>
      <w:pgSz w:w="11900" w:h="16838" w:orient="portrait"/>
      <w:cols w:equalWidth="0" w:num="1">
        <w:col w:w="11240"/>
      </w:cols>
      <w:pgMar w:left="320" w:top="47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2023-12-04T23:12:43Z</dcterms:created>
  <dcterms:modified xsi:type="dcterms:W3CDTF">2023-12-04T23:12:43Z</dcterms:modified>
</cp:coreProperties>
</file>