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 Comora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OPAL Fuels Inc., One North Lexington Avenue, Suite 1450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White Plains, NY, 10601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(914) 705-4000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Mark Comora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56,712.00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145,279,637.00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56,712.00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145,279,637.00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145,336,349.00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84.2 %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7 and 9: The reported shares consist of 56,712 shares of Class A common stock held directly by Mr. Comora.</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Rows 8 and 10: The reported shares consist of (i) 880,600 shares of Class A common stock (the "Class A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stock") of OPAL Fuels Inc. (the "Issuer") held by Fortistar LLC, (ii) 121,500,000 shares of Class B common stock of</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the Issuer (the "Class B common stock") held by OPAL HoldCo LLC, (iii) 20,877,450 shares of Class D common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stock of the Issuer (the "Class D common stock") held by OPAL HoldCo LLC and (iv) 2,021,587 shares of Class D</w:t>
      </w:r>
    </w:p>
    <w:p>
      <w:pPr>
        <w:spacing w:after="0" w:line="2" w:lineRule="exact"/>
        <w:rPr>
          <w:sz w:val="20"/>
          <w:szCs w:val="20"/>
          <w:color w:val="auto"/>
        </w:rPr>
      </w:pPr>
    </w:p>
    <w:p>
      <w:pPr>
        <w:jc w:val="both"/>
        <w:ind w:left="920"/>
        <w:spacing w:after="0" w:line="249" w:lineRule="auto"/>
        <w:rPr>
          <w:sz w:val="20"/>
          <w:szCs w:val="20"/>
          <w:color w:val="auto"/>
        </w:rPr>
      </w:pPr>
      <w:r>
        <w:rPr>
          <w:rFonts w:ascii="Times New Roman" w:cs="Times New Roman" w:eastAsia="Times New Roman" w:hAnsi="Times New Roman"/>
          <w:sz w:val="21"/>
          <w:szCs w:val="21"/>
          <w:color w:val="auto"/>
        </w:rPr>
        <w:t>common stock held by Hillman RNG Investments, LLC. Row 13: All ownership percentages in this schedule are calculated based on an aggregate of 28,835,811 shares of Class A common stock outstanding, 121,500,000 shares of Class B common stock outstanding, and 22,899,037 shares of Class D common stock outstanding as of April 22,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OPAL HoldCo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2" w:name="page3"/>
    <w:bookmarkEnd w:id="2"/>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8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87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87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87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87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142,377,450.00</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87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87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87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87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760" w:type="dxa"/>
            <w:vAlign w:val="bottom"/>
            <w:vMerge w:val="continue"/>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142,377,450.00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8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142,377,450.00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8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8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82.5 %</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8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HC</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9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The reported shares consist of (i) 121,500,000 shares of Class B common</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stock and (ii)</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auto"/>
                <w:w w:val="98"/>
              </w:rPr>
              <w:t>20,877,450 shares of Class D common stock held directly by OPAL HoldCo LLC. Row 13: All ownership percentages</w:t>
            </w:r>
          </w:p>
        </w:tc>
        <w:tc>
          <w:tcPr>
            <w:tcW w:w="0" w:type="dxa"/>
            <w:vAlign w:val="bottom"/>
          </w:tcPr>
          <w:p>
            <w:pPr>
              <w:spacing w:after="0"/>
              <w:rPr>
                <w:sz w:val="1"/>
                <w:szCs w:val="1"/>
                <w:color w:val="auto"/>
              </w:rPr>
            </w:pPr>
          </w:p>
        </w:tc>
      </w:tr>
      <w:tr>
        <w:trPr>
          <w:trHeight w:val="240"/>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3"/>
          </w:tcPr>
          <w:p>
            <w:pPr>
              <w:jc w:val="right"/>
              <w:spacing w:after="0" w:line="240" w:lineRule="exact"/>
              <w:rPr>
                <w:sz w:val="20"/>
                <w:szCs w:val="20"/>
                <w:color w:val="auto"/>
              </w:rPr>
            </w:pPr>
            <w:r>
              <w:rPr>
                <w:rFonts w:ascii="Times New Roman" w:cs="Times New Roman" w:eastAsia="Times New Roman" w:hAnsi="Times New Roman"/>
                <w:sz w:val="22"/>
                <w:szCs w:val="22"/>
                <w:color w:val="auto"/>
              </w:rPr>
              <w:t>in this schedule are calculated based on an aggregate of 28,835,811 shares of Class A common stock outstanding,</w:t>
            </w:r>
          </w:p>
        </w:tc>
        <w:tc>
          <w:tcPr>
            <w:tcW w:w="0" w:type="dxa"/>
            <w:vAlign w:val="bottom"/>
          </w:tcPr>
          <w:p>
            <w:pPr>
              <w:spacing w:after="0"/>
              <w:rPr>
                <w:sz w:val="1"/>
                <w:szCs w:val="1"/>
                <w:color w:val="auto"/>
              </w:rPr>
            </w:pPr>
          </w:p>
        </w:tc>
      </w:tr>
      <w:tr>
        <w:trPr>
          <w:trHeight w:val="243"/>
        </w:trPr>
        <w:tc>
          <w:tcPr>
            <w:tcW w:w="990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Reporting</w:t>
            </w:r>
            <w:r>
              <w:rPr>
                <w:rFonts w:ascii="Times New Roman" w:cs="Times New Roman" w:eastAsia="Times New Roman" w:hAnsi="Times New Roman"/>
                <w:sz w:val="17"/>
                <w:szCs w:val="17"/>
                <w:color w:val="auto"/>
              </w:rPr>
              <w:t xml:space="preserve"> 121,500,000 shares of Class B common stock outstanding, and 22,899,037 shares of Class D</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0" w:type="dxa"/>
            <w:vAlign w:val="bottom"/>
          </w:tcPr>
          <w:p>
            <w:pPr>
              <w:spacing w:after="0"/>
              <w:rPr>
                <w:sz w:val="1"/>
                <w:szCs w:val="1"/>
                <w:color w:val="auto"/>
              </w:rPr>
            </w:pPr>
          </w:p>
        </w:tc>
      </w:tr>
      <w:tr>
        <w:trPr>
          <w:trHeight w:val="309"/>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8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outstanding as of April 22, 2025.</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-5587365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-2081530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Hillman RNG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66" w:orient="portrait"/>
          <w:cols w:equalWidth="0" w:num="1">
            <w:col w:w="11240"/>
          </w:cols>
          <w:pgMar w:left="320" w:top="111"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Shares</w:t>
            </w:r>
          </w:p>
        </w:tc>
        <w:tc>
          <w:tcPr>
            <w:tcW w:w="180" w:type="dxa"/>
            <w:vAlign w:val="bottom"/>
          </w:tcPr>
          <w:p>
            <w:pPr>
              <w:spacing w:after="0"/>
              <w:rPr>
                <w:sz w:val="22"/>
                <w:szCs w:val="22"/>
                <w:color w:val="auto"/>
              </w:rPr>
            </w:pP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Owned by</w:t>
            </w:r>
          </w:p>
        </w:tc>
        <w:tc>
          <w:tcPr>
            <w:tcW w:w="180" w:type="dxa"/>
            <w:vAlign w:val="bottom"/>
          </w:tcPr>
          <w:p>
            <w:pPr>
              <w:spacing w:after="0"/>
              <w:rPr>
                <w:sz w:val="23"/>
                <w:szCs w:val="23"/>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96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180" w:type="dxa"/>
            <w:vAlign w:val="bottom"/>
          </w:tcPr>
          <w:p>
            <w:pPr>
              <w:spacing w:after="0"/>
              <w:rPr>
                <w:sz w:val="20"/>
                <w:szCs w:val="20"/>
                <w:color w:val="auto"/>
              </w:rPr>
            </w:pPr>
          </w:p>
        </w:tc>
        <w:tc>
          <w:tcPr>
            <w:tcW w:w="101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960" w:type="dxa"/>
            <w:vAlign w:val="bottom"/>
          </w:tcPr>
          <w:p>
            <w:pPr>
              <w:ind w:left="40"/>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180" w:type="dxa"/>
            <w:vAlign w:val="bottom"/>
          </w:tcPr>
          <w:p>
            <w:pPr>
              <w:spacing w:after="0"/>
              <w:rPr>
                <w:sz w:val="21"/>
                <w:szCs w:val="21"/>
                <w:color w:val="auto"/>
              </w:rPr>
            </w:pPr>
          </w:p>
        </w:tc>
        <w:tc>
          <w:tcPr>
            <w:tcW w:w="101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2,021,587.00</w:t>
            </w:r>
          </w:p>
        </w:tc>
        <w:tc>
          <w:tcPr>
            <w:tcW w:w="0" w:type="dxa"/>
            <w:vAlign w:val="bottom"/>
          </w:tcPr>
          <w:p>
            <w:pPr>
              <w:spacing w:after="0"/>
              <w:rPr>
                <w:sz w:val="1"/>
                <w:szCs w:val="1"/>
                <w:color w:val="auto"/>
              </w:rPr>
            </w:pPr>
          </w:p>
        </w:tc>
      </w:tr>
      <w:tr>
        <w:trPr>
          <w:trHeight w:val="216"/>
        </w:trPr>
        <w:tc>
          <w:tcPr>
            <w:tcW w:w="96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180" w:type="dxa"/>
            <w:vAlign w:val="bottom"/>
          </w:tcPr>
          <w:p>
            <w:pPr>
              <w:spacing w:after="0"/>
              <w:rPr>
                <w:sz w:val="18"/>
                <w:szCs w:val="18"/>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80" w:type="dxa"/>
            <w:vAlign w:val="bottom"/>
          </w:tcPr>
          <w:p>
            <w:pPr>
              <w:spacing w:after="0"/>
              <w:rPr>
                <w:sz w:val="9"/>
                <w:szCs w:val="9"/>
                <w:color w:val="auto"/>
              </w:rPr>
            </w:pPr>
          </w:p>
        </w:tc>
        <w:tc>
          <w:tcPr>
            <w:tcW w:w="10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1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2,021,587.00</w:t>
            </w:r>
          </w:p>
        </w:tc>
        <w:tc>
          <w:tcPr>
            <w:tcW w:w="0" w:type="dxa"/>
            <w:vAlign w:val="bottom"/>
          </w:tcPr>
          <w:p>
            <w:pPr>
              <w:spacing w:after="0"/>
              <w:rPr>
                <w:sz w:val="1"/>
                <w:szCs w:val="1"/>
                <w:color w:val="auto"/>
              </w:rPr>
            </w:pPr>
          </w:p>
        </w:tc>
      </w:tr>
      <w:tr>
        <w:trPr>
          <w:trHeight w:val="338"/>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8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2,021,587.00</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8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8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1.2 %</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8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HC</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Rows 8, 10, and 11: The reported shares consist of 2,021,587 shares of Class D common stock held directly by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22"/>
                <w:szCs w:val="22"/>
                <w:color w:val="auto"/>
              </w:rPr>
              <w:t>Hillman RNG Investments, LLC. Row 13: All ownership percentages in this schedule are calculated based on an</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280" w:type="dxa"/>
            <w:vAlign w:val="bottom"/>
            <w:gridSpan w:val="2"/>
          </w:tcPr>
          <w:p>
            <w:pPr>
              <w:ind w:left="20"/>
              <w:spacing w:after="0" w:line="240" w:lineRule="exact"/>
              <w:rPr>
                <w:sz w:val="20"/>
                <w:szCs w:val="20"/>
                <w:color w:val="auto"/>
              </w:rPr>
            </w:pPr>
            <w:r>
              <w:rPr>
                <w:rFonts w:ascii="Times New Roman" w:cs="Times New Roman" w:eastAsia="Times New Roman" w:hAnsi="Times New Roman"/>
                <w:sz w:val="22"/>
                <w:szCs w:val="22"/>
                <w:color w:val="auto"/>
                <w:w w:val="99"/>
              </w:rPr>
              <w:t>aggregate of 28,835,811 shares of Class A common stock outstanding, 121,500,000 shares of Class B common stock</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outstanding, and 22,899,037 shares of Class D common stock outstanding as of April 22, 2025.</w:t>
            </w:r>
          </w:p>
        </w:tc>
        <w:tc>
          <w:tcPr>
            <w:tcW w:w="0" w:type="dxa"/>
            <w:vAlign w:val="bottom"/>
          </w:tcPr>
          <w:p>
            <w:pPr>
              <w:spacing w:after="0"/>
              <w:rPr>
                <w:sz w:val="1"/>
                <w:szCs w:val="1"/>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80" w:type="dxa"/>
            <w:vAlign w:val="bottom"/>
          </w:tcPr>
          <w:p>
            <w:pPr>
              <w:spacing w:after="0"/>
              <w:rPr>
                <w:sz w:val="22"/>
                <w:szCs w:val="22"/>
                <w:color w:val="auto"/>
              </w:rPr>
            </w:pP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-2048510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Fortistar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145,279,637.00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2" w:right="339" w:bottom="0" w:gutter="0" w:footer="0" w:header="0"/>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02" w:right="339" w:bottom="0" w:gutter="0" w:footer="0" w:header="0"/>
          <w:type w:val="continuous"/>
        </w:sectPr>
      </w:pPr>
    </w:p>
    <w:bookmarkStart w:id="4" w:name="page5"/>
    <w:bookmarkEnd w:id="4"/>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145,279,637.00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145,279,637.00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84.2 %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The reported shares consist of (i) 880,600 shares of Class A common stock held by Fortistar LLC,</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(ii) 121,500,000 shares of Class B common stock held by OPAL HoldCo LLC, (iii) 20,877,450 shares of Class 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common stock held by OPAL HoldCo LLC and (iv) 2,021,587 shares of Class D common stock held by Hillman RNG</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Investments, LLC. Row 13: All ownership percentages in this schedule are calculated based on an aggregate of</w:t>
      </w:r>
    </w:p>
    <w:p>
      <w:pPr>
        <w:jc w:val="both"/>
        <w:ind w:left="920" w:hanging="919"/>
        <w:spacing w:after="0" w:line="185" w:lineRule="auto"/>
        <w:tabs>
          <w:tab w:leader="none" w:pos="900" w:val="left"/>
        </w:tabs>
        <w:rPr>
          <w:sz w:val="20"/>
          <w:szCs w:val="20"/>
          <w:color w:val="auto"/>
        </w:rPr>
      </w:pPr>
      <w:r>
        <w:rPr>
          <w:rFonts w:ascii="Times New Roman" w:cs="Times New Roman" w:eastAsia="Times New Roman" w:hAnsi="Times New Roman"/>
          <w:sz w:val="38"/>
          <w:szCs w:val="38"/>
          <w:b w:val="1"/>
          <w:bCs w:val="1"/>
          <w:color w:val="auto"/>
          <w:vertAlign w:val="superscript"/>
        </w:rPr>
        <w:t>Person:</w:t>
      </w:r>
      <w:r>
        <w:rPr>
          <w:sz w:val="20"/>
          <w:szCs w:val="20"/>
          <w:color w:val="auto"/>
        </w:rPr>
        <w:tab/>
      </w:r>
      <w:r>
        <w:rPr>
          <w:rFonts w:ascii="Times New Roman" w:cs="Times New Roman" w:eastAsia="Times New Roman" w:hAnsi="Times New Roman"/>
          <w:sz w:val="21"/>
          <w:szCs w:val="21"/>
          <w:color w:val="auto"/>
        </w:rPr>
        <w:t>28,835,811 shares of Class A common stock outstanding, 121,500,000 shares of Class B common stock outstanding, and 22,899,037 shares of Class D common stock outstanding as of April 22, 2025.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OPAL Fuels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One North Lexington Avenue, Suite 1450, White Plains, NEW YORK , 10601.</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on Schedule 13D (this "Schedule 13D") relates to the Issuer's Class A common stock,</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$0.0001 par value per share, and amends and further supplements the Schedule 13D originally filed on July 29, 2022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amended from time to time, the "Statement") by Mark Comora, OPAL HoldCo LLC, Hillman RNG Investments, LLC, and Fortistar LLC (collectively, the "Reporting Persons"). The Reporting Persons are filing this Schedule 13D to report the exchange by OPAL HoldCo LLC of an aggregate of 50,000,000 shares of Class D common stock into 50,000,000 shares of Class B common stock as disclosed in Item 5 below. Except as expressly set forth herein, there have been no changes to the Statement. The Issuer's principal executive offices are located at One North Lexington Avenue, Suite 1450, White Plains, New York 10601. Except as otherwise indicated, capitalized terms used and not</w:t>
      </w:r>
    </w:p>
    <w:p>
      <w:pPr>
        <w:spacing w:after="0" w:line="4" w:lineRule="exact"/>
        <w:rPr>
          <w:sz w:val="20"/>
          <w:szCs w:val="20"/>
          <w:color w:val="auto"/>
        </w:rPr>
      </w:pPr>
    </w:p>
    <w:p>
      <w:pPr>
        <w:ind w:left="40" w:right="1520" w:firstLine="952"/>
        <w:spacing w:after="0" w:line="270" w:lineRule="auto"/>
        <w:rPr>
          <w:sz w:val="20"/>
          <w:szCs w:val="20"/>
          <w:color w:val="auto"/>
        </w:rPr>
      </w:pPr>
      <w:r>
        <w:rPr>
          <w:rFonts w:ascii="Times New Roman" w:cs="Times New Roman" w:eastAsia="Times New Roman" w:hAnsi="Times New Roman"/>
          <w:sz w:val="22"/>
          <w:szCs w:val="22"/>
          <w:color w:val="auto"/>
        </w:rPr>
        <w:t>defined in this Amendment No. 2 shall have the meaning assigned to such term in the Schedule 13D. Item 3. Source and Amount of Funds or Other Consideration</w:t>
      </w:r>
    </w:p>
    <w:p>
      <w:pPr>
        <w:spacing w:after="0" w:line="1" w:lineRule="exact"/>
        <w:rPr>
          <w:sz w:val="20"/>
          <w:szCs w:val="20"/>
          <w:color w:val="auto"/>
        </w:rPr>
      </w:pPr>
    </w:p>
    <w:p>
      <w:pPr>
        <w:ind w:left="960" w:right="160"/>
        <w:spacing w:after="0" w:line="238" w:lineRule="auto"/>
        <w:rPr>
          <w:sz w:val="20"/>
          <w:szCs w:val="20"/>
          <w:color w:val="auto"/>
        </w:rPr>
      </w:pPr>
      <w:r>
        <w:rPr>
          <w:rFonts w:ascii="Times New Roman" w:cs="Times New Roman" w:eastAsia="Times New Roman" w:hAnsi="Times New Roman"/>
          <w:sz w:val="22"/>
          <w:szCs w:val="22"/>
          <w:color w:val="auto"/>
        </w:rPr>
        <w:t>Pursuant to the Certificate of Incorporation of the Issuer, each share of Class D common stock is convertible into one share of Class B common stock at the option of the holder thereof at any time upon written notice to the Issuer. No conversion price is required to be paid in connection with such conversion. On April 22, 2025, OPAL HoldCo LLC delivered notice to the Issuer of its election to exchange 50,000,000 shares of Class D common stock into a corresponding number of Class B common stock.</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Items 11 and 13 on the cover page.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responses to Items 7, 8, 9 and 10 on the cover page.</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Mark Comora</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Coghlin</w:t>
      </w:r>
    </w:p>
    <w:p>
      <w:pPr>
        <w:sectPr>
          <w:pgSz w:w="11900" w:h="16838" w:orient="portrait"/>
          <w:cols w:equalWidth="0" w:num="1">
            <w:col w:w="11240"/>
          </w:cols>
          <w:pgMar w:left="320" w:top="112" w:right="339" w:bottom="0" w:gutter="0" w:footer="0" w:header="0"/>
        </w:sectPr>
      </w:pPr>
    </w:p>
    <w:bookmarkStart w:id="5" w:name="page6"/>
    <w:bookmarkEnd w:id="5"/>
    <w:p>
      <w:pPr>
        <w:ind w:left="2880"/>
        <w:spacing w:after="0"/>
        <w:rPr>
          <w:sz w:val="20"/>
          <w:szCs w:val="20"/>
          <w:color w:val="auto"/>
        </w:rPr>
      </w:pPr>
      <w:r>
        <w:rPr>
          <w:rFonts w:ascii="Times New Roman" w:cs="Times New Roman" w:eastAsia="Times New Roman" w:hAnsi="Times New Roman"/>
          <w:sz w:val="21"/>
          <w:szCs w:val="21"/>
          <w:color w:val="auto"/>
        </w:rPr>
        <w:t>Name/Title: John Coghlin/Attorney-in-Fact</w:t>
      </w:r>
    </w:p>
    <w:p>
      <w:pPr>
        <w:spacing w:after="0" w:line="56"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OPAL HoldCo LLC</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Coghlin</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color w:val="auto"/>
        </w:rPr>
        <w:t>Name/Title: John Coghlin/Attorney-in-Fact</w:t>
      </w:r>
    </w:p>
    <w:p>
      <w:pPr>
        <w:spacing w:after="0" w:line="56"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Hillman RNG Investments, LLC</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Coghlin</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color w:val="auto"/>
        </w:rPr>
        <w:t>Name/Title: John Coghlin/Attorney-in-Fact</w:t>
      </w:r>
    </w:p>
    <w:p>
      <w:pPr>
        <w:spacing w:after="0" w:line="56"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Fortistar LLC</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Coghlin</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color w:val="auto"/>
        </w:rPr>
        <w:t>Name/Title: John Coghlin/Attorney-in-Fact</w:t>
      </w:r>
    </w:p>
    <w:p>
      <w:pPr>
        <w:spacing w:after="0" w:line="56"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2025-04-23T16:01:20Z</dcterms:created>
  <dcterms:modified xsi:type="dcterms:W3CDTF">2025-04-23T16:01:20Z</dcterms:modified>
</cp:coreProperties>
</file>