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704"/>
        <w:spacing w:after="0"/>
        <w:rPr>
          <w:sz w:val="20"/>
          <w:szCs w:val="20"/>
          <w:color w:val="auto"/>
        </w:rPr>
      </w:pPr>
      <w:r>
        <w:rPr>
          <w:rFonts w:ascii="Arial" w:cs="Arial" w:eastAsia="Arial" w:hAnsi="Arial"/>
          <w:sz w:val="22"/>
          <w:szCs w:val="22"/>
          <w:b w:val="1"/>
          <w:bCs w:val="1"/>
          <w:color w:val="auto"/>
        </w:rPr>
        <w:t>Pursuant to Section 13 or Section 15(d)</w:t>
      </w:r>
    </w:p>
    <w:p>
      <w:pPr>
        <w:ind w:left="374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156845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394"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001-39546</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98-1578357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09"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200 Clarendon Street, 55th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Boston, MA, 02116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(617) 531-6300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67" w:lineRule="exact"/>
        <w:rPr>
          <w:sz w:val="24"/>
          <w:szCs w:val="24"/>
          <w:color w:val="auto"/>
        </w:rPr>
      </w:pPr>
    </w:p>
    <w:p>
      <w:pPr>
        <w:ind w:left="4" w:right="5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8"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Share, $0.0001 par value, and one-fifth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ACDC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 each whole warrant exercisable for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7"/>
              </w:rPr>
              <w:t>$11.50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30"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94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Effective December 30, 2021, Kerrick S. Knauth resigned from his position as Chief Operating Officer of ArcLight Clean Transition Corp. II (the “Company”). Mr. Knauth’s resignation does not involve any disagreement on any matter relating to the Company’s operations, policies or practices.</w:t>
      </w:r>
    </w:p>
    <w:p>
      <w:pPr>
        <w:sectPr>
          <w:pgSz w:w="11900" w:h="16838" w:orient="portrait"/>
          <w:cols w:equalWidth="0" w:num="1">
            <w:col w:w="10940"/>
          </w:cols>
          <w:pgMar w:left="440" w:top="297"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30,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John F. Erhard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2022-01-03T05:21:51Z</dcterms:created>
  <dcterms:modified xsi:type="dcterms:W3CDTF">2022-01-03T05:21:51Z</dcterms:modified>
</cp:coreProperties>
</file>