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10, 2022 (July 21,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Delaware</w:t>
            </w:r>
          </w:p>
        </w:tc>
        <w:tc>
          <w:tcPr>
            <w:tcW w:w="42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001-40272</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98-1578357</w:t>
            </w:r>
          </w:p>
        </w:tc>
      </w:tr>
      <w:tr>
        <w:trPr>
          <w:trHeight w:val="198"/>
        </w:trPr>
        <w:tc>
          <w:tcPr>
            <w:tcW w:w="3200" w:type="dxa"/>
            <w:vAlign w:val="bottom"/>
            <w:tcBorders>
              <w:top w:val="single" w:sz="8" w:color="auto"/>
            </w:tcBorders>
          </w:tcPr>
          <w:p>
            <w:pPr>
              <w:jc w:val="center"/>
              <w:ind w:left="33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tcPr>
          <w:p>
            <w:pPr>
              <w:jc w:val="center"/>
              <w:ind w:right="47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20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incorporation or organization)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One North Lexington Avenue, Suite 1450</w:t>
            </w:r>
          </w:p>
        </w:tc>
        <w:tc>
          <w:tcPr>
            <w:tcW w:w="3040" w:type="dxa"/>
            <w:vAlign w:val="bottom"/>
          </w:tcPr>
          <w:p>
            <w:pPr>
              <w:spacing w:after="0"/>
              <w:rPr>
                <w:sz w:val="24"/>
                <w:szCs w:val="24"/>
                <w:color w:val="auto"/>
              </w:rPr>
            </w:pPr>
          </w:p>
        </w:tc>
      </w:tr>
      <w:tr>
        <w:trPr>
          <w:trHeight w:val="220"/>
        </w:trPr>
        <w:tc>
          <w:tcPr>
            <w:tcW w:w="3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White Plains, NY 10601</w:t>
            </w:r>
          </w:p>
        </w:tc>
        <w:tc>
          <w:tcPr>
            <w:tcW w:w="304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0"/>
                <w:szCs w:val="20"/>
                <w:color w:val="auto"/>
              </w:rPr>
            </w:pPr>
          </w:p>
        </w:tc>
      </w:tr>
      <w:tr>
        <w:trPr>
          <w:trHeight w:val="418"/>
        </w:trPr>
        <w:tc>
          <w:tcPr>
            <w:tcW w:w="3200" w:type="dxa"/>
            <w:vAlign w:val="bottom"/>
          </w:tcPr>
          <w:p>
            <w:pPr>
              <w:spacing w:after="0"/>
              <w:rPr>
                <w:sz w:val="24"/>
                <w:szCs w:val="24"/>
                <w:color w:val="auto"/>
              </w:rPr>
            </w:pPr>
          </w:p>
        </w:tc>
        <w:tc>
          <w:tcPr>
            <w:tcW w:w="42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(914) 705-4000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0"/>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80" w:type="dxa"/>
            <w:vAlign w:val="bottom"/>
            <w:gridSpan w:val="4"/>
          </w:tcPr>
          <w:p>
            <w:pPr>
              <w:ind w:left="60"/>
              <w:spacing w:after="0"/>
              <w:rPr>
                <w:sz w:val="20"/>
                <w:szCs w:val="20"/>
                <w:color w:val="auto"/>
              </w:rPr>
            </w:pPr>
            <w:r>
              <w:rPr>
                <w:rFonts w:ascii="Arial" w:cs="Arial" w:eastAsia="Arial" w:hAnsi="Arial"/>
                <w:sz w:val="18"/>
                <w:szCs w:val="18"/>
                <w:color w:val="auto"/>
              </w:rPr>
              <w:t>(Registrant’s telephone number, including area code)</w:t>
            </w:r>
          </w:p>
        </w:tc>
        <w:tc>
          <w:tcPr>
            <w:tcW w:w="304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50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Former name or former address, if changed since last report)</w:t>
            </w:r>
          </w:p>
        </w:tc>
        <w:tc>
          <w:tcPr>
            <w:tcW w:w="304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OPAL</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2"/>
              </w:rPr>
              <w:t>OPALW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of Class A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Current Report on Form 8-K/A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amends the Current Report on Form 8-K of OPAL Fuels Inc., a Delaware corporation (the “</w:t>
      </w:r>
      <w:r>
        <w:rPr>
          <w:rFonts w:ascii="Arial" w:cs="Arial" w:eastAsia="Arial" w:hAnsi="Arial"/>
          <w:sz w:val="17"/>
          <w:szCs w:val="17"/>
          <w:b w:val="1"/>
          <w:bCs w:val="1"/>
          <w:i w:val="1"/>
          <w:iCs w:val="1"/>
          <w:color w:val="auto"/>
        </w:rPr>
        <w:t>Compan</w:t>
      </w:r>
      <w:r>
        <w:rPr>
          <w:rFonts w:ascii="Arial" w:cs="Arial" w:eastAsia="Arial" w:hAnsi="Arial"/>
          <w:sz w:val="17"/>
          <w:szCs w:val="17"/>
          <w:b w:val="1"/>
          <w:bCs w:val="1"/>
          <w:color w:val="auto"/>
        </w:rPr>
        <w:t>y</w:t>
      </w:r>
      <w:r>
        <w:rPr>
          <w:rFonts w:ascii="Arial" w:cs="Arial" w:eastAsia="Arial" w:hAnsi="Arial"/>
          <w:sz w:val="17"/>
          <w:szCs w:val="17"/>
          <w:color w:val="auto"/>
        </w:rPr>
        <w:t>”) filed on July 27, 2022 (the “</w:t>
      </w:r>
      <w:r>
        <w:rPr>
          <w:rFonts w:ascii="Arial" w:cs="Arial" w:eastAsia="Arial" w:hAnsi="Arial"/>
          <w:sz w:val="17"/>
          <w:szCs w:val="17"/>
          <w:b w:val="1"/>
          <w:bCs w:val="1"/>
          <w:i w:val="1"/>
          <w:iCs w:val="1"/>
          <w:color w:val="auto"/>
        </w:rPr>
        <w:t>Original Report</w:t>
      </w:r>
      <w:r>
        <w:rPr>
          <w:rFonts w:ascii="Arial" w:cs="Arial" w:eastAsia="Arial" w:hAnsi="Arial"/>
          <w:sz w:val="17"/>
          <w:szCs w:val="17"/>
          <w:color w:val="auto"/>
        </w:rPr>
        <w:t>”), in which the Company reported, among other events, the completion of the Business Combination. Capitalized terms used in this Current Report and not defined herein have the meaning ascribed to them in the Original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filing this Amendment No. 1 in order to include:</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restated certificate of incorporation following the Closing;</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unaudited condensed consolidated financial statements of Opal Fuels LLC, a Delaware limited liability company (“</w:t>
      </w:r>
      <w:r>
        <w:rPr>
          <w:rFonts w:ascii="Arial" w:cs="Arial" w:eastAsia="Arial" w:hAnsi="Arial"/>
          <w:sz w:val="18"/>
          <w:szCs w:val="18"/>
          <w:b w:val="1"/>
          <w:bCs w:val="1"/>
          <w:i w:val="1"/>
          <w:iCs w:val="1"/>
          <w:color w:val="auto"/>
        </w:rPr>
        <w:t>OPAL Fuels</w:t>
      </w:r>
      <w:r>
        <w:rPr>
          <w:rFonts w:ascii="Arial" w:cs="Arial" w:eastAsia="Arial" w:hAnsi="Arial"/>
          <w:sz w:val="18"/>
          <w:szCs w:val="18"/>
          <w:color w:val="auto"/>
        </w:rPr>
        <w:t>”) as of June 30, 2022 and for the six months ended June 30, 2022 and 2021 as Exhibit 99.1;</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Management’s Discussion and Analysis of Financial Condition and Results of Operations of OPAL Fuels for the six months ended June 30 2022 and 2021 as Exhibit 99.2;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unaudited pro forma condensed combined financial information of ArcLight and OPAL Fuels as of and for the six months ended June 30, 2022 and the year ended December 31, 2021 as Exhibit 99.3.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Introductory Note to the Original Report is revised to state that:</w:t>
      </w:r>
    </w:p>
    <w:p>
      <w:pPr>
        <w:spacing w:after="0" w:line="225" w:lineRule="exact"/>
        <w:rPr>
          <w:sz w:val="20"/>
          <w:szCs w:val="20"/>
          <w:color w:val="auto"/>
        </w:rPr>
      </w:pPr>
    </w:p>
    <w:p>
      <w:pPr>
        <w:jc w:val="both"/>
        <w:ind w:firstLine="332"/>
        <w:spacing w:after="0" w:line="286" w:lineRule="auto"/>
        <w:tabs>
          <w:tab w:leader="none" w:pos="595"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the Domestication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New OPAL Class A common stock and one-fifth of one New OPAL warrant; and</w:t>
      </w:r>
    </w:p>
    <w:p>
      <w:pPr>
        <w:spacing w:after="0" w:line="165" w:lineRule="exact"/>
        <w:rPr>
          <w:rFonts w:ascii="Arial" w:cs="Arial" w:eastAsia="Arial" w:hAnsi="Arial"/>
          <w:sz w:val="17"/>
          <w:szCs w:val="17"/>
          <w:color w:val="auto"/>
        </w:rPr>
      </w:pPr>
    </w:p>
    <w:p>
      <w:pPr>
        <w:jc w:val="both"/>
        <w:ind w:firstLine="332"/>
        <w:spacing w:after="0" w:line="263"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New OPAL Class A common stock and New OPAL warrants commenced trading on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under the symbols “OPAL” and “OPALW,” respectively, on July 22, 2022, subject to ongoing review of New OPAL’s satisfaction of all listing criteria following the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No. 1 does not amend any other item of the Original Report. The information previously reported or filed with the Original Report is incorporated by reference to this Amendment No.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8, 2022, the Company filed with the Secretary of State of Delaware (the “</w:t>
      </w:r>
      <w:r>
        <w:rPr>
          <w:rFonts w:ascii="Arial" w:cs="Arial" w:eastAsia="Arial" w:hAnsi="Arial"/>
          <w:sz w:val="18"/>
          <w:szCs w:val="18"/>
          <w:b w:val="1"/>
          <w:bCs w:val="1"/>
          <w:i w:val="1"/>
          <w:iCs w:val="1"/>
          <w:color w:val="auto"/>
        </w:rPr>
        <w:t>DE SOS</w:t>
      </w:r>
      <w:r>
        <w:rPr>
          <w:rFonts w:ascii="Arial" w:cs="Arial" w:eastAsia="Arial" w:hAnsi="Arial"/>
          <w:sz w:val="18"/>
          <w:szCs w:val="18"/>
          <w:color w:val="auto"/>
        </w:rPr>
        <w:t>”), a certificate of correction (the “</w:t>
      </w:r>
      <w:r>
        <w:rPr>
          <w:rFonts w:ascii="Arial" w:cs="Arial" w:eastAsia="Arial" w:hAnsi="Arial"/>
          <w:sz w:val="18"/>
          <w:szCs w:val="18"/>
          <w:b w:val="1"/>
          <w:bCs w:val="1"/>
          <w:i w:val="1"/>
          <w:iCs w:val="1"/>
          <w:color w:val="auto"/>
        </w:rPr>
        <w:t>Certificate of Correction</w:t>
      </w:r>
      <w:r>
        <w:rPr>
          <w:rFonts w:ascii="Arial" w:cs="Arial" w:eastAsia="Arial" w:hAnsi="Arial"/>
          <w:sz w:val="18"/>
          <w:szCs w:val="18"/>
          <w:color w:val="auto"/>
        </w:rPr>
        <w:t>”) to the Company’s certificate of incorporation filed with the DE SOS on July 21, 2022 (the “</w:t>
      </w:r>
      <w:r>
        <w:rPr>
          <w:rFonts w:ascii="Arial" w:cs="Arial" w:eastAsia="Arial" w:hAnsi="Arial"/>
          <w:sz w:val="18"/>
          <w:szCs w:val="18"/>
          <w:b w:val="1"/>
          <w:bCs w:val="1"/>
          <w:i w:val="1"/>
          <w:iCs w:val="1"/>
          <w:color w:val="auto"/>
        </w:rPr>
        <w:t>Original COI</w:t>
      </w:r>
      <w:r>
        <w:rPr>
          <w:rFonts w:ascii="Arial" w:cs="Arial" w:eastAsia="Arial" w:hAnsi="Arial"/>
          <w:sz w:val="18"/>
          <w:szCs w:val="18"/>
          <w:color w:val="auto"/>
        </w:rPr>
        <w:t>”). The Certificate of Correction corrected (i) the number of authorized shares of the Company’s stock set forth in the Original COI and (ii) a reference to an extrinsic document referred to in the Original COI. The Company’s certificate of incorporation, as so corrected, is included as Exhibit 3.1.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condensed consolidated financial statements of OPAL Fuels as of June 30, 2022 (unaudited) and for the six months ended June 30, 2022 and 2021 (unaudited) and the related notes, are attached as Exhibit 99.1 hereto and are incorporated herein by reference.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unaudited pro forma condensed combined financial information of the Company as of June 30, 2022 and for the six months ended June 30, 2022 and the year ended December 31, 2021 is filed as Exhibit 99.3 and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(d)  Exhibits.</w:t>
      </w:r>
    </w:p>
    <w:p>
      <w:pPr>
        <w:sectPr>
          <w:pgSz w:w="11900" w:h="16838" w:orient="portrait"/>
          <w:cols w:equalWidth="0" w:num="1">
            <w:col w:w="11240"/>
          </w:cols>
          <w:pgMar w:left="320" w:top="908" w:right="339" w:bottom="1440" w:gutter="0" w:footer="0" w:header="0"/>
        </w:sect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31750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020" w:space="720"/>
            <w:col w:w="5500"/>
          </w:cols>
          <w:pgMar w:left="320" w:top="908" w:right="339" w:bottom="1440" w:gutter="0" w:footer="0" w:header="0"/>
          <w:type w:val="continuous"/>
        </w:sectPr>
      </w:pPr>
    </w:p>
    <w:p>
      <w:pPr>
        <w:ind w:left="400"/>
        <w:spacing w:after="0"/>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0000EE"/>
        </w:rPr>
        <w:t>Restated Certificate of Incorporation of OPAL Fuels Inc.</w:t>
      </w:r>
    </w:p>
    <w:p>
      <w:pPr>
        <w:spacing w:after="0" w:line="23" w:lineRule="exact"/>
        <w:rPr>
          <w:sz w:val="20"/>
          <w:szCs w:val="20"/>
          <w:color w:val="auto"/>
        </w:rPr>
      </w:pPr>
    </w:p>
    <w:p>
      <w:pPr>
        <w:ind w:left="1140" w:hanging="784"/>
        <w:spacing w:after="0" w:line="250" w:lineRule="auto"/>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EE"/>
        </w:rPr>
        <w:t>Condensed consolidated financial statements of OPAL Fuels as of June 30, 2022 (unaudited) and for the six months ended June 30, 2022 and 2021 (unaudited) and the related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60"/>
        <w:spacing w:after="0"/>
        <w:tabs>
          <w:tab w:leader="none" w:pos="11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 of OPAL Fuels for the six months ended June 30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EE"/>
        </w:rPr>
        <w:t>2022 and 2021.</w:t>
      </w:r>
    </w:p>
    <w:p>
      <w:pPr>
        <w:spacing w:after="0" w:line="9"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u w:val="single" w:color="auto"/>
          <w:color w:val="0000EE"/>
        </w:rPr>
        <w:t>Unaudited pro forma condensed combined financial information of ArcLight and OPAL Fuels as of and for the six months ended June 30,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EE"/>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20" w:right="4320" w:hanging="5141"/>
        <w:spacing w:after="0" w:line="761" w:lineRule="auto"/>
        <w:tabs>
          <w:tab w:leader="none" w:pos="1143"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2022</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Ann Anthony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11"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Corporation is OPAL Fuels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08" w:lineRule="auto"/>
        <w:tabs>
          <w:tab w:leader="none" w:pos="82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Address; Registered Office and Agent</w:t>
      </w:r>
      <w:r>
        <w:rPr>
          <w:rFonts w:ascii="Arial" w:cs="Arial" w:eastAsia="Arial" w:hAnsi="Arial"/>
          <w:sz w:val="17"/>
          <w:szCs w:val="17"/>
          <w:color w:val="auto"/>
        </w:rPr>
        <w:t>. The address of the Corporation’s registered office in the State of Delaware is Corporation Trust Center, 1209 Orange Street, Wilmington, Delaware 19801 and the name of its registered agent at such address is The Corporation Trust Company.</w:t>
      </w:r>
    </w:p>
    <w:p>
      <w:pPr>
        <w:spacing w:after="0" w:line="146" w:lineRule="exact"/>
        <w:rPr>
          <w:rFonts w:ascii="Arial" w:cs="Arial" w:eastAsia="Arial" w:hAnsi="Arial"/>
          <w:sz w:val="17"/>
          <w:szCs w:val="17"/>
          <w:color w:val="auto"/>
        </w:rPr>
      </w:pPr>
    </w:p>
    <w:p>
      <w:pPr>
        <w:ind w:firstLine="656"/>
        <w:spacing w:after="0" w:line="277" w:lineRule="auto"/>
        <w:tabs>
          <w:tab w:leader="none" w:pos="82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xml:space="preserve"> The purpose of the Corporation is to engage in any lawful act or activity for which corporations may be organized under the General Corporation Law.</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4.1 The total number of shares of all classes of stock that the Corporation shall have authority to issue is 1,120,000,000 shares, consisting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(i) 820,000,000 shares of common stock, divided into (a) 340,000,000 shares of Class A common stock, with the par value of $0.0001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(b) 160,000,000 shares of Class B common stock, with the par value of $0.0001 per share (the “Class B Common Stock”);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160,000,000 shares of Class C common stock, with the par value of $0.0001 per share (the “Class C Common Stock”); and (d) 160,000,000 shares of Class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 common stock, with the par value of $0.0001 per share (the “Class D Common Stock” and, together with the Class A Common Stock, the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the Class C Common Stock, the “Common Stock”); and (ii) 300,000,000 shares of preferred stock, with the par value of $0.0001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(the “Preferred Stock”).</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4.2 Subject to the rights of the holders of any one or more series of Preferred Stock then outstanding, the number of authorized shares of any series of the Common Stock or the Preferred Stock may be increased or decreased (but not below the number of shares thereof then outstanding),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or series of the Common Stock or the Preferred Stock voting separately as a class or series will be required therefor. Notwithstanding the immediately preceding sentence, the number of authorized shares of any particular class or series may not be decreased below the number of shares of such class or series then outstanding, </w:t>
      </w:r>
      <w:r>
        <w:rPr>
          <w:rFonts w:ascii="Arial" w:cs="Arial" w:eastAsia="Arial" w:hAnsi="Arial"/>
          <w:sz w:val="17"/>
          <w:szCs w:val="17"/>
          <w:i w:val="1"/>
          <w:iCs w:val="1"/>
          <w:color w:val="auto"/>
        </w:rPr>
        <w:t>plus:</w:t>
      </w:r>
    </w:p>
    <w:p>
      <w:pPr>
        <w:spacing w:after="0" w:line="177" w:lineRule="exact"/>
        <w:rPr>
          <w:sz w:val="20"/>
          <w:szCs w:val="20"/>
          <w:color w:val="auto"/>
        </w:rPr>
      </w:pPr>
    </w:p>
    <w:p>
      <w:pPr>
        <w:jc w:val="both"/>
        <w:ind w:left="660" w:firstLine="1292"/>
        <w:spacing w:after="0" w:line="273" w:lineRule="auto"/>
        <w:tabs>
          <w:tab w:leader="none" w:pos="2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case of Class A Common Stock, the number of shares of Class A Common Stock issuable in connection with (A) the exchange of all outstanding shares of Class B Common Stock, together with the corresponding Class B LLC Units, pursuant to the Operating Agreement, (B) the conversion of all outstanding shares of Class C Common Stock (including the amount of shares of Class C Common Stock issuable in connection with the exchange of all outstanding shares of Class D Common Stock, together with the corresponding Class B LLC Units, pursuant to the Operating Agreement) pursuant to this Certificate of Incorporation and (C) the exercise of outstanding options, warrants, exchange rights, conversion rights or similar rights for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left="660" w:firstLine="1292"/>
        <w:spacing w:after="0" w:line="263" w:lineRule="auto"/>
        <w:tabs>
          <w:tab w:leader="none" w:pos="22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Class B Common Stock, the number of shares of Class B Common Stock issuable in connection with (A) the conversion of all outstanding shares of Class D Common Stock pursuant to this Certificate of Incorporation and (B) the exercise of outstanding options, warrants, exchange rights, conversion rights or similar rights for shares of Class B Common Stock;</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(A) the exchange of all outstanding shares of Class D Common Stock, together with the corresponding Class B LLC Units, pursuant to the Operating Agreement and (B) the exercise of outstanding options, warrants, exchange rights, conversion rights or similar rights for shares of Class C Common Stock; and</w:t>
      </w:r>
    </w:p>
    <w:p>
      <w:pPr>
        <w:spacing w:after="0" w:line="186" w:lineRule="exact"/>
        <w:rPr>
          <w:rFonts w:ascii="Arial" w:cs="Arial" w:eastAsia="Arial" w:hAnsi="Arial"/>
          <w:sz w:val="18"/>
          <w:szCs w:val="18"/>
          <w:color w:val="auto"/>
        </w:rPr>
      </w:pPr>
    </w:p>
    <w:p>
      <w:pPr>
        <w:ind w:left="660" w:firstLine="1292"/>
        <w:spacing w:after="0" w:line="308" w:lineRule="auto"/>
        <w:tabs>
          <w:tab w:leader="none" w:pos="2279"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case of Class D Common Stock, the number of shares of Class D Common Stock issuable in connection with the exercise of outstanding options, warrants, exchange rights, conversion rights or similar rights for shares of Class D Common Stock.</w:t>
      </w:r>
    </w:p>
    <w:p>
      <w:pPr>
        <w:spacing w:after="0" w:line="146" w:lineRule="exact"/>
        <w:rPr>
          <w:sz w:val="20"/>
          <w:szCs w:val="20"/>
          <w:color w:val="auto"/>
        </w:rPr>
      </w:pPr>
    </w:p>
    <w:p>
      <w:pPr>
        <w:ind w:firstLine="656"/>
        <w:spacing w:after="0" w:line="277" w:lineRule="auto"/>
        <w:tabs>
          <w:tab w:leader="none" w:pos="8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designations and the powers, privileges, preferences and rights, and the qualifications, limitations and restrictions thereof, in respect of each class of capital stock of the Corporation are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left="2160" w:hanging="208"/>
        <w:spacing w:after="0"/>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940"/>
        <w:spacing w:after="0" w:line="287" w:lineRule="auto"/>
        <w:tabs>
          <w:tab w:leader="none" w:pos="2859"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Each holder of Class A Common Stock will be entitled to one vote for each share of Class A Common Stock held of record by such holder on all matters on which stockholders generally are entitled to vote, each holder of Class B Common Stock will be entitled to one vote for each share of Class B Common Stock held of record by such holder on all matters on which stockholders generally are entitled to vote, each holder of Class C Common Stock will be entitled to five votes for each share of Class C Common Stock held of record by such holder on all matters on which stockholders generally are entitled to vote, and each holder of Class D Common Stock will be entitled to five votes for each share of Class D Common Stock held of record by such holder on all matters on which stockholders generally are entitled to vote, except that, in each case, to the fullest extent permitted by law and subject to </w:t>
      </w:r>
      <w:r>
        <w:rPr>
          <w:rFonts w:ascii="Arial" w:cs="Arial" w:eastAsia="Arial" w:hAnsi="Arial"/>
          <w:sz w:val="16"/>
          <w:szCs w:val="16"/>
          <w:u w:val="single" w:color="auto"/>
          <w:color w:val="auto"/>
        </w:rPr>
        <w:t>Section 5.1(i)(2),</w:t>
      </w:r>
      <w:r>
        <w:rPr>
          <w:rFonts w:ascii="Arial" w:cs="Arial" w:eastAsia="Arial" w:hAnsi="Arial"/>
          <w:sz w:val="16"/>
          <w:szCs w:val="16"/>
          <w:color w:val="auto"/>
        </w:rPr>
        <w:t xml:space="preserve"> holders of shares of each series of the Common Stock, as such, will have no voting power with respect to, and will not be entitled to vote on, any amendment to this Certificate of Incorporation (including any Certificate of Designations relating to any series of Preferred Stock) that relates solely to the rights, powers, preferences (or the qualifications, limitations or restrictions thereof) or other terms of one or more outstanding series of Preferred Stock if the holders of such affected series of Preferred Stock are entitled, either separately or together with the holders of one or more other such series, to vote thereon under this Certificate of Incorporation (including any Certificate of Designations relating to any series of Preferred Stock) or under the General Corporation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460" w:firstLine="1940"/>
        <w:spacing w:after="0" w:line="285" w:lineRule="auto"/>
        <w:tabs>
          <w:tab w:leader="none" w:pos="1752"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 (c) the holders of the outstanding shares of Class C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 and (d) the holders of the outstanding shares of Class D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 it being understood that any merger, consolidation or other business combination shall not be deemed an amendment hereof if such merger, consolidation or other business combination constitutes a “Termination Transaction” permitted by Section 3.07 of the Operating Agreement.</w:t>
      </w:r>
    </w:p>
    <w:p>
      <w:pPr>
        <w:spacing w:after="0" w:line="176" w:lineRule="exact"/>
        <w:rPr>
          <w:rFonts w:ascii="Arial" w:cs="Arial" w:eastAsia="Arial" w:hAnsi="Arial"/>
          <w:sz w:val="16"/>
          <w:szCs w:val="16"/>
          <w:color w:val="auto"/>
        </w:rPr>
      </w:pPr>
    </w:p>
    <w:p>
      <w:pPr>
        <w:jc w:val="both"/>
        <w:ind w:left="-460" w:firstLine="1940"/>
        <w:spacing w:after="0" w:line="263" w:lineRule="auto"/>
        <w:tabs>
          <w:tab w:leader="none" w:pos="17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83" w:lineRule="exact"/>
        <w:rPr>
          <w:rFonts w:ascii="Arial" w:cs="Arial" w:eastAsia="Arial" w:hAnsi="Arial"/>
          <w:sz w:val="18"/>
          <w:szCs w:val="18"/>
          <w:color w:val="auto"/>
        </w:rPr>
      </w:pPr>
    </w:p>
    <w:p>
      <w:pPr>
        <w:ind w:left="1100" w:hanging="268"/>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940"/>
        <w:spacing w:after="0" w:line="275" w:lineRule="auto"/>
        <w:tabs>
          <w:tab w:leader="none" w:pos="1752"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Subject to applicable law and the rights, if any, of the holders of any outstanding series of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the Corporation that are by law available therefor, at the times and in the amounts as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in its discretion may determine.</w:t>
      </w:r>
    </w:p>
    <w:p>
      <w:pPr>
        <w:spacing w:after="0" w:line="176" w:lineRule="exact"/>
        <w:rPr>
          <w:rFonts w:ascii="Arial" w:cs="Arial" w:eastAsia="Arial" w:hAnsi="Arial"/>
          <w:sz w:val="17"/>
          <w:szCs w:val="17"/>
          <w:color w:val="auto"/>
        </w:rPr>
      </w:pPr>
    </w:p>
    <w:p>
      <w:pPr>
        <w:ind w:left="-460" w:firstLine="1940"/>
        <w:spacing w:after="0" w:line="277" w:lineRule="auto"/>
        <w:tabs>
          <w:tab w:leader="none" w:pos="17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5.1 (h)(3)</w:t>
      </w:r>
      <w:r>
        <w:rPr>
          <w:rFonts w:ascii="Arial" w:cs="Arial" w:eastAsia="Arial" w:hAnsi="Arial"/>
          <w:sz w:val="18"/>
          <w:szCs w:val="18"/>
          <w:color w:val="auto"/>
        </w:rPr>
        <w:t xml:space="preserve"> with respect to stock dividends, dividends of cash or property may not be declared or paid on shares of Class B Common Stock or on shares of Class D Common Stock.</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 w:name="page8"/>
    <w:bookmarkEnd w:id="7"/>
    <w:p>
      <w:pPr>
        <w:jc w:val="both"/>
        <w:ind w:left="4" w:firstLine="1940"/>
        <w:spacing w:after="0" w:line="275" w:lineRule="auto"/>
        <w:tabs>
          <w:tab w:leader="none" w:pos="2241" w:val="left"/>
        </w:tabs>
        <w:numPr>
          <w:ilvl w:val="2"/>
          <w:numId w:val="13"/>
        </w:numPr>
        <w:rPr>
          <w:rFonts w:ascii="Arial" w:cs="Arial" w:eastAsia="Arial" w:hAnsi="Arial"/>
          <w:sz w:val="17"/>
          <w:szCs w:val="17"/>
          <w:color w:val="auto"/>
        </w:rPr>
      </w:pPr>
      <w:r>
        <w:rPr>
          <w:rFonts w:ascii="Arial" w:cs="Arial" w:eastAsia="Arial" w:hAnsi="Arial"/>
          <w:sz w:val="17"/>
          <w:szCs w:val="17"/>
          <w:color w:val="auto"/>
        </w:rPr>
        <w:t xml:space="preserve">In no event will any stock dividend, stock split, reverse stock split, combination of stock, reclassification or recapitalization be declared or made on any series of Common Stock (each, a </w:t>
      </w:r>
      <w:r>
        <w:rPr>
          <w:rFonts w:ascii="Arial" w:cs="Arial" w:eastAsia="Arial" w:hAnsi="Arial"/>
          <w:sz w:val="17"/>
          <w:szCs w:val="17"/>
          <w:u w:val="single" w:color="auto"/>
          <w:color w:val="auto"/>
        </w:rPr>
        <w:t>“Stock Adjustment”)</w:t>
      </w:r>
      <w:r>
        <w:rPr>
          <w:rFonts w:ascii="Arial" w:cs="Arial" w:eastAsia="Arial" w:hAnsi="Arial"/>
          <w:sz w:val="17"/>
          <w:szCs w:val="17"/>
          <w:color w:val="auto"/>
        </w:rPr>
        <w:t xml:space="preserve"> unless (a) a corresponding Stock Adjustment for all other series of Common Stock not so adjusted at the time outstanding is made in the same proportion and the same manner and (b) the Stock Adjustment has been reflected in the same economically equivalent manner on all Class A LLC Units. Stock dividends with respect to each series of Common Stock may only be paid with shares of stock of the same series of Common Stock.</w:t>
      </w:r>
    </w:p>
    <w:p>
      <w:pPr>
        <w:spacing w:after="0" w:line="176" w:lineRule="exact"/>
        <w:rPr>
          <w:rFonts w:ascii="Arial" w:cs="Arial" w:eastAsia="Arial" w:hAnsi="Arial"/>
          <w:sz w:val="17"/>
          <w:szCs w:val="17"/>
          <w:color w:val="auto"/>
        </w:rPr>
      </w:pPr>
    </w:p>
    <w:p>
      <w:pPr>
        <w:jc w:val="both"/>
        <w:ind w:left="4" w:firstLine="1292"/>
        <w:spacing w:after="0" w:line="283" w:lineRule="auto"/>
        <w:tabs>
          <w:tab w:leader="none" w:pos="164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and Class C Common Stock will be entitled to receive, </w:t>
      </w:r>
      <w:r>
        <w:rPr>
          <w:rFonts w:ascii="Arial" w:cs="Arial" w:eastAsia="Arial" w:hAnsi="Arial"/>
          <w:sz w:val="16"/>
          <w:szCs w:val="16"/>
          <w:i w:val="1"/>
          <w:iCs w:val="1"/>
          <w:color w:val="auto"/>
        </w:rPr>
        <w:t>paripassu,</w:t>
      </w:r>
      <w:r>
        <w:rPr>
          <w:rFonts w:ascii="Arial" w:cs="Arial" w:eastAsia="Arial" w:hAnsi="Arial"/>
          <w:sz w:val="16"/>
          <w:szCs w:val="16"/>
          <w:color w:val="auto"/>
        </w:rPr>
        <w:t xml:space="preserve"> an amount per share equal to the par value thereof, and thereafter the holders of all outstanding shares of Class A Common Stock and Class C Common Stock will be entitled to receive the remaining assets of the Corporation available for distribution ratably in proportion to the number of shares of Class A Common Stock and Class C Common Stock, which shall be treated a single class solely for the purposes of this </w:t>
      </w:r>
      <w:r>
        <w:rPr>
          <w:rFonts w:ascii="Arial" w:cs="Arial" w:eastAsia="Arial" w:hAnsi="Arial"/>
          <w:sz w:val="16"/>
          <w:szCs w:val="16"/>
          <w:u w:val="single" w:color="auto"/>
          <w:color w:val="auto"/>
        </w:rPr>
        <w:t>Section 5.1 (iii).</w:t>
      </w:r>
      <w:r>
        <w:rPr>
          <w:rFonts w:ascii="Arial" w:cs="Arial" w:eastAsia="Arial" w:hAnsi="Arial"/>
          <w:sz w:val="16"/>
          <w:szCs w:val="16"/>
          <w:color w:val="auto"/>
        </w:rPr>
        <w:t xml:space="preserve"> Without limiting the rights of (1) the holders of Class B Common Stock to exchange their shares of Class B Common Stock, together with the corresponding Class B LLC Units constituting the remainder of any Paired Interests in which such shares are included, for shares of Class A Common Stock in accordance with the Operating Agreement (or for the consideration payable in respect of shares of Class A Common Stock in such voluntary or involuntary liquidation, dissolution or winding-up) and</w:t>
      </w:r>
    </w:p>
    <w:p>
      <w:pPr>
        <w:spacing w:after="0" w:line="4" w:lineRule="exact"/>
        <w:rPr>
          <w:rFonts w:ascii="Arial" w:cs="Arial" w:eastAsia="Arial" w:hAnsi="Arial"/>
          <w:sz w:val="16"/>
          <w:szCs w:val="16"/>
          <w:color w:val="auto"/>
        </w:rPr>
      </w:pPr>
    </w:p>
    <w:p>
      <w:pPr>
        <w:jc w:val="both"/>
        <w:ind w:left="4" w:hanging="4"/>
        <w:spacing w:after="0" w:line="270"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holders of Class D Common Stock to exchange their shares of Class D Common Stock, together with the corresponding Class B LLC Units constituting the remainder of any Paired Interests in which such shares are included, for shares of Class C Common Stock in accordance with the Operating Agreement (or for the consideration payable in respect of shares of Class C Common Stock in such voluntary or involuntary liquidation, dissolution or winding-up), the holders of shares of Class B Common Stock and Class D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7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jc w:val="both"/>
        <w:ind w:left="4" w:firstLine="1292"/>
        <w:spacing w:after="0" w:line="272" w:lineRule="auto"/>
        <w:tabs>
          <w:tab w:leader="none" w:pos="15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Board is expressly authorized, subject to any limitations prescribed by the laws of the State of Delaware, by resolution or resolutions adopted from time to time, to provide for the issuance of shares of Preferred Stock in one or more series, and, by filing a certificate of designation pursuant to the applicable laws of the State of Delaware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xml:space="preserve"> to establish from time to time the number of shares of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Preferred Stock) or decrease (but not below the number of shares of such series then outstanding) the number of shares of Preferred Stock of any such series.</w:t>
      </w:r>
    </w:p>
    <w:p>
      <w:pPr>
        <w:spacing w:after="0" w:line="39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 w:name="page9"/>
    <w:bookmarkEnd w:id="8"/>
    <w:p>
      <w:pPr>
        <w:jc w:val="both"/>
        <w:ind w:left="660" w:firstLine="1292"/>
        <w:spacing w:after="0" w:line="275" w:lineRule="auto"/>
        <w:tabs>
          <w:tab w:leader="none" w:pos="2232"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any Certificate of Designation designating any series of Preferred Stock,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w:t>
      </w:r>
      <w:r>
        <w:rPr>
          <w:rFonts w:ascii="Arial" w:cs="Arial" w:eastAsia="Arial" w:hAnsi="Arial"/>
          <w:sz w:val="17"/>
          <w:szCs w:val="17"/>
          <w:i w:val="1"/>
          <w:iCs w:val="1"/>
          <w:color w:val="auto"/>
        </w:rPr>
        <w:t>or 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with the rights of the Common Stock, the Preferred Stock or any future class or series of Preferred Stock or Common Stock.</w:t>
      </w:r>
    </w:p>
    <w:p>
      <w:pPr>
        <w:spacing w:after="0" w:line="176" w:lineRule="exact"/>
        <w:rPr>
          <w:rFonts w:ascii="Arial" w:cs="Arial" w:eastAsia="Arial" w:hAnsi="Arial"/>
          <w:sz w:val="17"/>
          <w:szCs w:val="17"/>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Class B Common Stock, Class C Common Stock and Class D Common Stock</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Cancellation of Class B Common Stock and Class D Common Stock.</w:t>
      </w:r>
      <w:r>
        <w:rPr>
          <w:rFonts w:ascii="Arial" w:cs="Arial" w:eastAsia="Arial" w:hAnsi="Arial"/>
          <w:sz w:val="17"/>
          <w:szCs w:val="17"/>
          <w:color w:val="auto"/>
        </w:rPr>
        <w:t xml:space="preserve"> No holder of Class B Common Stock or Class D Common Stock may transfer shares of Class B Common Stock or Class D Common Stock, respectively, to any person unless such holder transfers a corresponding number of Class B LLC Units to the same person in accordance with the provisions of the Operating Agreement. If any outstanding share of Class B Common Stock or Class D Common Stock ceases to be held by a holder of the corresponding Class B LLC Unit, such share of Class B Common Stock or Class D Common Stock, respectively, shall automatically and without further action on the part of the Corporation or any holder of Class B Common Stock or Class D Common Stock, respectively, be transferred to the Corporation for no consideration and cancelled.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Reservation of Shares of Class A Common Stock. Class B Common Stock and Class C Common Stock</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2"/>
        <w:spacing w:after="0" w:line="270" w:lineRule="auto"/>
        <w:tabs>
          <w:tab w:leader="none" w:pos="21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Corporation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LLC Units pursuant to the Operating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LLC Units pursuant to the Operating Agreement) into shares of Class A Common Stock pursuant to this Certificate of Incorporation, the number of shares of Class A Common Stock that are issuable upon such conversion. The Corporation covenants that all the shares of Class A Common Stock that are issued upon the exchange of such Paired Interests or conversion of such shares of Class C Common Stock will, upon issuance, be validly issued, fully paid and non-assessable.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left="-460" w:firstLine="1292"/>
        <w:spacing w:after="0" w:line="275" w:lineRule="auto"/>
        <w:tabs>
          <w:tab w:leader="none" w:pos="11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Corporation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this Certificate of Incorporation, the number of shares of Class B Common Stock that are issuable upon such conversion. The Corporation covenants that all the shares of Class B Common Stock that are issued upon the conversion of such shares of Class D Common Stock will, upon issuance, be validly issued, fully paid and non-assessable.</w:t>
      </w:r>
    </w:p>
    <w:p>
      <w:pPr>
        <w:spacing w:after="0" w:line="176" w:lineRule="exact"/>
        <w:rPr>
          <w:rFonts w:ascii="Arial" w:cs="Arial" w:eastAsia="Arial" w:hAnsi="Arial"/>
          <w:sz w:val="17"/>
          <w:szCs w:val="17"/>
          <w:color w:val="auto"/>
        </w:rPr>
      </w:pPr>
    </w:p>
    <w:p>
      <w:pPr>
        <w:jc w:val="both"/>
        <w:ind w:left="-460" w:firstLine="1292"/>
        <w:spacing w:after="0" w:line="255"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Corporation will at all times reserve and keep available out of its authorized and unissued shares of Class C Common Stock, solely for the purpose of the issuance in connection with the exchange of Paired Interests which consist of Class D Common Stock and Class B LLC Units, the number of shares of Class C Common Stock that are issuable upon the exchange of all outstanding Paired Interests which consist of Class D Common Stock and Class B LLC Units, pursuant to the Operating Agreement. The Corporation covenants that all the shares of Class C Common Stock that are issued upon the exchange of such Paired Interests will, upon issuance, be validly issued, fully paid and non-assessable.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left="-460" w:firstLine="1292"/>
        <w:spacing w:after="0" w:line="253" w:lineRule="auto"/>
        <w:tabs>
          <w:tab w:leader="none" w:pos="10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issuance of shares of Class A Common Stock or Class C Common Stock, as the case may be, upon the exercise by holders of Class B LLC Units of their right under the Operating Agreement to exchange Paired Interests for shares of Class A Common Stock or Class C Common Stock, as the case may be, will be made without charge to such holders for any transfer taxes, stamp taxes or duties or other similar tax in respect of the issuance;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any such shares of Class A Common Stock or Class C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96" w:lineRule="exact"/>
        <w:rPr>
          <w:rFonts w:ascii="Arial" w:cs="Arial" w:eastAsia="Arial" w:hAnsi="Arial"/>
          <w:sz w:val="18"/>
          <w:szCs w:val="18"/>
          <w:color w:val="auto"/>
        </w:rPr>
      </w:pPr>
    </w:p>
    <w:p>
      <w:pPr>
        <w:jc w:val="both"/>
        <w:ind w:left="-460" w:firstLine="1292"/>
        <w:spacing w:after="0" w:line="270" w:lineRule="auto"/>
        <w:tabs>
          <w:tab w:leader="none" w:pos="11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issuance of shares of Class A Common Stock or Class B Common Stock, as the case may be, upon the conversion of the shares of Class C Common Stock or Class D Common Stock, as the case maybe, in accordance with the terms of this Certificate of Incorporation will be made without charge to such holders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if any such shares of Class A Common Stock or Class B Common Stock are to be issued in a name other than that of the then record holder of the Class A Common Stock or Class B Common Stock, as the case may be,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firstLine="129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Subscription Rights.</w:t>
      </w:r>
      <w:r>
        <w:rPr>
          <w:rFonts w:ascii="Arial" w:cs="Arial" w:eastAsia="Arial" w:hAnsi="Arial"/>
          <w:sz w:val="18"/>
          <w:szCs w:val="18"/>
          <w:color w:val="auto"/>
        </w:rPr>
        <w:t xml:space="preserve"> To the extent Class B LLC Units are issued pursuant to the Operating Agreement to (i) any Qualified Stockholder, such Qualified Stockholder shall have the right to subscribe for an equivalent number of shares of Class D Common Stock (subject to adjustment as set forth herein) in exchange for a payment in cash equal to the aggregate par value of such shares of Class D Common Stock or (ii) any stockholder of the Corporation other than a Qualified Stockholder, such stockholder shall have the right to subscribe for an equivalent number of shares of Class B Common Stock (subject to adjustment as set forth herein) in exchange for a payment in cash equal to the aggregate par value of such shares of Class B Common Stock.</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Voluntary Conversion of Class C Common Stock and Class D Common Stock</w:t>
      </w:r>
      <w:r>
        <w:rPr>
          <w:rFonts w:ascii="Arial" w:cs="Arial" w:eastAsia="Arial" w:hAnsi="Arial"/>
          <w:sz w:val="17"/>
          <w:szCs w:val="17"/>
          <w:color w:val="auto"/>
        </w:rPr>
        <w:t>. Each share of Class C Common Stock shall be convertible into one share of Class A Common Stock at the option of the holder thereof at any time upon written notice to the Corporation, and each share of Class D Common Stock shall be convertible into one share of Class B Common Stock at the option of the holder thereof at any time upon written notice to the Corporation; provided that, for the avoidance of doubt, any such holder of shares of Class C Common Stock or Class D Common Stock may in such written notice to the Corporation specify that such conversion into shares of Class A Common Stock or Class B Common Stock, respectively, shall be contingent upon the consummation of one or more sale or other transfer transactions.</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Automatic Conversion of Class C Common Stock and Class D Common Stock.</w:t>
      </w:r>
      <w:r>
        <w:rPr>
          <w:rFonts w:ascii="Arial" w:cs="Arial" w:eastAsia="Arial" w:hAnsi="Arial"/>
          <w:sz w:val="18"/>
          <w:szCs w:val="18"/>
          <w:color w:val="auto"/>
        </w:rPr>
        <w:t xml:space="preserve"> Each share of Class C Common Stock shall automatically, without any further action, convert into one share of Class A Common Stock and each share of Class D Common Stock shall automatically, without any further action, convert into one share of Class B Common Stock, in each case, upon a Transfer, other than a Transfer to a Qualified Stockholder.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references to:</w:t>
      </w:r>
    </w:p>
    <w:p>
      <w:pPr>
        <w:spacing w:after="0" w:line="225" w:lineRule="exact"/>
        <w:rPr>
          <w:sz w:val="20"/>
          <w:szCs w:val="20"/>
          <w:color w:val="auto"/>
        </w:rPr>
      </w:pPr>
    </w:p>
    <w:p>
      <w:pPr>
        <w:jc w:val="both"/>
        <w:ind w:left="660" w:firstLine="1292"/>
        <w:spacing w:after="0" w:line="311" w:lineRule="auto"/>
        <w:tabs>
          <w:tab w:leader="none" w:pos="217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“Convertible Security”</w:t>
      </w:r>
      <w:r>
        <w:rPr>
          <w:rFonts w:ascii="Arial" w:cs="Arial" w:eastAsia="Arial" w:hAnsi="Arial"/>
          <w:sz w:val="16"/>
          <w:szCs w:val="16"/>
          <w:color w:val="auto"/>
        </w:rPr>
        <w:t xml:space="preserve"> shall mean any evidences of indebtedness, shares or other securities, including restricted stock units, convertible into or exchangeable for shares of Class A Common Stock, Class B Common Stock, Class C Common Stock or Class D Common Stock, either directly or indirectly. For the avoidance of doubt, no share of Common Stock shall be deemed to be a Convertible Security.</w:t>
      </w:r>
    </w:p>
    <w:p>
      <w:pPr>
        <w:spacing w:after="0" w:line="148" w:lineRule="exact"/>
        <w:rPr>
          <w:rFonts w:ascii="Arial" w:cs="Arial" w:eastAsia="Arial" w:hAnsi="Arial"/>
          <w:sz w:val="16"/>
          <w:szCs w:val="16"/>
          <w:color w:val="auto"/>
        </w:rPr>
      </w:pPr>
    </w:p>
    <w:p>
      <w:pPr>
        <w:ind w:left="2220" w:hanging="268"/>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“Effectiveness Date”</w:t>
      </w:r>
      <w:r>
        <w:rPr>
          <w:rFonts w:ascii="Arial" w:cs="Arial" w:eastAsia="Arial" w:hAnsi="Arial"/>
          <w:sz w:val="18"/>
          <w:szCs w:val="18"/>
          <w:color w:val="auto"/>
        </w:rPr>
        <w:t xml:space="preserve"> shall mean the date of the filing of this Certificate of Incorporation.</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 Family Member” shall mean, with respect to a Qualified Stockholder, a spouse, domestic partner, child, grandchild or other lineal descendant (whether natural or adopted) or spouse of a lineal descendant of such individual, father, father-in-law, mother, mother-in-law, brother, step-brother, sister or step-sister.</w:t>
      </w:r>
    </w:p>
    <w:p>
      <w:pPr>
        <w:spacing w:after="0" w:line="183" w:lineRule="exact"/>
        <w:rPr>
          <w:rFonts w:ascii="Arial" w:cs="Arial" w:eastAsia="Arial" w:hAnsi="Arial"/>
          <w:sz w:val="18"/>
          <w:szCs w:val="18"/>
          <w:color w:val="auto"/>
        </w:rPr>
      </w:pPr>
    </w:p>
    <w:p>
      <w:pPr>
        <w:ind w:left="660" w:firstLine="1292"/>
        <w:spacing w:after="0" w:line="277" w:lineRule="auto"/>
        <w:tabs>
          <w:tab w:leader="none" w:pos="226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rights, options, restricted stock units or warrants to subscribe for, purchase or otherwise acquire shares of Class A Common Stock, Class B Common Stock, Class C Common Stock or Class D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292"/>
        <w:spacing w:after="0" w:line="254" w:lineRule="auto"/>
        <w:tabs>
          <w:tab w:leader="none" w:pos="157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“Permitted Entity”</w:t>
      </w:r>
      <w:r>
        <w:rPr>
          <w:rFonts w:ascii="Arial" w:cs="Arial" w:eastAsia="Arial" w:hAnsi="Arial"/>
          <w:sz w:val="18"/>
          <w:szCs w:val="18"/>
          <w:color w:val="auto"/>
        </w:rPr>
        <w:t xml:space="preserve"> shall mean, with respect to a Qualified Stockholder, (i) any general partnership, limited partnership, limited liability company, corporation, trust or other entity under the Voting Control of, controlling or under common control with (a) such Qualified Stockholder and/or (b) any other Permitted Entity of such Qualified Stockholder, (ii) solely with respect to a Qualified Stockholder that is a venture capital, private equity or similar private investment fund, any general partner, managing member, officer or director of such Qualified Stockholder or an affiliated investment fund now or hereafter existing that is controlled by one or more general partners or managing members of, or shares the same management or advisory company with, such Qualified Stockholder or (iii) any other corporation, partnership, limited liability company or trust approved by the Board.</w:t>
      </w:r>
    </w:p>
    <w:p>
      <w:pPr>
        <w:spacing w:after="0" w:line="194" w:lineRule="exact"/>
        <w:rPr>
          <w:rFonts w:ascii="Arial" w:cs="Arial" w:eastAsia="Arial" w:hAnsi="Arial"/>
          <w:sz w:val="18"/>
          <w:szCs w:val="18"/>
          <w:color w:val="auto"/>
        </w:rPr>
      </w:pPr>
    </w:p>
    <w:p>
      <w:pPr>
        <w:jc w:val="both"/>
        <w:ind w:firstLine="1292"/>
        <w:spacing w:after="0" w:line="257" w:lineRule="auto"/>
        <w:tabs>
          <w:tab w:leader="none" w:pos="1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Foundation</w:t>
      </w:r>
      <w:r>
        <w:rPr>
          <w:rFonts w:ascii="Arial" w:cs="Arial" w:eastAsia="Arial" w:hAnsi="Arial"/>
          <w:sz w:val="18"/>
          <w:szCs w:val="18"/>
          <w:color w:val="auto"/>
        </w:rPr>
        <w:t>” shall mean, with respect to a Qualified Stockholder, a trust, donor-advised fund or charitable organization or organization that is tax-exempt under Section 501(c)(3) of the Internal Revenue Code of 1986, as amended (the “Code”), so long as such Qualified Stockholder has Voting Control with respect to the shares of Class C Common Stock and Class D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187" w:lineRule="exact"/>
        <w:rPr>
          <w:rFonts w:ascii="Arial" w:cs="Arial" w:eastAsia="Arial" w:hAnsi="Arial"/>
          <w:sz w:val="18"/>
          <w:szCs w:val="18"/>
          <w:color w:val="auto"/>
        </w:rPr>
      </w:pPr>
    </w:p>
    <w:p>
      <w:pPr>
        <w:jc w:val="both"/>
        <w:ind w:firstLine="1292"/>
        <w:spacing w:after="0" w:line="257" w:lineRule="auto"/>
        <w:tabs>
          <w:tab w:leader="none" w:pos="1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IRA</w:t>
      </w:r>
      <w:r>
        <w:rPr>
          <w:rFonts w:ascii="Arial" w:cs="Arial" w:eastAsia="Arial" w:hAnsi="Arial"/>
          <w:sz w:val="18"/>
          <w:szCs w:val="18"/>
          <w:color w:val="auto"/>
        </w:rPr>
        <w:t xml:space="preserve">” shall mean an Individual Retirement Account, as defined in Section 408(a) of the Code, a “Roth IRA,” as defined in Section 408A(b) of the Code, or a pension, profit sharing, stock bonus or other type of plan or trust of which a Qualified Stockholder is a participant or beneficiary and which satisfies the requirements for qualification under Section 401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Qualified Stockholder has Voting Control with respect to the shares of Class C Common Stock or Class D Common Stock held in such account, plan or trust.</w:t>
      </w:r>
    </w:p>
    <w:p>
      <w:pPr>
        <w:spacing w:after="0" w:line="187" w:lineRule="exact"/>
        <w:rPr>
          <w:rFonts w:ascii="Arial" w:cs="Arial" w:eastAsia="Arial" w:hAnsi="Arial"/>
          <w:sz w:val="18"/>
          <w:szCs w:val="18"/>
          <w:color w:val="auto"/>
        </w:rPr>
      </w:pPr>
    </w:p>
    <w:p>
      <w:pPr>
        <w:jc w:val="both"/>
        <w:ind w:firstLine="1292"/>
        <w:spacing w:after="0" w:line="255" w:lineRule="auto"/>
        <w:tabs>
          <w:tab w:leader="none" w:pos="17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shall mean, and be restricted to, any Transfer of a share of Class C Common Stock or Class D Common Stock (i) by a Qualified Stockholder to (A) any Permitted Trust of such Qualified Stockholder, (B) any Permitted IRA of such Qualified Stockholder, (C) any Permitted Entity of such Qualified Stockholder, (D) any Permitted Foundation of such Qualified Stockholder or (E) any Immediate Family Member of such Qualified Stockholder or (ii) by a Permitted Trust, Permitted IRA, Permitted Entity or Permitted Foundation of a Qualified Stockholder to (A) such Qualified Stockholder or (B) any other Permitted Entity, Permitted Trust, Permitted IRA or Permitted Foundation of such Qualified Stockholder.</w:t>
      </w:r>
    </w:p>
    <w:p>
      <w:pPr>
        <w:spacing w:after="0" w:line="192" w:lineRule="exact"/>
        <w:rPr>
          <w:rFonts w:ascii="Arial" w:cs="Arial" w:eastAsia="Arial" w:hAnsi="Arial"/>
          <w:sz w:val="18"/>
          <w:szCs w:val="18"/>
          <w:color w:val="auto"/>
        </w:rPr>
      </w:pPr>
    </w:p>
    <w:p>
      <w:pPr>
        <w:ind w:left="1600" w:hanging="308"/>
        <w:spacing w:after="0"/>
        <w:tabs>
          <w:tab w:leader="none" w:pos="1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“Permitted Transferee” shall mean a transferee of shares of Class C Common Stock or Class D Common Stock received in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Transfer.</w:t>
      </w:r>
    </w:p>
    <w:p>
      <w:pPr>
        <w:spacing w:after="0" w:line="210" w:lineRule="exact"/>
        <w:rPr>
          <w:rFonts w:ascii="Arial" w:cs="Arial" w:eastAsia="Arial" w:hAnsi="Arial"/>
          <w:sz w:val="16"/>
          <w:szCs w:val="16"/>
          <w:color w:val="auto"/>
        </w:rPr>
      </w:pPr>
    </w:p>
    <w:p>
      <w:pPr>
        <w:jc w:val="both"/>
        <w:ind w:firstLine="1292"/>
        <w:spacing w:after="0" w:line="254" w:lineRule="auto"/>
        <w:tabs>
          <w:tab w:leader="none" w:pos="15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“Permitted Trust” shall mean, with respect to a Qualified Stockholder, (i) a trust for the benefit of such Qualified Stockholder and for the benefit of such Qualified Stockholder and such Qualified Stockholder’s Immediate Family Members, a trust for the benefit of such Qualified Stockholder and/or persons other than such Qualified Stockholder so long as such Qualified Stockholder has Voting Control with respect to the shares of Class C Common Stock and Class D Common Stock held by such trust to such Qualified Stockholder or (iii) a trust under the terms of which such Qualified Stockholder has retained a “qualified interest” within the meaning of §2702(b)(1) of the Code or a reversionary interest so long as such Qualified Stockholder has Voting Control with respect to the shares of Class C Common Stock and Class D Common Stock held by such trust.</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left="-460" w:firstLine="1292"/>
        <w:spacing w:after="0" w:line="254" w:lineRule="auto"/>
        <w:tabs>
          <w:tab w:leader="none" w:pos="11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shall mean (i) the record holder of a share of Class C Common Stock or Class D Common Stock as of the Effectiveness Date, (ii) each natural person who, prior to the Effectiveness Date, Transferred shares of capital stock of the Corporation to a Permitted Trust, Permitted IRA, Permitted Entity or Permitted Foundation that is or becomes a Qualified Stockholder, (iii) each natural person who Transferred shares of, or equity awards for, Class C Common Stock or Class D Common Stock (including any Option exercisable or Convertible Security exchangeable for or convertible into shares of Class C Common Stock or Class D Common Stock) to a Permitted Trust, Permitted IRA, Permitted Entity or Permitted Foundation that is or becomes a Qualified Stockholder, (v) a Permitted Transferee and (iv) any natural person or general partnership, limited partnership, limited liability company, corporation, trust or other entity which has Voting Control of a Qualified Stockholder.</w:t>
      </w:r>
    </w:p>
    <w:p>
      <w:pPr>
        <w:spacing w:after="0" w:line="191" w:lineRule="exact"/>
        <w:rPr>
          <w:rFonts w:ascii="Arial" w:cs="Arial" w:eastAsia="Arial" w:hAnsi="Arial"/>
          <w:sz w:val="18"/>
          <w:szCs w:val="18"/>
          <w:color w:val="auto"/>
        </w:rPr>
      </w:pPr>
    </w:p>
    <w:p>
      <w:pPr>
        <w:jc w:val="both"/>
        <w:ind w:left="-460" w:firstLine="1292"/>
        <w:spacing w:after="0" w:line="272" w:lineRule="auto"/>
        <w:tabs>
          <w:tab w:leader="none" w:pos="120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of a share of Class C Common Stock or Class D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C Common Stock or Class D Common Stock to a broker or other nominee that results in a corresponding change in beneficial ownership (and excluding, for example, a transfer to a broker acting in capacity as an agent on behalf of a Qualified Stockholder and not as a principal), or the transfer of, or entering into a binding agreement with respect to, Voting Control over such share by proxy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following shall not be considered a “Transfer” within the meaning of this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60" w:firstLine="1940"/>
        <w:spacing w:after="0" w:line="277" w:lineRule="auto"/>
        <w:tabs>
          <w:tab w:leader="none" w:pos="17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actions to be taken at an annual or special meeting of stockholders;</w:t>
      </w:r>
    </w:p>
    <w:p>
      <w:pPr>
        <w:spacing w:after="0" w:line="170" w:lineRule="exact"/>
        <w:rPr>
          <w:rFonts w:ascii="Arial" w:cs="Arial" w:eastAsia="Arial" w:hAnsi="Arial"/>
          <w:sz w:val="18"/>
          <w:szCs w:val="18"/>
          <w:color w:val="auto"/>
        </w:rPr>
      </w:pPr>
    </w:p>
    <w:p>
      <w:pPr>
        <w:jc w:val="both"/>
        <w:ind w:left="-460" w:firstLine="1940"/>
        <w:spacing w:after="0" w:line="301" w:lineRule="auto"/>
        <w:tabs>
          <w:tab w:leader="none" w:pos="175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shares of Class C Common Stock and Class D Common Stock that (A) is disclosed either in a Schedule 13D filed with the Securities and Exchange Commission or in writing to the Secretary of the Corporation and (B) does not involve any payment of cash, securities, property or other consideration to the holder of the shares subject thereto other than the mutual promise to vote shares in a designated manner;</w:t>
      </w:r>
    </w:p>
    <w:p>
      <w:pPr>
        <w:spacing w:after="0" w:line="157" w:lineRule="exact"/>
        <w:rPr>
          <w:rFonts w:ascii="Arial" w:cs="Arial" w:eastAsia="Arial" w:hAnsi="Arial"/>
          <w:sz w:val="16"/>
          <w:szCs w:val="16"/>
          <w:color w:val="auto"/>
        </w:rPr>
      </w:pPr>
    </w:p>
    <w:p>
      <w:pPr>
        <w:ind w:left="-460" w:firstLine="1940"/>
        <w:spacing w:after="0" w:line="277" w:lineRule="auto"/>
        <w:tabs>
          <w:tab w:leader="none" w:pos="17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pursuant to a written agreement to which the Corporation is a party;</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660" w:firstLine="1940"/>
        <w:spacing w:after="0" w:line="259" w:lineRule="auto"/>
        <w:tabs>
          <w:tab w:leader="none" w:pos="28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pledge of shares of Class C Common Stock or Class D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 foreclosure on such shares or other similar action by the pledgee shall constitute a Transfer unless such foreclosure or similar action qualifies as a Permitted Transfer;</w:t>
      </w:r>
    </w:p>
    <w:p>
      <w:pPr>
        <w:spacing w:after="0" w:line="186" w:lineRule="exact"/>
        <w:rPr>
          <w:rFonts w:ascii="Arial" w:cs="Arial" w:eastAsia="Arial" w:hAnsi="Arial"/>
          <w:sz w:val="18"/>
          <w:szCs w:val="18"/>
          <w:color w:val="auto"/>
        </w:rPr>
      </w:pPr>
    </w:p>
    <w:p>
      <w:pPr>
        <w:jc w:val="both"/>
        <w:ind w:left="660" w:firstLine="1940"/>
        <w:spacing w:after="0" w:line="255" w:lineRule="auto"/>
        <w:tabs>
          <w:tab w:leader="none" w:pos="28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as of the Effectiveness Date or at any time after the Effectiveness Date, the spouse of any holder of shares of Class C Common Stock or Class D Common Stock possesses or obtains an interest in such holder’s shares of Class C Common Stock or Class D Common Stock arising solely by reason of the application of the community property laws of any jurisdiction, so long as no other event or circumstance shall exist or have occurred that constitutes a Transfer of such shares of Class C Common Stock or Class D Common Stock (including a Transfer by operation of law pursuant to a qualified domestic order or in connection with a divorce settlement or any other court order); or</w:t>
      </w:r>
    </w:p>
    <w:p>
      <w:pPr>
        <w:spacing w:after="0" w:line="192" w:lineRule="exact"/>
        <w:rPr>
          <w:rFonts w:ascii="Arial" w:cs="Arial" w:eastAsia="Arial" w:hAnsi="Arial"/>
          <w:sz w:val="18"/>
          <w:szCs w:val="18"/>
          <w:color w:val="auto"/>
        </w:rPr>
      </w:pPr>
    </w:p>
    <w:p>
      <w:pPr>
        <w:jc w:val="both"/>
        <w:ind w:left="660" w:firstLine="1940"/>
        <w:spacing w:after="0" w:line="259" w:lineRule="auto"/>
        <w:tabs>
          <w:tab w:leader="none" w:pos="28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Transfer shall also be deemed to have occurred with respect to a share of Class C Common Stock or Class D Common Stock beneficially held by an entity that is a Permitted Trust, Permitted IRA, Permitted Entity or Permitted Foundation, if there occurs any act or circumstance that causes such entity to no longer be a Permitted Trust, Permitted IRA, Permitted Entity or Permitted Foundation, as of the date that such entity is no longer a Permitted Trust, Permitted IRA, Permitted Entity or Permitted Foundation.</w:t>
      </w:r>
    </w:p>
    <w:p>
      <w:pPr>
        <w:spacing w:after="0" w:line="187" w:lineRule="exact"/>
        <w:rPr>
          <w:sz w:val="20"/>
          <w:szCs w:val="20"/>
          <w:color w:val="auto"/>
        </w:rPr>
      </w:pPr>
    </w:p>
    <w:p>
      <w:pPr>
        <w:jc w:val="both"/>
        <w:ind w:left="660" w:firstLine="1292"/>
        <w:spacing w:after="0" w:line="263" w:lineRule="auto"/>
        <w:tabs>
          <w:tab w:leader="none" w:pos="237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“Voting Control”</w:t>
      </w:r>
      <w:r>
        <w:rPr>
          <w:rFonts w:ascii="Arial" w:cs="Arial" w:eastAsia="Arial" w:hAnsi="Arial"/>
          <w:sz w:val="18"/>
          <w:szCs w:val="18"/>
          <w:color w:val="auto"/>
        </w:rPr>
        <w:t xml:space="preserve"> shall mean, with respect to a share of Class C Common Stock or Class D Common Stock, the power (whether exclusive or shared) to vote or direct the voting of such share by proxy, voting agreement or otherwise. A Qualified Stockholder will be deemed to have Voting Control with respect to shares contributed to a donor-advised fund.</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Number of Directors.</w:t>
      </w:r>
    </w:p>
    <w:p>
      <w:pPr>
        <w:spacing w:after="0" w:line="225" w:lineRule="exact"/>
        <w:rPr>
          <w:sz w:val="20"/>
          <w:szCs w:val="20"/>
          <w:color w:val="auto"/>
        </w:rPr>
      </w:pPr>
    </w:p>
    <w:p>
      <w:pPr>
        <w:jc w:val="both"/>
        <w:ind w:left="660" w:firstLine="1292"/>
        <w:spacing w:after="0" w:line="273" w:lineRule="auto"/>
        <w:tabs>
          <w:tab w:leader="none" w:pos="218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shall so require, the election of the directors of the Corporation (the </w:t>
      </w: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need not be by written ballot. Except as otherwise provided for or fixed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relating to the rights of the holders of any series of Preferred Stock to elect additional Directors, the total number of Directors constituting the entire Board shall, (a) as of the date of this Certificate of Incorporation, initially be seven and (b) thereafter, shall be fixed exclusively by one or more resolutions adopted from time to time by the Board.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left="660" w:firstLine="1292"/>
        <w:spacing w:after="0" w:line="269" w:lineRule="auto"/>
        <w:tabs>
          <w:tab w:leader="none" w:pos="22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During any period when the holders of any series of Preferred Stock have the right to elect additional Directors as provided for or fixed pursuant to the provisions of </w:t>
      </w:r>
      <w:r>
        <w:rPr>
          <w:rFonts w:ascii="Arial" w:cs="Arial" w:eastAsia="Arial" w:hAnsi="Arial"/>
          <w:sz w:val="17"/>
          <w:szCs w:val="17"/>
          <w:u w:val="single" w:color="auto"/>
          <w:color w:val="auto"/>
        </w:rPr>
        <w:t>Section 5.2 (“Preferred Stock Directors”),</w:t>
      </w:r>
      <w:r>
        <w:rPr>
          <w:rFonts w:ascii="Arial" w:cs="Arial" w:eastAsia="Arial" w:hAnsi="Arial"/>
          <w:sz w:val="17"/>
          <w:szCs w:val="17"/>
          <w:color w:val="auto"/>
        </w:rPr>
        <w:t xml:space="preserve"> upon the commencement, and for the duration, of the period during which such right continues: (a) the then total authorized number of Directors shall automatically be increased by such specified number of Preferred Stock Directors, and the holders of such series of Preferred Stock shall be entitled to elect such Preferred Stock Directors pursuant to the provisions of any Certificate of Designation for such series of Preferred Stock; and (b)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xml:space="preserve"> Subject to any limitations imposed by applicable law and the rights of any one or more series of Preferred Stock then outstanding, newly created directorships resulting from any increase in the authorized number of Directors or any vacancies on the Board resulting from a Director’s death, resignation, disqualification, or removal from office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authorized number of Directors shall shorten the term of any Director then in office.</w:t>
      </w:r>
    </w:p>
    <w:p>
      <w:pPr>
        <w:spacing w:after="0" w:line="19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Any Director may resign from office at any time upon notice to the Corporation given in writing or by any electronic transmission permitted by the By-laws. Any such resignation shall be effective upon receipt thereof unless it is specified to be effective at some other time or upon the occurrence of some other event. The Board’s or the Corporation’s acceptance of a resignation shall not be necessary to make it effective. Subject to any limitations imposed by applicable law and except for Preferred Stock Directors,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 In case the Board or any one or more Directors should be so removed, any new Directors shall be elected pursuant to terms of </w:t>
      </w:r>
      <w:r>
        <w:rPr>
          <w:rFonts w:ascii="Arial" w:cs="Arial" w:eastAsia="Arial" w:hAnsi="Arial"/>
          <w:sz w:val="17"/>
          <w:szCs w:val="17"/>
          <w:u w:val="single" w:color="auto"/>
          <w:color w:val="auto"/>
        </w:rPr>
        <w:t>Section 7.2.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840" w:hanging="184"/>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xml:space="preserve"> Subject to, with respect to the Preferred Stock, the terms of any series of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the Corporation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2"/>
        <w:spacing w:after="0" w:line="263" w:lineRule="auto"/>
        <w:tabs>
          <w:tab w:leader="none" w:pos="21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and for the transaction of such other business as may properly come before the meeting shall be held at such place, if any, on such date, and at such time as the Board shall determine in accordance with the By-laws.</w:t>
      </w:r>
    </w:p>
    <w:p>
      <w:pPr>
        <w:spacing w:after="0" w:line="183" w:lineRule="exact"/>
        <w:rPr>
          <w:rFonts w:ascii="Arial" w:cs="Arial" w:eastAsia="Arial" w:hAnsi="Arial"/>
          <w:sz w:val="18"/>
          <w:szCs w:val="18"/>
          <w:color w:val="auto"/>
        </w:rPr>
      </w:pPr>
    </w:p>
    <w:p>
      <w:pPr>
        <w:jc w:val="both"/>
        <w:ind w:left="660" w:firstLine="1292"/>
        <w:spacing w:after="0" w:line="273" w:lineRule="auto"/>
        <w:tabs>
          <w:tab w:leader="none" w:pos="2231"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any special rights of the holders of any series of Preferred Stock and the requirements of applicable law, special meetings of stockholders of the Corporation may be called only by the chairperson of the Board, the vice chairperson of the Board, the chief executive officer of the Corporation or at the direction of the Board pursuant to a written resolution adopted by a majority of the total number of Directors that the Corporation would have if there were no vacancies, and the ability of the stockholders or any other Persons to call a special meeting of the stockholders is hereby specifically denied. Any business transacted at any special meeting of stockholders shall be limited to matters relating to the purpose or purposes stated in the notice of meeting.</w:t>
      </w:r>
    </w:p>
    <w:p>
      <w:pPr>
        <w:spacing w:after="0" w:line="177" w:lineRule="exact"/>
        <w:rPr>
          <w:rFonts w:ascii="Arial" w:cs="Arial" w:eastAsia="Arial" w:hAnsi="Arial"/>
          <w:sz w:val="17"/>
          <w:szCs w:val="17"/>
          <w:color w:val="auto"/>
        </w:rPr>
      </w:pPr>
    </w:p>
    <w:p>
      <w:pPr>
        <w:ind w:left="660" w:firstLine="1292"/>
        <w:spacing w:after="0" w:line="277" w:lineRule="auto"/>
        <w:tabs>
          <w:tab w:leader="none" w:pos="2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There shall be no cumulative voting in the election of Directors.</w:t>
      </w:r>
    </w:p>
    <w:p>
      <w:pPr>
        <w:spacing w:after="0" w:line="225"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Limited Liability</w:t>
      </w:r>
      <w:r>
        <w:rPr>
          <w:rFonts w:ascii="Arial" w:cs="Arial" w:eastAsia="Arial" w:hAnsi="Arial"/>
          <w:sz w:val="18"/>
          <w:szCs w:val="18"/>
          <w:color w:val="auto"/>
        </w:rPr>
        <w:t xml:space="preserve">. No Director shall have any personal liability to the Corporation or its stockholders for monetary damages for any breach of fiduciary duty as a director, except to the extent such exception from liability or limitation thereof is not permitted under the General Corporation Law as the same exists or hereafter may be amended to expand the scope of exculpation as permitted under the General Corporation Law. Without limiting the effect of the preceding sentence, if the General Corporation Law is hereafter amended to authorize further elimination or limitation of the liability of Directors, then the liability of a Director shall be eliminated or limited to the fullest extent permitted by the General Corporation Law, as so amended. Neither any amendment nor repeal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nor the adoption of any provision in this Certificate of Incorporation inconsistent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w:t>
      </w:r>
      <w:r>
        <w:rPr>
          <w:rFonts w:ascii="Arial" w:cs="Arial" w:eastAsia="Arial" w:hAnsi="Arial"/>
          <w:sz w:val="18"/>
          <w:szCs w:val="18"/>
          <w:color w:val="auto"/>
        </w:rPr>
        <w:t xml:space="preserve"> shall eliminate, reduce or otherwise adversely affect any limitation on personal liability of a Director existing at or prior to the time of such amendment, repeal or adoption.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296"/>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xml:space="preserve"> To the fullest extent permitted by applicable law, the Corporation shall have the power to provide indemnification of (and advancement of expenses to) Directors, officers, employees and agents of the Corporation (and any other persons to which applicable law permits the Corporation to provide indemnification) through By-law provisions, agreements with such Directors, officers, employees, agents or other persons, vote of stockholders or disinterested directors or otherwise in excess of the indemnification and advancement otherwise permitted by such applicable law. Any amendment, repeal or modification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only be prospective and shall not affect the rights or protections or increase the liability of any Director under this Section 9.2 in effect at the time of the alleged occurrence of any act or omission to act giving rise to liability or indemnification.</w:t>
      </w:r>
    </w:p>
    <w:p>
      <w:pPr>
        <w:spacing w:after="0" w:line="19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and authority conferred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9 shall not be exclusive of any other right that any Person may otherwise have or hereafter acquire.</w:t>
      </w:r>
    </w:p>
    <w:p>
      <w:pPr>
        <w:spacing w:after="0" w:line="170" w:lineRule="exact"/>
        <w:rPr>
          <w:sz w:val="20"/>
          <w:szCs w:val="20"/>
          <w:color w:val="auto"/>
        </w:rPr>
      </w:pPr>
    </w:p>
    <w:p>
      <w:pPr>
        <w:jc w:val="both"/>
        <w:ind w:firstLine="656"/>
        <w:spacing w:after="0" w:line="259" w:lineRule="auto"/>
        <w:tabs>
          <w:tab w:leader="none" w:pos="9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xml:space="preserve"> In furtherance and not in limitation of the powers conferred by law, the Board is expressly authorized to adopt, alter, amend or repeal the By-laws. Any adoption, alteration, amendment or repeal of the By-laws by the Board shall require the approval of a majority of the authorized number of Directors. The stockholders of the Corporation shall also have power to adopt, alter, amend or repeal the By-laws.</w:t>
      </w:r>
    </w:p>
    <w:p>
      <w:pPr>
        <w:spacing w:after="0" w:line="186" w:lineRule="exact"/>
        <w:rPr>
          <w:rFonts w:ascii="Arial" w:cs="Arial" w:eastAsia="Arial" w:hAnsi="Arial"/>
          <w:sz w:val="18"/>
          <w:szCs w:val="18"/>
          <w:color w:val="auto"/>
        </w:rPr>
      </w:pPr>
    </w:p>
    <w:p>
      <w:pPr>
        <w:jc w:val="both"/>
        <w:ind w:firstLine="656"/>
        <w:spacing w:after="0" w:line="301" w:lineRule="auto"/>
        <w:tabs>
          <w:tab w:leader="none" w:pos="91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Adoption Amendment or Repeal of Certificate of Incorporation</w:t>
      </w:r>
      <w:r>
        <w:rPr>
          <w:rFonts w:ascii="Arial" w:cs="Arial" w:eastAsia="Arial" w:hAnsi="Arial"/>
          <w:sz w:val="16"/>
          <w:szCs w:val="16"/>
          <w:color w:val="auto"/>
        </w:rPr>
        <w:t>. Subject to Article 1 the Corporation reserves the right to adopt,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Forum for Adjudication of Disputes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the Corporation to the Corporation or the Corporation’s stockholders; (iii) any action, suit or proceeding (including any class action) asserting a claim against the Corporation or any current or former director, officer, other employee, agent or stockholder of the Corporation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shall not apply to suits brought to enforce a duty or liability created by the Securities Exchange Act of 1934, as amended, or any other claim for which the federal courts have exclusive jurisdiction.</w:t>
      </w:r>
    </w:p>
    <w:p>
      <w:pPr>
        <w:spacing w:after="0" w:line="16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12.2 If any action the subject matter of which is within the scope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is filed in a court other than a court located within the State of Delaware (a “Foreign Action”) in the name of any stockholder of the Corporation,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(an “Enforcement Action”) and (ii) having service of process made upon such stockholder in any such Enforcement Action by service upon such stockholder’s counsel in the Foreign Action as agent for such stockholder.</w:t>
      </w:r>
    </w:p>
    <w:p>
      <w:pPr>
        <w:spacing w:after="0" w:line="188"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12.3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12.4 Any person or entity purchasing, holding, owning or otherwise acquiring any interest in any security of the Corporation shall be deemed to have notice of and to have consented to the provisions of this </w:t>
      </w:r>
      <w:r>
        <w:rPr>
          <w:rFonts w:ascii="Arial" w:cs="Arial" w:eastAsia="Arial" w:hAnsi="Arial"/>
          <w:sz w:val="18"/>
          <w:szCs w:val="18"/>
          <w:u w:val="single" w:color="auto"/>
          <w:color w:val="auto"/>
        </w:rPr>
        <w:t>Article 12.</w:t>
      </w:r>
    </w:p>
    <w:p>
      <w:pPr>
        <w:spacing w:after="0" w:line="170" w:lineRule="exact"/>
        <w:rPr>
          <w:sz w:val="20"/>
          <w:szCs w:val="20"/>
          <w:color w:val="auto"/>
        </w:rPr>
      </w:pPr>
    </w:p>
    <w:p>
      <w:pPr>
        <w:jc w:val="both"/>
        <w:ind w:firstLine="656"/>
        <w:spacing w:after="0" w:line="271" w:lineRule="auto"/>
        <w:tabs>
          <w:tab w:leader="none" w:pos="91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91" w:lineRule="auto"/>
        <w:tabs>
          <w:tab w:leader="none" w:pos="91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Corporate Opportunity.</w:t>
      </w:r>
      <w:r>
        <w:rPr>
          <w:rFonts w:ascii="Arial" w:cs="Arial" w:eastAsia="Arial" w:hAnsi="Arial"/>
          <w:sz w:val="16"/>
          <w:szCs w:val="16"/>
          <w:color w:val="auto"/>
        </w:rPr>
        <w:t xml:space="preserve"> To the fullest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or presented to, or acquired or developed by such person solely in his or her capacity as a Director or officer of the Corporation and (i) such opportunity is one the Corporation is legally and contractually permitted to undertake and would otherwise be reasonable for the Corporation to pursue and (ii) such Director or officer is permitted to refer that opportunity to the Corporation without violating any legal obligation.</w:t>
      </w:r>
    </w:p>
    <w:p>
      <w:pPr>
        <w:spacing w:after="0" w:line="166" w:lineRule="exact"/>
        <w:rPr>
          <w:rFonts w:ascii="Arial" w:cs="Arial" w:eastAsia="Arial" w:hAnsi="Arial"/>
          <w:sz w:val="16"/>
          <w:szCs w:val="16"/>
          <w:color w:val="auto"/>
        </w:rPr>
      </w:pPr>
    </w:p>
    <w:p>
      <w:pPr>
        <w:ind w:firstLine="656"/>
        <w:spacing w:after="0" w:line="277" w:lineRule="auto"/>
        <w:tabs>
          <w:tab w:leader="none" w:pos="91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Certificate of Incorporation, unless the context otherwise requires or as set forth in another Article or Section of this Certificate of Incorporation, the term:</w:t>
      </w:r>
    </w:p>
    <w:p>
      <w:pPr>
        <w:spacing w:after="0" w:line="170" w:lineRule="exact"/>
        <w:rPr>
          <w:rFonts w:ascii="Arial" w:cs="Arial" w:eastAsia="Arial" w:hAnsi="Arial"/>
          <w:sz w:val="18"/>
          <w:szCs w:val="18"/>
          <w:color w:val="auto"/>
        </w:rPr>
      </w:pPr>
    </w:p>
    <w:p>
      <w:pPr>
        <w:jc w:val="both"/>
        <w:ind w:left="660" w:firstLine="1292"/>
        <w:spacing w:after="0" w:line="257" w:lineRule="auto"/>
        <w:tabs>
          <w:tab w:leader="none" w:pos="221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187" w:lineRule="exact"/>
        <w:rPr>
          <w:rFonts w:ascii="Arial" w:cs="Arial" w:eastAsia="Arial" w:hAnsi="Arial"/>
          <w:sz w:val="18"/>
          <w:szCs w:val="18"/>
          <w:color w:val="auto"/>
        </w:rPr>
      </w:pPr>
    </w:p>
    <w:p>
      <w:pPr>
        <w:ind w:left="2200" w:hanging="248"/>
        <w:spacing w:after="0"/>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“Board” is defined in </w:t>
      </w:r>
      <w:r>
        <w:rPr>
          <w:rFonts w:ascii="Arial" w:cs="Arial" w:eastAsia="Arial" w:hAnsi="Arial"/>
          <w:sz w:val="18"/>
          <w:szCs w:val="18"/>
          <w:u w:val="single" w:color="auto"/>
          <w:color w:val="auto"/>
        </w:rPr>
        <w:t>Section 5.1(ii)(1).</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“By-laws” is defined in Section 7.1(f).</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“Certificate of Designation” is defined in Section 5.2(a).</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“Class A LLC Unit”</w:t>
      </w:r>
      <w:r>
        <w:rPr>
          <w:rFonts w:ascii="Arial" w:cs="Arial" w:eastAsia="Arial" w:hAnsi="Arial"/>
          <w:sz w:val="16"/>
          <w:szCs w:val="16"/>
          <w:color w:val="auto"/>
        </w:rPr>
        <w:t xml:space="preserve"> means a unit of Opal Fuels LLC designated as a “Class A Unit” pursuant to the Operating Agreement.</w:t>
      </w:r>
    </w:p>
    <w:p>
      <w:pPr>
        <w:spacing w:after="0" w:line="248" w:lineRule="exact"/>
        <w:rPr>
          <w:rFonts w:ascii="Arial" w:cs="Arial" w:eastAsia="Arial" w:hAnsi="Arial"/>
          <w:sz w:val="16"/>
          <w:szCs w:val="16"/>
          <w:color w:val="auto"/>
        </w:rPr>
      </w:pPr>
    </w:p>
    <w:p>
      <w:pPr>
        <w:ind w:left="2200" w:hanging="248"/>
        <w:spacing w:after="0"/>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“Class B LLC Unit</w:t>
      </w:r>
      <w:r>
        <w:rPr>
          <w:rFonts w:ascii="Arial" w:cs="Arial" w:eastAsia="Arial" w:hAnsi="Arial"/>
          <w:sz w:val="16"/>
          <w:szCs w:val="16"/>
          <w:color w:val="auto"/>
        </w:rPr>
        <w:t>” means a unit of Opal Fuels LLC designated as a “Class B Unit” pursuant to the Operating Agreement.</w:t>
      </w:r>
    </w:p>
    <w:p>
      <w:pPr>
        <w:spacing w:after="0" w:line="248" w:lineRule="exact"/>
        <w:rPr>
          <w:rFonts w:ascii="Arial" w:cs="Arial" w:eastAsia="Arial" w:hAnsi="Arial"/>
          <w:sz w:val="16"/>
          <w:szCs w:val="16"/>
          <w:color w:val="auto"/>
        </w:rPr>
      </w:pPr>
    </w:p>
    <w:p>
      <w:pPr>
        <w:ind w:left="2160" w:hanging="208"/>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jc w:val="both"/>
        <w:ind w:left="660" w:firstLine="1292"/>
        <w:spacing w:after="0" w:line="286" w:lineRule="auto"/>
        <w:tabs>
          <w:tab w:leader="none" w:pos="2171"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“controlled”),</w:t>
      </w:r>
      <w:r>
        <w:rPr>
          <w:rFonts w:ascii="Arial" w:cs="Arial" w:eastAsia="Arial" w:hAnsi="Arial"/>
          <w:sz w:val="17"/>
          <w:szCs w:val="17"/>
          <w:color w:val="auto"/>
        </w:rPr>
        <w:t xml:space="preserve">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1604" w:hanging="308"/>
        <w:spacing w:after="0"/>
        <w:tabs>
          <w:tab w:leader="none" w:pos="16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Section 1.</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is defined in Section 7.1(i).</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w:t>
      </w:r>
      <w:r>
        <w:rPr>
          <w:rFonts w:ascii="Arial" w:cs="Arial" w:eastAsia="Arial" w:hAnsi="Arial"/>
          <w:sz w:val="18"/>
          <w:szCs w:val="18"/>
          <w:color w:val="auto"/>
        </w:rPr>
        <w:t>” is defined in Section 12.2.</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Action</w:t>
      </w:r>
      <w:r>
        <w:rPr>
          <w:rFonts w:ascii="Arial" w:cs="Arial" w:eastAsia="Arial" w:hAnsi="Arial"/>
          <w:sz w:val="18"/>
          <w:szCs w:val="18"/>
          <w:color w:val="auto"/>
        </w:rPr>
        <w:t>” is defined in Section 12.2.</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“General Corporation Law”</w:t>
      </w:r>
      <w:r>
        <w:rPr>
          <w:rFonts w:ascii="Arial" w:cs="Arial" w:eastAsia="Arial" w:hAnsi="Arial"/>
          <w:sz w:val="17"/>
          <w:szCs w:val="17"/>
          <w:color w:val="auto"/>
        </w:rPr>
        <w:t xml:space="preserve"> means the General Corporation Law of the State of Delaware, as from time to time in effect.</w:t>
      </w:r>
    </w:p>
    <w:p>
      <w:pPr>
        <w:spacing w:after="0" w:line="236" w:lineRule="exact"/>
        <w:rPr>
          <w:rFonts w:ascii="Arial" w:cs="Arial" w:eastAsia="Arial" w:hAnsi="Arial"/>
          <w:sz w:val="17"/>
          <w:szCs w:val="17"/>
          <w:color w:val="auto"/>
        </w:rPr>
      </w:pPr>
    </w:p>
    <w:p>
      <w:pPr>
        <w:ind w:left="1524" w:hanging="228"/>
        <w:spacing w:after="0"/>
        <w:tabs>
          <w:tab w:leader="none" w:pos="152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“Opal Fuels LLC”</w:t>
      </w:r>
      <w:r>
        <w:rPr>
          <w:rFonts w:ascii="Arial" w:cs="Arial" w:eastAsia="Arial" w:hAnsi="Arial"/>
          <w:sz w:val="18"/>
          <w:szCs w:val="18"/>
          <w:color w:val="auto"/>
        </w:rPr>
        <w:t xml:space="preserve"> means Opal Fuels LLC, a Delaware limited liability company or any successor thereto.</w:t>
      </w:r>
    </w:p>
    <w:p>
      <w:pPr>
        <w:spacing w:after="0" w:line="225" w:lineRule="exact"/>
        <w:rPr>
          <w:rFonts w:ascii="Arial" w:cs="Arial" w:eastAsia="Arial" w:hAnsi="Arial"/>
          <w:sz w:val="18"/>
          <w:szCs w:val="18"/>
          <w:color w:val="auto"/>
        </w:rPr>
      </w:pPr>
    </w:p>
    <w:p>
      <w:pPr>
        <w:jc w:val="both"/>
        <w:ind w:left="4" w:firstLine="1292"/>
        <w:spacing w:after="0" w:line="286" w:lineRule="auto"/>
        <w:tabs>
          <w:tab w:leader="none" w:pos="1548"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“Operating Agreement”</w:t>
      </w:r>
      <w:r>
        <w:rPr>
          <w:rFonts w:ascii="Arial" w:cs="Arial" w:eastAsia="Arial" w:hAnsi="Arial"/>
          <w:sz w:val="17"/>
          <w:szCs w:val="17"/>
          <w:color w:val="auto"/>
        </w:rPr>
        <w:t xml:space="preserve"> means the Second Amended and Restated Limited Liability Company Agreement of Opal Fuels LLC, dated as of July 21, 2022, by and among the Corporation, the Post-Acquisition LLC Members and the other Persons that may become parties thereto from time to time, as the same may be amended, restated, supplemented and/or otherwise modified, from time to time.</w:t>
      </w:r>
    </w:p>
    <w:p>
      <w:pPr>
        <w:spacing w:after="0" w:line="165" w:lineRule="exact"/>
        <w:rPr>
          <w:rFonts w:ascii="Arial" w:cs="Arial" w:eastAsia="Arial" w:hAnsi="Arial"/>
          <w:sz w:val="17"/>
          <w:szCs w:val="17"/>
          <w:color w:val="auto"/>
        </w:rPr>
      </w:pPr>
    </w:p>
    <w:p>
      <w:pPr>
        <w:ind w:left="4" w:firstLine="1292"/>
        <w:spacing w:after="0" w:line="277" w:lineRule="auto"/>
        <w:tabs>
          <w:tab w:leader="none" w:pos="15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B LLC Unit, together with one share of Class B Common Stock or one share of Class D Common Stock, as the case may be, subject to adjustment pursuant to Article XI of the Operating Agreement.</w:t>
      </w:r>
    </w:p>
    <w:p>
      <w:pPr>
        <w:spacing w:after="0" w:line="170" w:lineRule="exact"/>
        <w:rPr>
          <w:rFonts w:ascii="Arial" w:cs="Arial" w:eastAsia="Arial" w:hAnsi="Arial"/>
          <w:sz w:val="18"/>
          <w:szCs w:val="18"/>
          <w:color w:val="auto"/>
        </w:rPr>
      </w:pPr>
    </w:p>
    <w:p>
      <w:pPr>
        <w:ind w:left="4" w:firstLine="1292"/>
        <w:spacing w:after="0" w:line="277" w:lineRule="auto"/>
        <w:tabs>
          <w:tab w:leader="none" w:pos="156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individual, partnership, firm, corporation, limited liability company, association, trust, unincorporated organization or other entity.</w:t>
      </w:r>
    </w:p>
    <w:p>
      <w:pPr>
        <w:spacing w:after="0" w:line="170"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“Post-Acquisition LLC Members”</w:t>
      </w:r>
      <w:r>
        <w:rPr>
          <w:rFonts w:ascii="Arial" w:cs="Arial" w:eastAsia="Arial" w:hAnsi="Arial"/>
          <w:sz w:val="16"/>
          <w:szCs w:val="16"/>
          <w:color w:val="auto"/>
        </w:rPr>
        <w:t xml:space="preserve"> means those members of Opal Fuels LLC, as set forth in the Operating Agreement, as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date thereof.</w:t>
      </w:r>
    </w:p>
    <w:p>
      <w:pPr>
        <w:spacing w:after="0" w:line="210" w:lineRule="exact"/>
        <w:rPr>
          <w:rFonts w:ascii="Arial" w:cs="Arial" w:eastAsia="Arial" w:hAnsi="Arial"/>
          <w:sz w:val="16"/>
          <w:szCs w:val="16"/>
          <w:color w:val="auto"/>
        </w:rPr>
      </w:pPr>
    </w:p>
    <w:p>
      <w:pPr>
        <w:ind w:left="1584" w:hanging="288"/>
        <w:spacing w:after="0"/>
        <w:tabs>
          <w:tab w:leader="none" w:pos="158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“Preferred Stock Directors” is defined in </w:t>
      </w:r>
      <w:r>
        <w:rPr>
          <w:rFonts w:ascii="Arial" w:cs="Arial" w:eastAsia="Arial" w:hAnsi="Arial"/>
          <w:sz w:val="18"/>
          <w:szCs w:val="18"/>
          <w:u w:val="single" w:color="auto"/>
          <w:color w:val="auto"/>
        </w:rPr>
        <w:t>Section 7.1(ii).</w:t>
      </w:r>
    </w:p>
    <w:p>
      <w:pPr>
        <w:spacing w:after="0" w:line="225" w:lineRule="exact"/>
        <w:rPr>
          <w:rFonts w:ascii="Arial" w:cs="Arial" w:eastAsia="Arial" w:hAnsi="Arial"/>
          <w:sz w:val="18"/>
          <w:szCs w:val="18"/>
          <w:color w:val="auto"/>
        </w:rPr>
      </w:pPr>
    </w:p>
    <w:p>
      <w:pPr>
        <w:ind w:left="1544" w:hanging="248"/>
        <w:spacing w:after="0"/>
        <w:tabs>
          <w:tab w:leader="none" w:pos="15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“Stock Adjustment” is defined in Section 5.1(ii)(3).</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Sole Incorporator.</w:t>
      </w:r>
      <w:r>
        <w:rPr>
          <w:rFonts w:ascii="Arial" w:cs="Arial" w:eastAsia="Arial" w:hAnsi="Arial"/>
          <w:sz w:val="18"/>
          <w:szCs w:val="18"/>
          <w:color w:val="auto"/>
        </w:rPr>
        <w:t xml:space="preserve"> The name and mailing address of the sole incorporator of the Corporation are:</w:t>
      </w:r>
    </w:p>
    <w:p>
      <w:pPr>
        <w:spacing w:after="0" w:line="22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Sherie Hollinger</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609 Main St</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ind w:left="3384"/>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THE UNDERSIGNED, being the sole incorporator hereinabove named, makes and files this Certificate of Incorporation, and does hereby declare and certify that said instrument is its act and deed and that the facts stated herein are true, and accordingly has executed this Certificate of Incorporation this 21st day of July, 2022.</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KIRKLAND &amp; ELLIS LLP</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Sherie Hollinger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Sherie Hollinger</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Certificate of Incorporation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22"/>
                <w:szCs w:val="22"/>
                <w:b w:val="1"/>
                <w:bCs w:val="1"/>
                <w:color w:val="auto"/>
                <w:w w:val="89"/>
              </w:rPr>
              <w:t>Exhibit 99.1</w:t>
            </w:r>
          </w:p>
        </w:tc>
        <w:tc>
          <w:tcPr>
            <w:tcW w:w="0" w:type="dxa"/>
            <w:vAlign w:val="bottom"/>
          </w:tcPr>
          <w:p>
            <w:pPr>
              <w:spacing w:after="0"/>
              <w:rPr>
                <w:sz w:val="1"/>
                <w:szCs w:val="1"/>
                <w:color w:val="auto"/>
              </w:rPr>
            </w:pPr>
          </w:p>
        </w:tc>
      </w:tr>
      <w:tr>
        <w:trPr>
          <w:trHeight w:val="40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OPAL FUELS LLC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0"/>
              </w:rPr>
              <w:t>(In thousands of U.S. dollars, except per unit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Cash and cash equivalents (includes $23,864 and $1,991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 to consolidated VIEs)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39,314</w:t>
            </w: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3"/>
              </w:rPr>
              <w:t>Accounts receivable, net (includes $100 and $40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24,781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tax credits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15,589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Parts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credits held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6"/>
              </w:rPr>
              <w:t>Prepaid expense and other current assets (includes $496 and $113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financial asset,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162,969</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spares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7"/>
              </w:rPr>
              <w:t>Property, plant, and equipment, net (includes $36,653 and $27,794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229,411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other entities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47,150</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receivable - variable fee component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Restricted cash (includes $1,164 and $1,163 at June 30, 2022 and December 31, 2021, respectively, related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54,608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54,608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512,242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7"/>
              </w:rPr>
              <w:t>Accounts payable (includes $217 and $544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12,581</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Accounts payable, related party (includes $939 and $—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Fuel tax credits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0"/>
              </w:rPr>
              <w:t>Accrued capital expenses (includes $— and $1,722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18,263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Accrued expenses and other current liabilities (includes $184 and $—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Contract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secured credit facility - term loan, current portion, net of debt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73,145</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Senior secured credit facility - working capital facility,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OPAL term loan,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13,425</w:t>
            </w: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5"/>
              </w:rPr>
              <w:t>Sunoma loan, current portion (includes $1,418 and $756 at June 30, 2022 and December 31, 2021, respectively,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Municipality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Derivative financial liability,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6"/>
        </w:trPr>
        <w:tc>
          <w:tcPr>
            <w:tcW w:w="8680" w:type="dxa"/>
            <w:vAlign w:val="bottom"/>
          </w:tcPr>
          <w:p>
            <w:pPr>
              <w:ind w:left="140"/>
              <w:spacing w:after="0"/>
              <w:rPr>
                <w:sz w:val="20"/>
                <w:szCs w:val="20"/>
                <w:color w:val="auto"/>
              </w:rPr>
            </w:pPr>
            <w:r>
              <w:rPr>
                <w:rFonts w:ascii="Arial" w:cs="Arial" w:eastAsia="Arial" w:hAnsi="Arial"/>
                <w:sz w:val="18"/>
                <w:szCs w:val="18"/>
                <w:color w:val="auto"/>
              </w:rPr>
              <w:t>Asset retirement obligation,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40"/>
              <w:spacing w:after="0" w:line="203" w:lineRule="exact"/>
              <w:rPr>
                <w:sz w:val="20"/>
                <w:szCs w:val="20"/>
                <w:color w:val="auto"/>
              </w:rPr>
            </w:pPr>
            <w:r>
              <w:rPr>
                <w:rFonts w:ascii="Arial" w:cs="Arial" w:eastAsia="Arial" w:hAnsi="Arial"/>
                <w:sz w:val="18"/>
                <w:szCs w:val="18"/>
                <w:color w:val="auto"/>
              </w:rPr>
              <w:t>Asset retirement obligation, non-current portion</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4,301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OPAL term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59,090</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Convertible note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60,820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58,710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Sunoma loan, net of debt issuance costs (includes $17,469 and $16,199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16,199</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Municipality loan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305,323</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285,887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Redeemable preferred units: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Series A-1 preferred units, subject to redemption, $100 par value, 600,000 authorized, and 300,000 units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June 30, 2022 and December 31, 2021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30,210</w:t>
            </w:r>
          </w:p>
        </w:tc>
        <w:tc>
          <w:tcPr>
            <w:tcW w:w="0" w:type="dxa"/>
            <w:vAlign w:val="bottom"/>
          </w:tcPr>
          <w:p>
            <w:pPr>
              <w:spacing w:after="0"/>
              <w:rPr>
                <w:sz w:val="1"/>
                <w:szCs w:val="1"/>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4"/>
              </w:rPr>
              <w:t>Series A preferred units, subject to redemption, $100 par value, 2,000,000 units authorized, and 1,000,000 and 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units issued and outstanding at June 30,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101,228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1" w:right="3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3"/>
              </w:rPr>
              <w:t>Common units, without par value, 1,000 units authorized, and 1,000 units issued and outstanding at June 30, 2022</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20"/>
              <w:spacing w:after="0"/>
              <w:rPr>
                <w:sz w:val="20"/>
                <w:szCs w:val="20"/>
                <w:color w:val="auto"/>
              </w:rPr>
            </w:pPr>
            <w:r>
              <w:rPr>
                <w:rFonts w:ascii="Arial" w:cs="Arial" w:eastAsia="Arial" w:hAnsi="Arial"/>
                <w:sz w:val="18"/>
                <w:szCs w:val="18"/>
                <w:color w:val="auto"/>
              </w:rPr>
              <w:t>and December 31, 2021</w:t>
            </w:r>
          </w:p>
        </w:tc>
        <w:tc>
          <w:tcPr>
            <w:tcW w:w="320" w:type="dxa"/>
            <w:vAlign w:val="bottom"/>
          </w:tcPr>
          <w:p>
            <w:pPr>
              <w:spacing w:after="0"/>
              <w:rPr>
                <w:sz w:val="20"/>
                <w:szCs w:val="20"/>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47,681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47,592</w:t>
            </w:r>
          </w:p>
        </w:tc>
      </w:tr>
      <w:tr>
        <w:trPr>
          <w:trHeight w:val="25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15,967</w:t>
            </w: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OPAL Fuels LLC members’ equity</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320"/>
              <w:spacing w:after="0" w:line="203" w:lineRule="exact"/>
              <w:rPr>
                <w:sz w:val="20"/>
                <w:szCs w:val="20"/>
                <w:color w:val="auto"/>
              </w:rPr>
            </w:pPr>
            <w:r>
              <w:rPr>
                <w:rFonts w:ascii="Arial" w:cs="Arial" w:eastAsia="Arial" w:hAnsi="Arial"/>
                <w:sz w:val="18"/>
                <w:szCs w:val="18"/>
                <w:color w:val="auto"/>
                <w:w w:val="83"/>
              </w:rPr>
              <w:t>56,636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63,559</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Non-controlling interest in subsidiaries</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17,638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members’ equity</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w w:val="83"/>
              </w:rPr>
              <w:t>74,274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64,747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redeemable preferred units and members’ equity</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512,242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OPAL FUELS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RNG fuel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50,815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19,174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Renewable power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19,152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station 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32,297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17,173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102,264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Cost of sales - 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30,884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11,080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15,948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17,888</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Cost of sales - Fuel station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28,757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36"/>
        </w:trPr>
        <w:tc>
          <w:tcPr>
            <w:tcW w:w="8680" w:type="dxa"/>
            <w:vAlign w:val="bottom"/>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6,558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Interest and financing expense,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(6,408)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gain on interest rate swaps,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Gain on acquisition of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19,818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income from 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Paid-in-kind preferred dividends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Net loss attributable to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 income attributable to OPAL Fuels LLC</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units outstanding: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unit amounts: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(6,745)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OPAL FUELS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PREFERRED UNITS AND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720" w:type="dxa"/>
            <w:vAlign w:val="bottom"/>
            <w:gridSpan w:val="4"/>
          </w:tcPr>
          <w:p>
            <w:pPr>
              <w:ind w:left="560"/>
              <w:spacing w:after="0"/>
              <w:rPr>
                <w:sz w:val="20"/>
                <w:szCs w:val="20"/>
                <w:color w:val="auto"/>
              </w:rPr>
            </w:pPr>
            <w:r>
              <w:rPr>
                <w:rFonts w:ascii="Arial" w:cs="Arial" w:eastAsia="Arial" w:hAnsi="Arial"/>
                <w:sz w:val="14"/>
                <w:szCs w:val="14"/>
                <w:b w:val="1"/>
                <w:bCs w:val="1"/>
                <w:color w:val="auto"/>
              </w:rPr>
              <w:t>Series A</w:t>
            </w:r>
          </w:p>
        </w:tc>
        <w:tc>
          <w:tcPr>
            <w:tcW w:w="1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Series A-1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Preferred Units</w:t>
            </w:r>
          </w:p>
        </w:tc>
        <w:tc>
          <w:tcPr>
            <w:tcW w:w="8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Preferred Units</w:t>
            </w:r>
          </w:p>
        </w:tc>
        <w:tc>
          <w:tcPr>
            <w:tcW w:w="166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860" w:type="dxa"/>
            <w:vAlign w:val="bottom"/>
          </w:tcPr>
          <w:p>
            <w:pPr>
              <w:jc w:val="right"/>
              <w:ind w:right="68"/>
              <w:spacing w:after="0" w:line="126"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0"/>
                <w:szCs w:val="10"/>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0"/>
                <w:szCs w:val="10"/>
                <w:color w:val="auto"/>
              </w:rPr>
            </w:pPr>
          </w:p>
        </w:tc>
        <w:tc>
          <w:tcPr>
            <w:tcW w:w="820" w:type="dxa"/>
            <w:vAlign w:val="bottom"/>
            <w:gridSpan w:val="2"/>
          </w:tcPr>
          <w:p>
            <w:pPr>
              <w:jc w:val="right"/>
              <w:ind w:right="120"/>
              <w:spacing w:after="0" w:line="126"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0"/>
                <w:szCs w:val="10"/>
                <w:color w:val="auto"/>
              </w:rPr>
            </w:pPr>
          </w:p>
        </w:tc>
        <w:tc>
          <w:tcPr>
            <w:tcW w:w="74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w w:val="94"/>
              </w:rPr>
              <w:t>Members’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6" w:lineRule="exact"/>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0"/>
                <w:szCs w:val="10"/>
                <w:color w:val="auto"/>
              </w:rPr>
            </w:pPr>
          </w:p>
        </w:tc>
        <w:tc>
          <w:tcPr>
            <w:tcW w:w="840" w:type="dxa"/>
            <w:vAlign w:val="bottom"/>
          </w:tcPr>
          <w:p>
            <w:pPr>
              <w:jc w:val="center"/>
              <w:ind w:right="128"/>
              <w:spacing w:after="0" w:line="126" w:lineRule="exact"/>
              <w:rPr>
                <w:sz w:val="20"/>
                <w:szCs w:val="20"/>
                <w:color w:val="auto"/>
              </w:rPr>
            </w:pPr>
            <w:r>
              <w:rPr>
                <w:rFonts w:ascii="Arial" w:cs="Arial" w:eastAsia="Arial" w:hAnsi="Arial"/>
                <w:sz w:val="14"/>
                <w:szCs w:val="14"/>
                <w:b w:val="1"/>
                <w:bCs w:val="1"/>
                <w:color w:val="auto"/>
                <w:w w:val="97"/>
              </w:rPr>
              <w:t>Members’</w:t>
            </w:r>
          </w:p>
        </w:tc>
        <w:tc>
          <w:tcPr>
            <w:tcW w:w="60" w:type="dxa"/>
            <w:vAlign w:val="bottom"/>
          </w:tcPr>
          <w:p>
            <w:pPr>
              <w:spacing w:after="0"/>
              <w:rPr>
                <w:sz w:val="10"/>
                <w:szCs w:val="10"/>
                <w:color w:val="auto"/>
              </w:rPr>
            </w:pPr>
          </w:p>
        </w:tc>
        <w:tc>
          <w:tcPr>
            <w:tcW w:w="88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10"/>
                <w:szCs w:val="10"/>
                <w:color w:val="auto"/>
              </w:rPr>
            </w:pPr>
          </w:p>
        </w:tc>
        <w:tc>
          <w:tcPr>
            <w:tcW w:w="700" w:type="dxa"/>
            <w:vAlign w:val="bottom"/>
          </w:tcPr>
          <w:p>
            <w:pPr>
              <w:jc w:val="right"/>
              <w:ind w:right="208"/>
              <w:spacing w:after="0" w:line="12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December 31, 2021</w:t>
            </w:r>
          </w:p>
        </w:tc>
        <w:tc>
          <w:tcPr>
            <w:tcW w:w="860" w:type="dxa"/>
            <w:vAlign w:val="bottom"/>
            <w:tcBorders>
              <w:right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30,210</w:t>
            </w:r>
          </w:p>
        </w:tc>
        <w:tc>
          <w:tcPr>
            <w:tcW w:w="8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47,592</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15,967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63,559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64,747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loss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6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(4,310)</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(4,809)</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Initial non-controlling interests </w:t>
            </w:r>
            <w:r>
              <w:rPr>
                <w:rFonts w:ascii="Arial" w:cs="Arial" w:eastAsia="Arial" w:hAnsi="Arial"/>
                <w:sz w:val="21"/>
                <w:szCs w:val="21"/>
                <w:color w:val="auto"/>
                <w:vertAlign w:val="superscript"/>
              </w:rPr>
              <w:t>(1)</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16,949</w:t>
            </w:r>
          </w:p>
        </w:tc>
        <w:tc>
          <w:tcPr>
            <w:tcW w:w="1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16,901</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w w:val="96"/>
              </w:rPr>
              <w:t>Amortization on payment to acquire non-</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80"/>
              <w:spacing w:after="0"/>
              <w:rPr>
                <w:sz w:val="20"/>
                <w:szCs w:val="20"/>
                <w:color w:val="auto"/>
              </w:rPr>
            </w:pPr>
            <w:r>
              <w:rPr>
                <w:rFonts w:ascii="Arial" w:cs="Arial" w:eastAsia="Arial" w:hAnsi="Arial"/>
                <w:sz w:val="14"/>
                <w:szCs w:val="14"/>
                <w:color w:val="auto"/>
              </w:rPr>
              <w:t>controlling interest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w:t>
            </w: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0"/>
        </w:trPr>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Series A redeemable preferred units, net</w:t>
            </w: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of issuance costs </w:t>
            </w:r>
            <w:r>
              <w:rPr>
                <w:rFonts w:ascii="Arial" w:cs="Arial" w:eastAsia="Arial" w:hAnsi="Arial"/>
                <w:sz w:val="22"/>
                <w:szCs w:val="22"/>
                <w:color w:val="auto"/>
                <w:vertAlign w:val="superscript"/>
              </w:rPr>
              <w:t>(2)</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320</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320</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Paid-in-kind preferred dividends</w:t>
            </w:r>
          </w:p>
        </w:tc>
        <w:tc>
          <w:tcPr>
            <w:tcW w:w="8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(2,435)</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Pr>
          <w:p>
            <w:pPr>
              <w:spacing w:after="0" w:line="155" w:lineRule="exact"/>
              <w:rPr>
                <w:sz w:val="20"/>
                <w:szCs w:val="20"/>
                <w:color w:val="auto"/>
              </w:rPr>
            </w:pPr>
            <w:r>
              <w:rPr>
                <w:rFonts w:ascii="Arial" w:cs="Arial" w:eastAsia="Arial" w:hAnsi="Arial"/>
                <w:sz w:val="14"/>
                <w:szCs w:val="14"/>
                <w:color w:val="auto"/>
              </w:rPr>
              <w:t>Balance, June 30, 2022</w:t>
            </w:r>
          </w:p>
        </w:tc>
        <w:tc>
          <w:tcPr>
            <w:tcW w:w="8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1,000,000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101,228</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300,000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31,417</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47,681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8,955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56,636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17,638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74,274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 xml:space="preserve">Represents partner’s contribution towards a newly formed joint venture Emerald RNG LLC. See Note.12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for additional information.</w:t>
      </w:r>
    </w:p>
    <w:p>
      <w:pPr>
        <w:spacing w:after="0" w:line="188" w:lineRule="exact"/>
        <w:rPr>
          <w:rFonts w:ascii="Arial" w:cs="Arial" w:eastAsia="Arial" w:hAnsi="Arial"/>
          <w:sz w:val="30"/>
          <w:szCs w:val="30"/>
          <w:color w:val="auto"/>
          <w:vertAlign w:val="superscript"/>
        </w:rPr>
      </w:pPr>
    </w:p>
    <w:p>
      <w:pPr>
        <w:ind w:left="340" w:right="20" w:hanging="332"/>
        <w:spacing w:after="0" w:line="194" w:lineRule="auto"/>
        <w:tabs>
          <w:tab w:leader="none" w:pos="34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 xml:space="preserve">The Company issued 1,000,000 redeemable preferred units to NextEra Energy(“NextEra”) for aggregate proceeds of $100,000. The issuance costs of $267 were reduced from retained earnings. Please see Note.13 </w:t>
      </w:r>
      <w:r>
        <w:rPr>
          <w:rFonts w:ascii="Arial" w:cs="Arial" w:eastAsia="Arial" w:hAnsi="Arial"/>
          <w:sz w:val="18"/>
          <w:szCs w:val="18"/>
          <w:i w:val="1"/>
          <w:iCs w:val="1"/>
          <w:color w:val="auto"/>
        </w:rPr>
        <w:t>Redeemable preferred units</w:t>
      </w:r>
      <w:r>
        <w:rPr>
          <w:rFonts w:ascii="Arial" w:cs="Arial" w:eastAsia="Arial" w:hAnsi="Arial"/>
          <w:sz w:val="18"/>
          <w:szCs w:val="18"/>
          <w:color w:val="auto"/>
        </w:rPr>
        <w:t xml:space="preserve"> for additional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7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Units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Number of</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Members</w:t>
            </w:r>
          </w:p>
        </w:tc>
        <w:tc>
          <w:tcPr>
            <w:tcW w:w="240" w:type="dxa"/>
            <w:vAlign w:val="bottom"/>
          </w:tcPr>
          <w:p>
            <w:pPr>
              <w:spacing w:after="0"/>
              <w:rPr>
                <w:sz w:val="17"/>
                <w:szCs w:val="17"/>
                <w:color w:val="auto"/>
              </w:rPr>
            </w:pPr>
          </w:p>
        </w:tc>
        <w:tc>
          <w:tcPr>
            <w:tcW w:w="1360" w:type="dxa"/>
            <w:vAlign w:val="bottom"/>
            <w:gridSpan w:val="3"/>
          </w:tcPr>
          <w:p>
            <w:pPr>
              <w:jc w:val="right"/>
              <w:ind w:right="201"/>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Members’</w:t>
            </w: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Controlling</w:t>
            </w:r>
          </w:p>
        </w:tc>
        <w:tc>
          <w:tcPr>
            <w:tcW w:w="200" w:type="dxa"/>
            <w:vAlign w:val="bottom"/>
          </w:tcPr>
          <w:p>
            <w:pPr>
              <w:spacing w:after="0"/>
              <w:rPr>
                <w:sz w:val="17"/>
                <w:szCs w:val="17"/>
                <w:color w:val="auto"/>
              </w:rPr>
            </w:pPr>
          </w:p>
        </w:tc>
        <w:tc>
          <w:tcPr>
            <w:tcW w:w="1020" w:type="dxa"/>
            <w:vAlign w:val="bottom"/>
            <w:gridSpan w:val="3"/>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0"/>
                <w:szCs w:val="20"/>
                <w:color w:val="auto"/>
              </w:rPr>
            </w:pPr>
          </w:p>
        </w:tc>
        <w:tc>
          <w:tcPr>
            <w:tcW w:w="114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18,375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Initial non-controlling interest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6,174</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7"/>
              </w:rPr>
              <w:t>Contributions from non-controlling interest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5,171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(3,695)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Balance, June 30,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57,174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(7,021</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50,153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Represents partner’s contribution from sale of non-controlling interest in an RNG facility.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OPAL FUELS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9"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18,177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income from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6,403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3,954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477</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Amortization of PPA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expense related to asset retirement obligation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320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Paid-in-kind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888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Gain on acquisition of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8,437</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545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(7,111)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2,549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Accounts payable,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511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tax credits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Accrued payroll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(3,242)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6,551</w:t>
            </w:r>
          </w:p>
        </w:tc>
      </w:tr>
      <w:tr>
        <w:trPr>
          <w:trHeight w:val="24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(54,298)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(34,422)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acquired on acquisition of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1,975</w:t>
            </w: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Distributions received from equity method investment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Sunoma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11,809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OPAL term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costs paid to other third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Repayment of Senior secured credit facility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(2,459)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Repayment of Municipality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15,202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issuance of redeemable preferred units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Contributions from members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7,522</w:t>
            </w:r>
          </w:p>
        </w:tc>
      </w:tr>
      <w:tr>
        <w:trPr>
          <w:trHeight w:val="236"/>
        </w:trPr>
        <w:tc>
          <w:tcPr>
            <w:tcW w:w="8680" w:type="dxa"/>
            <w:vAlign w:val="bottom"/>
          </w:tcPr>
          <w:p>
            <w:pPr>
              <w:ind w:left="140"/>
              <w:spacing w:after="0"/>
              <w:rPr>
                <w:sz w:val="20"/>
                <w:szCs w:val="20"/>
                <w:color w:val="auto"/>
              </w:rPr>
            </w:pPr>
            <w:r>
              <w:rPr>
                <w:rFonts w:ascii="Arial" w:cs="Arial" w:eastAsia="Arial" w:hAnsi="Arial"/>
                <w:sz w:val="18"/>
                <w:szCs w:val="18"/>
                <w:color w:val="auto"/>
              </w:rPr>
              <w:t>Distributions to members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increase in cash, restricted cash, and cash equivalents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58,225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16,334</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restricted cash, and cash equivalents,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Cash, restricted cash, and cash equivalents,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100,279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31,722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paid, net of $— and $168 capitalized, respectively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1,952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w w:val="96"/>
              </w:rPr>
              <w:t>Fair value of contingent consideration to redeem the non-controlling interest included in other long-term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Paid-in-kind dividend on redeemable preferred units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w w:val="94"/>
              </w:rPr>
              <w:t>Accrual for purchase of Property, plant and equipment included in Accounts payable and Accrued capital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20,096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10,214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Accrual for deferred financing costs included in Accrued expenses and other current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84"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OPAL Fuels LLC (including its subsidiaries, the “Company,” “we,” “us” or “our”) is engaged in the business of producing and distributing renewable natural gas (“RNG”) to power transportation throughout the United States. The Company owns RNG production facilities that are in operation, under construction, and in late-stage development. OPAL Fuels LLC also constructs, owns, and services fueling stations that dispense RNG and compressed natural gas (“CNG”) for vehicle fleets across the country that use RNG and CNG to displace diesel as their transportation fuel. RNG is derived from landfill gas (“LFG”) and dairy digester gas. In addition, the Company owns LFG fueled power plants that sell renewable power to public utilities. The Company is a subsidiary of Opal Holdco LLC which, in turn, is an indirect subsidiary of Fortistar LLC (the “Ultimate Parent”).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expressly stated, all dollar amounts set forth in these notes are presented in thousands of dollars except per share data.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our liquidity consisted of cash and cash equivalents including restricted cash of $100,279.</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completed the Business Combination (further described in Note 16 below) in July 2022 which resulted in additional cash infusion of $ 123,363.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at least the next twelve months.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324"/>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unaudited condensed consolidated financial statements are prepared in accordance with generally accepted accounting principles in the United States (“U.S. GAAP”). In the opinion of management, the accompanying unaudited condensed consolidated financial statements include all normal and recurring adjustments, which are 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all other entities in which the Company has a controlling financial interest: Fortistar Methane 3 LLC (“FM3”), Fortistar Methane 4 LLC, Sunoma Holdings, LLC (“Sunoma”), Emerald RNG LLC (“Emerald”), Sapphire RNG LLC (“Sapphire”), New River LLC (“New River”), Reynolds RNG LLC (“Reynolds”), Beacon RNG LLC (“Beacon”), Central Valley LLC (“Central Valley”), Fortistar Contracting LLC, Fortistar RNG LLC, and TruStar Energy LLC (“TruStar”).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Please see Note 3. </w:t>
      </w:r>
      <w:r>
        <w:rPr>
          <w:rFonts w:ascii="Arial" w:cs="Arial" w:eastAsia="Arial" w:hAnsi="Arial"/>
          <w:sz w:val="18"/>
          <w:szCs w:val="18"/>
          <w:i w:val="1"/>
          <w:iCs w:val="1"/>
          <w:color w:val="auto"/>
        </w:rPr>
        <w:t>Investment in other entities,</w:t>
      </w:r>
      <w:r>
        <w:rPr>
          <w:rFonts w:ascii="Arial" w:cs="Arial" w:eastAsia="Arial" w:hAnsi="Arial"/>
          <w:sz w:val="18"/>
          <w:szCs w:val="18"/>
          <w:color w:val="auto"/>
        </w:rPr>
        <w:t xml:space="preserve"> for additional information. Beacon was consolidated after acquisition of remaining ownership interests increasing the ownership interest from 44.3% to 100% on May 1, 2021.</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operations for the interim periods presented are not necessarily indicative of the results that may be expected for the entire year.</w:t>
      </w:r>
    </w:p>
    <w:p>
      <w:pPr>
        <w:spacing w:after="0" w:line="23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June 2022, the Financial Accounting Standards Board (“FASB”) issued Accounting Standards Update (“ASU”) 2022-03,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Equity Securities Subject to Contractual Sale Restrictions </w:t>
      </w:r>
      <w:r>
        <w:rPr>
          <w:rFonts w:ascii="Arial" w:cs="Arial" w:eastAsia="Arial" w:hAnsi="Arial"/>
          <w:sz w:val="17"/>
          <w:szCs w:val="17"/>
          <w:color w:val="auto"/>
        </w:rPr>
        <w:t>which states that a contractual restriction on the sale of an equity security is not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w w:val="90"/>
              </w:rPr>
              <w:t>Cash, cash equivalents, and restricted cash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held as collateral</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100,279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 held as collateral represents the collateral requirements on our debt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allowance for doubtful accounts was $100 and $0 at June 30, 2022 and December 31, 2021,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Company accounts for asset retirement obligations in accordance with FASB Accounting Standards Codification (“ASC”) 410, </w:t>
      </w:r>
      <w:r>
        <w:rPr>
          <w:rFonts w:ascii="Arial" w:cs="Arial" w:eastAsia="Arial" w:hAnsi="Arial"/>
          <w:sz w:val="16"/>
          <w:szCs w:val="16"/>
          <w:i w:val="1"/>
          <w:iCs w:val="1"/>
          <w:color w:val="auto"/>
        </w:rPr>
        <w:t>Asset 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Environmental Obligations, </w:t>
      </w:r>
      <w:r>
        <w:rPr>
          <w:rFonts w:ascii="Arial" w:cs="Arial" w:eastAsia="Arial" w:hAnsi="Arial"/>
          <w:sz w:val="16"/>
          <w:szCs w:val="16"/>
          <w:color w:val="auto"/>
        </w:rPr>
        <w:t>which requires entities to record the fair value of a liability for an asset retirement obligation in the period in which it is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2022 and December 31, 2021, the Company estimated the value of its total asset retirement obligations to be $5,887 and $5,738,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The changes in the asset retirement obligations were as follows as of June 30,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Write off of Asset retirement obligation</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0"/>
        </w:trPr>
        <w:tc>
          <w:tcPr>
            <w:tcW w:w="10020" w:type="dxa"/>
            <w:vAlign w:val="bottom"/>
            <w:tcBorders>
              <w:top w:val="single" w:sz="8" w:color="CCEEFF"/>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asset retirement obligation</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37"/>
        </w:trPr>
        <w:tc>
          <w:tcPr>
            <w:tcW w:w="10020" w:type="dxa"/>
            <w:vAlign w:val="bottom"/>
          </w:tcPr>
          <w:p>
            <w:pPr>
              <w:ind w:left="140"/>
              <w:spacing w:after="0"/>
              <w:rPr>
                <w:sz w:val="20"/>
                <w:szCs w:val="20"/>
                <w:color w:val="auto"/>
              </w:rPr>
            </w:pPr>
            <w:r>
              <w:rPr>
                <w:rFonts w:ascii="Arial" w:cs="Arial" w:eastAsia="Arial" w:hAnsi="Arial"/>
                <w:sz w:val="18"/>
                <w:szCs w:val="18"/>
                <w:color w:val="auto"/>
              </w:rPr>
              <w:t>Total asset retirement obligation,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that allows for the recognition of revenue from performance obligations in the amount of consideration to which there is a right to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operating fees are earned for the operation, maintenance, and repair of the gas collection system of a landfill site. Revenue is calculated on the volume of per million British thermal units (“MMBtu”) of LFG collected and the megawatt hours (“MWhs”) produced at that site. This revenue is recognized when LFG is collected and renewable power is delivered.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324"/>
        <w:spacing w:after="0" w:line="259" w:lineRule="auto"/>
        <w:rPr>
          <w:sz w:val="20"/>
          <w:szCs w:val="20"/>
          <w:color w:val="auto"/>
        </w:rPr>
      </w:pPr>
      <w:r>
        <w:rPr>
          <w:rFonts w:ascii="Arial" w:cs="Arial" w:eastAsia="Arial" w:hAnsi="Arial"/>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Arial" w:cs="Arial" w:eastAsia="Arial" w:hAnsi="Arial"/>
          <w:sz w:val="17"/>
          <w:szCs w:val="17"/>
          <w:i w:val="1"/>
          <w:iCs w:val="1"/>
          <w:color w:val="auto"/>
        </w:rPr>
        <w:t>Leases</w:t>
      </w:r>
      <w:r>
        <w:rPr>
          <w:rFonts w:ascii="Arial" w:cs="Arial" w:eastAsia="Arial" w:hAnsi="Arial"/>
          <w:sz w:val="17"/>
          <w:szCs w:val="17"/>
          <w:color w:val="auto"/>
        </w:rPr>
        <w:t>, the Company has concluded these agreements meet the criteria for a lease and are classified as operating leases. Typically, these agreements do not require any 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disaggregation of revenue according to product line:</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Renewable power 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Third party construction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9,270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Brown gas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Parts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 from contracts with customers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2022 and 2021, approximately 22.3% and 16.0%, respectively, of revenue was recognized over time, and the remainder was for products and services transferred at a point in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4"/>
          </w:tcPr>
          <w:p>
            <w:pPr>
              <w:ind w:left="340"/>
              <w:spacing w:after="0"/>
              <w:rPr>
                <w:sz w:val="20"/>
                <w:szCs w:val="20"/>
                <w:color w:val="auto"/>
              </w:rPr>
            </w:pPr>
            <w:r>
              <w:rPr>
                <w:rFonts w:ascii="Arial" w:cs="Arial" w:eastAsia="Arial" w:hAnsi="Arial"/>
                <w:sz w:val="18"/>
                <w:szCs w:val="18"/>
                <w:color w:val="auto"/>
                <w:w w:val="94"/>
              </w:rPr>
              <w:t>The following table provides information about receivables, contract assets, and contract liabilities from contracts with customers: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Contract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and estimated earnings in excess of billings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Accounts receivable retainage,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Contract assets 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20"/>
              <w:spacing w:after="0"/>
              <w:rPr>
                <w:sz w:val="20"/>
                <w:szCs w:val="20"/>
                <w:color w:val="auto"/>
              </w:rPr>
            </w:pPr>
            <w:r>
              <w:rPr>
                <w:rFonts w:ascii="Arial" w:cs="Arial" w:eastAsia="Arial" w:hAnsi="Arial"/>
                <w:sz w:val="18"/>
                <w:szCs w:val="18"/>
                <w:color w:val="auto"/>
              </w:rPr>
              <w:t>Contract liabilities 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remaining performance obligations (“backlog”)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4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Other Entities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w w:val="93"/>
              </w:rPr>
              <w:t>Our equity method investments were as follows as of June 30, 2022 and December 31, 2021:</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ind w:left="460"/>
              <w:spacing w:after="0"/>
              <w:rPr>
                <w:sz w:val="20"/>
                <w:szCs w:val="20"/>
                <w:color w:val="auto"/>
              </w:rPr>
            </w:pPr>
            <w:r>
              <w:rPr>
                <w:rFonts w:ascii="Arial" w:cs="Arial" w:eastAsia="Arial" w:hAnsi="Arial"/>
                <w:sz w:val="18"/>
                <w:szCs w:val="18"/>
                <w:b w:val="1"/>
                <w:bCs w:val="1"/>
                <w:color w:val="auto"/>
              </w:rPr>
              <w:t>Carrying Value</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3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Pine Bend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21,082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Noble Road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25,140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GREP</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investment in other entities</w:t>
            </w: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47,150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receivable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August 2021, the Company acquired 100% ownership interests in Reynolds RNG LLC (“Reynolds”) which held a note receivable of $10,450 to Biotown Bio Gas LLC (“Biotown”). The Note receivable was set to mature on July 15, 2027 and carried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The following table summarizes the net (loss) income from equity method 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6,459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(loss) income from equity method investments </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r>
    </w:tbl>
    <w:p>
      <w:pPr>
        <w:spacing w:after="0" w:line="202" w:lineRule="exact"/>
        <w:rPr>
          <w:sz w:val="20"/>
          <w:szCs w:val="20"/>
          <w:color w:val="auto"/>
        </w:rPr>
      </w:pPr>
    </w:p>
    <w:p>
      <w:pPr>
        <w:ind w:left="340" w:right="20" w:hanging="332"/>
        <w:spacing w:after="0" w:line="194" w:lineRule="auto"/>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Property, Plant,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w w:val="96"/>
              </w:rPr>
              <w:t>Property, plant, and equipment, net,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CNG/RNG fueling stations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32,491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27,892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123,520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62,616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2,585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Service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1,568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Vehicles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software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277</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324,004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259,480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229,411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169,770</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plant, and equipment for the six months ended June 30, 2022 and June 30, 2021 was $6,005 and $3,723,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consisted of the following at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Cost</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Power purchase agreements</w:t>
            </w:r>
          </w:p>
        </w:tc>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Transmission/distribution interconnection</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CNG sales contract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2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2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vMerge w:val="continue"/>
            <w:shd w:val="clear" w:color="auto" w:fill="CCEEFF"/>
          </w:tcPr>
          <w:p>
            <w:pPr>
              <w:spacing w:after="0"/>
              <w:rPr>
                <w:sz w:val="21"/>
                <w:szCs w:val="21"/>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0"/>
              </w:rPr>
              <w:t>December 31, 2021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Cost</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Power purchase agreements</w:t>
            </w:r>
          </w:p>
        </w:tc>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Transmission/distribution interconnection</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CNG sales contract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2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2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vMerge w:val="continue"/>
            <w:shd w:val="clear" w:color="auto" w:fill="CCEEFF"/>
          </w:tcPr>
          <w:p>
            <w:pPr>
              <w:spacing w:after="0"/>
              <w:rPr>
                <w:sz w:val="21"/>
                <w:szCs w:val="21"/>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jc w:val="both"/>
        <w:ind w:firstLine="324"/>
        <w:spacing w:after="0" w:line="259" w:lineRule="auto"/>
        <w:rPr>
          <w:sz w:val="20"/>
          <w:szCs w:val="20"/>
          <w:color w:val="auto"/>
        </w:rPr>
      </w:pPr>
      <w:r>
        <w:rPr>
          <w:rFonts w:ascii="Arial" w:cs="Arial" w:eastAsia="Arial" w:hAnsi="Arial"/>
          <w:sz w:val="18"/>
          <w:szCs w:val="18"/>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additional information.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Amortization expense for the six months ended June 30, 2022 and 2021 was $398 and $231, respectively. At June 30, 2022, estimated future amortization expense for intangible assets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Remaining six months ending December 31,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50"/>
        </w:trPr>
        <w:tc>
          <w:tcPr>
            <w:tcW w:w="100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Borders>
              <w:top w:val="single" w:sz="8" w:color="CCEEFF"/>
            </w:tcBorders>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goodwill, if any, by reporting segment from the beginning of the period to the end of the period: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RNG Fuel</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Services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35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4"/>
              </w:rPr>
              <w:t>3,453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June 30, 2022</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51,155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3,453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54,608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500" w:type="dxa"/>
            <w:vAlign w:val="bottom"/>
            <w:vMerge w:val="restart"/>
          </w:tcPr>
          <w:p>
            <w:pPr>
              <w:jc w:val="right"/>
              <w:ind w:right="151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38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Borrowings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340"/>
              <w:spacing w:after="0"/>
              <w:rPr>
                <w:sz w:val="20"/>
                <w:szCs w:val="20"/>
                <w:color w:val="auto"/>
              </w:rPr>
            </w:pPr>
            <w:r>
              <w:rPr>
                <w:rFonts w:ascii="Arial" w:cs="Arial" w:eastAsia="Arial" w:hAnsi="Arial"/>
                <w:sz w:val="18"/>
                <w:szCs w:val="18"/>
                <w:color w:val="auto"/>
                <w:w w:val="97"/>
              </w:rPr>
              <w:t>The following table summarizes the borrowings under the various debt facilities as of June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facility, term loan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73,869</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(724)</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(73,145)</w:t>
            </w:r>
          </w:p>
        </w:tc>
      </w:tr>
      <w:tr>
        <w:trPr>
          <w:trHeight w:val="210"/>
        </w:trPr>
        <w:tc>
          <w:tcPr>
            <w:tcW w:w="8680" w:type="dxa"/>
            <w:vAlign w:val="bottom"/>
            <w:tcBorders>
              <w:top w:val="single" w:sz="8" w:color="CCEEFF"/>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Senior secured facility, term loan, net of debt issuance costs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facility, working capital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(7,500)</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Senior secured facility, working capital facility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OPAL term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83,556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75,000</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(2,485)</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(19,332)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(13,425)</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OPAL term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Sunoma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19,431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17,524</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(1,418)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(756)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Sunoma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Convertible note payable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60,820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58,710</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Municipality loan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Municipality loan</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320"/>
              <w:spacing w:after="0"/>
              <w:rPr>
                <w:sz w:val="20"/>
                <w:szCs w:val="20"/>
                <w:color w:val="auto"/>
              </w:rPr>
            </w:pPr>
            <w:r>
              <w:rPr>
                <w:rFonts w:ascii="Arial" w:cs="Arial" w:eastAsia="Arial" w:hAnsi="Arial"/>
                <w:sz w:val="18"/>
                <w:szCs w:val="18"/>
                <w:color w:val="auto"/>
              </w:rPr>
              <w:t>Non-current borrowings 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140,302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134,083</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principal maturities of debt are expected as follows, excluding any subsequent refinancing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Senior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Secured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Convertible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Credit</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OPAL</w:t>
            </w: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Sunoma</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Note</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Municipality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Facility</w:t>
            </w: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Term Loan</w:t>
            </w:r>
          </w:p>
        </w:tc>
        <w:tc>
          <w:tcPr>
            <w:tcW w:w="18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loan</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Payable</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Loan</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ending December 31, 2022</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Fiscal year: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19,332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21,633</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19,332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22,388</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38,282</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63,876</w:t>
            </w:r>
          </w:p>
        </w:tc>
        <w:tc>
          <w:tcPr>
            <w:tcW w:w="8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80" w:type="dxa"/>
            <w:vAlign w:val="bottom"/>
            <w:shd w:val="clear" w:color="auto" w:fill="CCEEFF"/>
          </w:tcPr>
          <w:p>
            <w:pPr>
              <w:spacing w:after="0"/>
              <w:rPr>
                <w:sz w:val="19"/>
                <w:szCs w:val="19"/>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328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80,132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83,556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244,113</w:t>
            </w:r>
          </w:p>
        </w:tc>
        <w:tc>
          <w:tcPr>
            <w:tcW w:w="8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“Term Loan Facility”) and a (ii) working capital letter of credit facility (“Working Capital Facility”) of up to $19,000 and a (iii) Debt service reserve and liquidity facility (“Debt Reserve and Liquidity Facility”) of up to $6,000. The Company paid $14,300 to the lenders in connection with the transaction. As of June 30, 2022 and December 31, 2021, $72,632 and $73,869, respectively, was outstanding under the Senior secured facility, term loan.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both"/>
        <w:ind w:firstLine="324"/>
        <w:spacing w:after="0" w:line="293" w:lineRule="auto"/>
        <w:rPr>
          <w:sz w:val="20"/>
          <w:szCs w:val="20"/>
          <w:color w:val="auto"/>
        </w:rPr>
      </w:pPr>
      <w:r>
        <w:rPr>
          <w:rFonts w:ascii="Arial" w:cs="Arial" w:eastAsia="Arial" w:hAnsi="Arial"/>
          <w:sz w:val="16"/>
          <w:szCs w:val="16"/>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Patronage dividends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TruStar revolver credit facility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Sunoma loan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27, 2020, Sunoma entered into a debt agreement with Live Oak Banking Company (“Lender”)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outstanding under the Sunoma loan are secured by the assets of Sunoma.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340"/>
        <w:spacing w:after="0"/>
        <w:rPr>
          <w:sz w:val="20"/>
          <w:szCs w:val="20"/>
          <w:color w:val="auto"/>
        </w:rPr>
      </w:pPr>
      <w:r>
        <w:rPr>
          <w:rFonts w:ascii="Arial" w:cs="Arial" w:eastAsia="Arial" w:hAnsi="Arial"/>
          <w:sz w:val="16"/>
          <w:szCs w:val="16"/>
          <w:color w:val="auto"/>
        </w:rPr>
        <w:t>The Sunoma loan agreement contains certain financial covenants which require Sunoma to maintain (i) maximum debt to worth ratio cannot exceed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5:1 (ii) the minimum current ratio cannot be less than 1.0 (iii) minimum debt service coverage ratio of trailing four quarters cannot be less than 1.25.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covenants apply after the construction is complete and the facility meets certain predetermined operational standards and documentation criteria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converts to a term loan which is expected to be in third quarter of 2022.</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(“USDA”).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significant assets of Sunoma are parenthesized in the condensed consolidated balance sheets as June 30, 2022 and December 31, 2021. Refer to Note 12,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OPAL term loan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 As of June 30, 2022, the Company expects that the three additional RNG facilities will be operational in the third quarter of 2022 at which time the additional $35,000 would be made available to the Company.</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 in September 2022.</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payable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1, 2021, the Company acquired the remaining ownership interests in Beacon and signed an unsecured, contingently convertible note (the “Note”) for a total aggregate amount for $50,000 at an interest rate of 8.00% per annum. The Company has the option to pay the interest in cash on a quarterly basis or payment-in-kind interest. The Company chose the option of payment-in-kind interest.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324"/>
        <w:spacing w:after="0" w:line="255" w:lineRule="auto"/>
        <w:rPr>
          <w:sz w:val="20"/>
          <w:szCs w:val="20"/>
          <w:color w:val="auto"/>
        </w:rPr>
      </w:pPr>
      <w:r>
        <w:rPr>
          <w:rFonts w:ascii="Arial" w:cs="Arial" w:eastAsia="Arial" w:hAnsi="Arial"/>
          <w:sz w:val="18"/>
          <w:szCs w:val="18"/>
          <w:color w:val="auto"/>
        </w:rPr>
        <w:t xml:space="preserve">The Company elected to account for the Note using the fair value option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on May 1, 2021, which was determined to be $55,410. The fair value was 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Municipality loan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2022, the weighted average effective interest rate including amortization of debt issuance costs on Senior secured facility was 4.25% including a margin plus LIBOR.</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six months ended June 30, 2022, the weighted average effective interest rate including amortization of debt issuance costs on OPAL term loan was 4.93%.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six months ended June 30, 2022, the interest rate on the Sunoma loan was 7.75%.</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2022, the payment-in-kind interest rate on Convertible note payable was 8.00%. The change in fair value of the Note recorded as interest expense between May 1, 2021 and June 30, 2022 was $5,410.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2022, the weighted average interest rate on Municipality loan was 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2021, the weighted average effective interest rate for this period was 4.23%.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2021, the interest rate on TruStar revolver credit facility was 3.34%.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2021, the weighted average interest rate on Municipality loan was 3.00%.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total interest expense for the six months ended June 30, 2022 and 2021:</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Municipality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 xml:space="preserve">Sunoma loan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 payable mark-to-market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Amortization of deferred financing cost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Note receivable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194" w:lineRule="auto"/>
        <w:tabs>
          <w:tab w:leader="none" w:pos="66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incurred rent expense of $690 and $403 for the six months ended June 30, 2022 and 2021,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location and amounts of derivatives fair values in the condensed consolidated balance sheets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Fair Value Recognized in</w:t>
            </w:r>
          </w:p>
        </w:tc>
      </w:tr>
      <w:tr>
        <w:trPr>
          <w:trHeight w:val="241"/>
        </w:trPr>
        <w:tc>
          <w:tcPr>
            <w:tcW w:w="462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Derivatives designated as economic hedges: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interest swaps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7"/>
              </w:rPr>
              <w:t>(38)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(992)</w:t>
            </w:r>
          </w:p>
        </w:tc>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liability, current portion</w:t>
            </w:r>
          </w:p>
        </w:tc>
      </w:tr>
      <w:tr>
        <w:trPr>
          <w:trHeight w:val="237"/>
        </w:trPr>
        <w:tc>
          <w:tcPr>
            <w:tcW w:w="462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3920" w:type="dxa"/>
            <w:vAlign w:val="bottom"/>
            <w:tcBorders>
              <w:top w:val="single" w:sz="8" w:color="CCEEFF"/>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derivative instruments on the condensed consolidated statement of operations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58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7"/>
              </w:rPr>
              <w:t>Six Months Ended June 30,</w:t>
            </w: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(Loss) Gain Recognized in</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Operations from Derivatives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periodic settlements</w:t>
            </w:r>
          </w:p>
        </w:tc>
        <w:tc>
          <w:tcPr>
            <w:tcW w:w="780" w:type="dxa"/>
            <w:vAlign w:val="bottom"/>
          </w:tcPr>
          <w:p>
            <w:pPr>
              <w:spacing w:after="0"/>
              <w:rPr>
                <w:sz w:val="18"/>
                <w:szCs w:val="18"/>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(954)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(870)</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Realized and unrealized gain on interest rate swaps,</w:t>
            </w:r>
          </w:p>
        </w:tc>
        <w:tc>
          <w:tcPr>
            <w:tcW w:w="0" w:type="dxa"/>
            <w:vAlign w:val="bottom"/>
          </w:tcPr>
          <w:p>
            <w:pPr>
              <w:spacing w:after="0" w:line="20" w:lineRule="exact"/>
              <w:rPr>
                <w:sz w:val="1"/>
                <w:szCs w:val="1"/>
                <w:color w:val="auto"/>
              </w:rPr>
            </w:pPr>
          </w:p>
        </w:tc>
      </w:tr>
      <w:tr>
        <w:trPr>
          <w:trHeight w:val="188"/>
        </w:trPr>
        <w:tc>
          <w:tcPr>
            <w:tcW w:w="46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95"/>
              </w:rPr>
              <w:t>(328)</w:t>
            </w:r>
          </w:p>
        </w:tc>
        <w:tc>
          <w:tcPr>
            <w:tcW w:w="840" w:type="dxa"/>
            <w:vAlign w:val="bottom"/>
            <w:gridSpan w:val="2"/>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40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18</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0" w:name="page41"/>
    <w:bookmarkEnd w:id="40"/>
    <w:p>
      <w:pPr>
        <w:jc w:val="both"/>
        <w:ind w:firstLine="324"/>
        <w:spacing w:after="0" w:line="257" w:lineRule="auto"/>
        <w:rPr>
          <w:sz w:val="20"/>
          <w:szCs w:val="20"/>
          <w:color w:val="auto"/>
        </w:rPr>
      </w:pPr>
      <w:r>
        <w:rPr>
          <w:rFonts w:ascii="Arial" w:cs="Arial" w:eastAsia="Arial" w:hAnsi="Arial"/>
          <w:sz w:val="18"/>
          <w:szCs w:val="18"/>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the fair value of derivative instruments on the Company’s condensed consolidated balance sheets and the effect of netting arrangements and collateral on its financial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 Amounts of</w:t>
            </w: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Gross 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Assets/(Liabilities)</w:t>
            </w: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of Recognized</w:t>
            </w: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Offset in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 the</w:t>
            </w:r>
          </w:p>
        </w:tc>
      </w:tr>
      <w:tr>
        <w:trPr>
          <w:trHeight w:val="241"/>
        </w:trPr>
        <w:tc>
          <w:tcPr>
            <w:tcW w:w="67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6"/>
              </w:rPr>
              <w:t>Assets/(Liabilities)</w:t>
            </w:r>
          </w:p>
        </w:tc>
        <w:tc>
          <w:tcPr>
            <w:tcW w:w="80" w:type="dxa"/>
            <w:vAlign w:val="bottom"/>
          </w:tcPr>
          <w:p>
            <w:pPr>
              <w:spacing w:after="0"/>
              <w:rPr>
                <w:sz w:val="20"/>
                <w:szCs w:val="20"/>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Sheet</w:t>
            </w: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Balance, June 30, 2022:</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Balance, December 31, 2021: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collateral balances with counterparties outstanding as of the period-end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swap contracts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December 2018, the Company signed an amendment that converted an existing power purchase agreement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commodity swaps in place as of June 30, 2022 and December 31, 2021. There were no new commodity swap contracts entered in the six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Notional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Quantity per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Price (per</w:t>
            </w:r>
          </w:p>
        </w:tc>
      </w:t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Trade Date</w:t>
            </w:r>
          </w:p>
        </w:tc>
        <w:tc>
          <w:tcPr>
            <w:tcW w:w="262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Period From</w:t>
            </w:r>
          </w:p>
        </w:tc>
        <w:tc>
          <w:tcPr>
            <w:tcW w:w="2580" w:type="dxa"/>
            <w:vAlign w:val="bottom"/>
            <w:gridSpan w:val="2"/>
          </w:tcPr>
          <w:p>
            <w:pPr>
              <w:ind w:left="820"/>
              <w:spacing w:after="0"/>
              <w:rPr>
                <w:sz w:val="20"/>
                <w:szCs w:val="20"/>
                <w:color w:val="auto"/>
              </w:rPr>
            </w:pPr>
            <w:r>
              <w:rPr>
                <w:rFonts w:ascii="Arial" w:cs="Arial" w:eastAsia="Arial" w:hAnsi="Arial"/>
                <w:sz w:val="18"/>
                <w:szCs w:val="18"/>
                <w:b w:val="1"/>
                <w:bCs w:val="1"/>
                <w:color w:val="auto"/>
              </w:rPr>
              <w:t>Period To</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(“MWh”)</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MWh)</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September 30, 2022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October 28, 2021</w:t>
            </w:r>
          </w:p>
        </w:tc>
        <w:tc>
          <w:tcPr>
            <w:tcW w:w="2620" w:type="dxa"/>
            <w:vAlign w:val="bottom"/>
            <w:gridSpan w:val="2"/>
          </w:tcPr>
          <w:p>
            <w:pPr>
              <w:ind w:left="580"/>
              <w:spacing w:after="0"/>
              <w:rPr>
                <w:sz w:val="20"/>
                <w:szCs w:val="20"/>
                <w:color w:val="auto"/>
              </w:rPr>
            </w:pPr>
            <w:r>
              <w:rPr>
                <w:rFonts w:ascii="Arial" w:cs="Arial" w:eastAsia="Arial" w:hAnsi="Arial"/>
                <w:sz w:val="18"/>
                <w:szCs w:val="18"/>
                <w:color w:val="auto"/>
              </w:rPr>
              <w:t>November 1, 2021</w:t>
            </w:r>
          </w:p>
        </w:tc>
        <w:tc>
          <w:tcPr>
            <w:tcW w:w="2580" w:type="dxa"/>
            <w:vAlign w:val="bottom"/>
            <w:gridSpan w:val="2"/>
          </w:tcPr>
          <w:p>
            <w:pPr>
              <w:ind w:left="540"/>
              <w:spacing w:after="0"/>
              <w:rPr>
                <w:sz w:val="20"/>
                <w:szCs w:val="20"/>
                <w:color w:val="auto"/>
              </w:rPr>
            </w:pPr>
            <w:r>
              <w:rPr>
                <w:rFonts w:ascii="Arial" w:cs="Arial" w:eastAsia="Arial" w:hAnsi="Arial"/>
                <w:sz w:val="18"/>
                <w:szCs w:val="18"/>
                <w:color w:val="auto"/>
              </w:rPr>
              <w:t>December 31, 2022</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30,660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48.75</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27, 2021</w:t>
            </w:r>
          </w:p>
        </w:tc>
        <w:tc>
          <w:tcPr>
            <w:tcW w:w="26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January 1, 2022</w:t>
            </w:r>
          </w:p>
        </w:tc>
        <w:tc>
          <w:tcPr>
            <w:tcW w:w="2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26,280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effect of commodity swaps on the condensed consolidated statements of operations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20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instruments</w:t>
            </w:r>
          </w:p>
        </w:tc>
        <w:tc>
          <w:tcPr>
            <w:tcW w:w="3940" w:type="dxa"/>
            <w:vAlign w:val="bottom"/>
          </w:tcPr>
          <w:p>
            <w:pPr>
              <w:ind w:left="700"/>
              <w:spacing w:after="0"/>
              <w:rPr>
                <w:sz w:val="20"/>
                <w:szCs w:val="20"/>
                <w:color w:val="auto"/>
              </w:rPr>
            </w:pPr>
            <w:r>
              <w:rPr>
                <w:rFonts w:ascii="Arial" w:cs="Arial" w:eastAsia="Arial" w:hAnsi="Arial"/>
                <w:sz w:val="18"/>
                <w:szCs w:val="18"/>
                <w:b w:val="1"/>
                <w:bCs w:val="1"/>
                <w:color w:val="auto"/>
              </w:rPr>
              <w:t>Location of (loss) gain recognized</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swaps - realized loss</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Revenues - Renewable power</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color w:val="auto"/>
              </w:rPr>
              <w:t>Commodity swaps - unrealized loss</w:t>
            </w:r>
          </w:p>
        </w:tc>
        <w:tc>
          <w:tcPr>
            <w:tcW w:w="3940" w:type="dxa"/>
            <w:vAlign w:val="bottom"/>
          </w:tcPr>
          <w:p>
            <w:pPr>
              <w:ind w:left="100"/>
              <w:spacing w:after="0"/>
              <w:rPr>
                <w:sz w:val="20"/>
                <w:szCs w:val="20"/>
                <w:color w:val="auto"/>
              </w:rPr>
            </w:pPr>
            <w:r>
              <w:rPr>
                <w:rFonts w:ascii="Arial" w:cs="Arial" w:eastAsia="Arial" w:hAnsi="Arial"/>
                <w:sz w:val="18"/>
                <w:szCs w:val="18"/>
                <w:color w:val="auto"/>
              </w:rPr>
              <w:t>Revenues - Renewable power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(1,929)</w:t>
            </w:r>
          </w:p>
        </w:tc>
      </w:tr>
      <w:tr>
        <w:trPr>
          <w:trHeight w:val="250"/>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realized and unrealized loss</w:t>
            </w:r>
          </w:p>
        </w:tc>
        <w:tc>
          <w:tcPr>
            <w:tcW w:w="3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 - Renewable power</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derivative assets and liabilities related to commodity swaps as of June 30, 2022 and December 31,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Fair Value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Location of Fair value</w:t>
            </w:r>
          </w:p>
        </w:tc>
      </w:tr>
      <w:tr>
        <w:trPr>
          <w:trHeight w:val="241"/>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recognized in Balance Sheet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Derivatives designated as economic hedges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unrealized gain on commodity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financial asset, current portion</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Current portion of unrealized loss on commodity swaps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Derivative financial liability, current portion</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follows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regarding fair value measurements which establishes a three-tier fair value hierarchy and prioritizes the inputs used in valuation techniques that measure fair value. These tiers include: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defined as observable inputs such as quoted prices for identical instruments in active markets;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324"/>
        <w:spacing w:after="0" w:line="263"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values its energy commodity swap contracts based on the applicable geographical market energy forward curve. The forward curves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transfers of assets between Level 1, Level 2, or Level 3 of the fair value hierarchy as of June 30, 2022 or December 31, 2021.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include the following as of June 30, 2022 and December 31, 2021, set forth by level, within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90"/>
              </w:rPr>
              <w:t>Fair value as of June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Arial" w:cs="Arial" w:eastAsia="Arial" w:hAnsi="Arial"/>
                <w:sz w:val="18"/>
                <w:szCs w:val="18"/>
                <w:b w:val="1"/>
                <w:bCs w:val="1"/>
                <w:color w:val="auto"/>
                <w:w w:val="88"/>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retirement obligation</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5,887</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Contingent consideration on acquisition of non-controlling interest</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note payable</w:t>
            </w: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swap contracts</w:t>
            </w: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Fair value as of December 31,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Arial" w:cs="Arial" w:eastAsia="Arial" w:hAnsi="Arial"/>
                <w:sz w:val="18"/>
                <w:szCs w:val="18"/>
                <w:b w:val="1"/>
                <w:bCs w:val="1"/>
                <w:color w:val="auto"/>
                <w:w w:val="88"/>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retirement obligation</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Contingent consideration on acquisition of non-controlling interest</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4,456</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note payable</w:t>
            </w: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Commodity swap contracts</w:t>
            </w:r>
          </w:p>
        </w:tc>
        <w:tc>
          <w:tcPr>
            <w:tcW w:w="90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382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changes in the fair values of the Company’s Level 3 instruments, attributable to asset retirement obligations, for the six months ended June 30, 2022 is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Related parties are represented by our Ultimate Parent and other affiliates, subsidiaries and other entities under common control with the Ultimate Parent.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contributions and distribution from and to members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2022 and 2021, the Company received contributions from its Ultimate Parent of $0 and $7,522,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made distributions to its Ultimate Parent of $0 and $3,695 for the six months ended June 30, 2022 and 2021,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non-controlling interests to Related Parties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November 29, 2021, as part of an exchange agreement (“Hillman exchange”),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Arial" w:cs="Arial" w:eastAsia="Arial" w:hAnsi="Arial"/>
          <w:sz w:val="18"/>
          <w:szCs w:val="18"/>
          <w:i w:val="1"/>
          <w:iCs w:val="1"/>
          <w:color w:val="auto"/>
        </w:rPr>
        <w:t>Redeemable Preferred Units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Equity, </w:t>
      </w:r>
      <w:r>
        <w:rPr>
          <w:rFonts w:ascii="Arial" w:cs="Arial" w:eastAsia="Arial" w:hAnsi="Arial"/>
          <w:sz w:val="18"/>
          <w:szCs w:val="18"/>
          <w:color w:val="auto"/>
        </w:rPr>
        <w:t>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investments from Related Parties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Equity commitment letters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 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Distributed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Under the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Commitment</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Yet to be</w:t>
            </w:r>
          </w:p>
        </w:tc>
      </w:tr>
      <w:tr>
        <w:trPr>
          <w:trHeight w:val="241"/>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Letters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Letters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Fulfilled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River RNG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16,562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contracts with Related Parties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agreements with Related Parties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31, 2020, the Company signed a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2021, the company entered into an management services agreement with Costar Partners LLC (“Costar”), an affiliate of the Ultimate Parent. As per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7"/>
                <w:szCs w:val="17"/>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Staffing and management services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 - fixed compensation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IT services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2022 and December 31, 2021, the Company had Accounts payable, related party in the amounts of $1,141 and $166,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Reportable Segments and Geographic Information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53" w:lineRule="exact"/>
        <w:rPr>
          <w:sz w:val="20"/>
          <w:szCs w:val="20"/>
          <w:color w:val="auto"/>
        </w:rPr>
      </w:pPr>
    </w:p>
    <w:p>
      <w:pPr>
        <w:jc w:val="both"/>
        <w:ind w:left="66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Renewable Power Portfolio. </w:t>
      </w:r>
      <w:r>
        <w:rPr>
          <w:rFonts w:ascii="Arial" w:cs="Arial" w:eastAsia="Arial" w:hAnsi="Arial"/>
          <w:sz w:val="18"/>
          <w:szCs w:val="18"/>
          <w:color w:val="auto"/>
        </w:rPr>
        <w:t>The Renewable Power 3 (“RP3”) portfolio generates renewable power through methane-rich landfills and digester</w:t>
      </w:r>
      <w:r>
        <w:rPr>
          <w:rFonts w:ascii="Arial" w:cs="Arial" w:eastAsia="Arial" w:hAnsi="Arial"/>
          <w:sz w:val="18"/>
          <w:szCs w:val="18"/>
          <w:b w:val="1"/>
          <w:bCs w:val="1"/>
          <w:color w:val="auto"/>
        </w:rPr>
        <w:t xml:space="preserve"> </w:t>
      </w:r>
      <w:r>
        <w:rPr>
          <w:rFonts w:ascii="Arial" w:cs="Arial" w:eastAsia="Arial" w:hAnsi="Arial"/>
          <w:sz w:val="18"/>
          <w:szCs w:val="18"/>
          <w:color w:val="auto"/>
        </w:rPr>
        <w:t>gas collection systems primarily located in Southern California. RP3 sells renewable power to public utilities throughout the United States. The Renewable Power 4 (“RP4”) portfolio generates renewable power through methane-rich landfills and digester gas collection systems. RP4 sells renewable power to public utilities throughout the United States.</w:t>
      </w:r>
    </w:p>
    <w:p>
      <w:pPr>
        <w:spacing w:after="0" w:line="179"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RNG Fuel. </w:t>
      </w:r>
      <w:r>
        <w:rPr>
          <w:rFonts w:ascii="Arial" w:cs="Arial" w:eastAsia="Arial" w:hAnsi="Arial"/>
          <w:sz w:val="18"/>
          <w:szCs w:val="18"/>
          <w:color w:val="auto"/>
        </w:rPr>
        <w:t>This division relates to all RNG supply and dispensing related activities directly related to the generation and sale of brown gas and</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credits.</w:t>
      </w:r>
    </w:p>
    <w:p>
      <w:pPr>
        <w:spacing w:after="0" w:line="192"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Development and construction – RNG facilities in which long term gas right contracts have been or in the process of being ratified and the building of RNG generation facilities.</w:t>
      </w:r>
    </w:p>
    <w:p>
      <w:pPr>
        <w:spacing w:after="0" w:line="197"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7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Fuel Station Services. </w:t>
      </w:r>
      <w:r>
        <w:rPr>
          <w:rFonts w:ascii="Arial" w:cs="Arial" w:eastAsia="Arial" w:hAnsi="Arial"/>
          <w:sz w:val="17"/>
          <w:szCs w:val="17"/>
          <w:color w:val="auto"/>
        </w:rPr>
        <w:t>The Company also provides maintenance services to third-party owners of vehicle fueling stations. It includes</w:t>
      </w:r>
    </w:p>
    <w:p>
      <w:pPr>
        <w:spacing w:after="0" w:line="267"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Service and maintenance contracts for RNG/CNG fueling sites across the US. Includes a manufacturing division that builds Compact Fueling Systems (CFS) and Defueling systems.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Third Party CNG Construction of Fueling Stations. Design/build and serve as general contractor for typically Guarantee Maxim Price (GMP) or fixed priced contracts for customers typically lasting less than one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Consists of a multitude of activities managed and maintained at a corporate level primarily including but not limited to:</w:t>
      </w:r>
    </w:p>
    <w:p>
      <w:pPr>
        <w:spacing w:after="0" w:line="256"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accounting, finance, sales activities such as: payroll, stock compensation expense, travel and other related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Insurance, professional fees (Audit, tax, legal etc.)</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Renewable Power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22,321</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59,475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34,903</w:t>
            </w: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17,177</w:t>
            </w:r>
          </w:p>
        </w:tc>
      </w:tr>
      <w:tr>
        <w:trPr>
          <w:trHeight w:val="257"/>
        </w:trPr>
        <w:tc>
          <w:tcPr>
            <w:tcW w:w="8680" w:type="dxa"/>
            <w:vAlign w:val="bottom"/>
          </w:tcPr>
          <w:p>
            <w:pPr>
              <w:ind w:left="10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Intersegment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(2,485)</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Equity Method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(5,089)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(14,181)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57,784</w:t>
            </w:r>
          </w:p>
        </w:tc>
      </w:tr>
    </w:tbl>
    <w:p>
      <w:pPr>
        <w:spacing w:after="0" w:line="8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Other includes revenues of Fortistar Contracting LLC.</w:t>
      </w:r>
    </w:p>
    <w:p>
      <w:pPr>
        <w:spacing w:after="0" w:line="198"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and Financing Expense,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Renewable Power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(2,070)</w:t>
            </w:r>
          </w:p>
        </w:tc>
      </w:tr>
      <w:tr>
        <w:trPr>
          <w:trHeight w:val="216"/>
        </w:trPr>
        <w:tc>
          <w:tcPr>
            <w:tcW w:w="8680" w:type="dxa"/>
            <w:vAlign w:val="bottom"/>
          </w:tcPr>
          <w:p>
            <w:pPr>
              <w:ind w:left="120"/>
              <w:spacing w:after="0"/>
              <w:rPr>
                <w:sz w:val="20"/>
                <w:szCs w:val="20"/>
                <w:color w:val="auto"/>
              </w:rPr>
            </w:pPr>
            <w:r>
              <w:rPr>
                <w:rFonts w:ascii="Arial" w:cs="Arial" w:eastAsia="Arial" w:hAnsi="Arial"/>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50"/>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(4,238)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Renewable Power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57"/>
        </w:trPr>
        <w:tc>
          <w:tcPr>
            <w:tcW w:w="8680" w:type="dxa"/>
            <w:vAlign w:val="bottom"/>
          </w:tcPr>
          <w:p>
            <w:pPr>
              <w:ind w:left="10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3460" w:hanging="5532"/>
        <w:spacing w:after="0" w:line="618" w:lineRule="auto"/>
        <w:tabs>
          <w:tab w:leader="none" w:pos="338"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Other includes amortization of intangible assets and depreciation expense not allocated to any segment.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Renewable Power (2)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(4,850)</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13,642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Fuel Station Services (2)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3,414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Corporate (1) (2)</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(19,660)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18,177</w:t>
            </w:r>
          </w:p>
        </w:tc>
        <w:tc>
          <w:tcPr>
            <w:tcW w:w="100" w:type="dxa"/>
            <w:vAlign w:val="bottom"/>
            <w:tcBorders>
              <w:top w:val="single" w:sz="8" w:color="CCEEFF"/>
            </w:tcBorders>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Net Income for Corporate segment includes $19,818 gain on acquisition of equity method investment for the six months ended June 30, 2021.</w:t>
      </w:r>
    </w:p>
    <w:p>
      <w:pPr>
        <w:spacing w:after="0" w:line="4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8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paid for Purchases of Property, Plant, and Equipment:</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Renewable Power</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Fuel Station Services</w:t>
            </w:r>
          </w:p>
        </w:tc>
        <w:tc>
          <w:tcPr>
            <w:tcW w:w="4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RNG Fuel</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34,422</w:t>
            </w:r>
          </w:p>
        </w:tc>
        <w:tc>
          <w:tcPr>
            <w:tcW w:w="0" w:type="dxa"/>
            <w:vAlign w:val="bottom"/>
          </w:tcPr>
          <w:p>
            <w:pPr>
              <w:spacing w:after="0"/>
              <w:rPr>
                <w:sz w:val="1"/>
                <w:szCs w:val="1"/>
                <w:color w:val="auto"/>
              </w:rPr>
            </w:pPr>
          </w:p>
        </w:tc>
      </w:tr>
      <w:tr>
        <w:trPr>
          <w:trHeight w:val="27"/>
        </w:trPr>
        <w:tc>
          <w:tcPr>
            <w:tcW w:w="49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Pr>
          <w:p>
            <w:pPr>
              <w:spacing w:after="0"/>
              <w:rPr>
                <w:sz w:val="21"/>
                <w:szCs w:val="21"/>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55,159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34,422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780" w:type="dxa"/>
            <w:vAlign w:val="bottom"/>
            <w:vMerge w:val="restart"/>
          </w:tcPr>
          <w:p>
            <w:pPr>
              <w:jc w:val="right"/>
              <w:ind w:right="287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Arial" w:cs="Arial" w:eastAsia="Arial" w:hAnsi="Arial"/>
                <w:sz w:val="18"/>
                <w:szCs w:val="18"/>
                <w:color w:val="auto"/>
              </w:rPr>
              <w:t>Renewable Power</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43,728</w:t>
            </w:r>
          </w:p>
        </w:tc>
      </w:tr>
      <w:tr>
        <w:trPr>
          <w:trHeight w:val="21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RNG Fuel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Arial" w:cs="Arial" w:eastAsia="Arial" w:hAnsi="Arial"/>
                <w:sz w:val="18"/>
                <w:szCs w:val="18"/>
                <w:color w:val="auto"/>
              </w:rPr>
              <w:t>Fuel Station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r>
      <w:tr>
        <w:trPr>
          <w:trHeight w:val="21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17,528</w:t>
            </w:r>
          </w:p>
        </w:tc>
      </w:tr>
      <w:tr>
        <w:trPr>
          <w:trHeight w:val="257"/>
        </w:trPr>
        <w:tc>
          <w:tcPr>
            <w:tcW w:w="8680" w:type="dxa"/>
            <w:vAlign w:val="bottom"/>
          </w:tcPr>
          <w:p>
            <w:pPr>
              <w:ind w:left="1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29"/>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512,244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380,844</w:t>
            </w:r>
          </w:p>
        </w:tc>
        <w:tc>
          <w:tcPr>
            <w:tcW w:w="10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0" w:hanging="332"/>
        <w:spacing w:after="0" w:line="527"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 includes total assets associated with Fortistar Contracting LLC as the Company does not maintain segment-level records for these balances. Geographic Information: The Company’s assets and revenue generating activities are domiciled in the United States.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June 30, 2022 and December 31, 2021, the Company held equity interests in five VIEs — Sunoma, GREP, Emerald, Sapphire, and Central Valley.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GREP has been presented as an equity method investment and the remaining four VIEs Sunoma, Emerald, Sapphire, and Central Valley are consolidated by the Company.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324"/>
        <w:spacing w:after="0" w:line="277" w:lineRule="auto"/>
        <w:rPr>
          <w:sz w:val="20"/>
          <w:szCs w:val="20"/>
          <w:color w:val="auto"/>
        </w:rPr>
      </w:pPr>
      <w:r>
        <w:rPr>
          <w:rFonts w:ascii="Arial" w:cs="Arial" w:eastAsia="Arial" w:hAnsi="Arial"/>
          <w:sz w:val="18"/>
          <w:szCs w:val="18"/>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70"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a primary beneficiary, the Company consolidates these entities in accordance with the variable interest entity model guidance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18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the VIEs are RNG facilities and they are reported under the RNG Fuel Supply segment;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20" w:firstLine="324"/>
        <w:spacing w:after="0" w:line="277" w:lineRule="auto"/>
        <w:rPr>
          <w:sz w:val="20"/>
          <w:szCs w:val="20"/>
          <w:color w:val="auto"/>
        </w:rPr>
      </w:pPr>
      <w:r>
        <w:rPr>
          <w:rFonts w:ascii="Arial" w:cs="Arial" w:eastAsia="Arial" w:hAnsi="Arial"/>
          <w:sz w:val="18"/>
          <w:szCs w:val="18"/>
          <w:color w:val="auto"/>
        </w:rPr>
        <w:t>The amount of assets that can only be used to settle obligations of the VIEs are parenthesized in the condensed consolidated balance sheets and are included in the asset totals listed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4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24,460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Restricted cash, non-current</w:t>
            </w:r>
          </w:p>
        </w:tc>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4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4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vMerge w:val="continue"/>
            <w:shd w:val="clear" w:color="auto" w:fill="CCEEFF"/>
          </w:tcPr>
          <w:p>
            <w:pPr>
              <w:spacing w:after="0"/>
              <w:rPr>
                <w:sz w:val="21"/>
                <w:szCs w:val="21"/>
                <w:color w:val="auto"/>
              </w:rPr>
            </w:pP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Current liabilities: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Accounts payable, related party</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expenses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Sunoma loan - current portion</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4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4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Sunoma loan, net of debt issuance costs</w:t>
            </w:r>
          </w:p>
        </w:tc>
        <w:tc>
          <w:tcPr>
            <w:tcW w:w="4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4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OPAL Fuels LLC equity</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4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equity</w:t>
            </w:r>
          </w:p>
        </w:tc>
        <w:tc>
          <w:tcPr>
            <w:tcW w:w="4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42,050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13. Redeemable Preferred Units and Equity</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November 29, 2021, Mendocino Capital LLC (“NextEra”)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the redeemable preferred units from December 31, 2021 to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Series A-1 Preferred Units</w:t>
            </w: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Series A Preferred Units</w:t>
            </w:r>
          </w:p>
        </w:tc>
      </w:tr>
      <w:tr>
        <w:trPr>
          <w:trHeight w:val="237"/>
        </w:trPr>
        <w:tc>
          <w:tcPr>
            <w:tcW w:w="59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Series A units issued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Paid-in kind dividends on issued and outstanding units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b w:val="1"/>
                <w:bCs w:val="1"/>
                <w:color w:val="auto"/>
              </w:rPr>
              <w:t>Balance, June 30, 2022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31,417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101,228</w:t>
            </w:r>
          </w:p>
        </w:tc>
        <w:tc>
          <w:tcPr>
            <w:tcW w:w="80" w:type="dxa"/>
            <w:vAlign w:val="bottom"/>
          </w:tcPr>
          <w:p>
            <w:pPr>
              <w:spacing w:after="0"/>
              <w:rPr>
                <w:sz w:val="21"/>
                <w:szCs w:val="2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Income Per Unit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8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OPAL Fuels LLC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units - 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units - Diluted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Basic net (loss) income per unit</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(6,745)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18,636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unit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Purchase Options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June 26, 2020, Richmond Energy LLC (“Richmond”) declared a Force Majeure event under its PPA with Old Dominion Electric Cooperative (“ODEC”), dated as of November 3, 2010. The Force Majeure declaration stated that inspections of its Old Dominion landfill gas-to-electric facility (the “OD Facility”)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(“Settlement Agreement”). On February 8, 2022, Richmond paid ODEC $467 pursuant to the Settlement Agreement; liquidated damages for calendar year 2022, if any, will be assessed by ODEC during the first quarter of 2023.</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previously announced, ArcLight Clean Transition Corp. II (“ArcLight” and, after the Domestication as described below, (“New OPAL”), a Cayman Islands exempted company, entered into that certain Business Combination Agreement, dated December 2, 2021 (the “Business Combination Agreement”), by and among ArcLight, Opal Holdco LLC (“OPAL Holdco”), and OPAL Fuels LLC, a Delaware limited liability company (“OPAL Fuels”).</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21, 2022 (the “Domestication Date”), ArcLight competed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(the “Class B ordinary shares”),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New OPAL Class A common stock, par value $0.0001 per share (the “New OPAL Class A common stock”); (iii) each issued and outstanding whole warrant to purchase Class A ordinary shares of ArcLight automatically converted into a warrant to acquire one share of New OPAL Class A common stock at an exercise price of $11.50 per share (each a “New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New OPAL Class A common stock and one-fifth of one New OPAL warrant.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On July 21, 2022 (the “Closing Date”), as contemplated by the Business Combination Agreement:</w:t>
      </w:r>
    </w:p>
    <w:p>
      <w:pPr>
        <w:spacing w:after="0" w:line="225" w:lineRule="exact"/>
        <w:rPr>
          <w:sz w:val="20"/>
          <w:szCs w:val="20"/>
          <w:color w:val="auto"/>
        </w:rPr>
      </w:pPr>
    </w:p>
    <w:p>
      <w:pPr>
        <w:jc w:val="both"/>
        <w:ind w:left="66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of OPAL Fuels (collectively, the “OPAL Common Units”);</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OPAL contributed to OPAL Fuels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New OPAL contributed to OPAL Fuels, and OPAL Fuels in turn distributed to pre-closing members of OPAL Fuels, 144,399,037 shares of Class D common stock, par value $0.0001 per share, of New OPAL (the “New OPAL Class D common stock”) (such shares of New OPAL Class D common stock do not have any economic value but entitle the holder thereof to five votes per share) with the number of such shares of New OPAL Class D common stock equal to the number of OPAL Common Units held by each pre-closing member of OPAL Fuels;</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OPAL issued directly to ARCC Beacon LLC, a Delaware limited liability company (“Ares”), 3,059,533 shares of New OPAL Class A common stock;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OPAL Fuels issued to New OPAL 25,171,390 Class A Units of OPAL Fuels (the foregoing transactions being referred to as the “Business Combination”).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pursuant to subscription agreements entered into with certain investors (the “PIPE Investors”) in connection with the Business Combination (the “PIPE Investment”), concurrently with the closing of the Business Combination (the “Closing”), New OPAL received $105,806 in proceeds from the PIPE Investors, in exchange for which it issued 10,580,600 shares of New OPAL Class A common stock to the PIPE Investors. New OPAL received the remaining $5,000 subscribed for pursuant to the PIPE Investment from one of the PIPE Investors subsequent to the Closing and issued 500,000 shares of New OPAL Class A common stock.</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a forward share purchase agreement (the “Forward Purchase Agreement”) entered into between ArcLight and Meteora Capital Partners and its affiliates (collectively, “Meteora”),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After giving effect to the Business Combination, the redemption of public shares as described above, the consummation of the PIPE Investment, and the separation of the former ArcLight units, there are currently (i) 25,671,390 shares of New OPAL Class A common stock issued and outstanding, (ii) 144,399,037 shares of New OPAL Class D common stock issued and outstanding, (iii) no shares of Class B common stock, par value $0.0001 per share, of New OPAL (“New OPAL Class B common stock”) issued and outstanding (shares of New OPAL Class B common stock do not have any economic value but entitle the holder thereof to one vote per share) and (iv) no shares of Class C common stock, par value $0.0001 per share, of New OPAL (“New OPAL Class C common stock”) issued and outstanding (shares of New OPAL Class C common stock entitle the holder thereof to five votes per share).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324"/>
        <w:spacing w:after="0" w:line="308" w:lineRule="auto"/>
        <w:rPr>
          <w:sz w:val="20"/>
          <w:szCs w:val="20"/>
          <w:color w:val="auto"/>
        </w:rPr>
      </w:pPr>
      <w:r>
        <w:rPr>
          <w:rFonts w:ascii="Arial" w:cs="Arial" w:eastAsia="Arial" w:hAnsi="Arial"/>
          <w:sz w:val="17"/>
          <w:szCs w:val="17"/>
          <w:color w:val="auto"/>
        </w:rPr>
        <w:t>The New OPAL Class A common stock and New OPAL warrants commenced trading on the Nasdaq under the symbols “OPAL” and “OPALW,” respectively, on July 22, 2022, subject to ongoing review of New OPAL’s satisfaction of all listing criteria following the Business Combination.</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New OPAL to OPAL Fuels after the set aside of funds in escrow to support a Forward Purchase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19, 2022, Sunoma completed the conversion of the construction loan into a permanent loan and increased the commitment from $20,000 to $23,000.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15, 2022, the Company received a redemption notice from Biotown for the Note receivable and the Company subsequently received $11,555 including the prepayment penalty of $546 and accrued interest.</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4, 2022, OPAL Fuels Intermediate Holdco 2 LLC (“OPAL Intermediate Holdco 2”), a wholly-owned subsidiary of the Company, as borrower, together with its direct and indirect subsidiaries, as guarantors, entered into a new senior secured credit facility (the “Credit Agreement”)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w:t>
      </w:r>
    </w:p>
    <w:p>
      <w:pPr>
        <w:jc w:val="both"/>
        <w:ind w:firstLine="8"/>
        <w:spacing w:after="0" w:line="295" w:lineRule="auto"/>
        <w:tabs>
          <w:tab w:leader="none" w:pos="2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operations of Opal Fuels LLC, a Delaware limited liability company (“OPAL,” the “Company,” “we,” “us,” and “our”), should be read together with our unaudited condensed consolidated financial statements as of June 30, 2022 and for the six months ended June 30, 2022 and 2021, together with related notes thereto (the “Interim Financial Statements”), and our pro forma financial information as of and for the six-month period ended June 30, 2022 included as exhibits to the amendment (“Amendment No. 1”) to our Current Report on Form 8-K, which was originally filed with the Securities and Exchange Commission (the “SEC”) on July 27, 2022 (as originally filed, the “Original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titled “Risk Factors” and “Cautionary Statement Regarding Forward Looking Statements” set forth in or incorporated by reference into the Original Report.</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Capitalized terms included below but not defined in this Exhibit 99.2 have the same meaning as terms defined and included elsewhere in the Original Report(as amended by Amendment No.1) and, if not defined in the Original Report (as amended by Amendment No.1), the final prospectus and definitive proxy statement (the “Proxy Statement/Prospectus”) filed with the Commission on June 27,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Arial" w:cs="Arial" w:eastAsia="Arial" w:hAnsi="Arial"/>
          <w:sz w:val="16"/>
          <w:szCs w:val="16"/>
          <w:b w:val="1"/>
          <w:bCs w:val="1"/>
          <w:i w:val="1"/>
          <w:iCs w:val="1"/>
          <w:color w:val="auto"/>
        </w:rPr>
        <w:t>GGEs</w:t>
      </w:r>
      <w:r>
        <w:rPr>
          <w:rFonts w:ascii="Arial" w:cs="Arial" w:eastAsia="Arial" w:hAnsi="Arial"/>
          <w:sz w:val="16"/>
          <w:szCs w:val="16"/>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Opco was formed in December 2020 as a wholly owned subsidiary of OPAL Holdco under the laws of the State of Delaware. On December 31, 2020, Fortistar and certain of its affiliated entities (for purposes of this discussion, our “</w:t>
      </w:r>
      <w:r>
        <w:rPr>
          <w:rFonts w:ascii="Arial" w:cs="Arial" w:eastAsia="Arial" w:hAnsi="Arial"/>
          <w:sz w:val="18"/>
          <w:szCs w:val="18"/>
          <w:b w:val="1"/>
          <w:bCs w:val="1"/>
          <w:i w:val="1"/>
          <w:iCs w:val="1"/>
          <w:color w:val="auto"/>
        </w:rPr>
        <w:t>Ultimate Parent</w:t>
      </w:r>
      <w:r>
        <w:rPr>
          <w:rFonts w:ascii="Arial" w:cs="Arial" w:eastAsia="Arial" w:hAnsi="Arial"/>
          <w:sz w:val="18"/>
          <w:szCs w:val="18"/>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21, 2022, we completed the proposed business combination as per the terms of the Business Combination Agreement (“</w:t>
      </w:r>
      <w:r>
        <w:rPr>
          <w:rFonts w:ascii="Arial" w:cs="Arial" w:eastAsia="Arial" w:hAnsi="Arial"/>
          <w:sz w:val="16"/>
          <w:szCs w:val="16"/>
          <w:b w:val="1"/>
          <w:bCs w:val="1"/>
          <w:i w:val="1"/>
          <w:iCs w:val="1"/>
          <w:color w:val="auto"/>
        </w:rPr>
        <w:t>BCA</w:t>
      </w:r>
      <w:r>
        <w:rPr>
          <w:rFonts w:ascii="Arial" w:cs="Arial" w:eastAsia="Arial" w:hAnsi="Arial"/>
          <w:sz w:val="16"/>
          <w:szCs w:val="16"/>
          <w:color w:val="auto"/>
        </w:rPr>
        <w:t>”). In addition, pursuant to subscription agreements entered into with certain investors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i w:val="1"/>
          <w:iCs w:val="1"/>
          <w:color w:val="auto"/>
        </w:rPr>
        <w:t>PIPE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w:t>
      </w:r>
      <w:r>
        <w:rPr>
          <w:rFonts w:ascii="Arial" w:cs="Arial" w:eastAsia="Arial" w:hAnsi="Arial"/>
          <w:sz w:val="16"/>
          <w:szCs w:val="16"/>
          <w:color w:val="auto"/>
        </w:rPr>
        <w:t>”), concurrently with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we received $105.8 million in proceeds from the PIPE Investors,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exchange for which we issued 10,580,600 shares of Class A common stock to the PIPE Investors. We received the remaining $5 million subscribed for pursuant to the PIPE Investment from one of the PIPE Investors subsequent to the Closing and issued 500,000 shares of Class A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324"/>
        <w:spacing w:after="0" w:line="286" w:lineRule="auto"/>
        <w:rPr>
          <w:sz w:val="20"/>
          <w:szCs w:val="20"/>
          <w:color w:val="auto"/>
        </w:rPr>
      </w:pPr>
      <w:r>
        <w:rPr>
          <w:rFonts w:ascii="Arial" w:cs="Arial" w:eastAsia="Arial" w:hAnsi="Arial"/>
          <w:sz w:val="16"/>
          <w:szCs w:val="16"/>
          <w:color w:val="auto"/>
        </w:rPr>
        <w:t>After giving effect to the Business Combination, the redemption of public shares as described below, the consummation of the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w:t>
      </w:r>
      <w:r>
        <w:rPr>
          <w:rFonts w:ascii="Arial" w:cs="Arial" w:eastAsia="Arial" w:hAnsi="Arial"/>
          <w:sz w:val="16"/>
          <w:szCs w:val="16"/>
          <w:b w:val="1"/>
          <w:bCs w:val="1"/>
          <w:i w:val="1"/>
          <w:iCs w:val="1"/>
          <w:color w:val="auto"/>
        </w:rPr>
        <w:t>Class B 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issued and outstanding (shares of Class B common stock do not have any economic value but entitle the holder thereof to one vote per share) and</w:t>
      </w:r>
    </w:p>
    <w:p>
      <w:pPr>
        <w:spacing w:after="0" w:line="1" w:lineRule="exact"/>
        <w:rPr>
          <w:sz w:val="20"/>
          <w:szCs w:val="20"/>
          <w:color w:val="auto"/>
        </w:rPr>
      </w:pPr>
    </w:p>
    <w:p>
      <w:pPr>
        <w:ind w:firstLine="8"/>
        <w:spacing w:after="0" w:line="260" w:lineRule="auto"/>
        <w:tabs>
          <w:tab w:leader="none" w:pos="3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shares of our Class C common stock, par value $0.0001 per share, (“</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issued and outstanding (shares of Class C common stock entitle the holder thereof to five votes per share).</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Class A common stock and warrants commenced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under the symbols “OPAL” and “OPALW,” respectively, on July 22, 2022, subject to ongoing review of our satisfaction of all listing criteria following the Business Combination.</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10, 2021, we entered into a new 50/50 joint venture and formed Emerald RNG LLC (“</w:t>
      </w:r>
      <w:r>
        <w:rPr>
          <w:rFonts w:ascii="Arial" w:cs="Arial" w:eastAsia="Arial" w:hAnsi="Arial"/>
          <w:sz w:val="18"/>
          <w:szCs w:val="18"/>
          <w:b w:val="1"/>
          <w:bCs w:val="1"/>
          <w:i w:val="1"/>
          <w:iCs w:val="1"/>
          <w:color w:val="auto"/>
        </w:rPr>
        <w:t>Emerald</w:t>
      </w:r>
      <w:r>
        <w:rPr>
          <w:rFonts w:ascii="Arial" w:cs="Arial" w:eastAsia="Arial" w:hAnsi="Arial"/>
          <w:sz w:val="18"/>
          <w:szCs w:val="18"/>
          <w:color w:val="auto"/>
        </w:rPr>
        <w:t>”) to convert an existing electric facility into an RNG facility. As of June 30, 2022, we contributed $16.9 million as our share of capital investment towards the project.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29, 2021, Mendocino Capital LLC (“</w:t>
      </w:r>
      <w:r>
        <w:rPr>
          <w:rFonts w:ascii="Arial" w:cs="Arial" w:eastAsia="Arial" w:hAnsi="Arial"/>
          <w:sz w:val="17"/>
          <w:szCs w:val="17"/>
          <w:b w:val="1"/>
          <w:bCs w:val="1"/>
          <w:i w:val="1"/>
          <w:iCs w:val="1"/>
          <w:color w:val="auto"/>
        </w:rPr>
        <w:t>NextEra</w:t>
      </w:r>
      <w:r>
        <w:rPr>
          <w:rFonts w:ascii="Arial" w:cs="Arial" w:eastAsia="Arial" w:hAnsi="Arial"/>
          <w:sz w:val="17"/>
          <w:szCs w:val="17"/>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Influencing our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set forth in or incorporated by reference into the Original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Demand for RNG</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324"/>
        <w:spacing w:after="0" w:line="232" w:lineRule="exact"/>
        <w:rPr>
          <w:sz w:val="20"/>
          <w:szCs w:val="20"/>
          <w:color w:val="auto"/>
        </w:rPr>
      </w:pPr>
      <w:r>
        <w:rPr>
          <w:rFonts w:ascii="Arial" w:cs="Arial" w:eastAsia="Arial" w:hAnsi="Arial"/>
          <w:sz w:val="17"/>
          <w:szCs w:val="17"/>
          <w:color w:val="auto"/>
        </w:rPr>
        <w:t>Commercial transportation, including heavy-duty trucking, generates approximately 30% emissions of overall CO</w:t>
      </w:r>
      <w:r>
        <w:rPr>
          <w:rFonts w:ascii="MS PGothic" w:cs="MS PGothic" w:eastAsia="MS PGothic" w:hAnsi="MS PGothic"/>
          <w:sz w:val="17"/>
          <w:szCs w:val="17"/>
          <w:color w:val="auto"/>
        </w:rPr>
        <w:t>₂</w:t>
      </w:r>
      <w:r>
        <w:rPr>
          <w:rFonts w:ascii="Arial" w:cs="Arial" w:eastAsia="Arial" w:hAnsi="Arial"/>
          <w:sz w:val="17"/>
          <w:szCs w:val="17"/>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also exposed to the commodity prices of natural gas and diesel, which serve as alternative fuel for RNG and therefore impact the demand for RNG.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Power Markets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spacing w:after="0" w:line="180" w:lineRule="exact"/>
        <w:rPr>
          <w:sz w:val="20"/>
          <w:szCs w:val="20"/>
          <w:color w:val="auto"/>
        </w:rPr>
      </w:pPr>
    </w:p>
    <w:p>
      <w:pPr>
        <w:jc w:val="both"/>
        <w:ind w:left="660" w:hanging="328"/>
        <w:spacing w:after="0" w:line="25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RNG Fuel. </w:t>
      </w:r>
      <w:r>
        <w:rPr>
          <w:rFonts w:ascii="Arial" w:cs="Arial" w:eastAsia="Arial" w:hAnsi="Arial"/>
          <w:sz w:val="18"/>
          <w:szCs w:val="18"/>
          <w:color w:val="auto"/>
        </w:rPr>
        <w:t>Revenues are derived from the production and sale of RNG and Environmental Attributes to public utilities and other credit-worthy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including 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8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Renewable Power. </w:t>
      </w:r>
      <w:r>
        <w:rPr>
          <w:rFonts w:ascii="Arial" w:cs="Arial" w:eastAsia="Arial" w:hAnsi="Arial"/>
          <w:sz w:val="17"/>
          <w:szCs w:val="17"/>
          <w:color w:val="auto"/>
        </w:rPr>
        <w:t>Revenues are derived from the production and sale of both Renewable Power and RECs to public utilities and other credit-worthy counterparties under Power Purchase Agreements (“</w:t>
      </w:r>
      <w:r>
        <w:rPr>
          <w:rFonts w:ascii="Arial" w:cs="Arial" w:eastAsia="Arial" w:hAnsi="Arial"/>
          <w:sz w:val="17"/>
          <w:szCs w:val="17"/>
          <w:b w:val="1"/>
          <w:bCs w:val="1"/>
          <w:i w:val="1"/>
          <w:iCs w:val="1"/>
          <w:color w:val="auto"/>
        </w:rPr>
        <w:t>PPA</w:t>
      </w:r>
      <w:r>
        <w:rPr>
          <w:rFonts w:ascii="Arial" w:cs="Arial" w:eastAsia="Arial" w:hAnsi="Arial"/>
          <w:sz w:val="17"/>
          <w:szCs w:val="17"/>
          <w:color w:val="auto"/>
        </w:rPr>
        <w:t>”)s and other arrangements throughout the United States. The majority of our Renewable Power and REC 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Arial" w:cs="Arial" w:eastAsia="Arial" w:hAnsi="Arial"/>
          <w:sz w:val="17"/>
          <w:szCs w:val="17"/>
          <w:b w:val="1"/>
          <w:bCs w:val="1"/>
          <w:i w:val="1"/>
          <w:iCs w:val="1"/>
          <w:color w:val="auto"/>
        </w:rPr>
        <w:t>MWh</w:t>
      </w:r>
      <w:r>
        <w:rPr>
          <w:rFonts w:ascii="Arial" w:cs="Arial" w:eastAsia="Arial" w:hAnsi="Arial"/>
          <w:sz w:val="17"/>
          <w:szCs w:val="17"/>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76" w:lineRule="exact"/>
        <w:rPr>
          <w:rFonts w:ascii="Arial" w:cs="Arial" w:eastAsia="Arial" w:hAnsi="Arial"/>
          <w:sz w:val="17"/>
          <w:szCs w:val="17"/>
          <w:color w:val="auto"/>
        </w:rPr>
      </w:pPr>
    </w:p>
    <w:p>
      <w:pPr>
        <w:jc w:val="both"/>
        <w:ind w:left="660" w:hanging="328"/>
        <w:spacing w:after="0" w:line="25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Fuel Station Services. </w:t>
      </w:r>
      <w:r>
        <w:rPr>
          <w:rFonts w:ascii="Arial" w:cs="Arial" w:eastAsia="Arial" w:hAnsi="Arial"/>
          <w:sz w:val="18"/>
          <w:szCs w:val="18"/>
          <w:color w:val="auto"/>
        </w:rPr>
        <w:t>Revenues are derived from our services to design and construct RNG vehicle fueling stations for fleet operators,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ongoing 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costs of sales associated with each revenue category are as follows:</w:t>
      </w:r>
    </w:p>
    <w:p>
      <w:pPr>
        <w:spacing w:after="0" w:line="221" w:lineRule="exact"/>
        <w:rPr>
          <w:sz w:val="20"/>
          <w:szCs w:val="20"/>
          <w:color w:val="auto"/>
        </w:rPr>
      </w:pPr>
    </w:p>
    <w:p>
      <w:pPr>
        <w:ind w:left="660" w:hanging="328"/>
        <w:spacing w:after="0" w:line="28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RNG Fuel. </w:t>
      </w:r>
      <w:r>
        <w:rPr>
          <w:rFonts w:ascii="Arial" w:cs="Arial" w:eastAsia="Arial" w:hAnsi="Arial"/>
          <w:sz w:val="18"/>
          <w:szCs w:val="18"/>
          <w:color w:val="auto"/>
        </w:rPr>
        <w:t>Includes royalty payments to biogas site owners for the gas we capture; service provider costs; salaries and other indirect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production process; utilities; transportation, storage, and insurance; and depreciation of production facilities.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8" w:name="page59"/>
    <w:bookmarkEnd w:id="58"/>
    <w:p>
      <w:pPr>
        <w:ind w:left="660" w:hanging="328"/>
        <w:spacing w:after="0" w:line="28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Renewable Power. </w:t>
      </w:r>
      <w:r>
        <w:rPr>
          <w:rFonts w:ascii="Arial" w:cs="Arial" w:eastAsia="Arial" w:hAnsi="Arial"/>
          <w:sz w:val="18"/>
          <w:szCs w:val="18"/>
          <w:color w:val="auto"/>
        </w:rPr>
        <w:t>Includes land usage costs; service provider costs; salaries and other indirect expenses related to the production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utilities; and depreciation of production facilities.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Fuel Station Services. </w:t>
      </w:r>
      <w:r>
        <w:rPr>
          <w:rFonts w:ascii="Arial" w:cs="Arial" w:eastAsia="Arial" w:hAnsi="Arial"/>
          <w:sz w:val="18"/>
          <w:szCs w:val="18"/>
          <w:color w:val="auto"/>
        </w:rPr>
        <w:t>Include equipment supplier costs; service provider costs; and salaries and other indirect expenses.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Selling, general, and administrative expense consists of costs involving corporate overhead functions, including cost of services provided to us by an affiliate, and marketing costs.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our period-over-period comparisons below for more information about our performance for the six months ended June 30, 2022 and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period-over-period change for each line item in the Company’s statement of operations for the six months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RNG fuel</w:t>
            </w:r>
          </w:p>
        </w:tc>
        <w:tc>
          <w:tcPr>
            <w:tcW w:w="10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50,815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19,174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31,641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Renewable power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19,152</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21,437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(2,285)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Fuel station service</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32,297</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17,173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102,264</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57,784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44,480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sales - RNG fuel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30,884</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11,080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19,804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Renewable power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15,948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sales - Fuel station service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28,757</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14,317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14,440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18,810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Depreciation, amortization, and accretion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6,558</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4,059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2,499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100,957</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58,529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42,428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Operating income (loss)</w:t>
            </w:r>
          </w:p>
        </w:tc>
        <w:tc>
          <w:tcPr>
            <w:tcW w:w="7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1,307</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2,052</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and financing expense,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(6,408)</w:t>
            </w:r>
          </w:p>
        </w:tc>
        <w:tc>
          <w:tcPr>
            <w:tcW w:w="2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(3,305)</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(3,103)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9"/>
              </w:rPr>
              <w:t>Realized and unrealized gain on derivative financial instruments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(Loss) Income from equity method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2,392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(2,428)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 of equity method investment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19,818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(19,818)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 income</w:t>
            </w:r>
          </w:p>
        </w:tc>
        <w:tc>
          <w:tcPr>
            <w:tcW w:w="7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18,177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Paid-in-kind preferred dividends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OPAL Fuels LLC</w:t>
            </w:r>
          </w:p>
        </w:tc>
        <w:tc>
          <w:tcPr>
            <w:tcW w:w="8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RNG Fuel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 revenue increase of $1.0 million due to two new RNG facilities coming online - Sunoma and New River.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Power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Fuel Station Service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incremental service volumes from the addition of 16 new fueling service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RNG Fuel</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Power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Fuel Station Service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expense, net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 on interest rate swaps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from equity method investment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Gain on acquisition of equity method investment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Paid-in-kind preferred dividends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paid-in-kind preferred dividend for the six months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Arial" w:cs="Arial" w:eastAsia="Arial" w:hAnsi="Arial"/>
          <w:sz w:val="17"/>
          <w:szCs w:val="17"/>
          <w:b w:val="1"/>
          <w:bCs w:val="1"/>
          <w:i w:val="1"/>
          <w:iCs w:val="1"/>
          <w:color w:val="auto"/>
        </w:rPr>
        <w:t>DDTL Facility</w:t>
      </w:r>
      <w:r>
        <w:rPr>
          <w:rFonts w:ascii="Arial" w:cs="Arial" w:eastAsia="Arial" w:hAnsi="Arial"/>
          <w:sz w:val="17"/>
          <w:szCs w:val="17"/>
          <w:color w:val="auto"/>
        </w:rPr>
        <w:t>”) of up to a maximum aggregate principal amount of $100.0 million and Debt Service Reserve facility (the “</w:t>
      </w:r>
      <w:r>
        <w:rPr>
          <w:rFonts w:ascii="Arial" w:cs="Arial" w:eastAsia="Arial" w:hAnsi="Arial"/>
          <w:sz w:val="17"/>
          <w:szCs w:val="17"/>
          <w:b w:val="1"/>
          <w:bCs w:val="1"/>
          <w:i w:val="1"/>
          <w:iCs w:val="1"/>
          <w:color w:val="auto"/>
        </w:rPr>
        <w:t>DSR Facility</w:t>
      </w:r>
      <w:r>
        <w:rPr>
          <w:rFonts w:ascii="Arial" w:cs="Arial" w:eastAsia="Arial" w:hAnsi="Arial"/>
          <w:sz w:val="17"/>
          <w:szCs w:val="17"/>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Interim Financial Statements included as an exhibit to this Amendment No. 1., for additional information. Additionally, we expect to have an additional $35.0 million available under the OPAL term loan in the second half of 2022 upon the commencement of operations of three additional RNG facilities.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Amendment No. 1. Any reduction in demand for our products or our ability to manage our production facilities may result in lower cash flows from operations which may impact our ability to make investments and may require changes to our growth plan.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set forth in or incorporated by reference into the Original Report.</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right="20" w:firstLine="324"/>
        <w:spacing w:after="0" w:line="277" w:lineRule="auto"/>
        <w:rPr>
          <w:sz w:val="20"/>
          <w:szCs w:val="20"/>
          <w:color w:val="auto"/>
        </w:rPr>
      </w:pPr>
      <w:r>
        <w:rPr>
          <w:rFonts w:ascii="Arial" w:cs="Arial" w:eastAsia="Arial" w:hAnsi="Arial"/>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intend to make payments under our various debt instruments when due and pursue opportunities for earlier repayment and/or refinancing if and when these opportunities arise.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9"/>
              </w:rPr>
              <w:t xml:space="preserve">See Note 7, </w:t>
            </w:r>
            <w:r>
              <w:rPr>
                <w:rFonts w:ascii="Arial" w:cs="Arial" w:eastAsia="Arial" w:hAnsi="Arial"/>
                <w:sz w:val="18"/>
                <w:szCs w:val="18"/>
                <w:i w:val="1"/>
                <w:iCs w:val="1"/>
                <w:color w:val="auto"/>
                <w:w w:val="99"/>
              </w:rPr>
              <w:t>Borrowings,</w:t>
            </w:r>
            <w:r>
              <w:rPr>
                <w:rFonts w:ascii="Arial" w:cs="Arial" w:eastAsia="Arial" w:hAnsi="Arial"/>
                <w:sz w:val="18"/>
                <w:szCs w:val="18"/>
                <w:color w:val="auto"/>
                <w:w w:val="99"/>
              </w:rPr>
              <w:t xml:space="preserve"> to Interim Financial Statements included as an exhibit to this Amendment No. 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8"/>
              </w:rPr>
              <w:t>The following table presents the Company’s cash flows for the six months ended June 30,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provided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(54,298)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(28,752)</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from 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121,961</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28,278</w:t>
            </w:r>
          </w:p>
        </w:tc>
      </w:tr>
      <w:tr>
        <w:trPr>
          <w:trHeight w:val="21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increase in cash, restricted cash, and cash equivalents</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2022 was $54.3 million,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We plan to fund these expenditures primarily through cash on hand, cash generated from operations, and cash from the Business Combination and PIPE Investment.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2025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2023-2024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beyond</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Senior secured facility – term loan</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72,632</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Arial" w:cs="Arial" w:eastAsia="Arial" w:hAnsi="Arial"/>
                <w:sz w:val="18"/>
                <w:szCs w:val="18"/>
                <w:color w:val="auto"/>
              </w:rPr>
              <w:t>Senior secured facility – working capital facility</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Sunoma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Arial" w:cs="Arial" w:eastAsia="Arial" w:hAnsi="Arial"/>
                <w:sz w:val="18"/>
                <w:szCs w:val="18"/>
                <w:color w:val="auto"/>
              </w:rPr>
              <w:t>Municipality loan</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6"/>
        </w:trPr>
        <w:tc>
          <w:tcPr>
            <w:tcW w:w="5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Convertible note payable</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60,820</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60,820</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Arial" w:cs="Arial" w:eastAsia="Arial" w:hAnsi="Arial"/>
                <w:sz w:val="18"/>
                <w:szCs w:val="18"/>
                <w:color w:val="auto"/>
              </w:rPr>
              <w:t>OPAL term loan</w:t>
            </w:r>
            <w:r>
              <w:rPr>
                <w:rFonts w:ascii="Arial" w:cs="Arial" w:eastAsia="Arial" w:hAnsi="Arial"/>
                <w:sz w:val="29"/>
                <w:szCs w:val="29"/>
                <w:color w:val="auto"/>
                <w:vertAlign w:val="superscript"/>
              </w:rPr>
              <w:t>(4)</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9,666</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38,664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35,226</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83,556</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Lease commitments</w:t>
            </w:r>
            <w:r>
              <w:rPr>
                <w:rFonts w:ascii="Arial" w:cs="Arial" w:eastAsia="Arial" w:hAnsi="Arial"/>
                <w:sz w:val="29"/>
                <w:szCs w:val="29"/>
                <w:color w:val="auto"/>
                <w:vertAlign w:val="superscript"/>
              </w:rPr>
              <w:t>(5)</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90,956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45,597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110,225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246,778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The debt is due to be fully repaid in December 2022.</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The debt payments represent the quarterly amortization payments due to be paid per the terms of the Municipality loan.</w:t>
      </w:r>
    </w:p>
    <w:p>
      <w:pPr>
        <w:spacing w:after="0" w:line="202" w:lineRule="exact"/>
        <w:rPr>
          <w:rFonts w:ascii="Arial" w:cs="Arial" w:eastAsia="Arial" w:hAnsi="Arial"/>
          <w:sz w:val="30"/>
          <w:szCs w:val="30"/>
          <w:color w:val="auto"/>
          <w:vertAlign w:val="superscript"/>
        </w:rPr>
      </w:pPr>
    </w:p>
    <w:p>
      <w:pPr>
        <w:jc w:val="both"/>
        <w:ind w:left="340" w:hanging="332"/>
        <w:spacing w:after="0" w:line="245" w:lineRule="auto"/>
        <w:tabs>
          <w:tab w:leader="none" w:pos="340" w:val="left"/>
        </w:tabs>
        <w:numPr>
          <w:ilvl w:val="0"/>
          <w:numId w:val="58"/>
        </w:numPr>
        <w:rPr>
          <w:rFonts w:ascii="Arial" w:cs="Arial" w:eastAsia="Arial" w:hAnsi="Arial"/>
          <w:sz w:val="27"/>
          <w:szCs w:val="27"/>
          <w:color w:val="auto"/>
          <w:vertAlign w:val="superscript"/>
        </w:rPr>
      </w:pPr>
      <w:r>
        <w:rPr>
          <w:rFonts w:ascii="Arial" w:cs="Arial" w:eastAsia="Arial" w:hAnsi="Arial"/>
          <w:sz w:val="16"/>
          <w:szCs w:val="16"/>
          <w:color w:val="auto"/>
        </w:rPr>
        <w:t>Represents the fair value of the convertible note payable as of June 30, 2022 which includes $5.4 million of payment-in-kind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spacing w:after="0" w:line="84"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The debt payments represent the quarterly amortization payments due to be paid per the terms of the OPAL term loan.</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Lease commitments represent payments due on our office and vehicle leases.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5"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7"/>
          <w:szCs w:val="17"/>
          <w:b w:val="1"/>
          <w:bCs w:val="1"/>
          <w:color w:val="auto"/>
        </w:rPr>
        <w:t>The preparation of financial statements in conformity with generally accepted accounting principles in the United States (“</w:t>
      </w:r>
      <w:r>
        <w:rPr>
          <w:rFonts w:ascii="Arial" w:cs="Arial" w:eastAsia="Arial" w:hAnsi="Arial"/>
          <w:sz w:val="17"/>
          <w:szCs w:val="17"/>
          <w:b w:val="1"/>
          <w:bCs w:val="1"/>
          <w:i w:val="1"/>
          <w:iCs w:val="1"/>
          <w:color w:val="auto"/>
        </w:rPr>
        <w:t>GAAP</w:t>
      </w:r>
      <w:r>
        <w:rPr>
          <w:rFonts w:ascii="Arial" w:cs="Arial" w:eastAsia="Arial" w:hAnsi="Arial"/>
          <w:sz w:val="17"/>
          <w:szCs w:val="17"/>
          <w:b w:val="1"/>
          <w:bCs w:val="1"/>
          <w:color w:val="auto"/>
        </w:rPr>
        <w:t>”) requires management to make estimates and assumptions that affect the reported amounts and disclosures in our financial statements.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contingent payout to non-controlling interest in Central Valley, the impairment assessment of goodwill and the fair value of derivatives. Actual results could differ from those estimates.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critical accounting policies discussed below are a subset of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Interim Financial Statements included as an exhibit to this Amendment No.1. The policies outlined in this section involve a significant level of estimation uncertainty and are reasonably likely to have a material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Power</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 Fuel Purchase Agreements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Interstate Gas Pipeline Delivery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Attributes.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w:t>
      </w:r>
    </w:p>
    <w:p>
      <w:pPr>
        <w:spacing w:after="0" w:line="22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We have operating and maintenance (“</w:t>
      </w:r>
      <w:r>
        <w:rPr>
          <w:rFonts w:ascii="Arial" w:cs="Arial" w:eastAsia="Arial" w:hAnsi="Arial"/>
          <w:sz w:val="17"/>
          <w:szCs w:val="17"/>
          <w:b w:val="1"/>
          <w:bCs w:val="1"/>
          <w:i w:val="1"/>
          <w:iCs w:val="1"/>
          <w:color w:val="auto"/>
        </w:rPr>
        <w:t>O&amp;M</w:t>
      </w:r>
      <w:r>
        <w:rPr>
          <w:rFonts w:ascii="Arial" w:cs="Arial" w:eastAsia="Arial" w:hAnsi="Arial"/>
          <w:sz w:val="17"/>
          <w:szCs w:val="17"/>
          <w:color w:val="auto"/>
        </w:rPr>
        <w:t>”) agreements in which we are contracted to operate, maintain, and repair landfill site gas collection systems. Revenue is based on the volume of per million British thermal units (“</w:t>
      </w:r>
      <w:r>
        <w:rPr>
          <w:rFonts w:ascii="Arial" w:cs="Arial" w:eastAsia="Arial" w:hAnsi="Arial"/>
          <w:sz w:val="17"/>
          <w:szCs w:val="17"/>
          <w:b w:val="1"/>
          <w:bCs w:val="1"/>
          <w:i w:val="1"/>
          <w:iCs w:val="1"/>
          <w:color w:val="auto"/>
        </w:rPr>
        <w:t>MMBtu</w:t>
      </w:r>
      <w:r>
        <w:rPr>
          <w:rFonts w:ascii="Arial" w:cs="Arial" w:eastAsia="Arial" w:hAnsi="Arial"/>
          <w:sz w:val="17"/>
          <w:szCs w:val="17"/>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Construction Type Contracts — Third Party</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Long-Lived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our assessment for the six months ended June 30, 2022, there is no impairment recorded on our Plant, Property and Equipment.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Refer to Note 9, </w:t>
      </w:r>
      <w:r>
        <w:rPr>
          <w:rFonts w:ascii="Arial" w:cs="Arial" w:eastAsia="Arial" w:hAnsi="Arial"/>
          <w:sz w:val="17"/>
          <w:szCs w:val="17"/>
          <w:i w:val="1"/>
          <w:iCs w:val="1"/>
          <w:color w:val="auto"/>
        </w:rPr>
        <w:t>Derivative Financial Instruments and Fair Value Measurements,</w:t>
      </w:r>
      <w:r>
        <w:rPr>
          <w:rFonts w:ascii="Arial" w:cs="Arial" w:eastAsia="Arial" w:hAnsi="Arial"/>
          <w:sz w:val="17"/>
          <w:szCs w:val="17"/>
          <w:color w:val="auto"/>
        </w:rPr>
        <w:t xml:space="preserve"> to our Interim Financial Statements included as an exhibit to this Amendment No.1, for details on our assets and liabilities regularly recorded at fair value and the respective placements in the fair value hierarchy.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response to the COVID-19 pandemic, we instituted a safety committee that oversees our compliance with federal, state, and local government mandates, and ensures that the Company adheres to Centers for Disease Control (“</w:t>
      </w:r>
      <w:r>
        <w:rPr>
          <w:rFonts w:ascii="Arial" w:cs="Arial" w:eastAsia="Arial" w:hAnsi="Arial"/>
          <w:sz w:val="17"/>
          <w:szCs w:val="17"/>
          <w:b w:val="1"/>
          <w:bCs w:val="1"/>
          <w:i w:val="1"/>
          <w:iCs w:val="1"/>
          <w:color w:val="auto"/>
        </w:rPr>
        <w:t>CDC</w:t>
      </w:r>
      <w:r>
        <w:rPr>
          <w:rFonts w:ascii="Arial" w:cs="Arial" w:eastAsia="Arial" w:hAnsi="Arial"/>
          <w:sz w:val="17"/>
          <w:szCs w:val="17"/>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7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the date of Amendment No.1,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set forth in or incorporated by reference into the Original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Arial" w:cs="Arial" w:eastAsia="Arial" w:hAnsi="Arial"/>
          <w:sz w:val="18"/>
          <w:szCs w:val="18"/>
          <w:i w:val="1"/>
          <w:iCs w:val="1"/>
          <w:color w:val="auto"/>
        </w:rPr>
        <w:t>Derivative Financial Instruments and Fair Value Measurements,</w:t>
      </w:r>
      <w:r>
        <w:rPr>
          <w:rFonts w:ascii="Arial" w:cs="Arial" w:eastAsia="Arial" w:hAnsi="Arial"/>
          <w:sz w:val="18"/>
          <w:szCs w:val="18"/>
          <w:color w:val="auto"/>
        </w:rPr>
        <w:t xml:space="preserve"> to our Interim Financial Statements included as an exhibit to this Amendment No.1.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Arial" w:cs="Arial" w:eastAsia="Arial" w:hAnsi="Arial"/>
          <w:sz w:val="18"/>
          <w:szCs w:val="18"/>
          <w:b w:val="1"/>
          <w:bCs w:val="1"/>
          <w:i w:val="1"/>
          <w:iCs w:val="1"/>
          <w:color w:val="auto"/>
        </w:rPr>
        <w:t>ISDA</w:t>
      </w:r>
      <w:r>
        <w:rPr>
          <w:rFonts w:ascii="Arial" w:cs="Arial" w:eastAsia="Arial" w:hAnsi="Arial"/>
          <w:sz w:val="18"/>
          <w:szCs w:val="18"/>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commodity swaps in place as of June 30, 2022 and December 31, 2021. There were no new commodity swap contracts entered in the six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Quantity per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41"/>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Trade Date</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 From</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Period To</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(“MWh”)</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(per MWh)</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14, 2018</w:t>
            </w:r>
          </w:p>
        </w:tc>
        <w:tc>
          <w:tcPr>
            <w:tcW w:w="1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October 28, 2021</w:t>
            </w:r>
          </w:p>
        </w:tc>
        <w:tc>
          <w:tcPr>
            <w:tcW w:w="29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November 1, 2021</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31, 2022</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30,660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48.75</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27, 2021</w:t>
            </w:r>
          </w:p>
        </w:tc>
        <w:tc>
          <w:tcPr>
            <w:tcW w:w="29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January 1, 2022</w:t>
            </w:r>
          </w:p>
        </w:tc>
        <w:tc>
          <w:tcPr>
            <w:tcW w:w="2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2022</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26,280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Arial" w:cs="Arial" w:eastAsia="Arial" w:hAnsi="Arial"/>
          <w:sz w:val="18"/>
          <w:szCs w:val="18"/>
          <w:i w:val="1"/>
          <w:iCs w:val="1"/>
          <w:color w:val="auto"/>
        </w:rPr>
        <w:t>Derivative Financial Instruments and Fair Value Measurements,</w:t>
      </w:r>
      <w:r>
        <w:rPr>
          <w:rFonts w:ascii="Arial" w:cs="Arial" w:eastAsia="Arial" w:hAnsi="Arial"/>
          <w:sz w:val="18"/>
          <w:szCs w:val="18"/>
          <w:color w:val="auto"/>
        </w:rPr>
        <w:t xml:space="preserve"> to our Interim Financial Statements included as an exhibit to this Amendment No.1.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Attribute Pricing Risk</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approximately$7.3 million for the six months ended June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Capitalized terms included below but not defined in this Exhibit 99.3 have the same meaning as terms defined and included elsewhere in the Current Report on Form 8-K (the “Original Report”) filed with the Securities and Exchange Commission (the “Commission”) on July 27, 2022 (as amended by this Current Report on Form 8-K/A) and, if not defined in the Original Report (as amended by this Current Report on Form 8-K/A), the final prospectus and definitive proxy statement (the “Proxy Statement/Prospectus”) filed with the Commission on June 27, 2022. Unless the context otherwise requires, the “Company,” “we,” “us,” or “our” refers to OPAL Fuels Inc. and its subsidiaries after giving effect to the Closing.</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for purposes of this section, and other related events as described in Note 1 to the accompanying Notes to the unaudited pro forma condensed combined financial information:</w:t>
      </w:r>
    </w:p>
    <w:p>
      <w:pPr>
        <w:spacing w:after="0" w:line="192" w:lineRule="exact"/>
        <w:rPr>
          <w:sz w:val="20"/>
          <w:szCs w:val="20"/>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combination of Opal Fuels LLC (“</w:t>
      </w:r>
      <w:r>
        <w:rPr>
          <w:rFonts w:ascii="Arial" w:cs="Arial" w:eastAsia="Arial" w:hAnsi="Arial"/>
          <w:sz w:val="18"/>
          <w:szCs w:val="18"/>
          <w:b w:val="1"/>
          <w:bCs w:val="1"/>
          <w:i w:val="1"/>
          <w:iCs w:val="1"/>
          <w:color w:val="auto"/>
        </w:rPr>
        <w:t>Opco</w:t>
      </w:r>
      <w:r>
        <w:rPr>
          <w:rFonts w:ascii="Arial" w:cs="Arial" w:eastAsia="Arial" w:hAnsi="Arial"/>
          <w:sz w:val="18"/>
          <w:szCs w:val="18"/>
          <w:color w:val="auto"/>
        </w:rPr>
        <w:t>”) and ArcLight Clean Transition Corp II (“</w:t>
      </w:r>
      <w:r>
        <w:rPr>
          <w:rFonts w:ascii="Arial" w:cs="Arial" w:eastAsia="Arial" w:hAnsi="Arial"/>
          <w:sz w:val="18"/>
          <w:szCs w:val="18"/>
          <w:b w:val="1"/>
          <w:bCs w:val="1"/>
          <w:i w:val="1"/>
          <w:iCs w:val="1"/>
          <w:color w:val="auto"/>
        </w:rPr>
        <w:t>ArcLight</w:t>
      </w:r>
      <w:r>
        <w:rPr>
          <w:rFonts w:ascii="Arial" w:cs="Arial" w:eastAsia="Arial" w:hAnsi="Arial"/>
          <w:sz w:val="18"/>
          <w:szCs w:val="18"/>
          <w:color w:val="auto"/>
        </w:rPr>
        <w:t>”), referred to herein as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including the other events contemplated by the Business Combination Agreement;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NextEra Subscription Agreement with Mendocino Capital, LLC, a Delaware limited liability company (“</w:t>
      </w:r>
      <w:r>
        <w:rPr>
          <w:rFonts w:ascii="Arial" w:cs="Arial" w:eastAsia="Arial" w:hAnsi="Arial"/>
          <w:sz w:val="18"/>
          <w:szCs w:val="18"/>
          <w:b w:val="1"/>
          <w:bCs w:val="1"/>
          <w:i w:val="1"/>
          <w:iCs w:val="1"/>
          <w:color w:val="auto"/>
        </w:rPr>
        <w:t>NextEra</w:t>
      </w:r>
      <w:r>
        <w:rPr>
          <w:rFonts w:ascii="Arial" w:cs="Arial" w:eastAsia="Arial" w:hAnsi="Arial"/>
          <w:sz w:val="18"/>
          <w:szCs w:val="18"/>
          <w:color w:val="auto"/>
        </w:rPr>
        <w:t>”), pursuant to which NextEra purchased 1,000,000 Opco Series A Preferred Units (the “</w:t>
      </w:r>
      <w:r>
        <w:rPr>
          <w:rFonts w:ascii="Arial" w:cs="Arial" w:eastAsia="Arial" w:hAnsi="Arial"/>
          <w:sz w:val="18"/>
          <w:szCs w:val="18"/>
          <w:b w:val="1"/>
          <w:bCs w:val="1"/>
          <w:i w:val="1"/>
          <w:iCs w:val="1"/>
          <w:color w:val="auto"/>
        </w:rPr>
        <w:t>NextEra Subscription</w:t>
      </w:r>
      <w:r>
        <w:rPr>
          <w:rFonts w:ascii="Arial" w:cs="Arial" w:eastAsia="Arial" w:hAnsi="Arial"/>
          <w:sz w:val="18"/>
          <w:szCs w:val="18"/>
          <w:color w:val="auto"/>
        </w:rPr>
        <w:t>”) as of June 30, 2022;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acquisition of Beacon RNG LLC (“</w:t>
      </w:r>
      <w:r>
        <w:rPr>
          <w:rFonts w:ascii="Arial" w:cs="Arial" w:eastAsia="Arial" w:hAnsi="Arial"/>
          <w:sz w:val="18"/>
          <w:szCs w:val="18"/>
          <w:b w:val="1"/>
          <w:bCs w:val="1"/>
          <w:i w:val="1"/>
          <w:iCs w:val="1"/>
          <w:color w:val="auto"/>
        </w:rPr>
        <w:t>Beacon</w:t>
      </w:r>
      <w:r>
        <w:rPr>
          <w:rFonts w:ascii="Arial" w:cs="Arial" w:eastAsia="Arial" w:hAnsi="Arial"/>
          <w:sz w:val="18"/>
          <w:szCs w:val="18"/>
          <w:color w:val="auto"/>
        </w:rPr>
        <w:t>”) by Opco in May of 2021 (the “</w:t>
      </w:r>
      <w:r>
        <w:rPr>
          <w:rFonts w:ascii="Arial" w:cs="Arial" w:eastAsia="Arial" w:hAnsi="Arial"/>
          <w:sz w:val="18"/>
          <w:szCs w:val="18"/>
          <w:b w:val="1"/>
          <w:bCs w:val="1"/>
          <w:i w:val="1"/>
          <w:iCs w:val="1"/>
          <w:color w:val="auto"/>
        </w:rPr>
        <w:t>Beacon Transaction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48"/>
        <w:spacing w:after="0" w:line="273" w:lineRule="auto"/>
        <w:rPr>
          <w:sz w:val="20"/>
          <w:szCs w:val="20"/>
          <w:color w:val="auto"/>
        </w:rPr>
      </w:pPr>
      <w:r>
        <w:rPr>
          <w:rFonts w:ascii="Arial" w:cs="Arial" w:eastAsia="Arial" w:hAnsi="Arial"/>
          <w:sz w:val="17"/>
          <w:szCs w:val="17"/>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225"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ArcLight, as of, and for the six months ended June 30, 2022, included in the Company’s Quarterly Report on Form 10-Q filed with the SEC on August 9, 2022, and incorporated herein by reference and the historical audited financial statements of ArcLight as of and for the period from January 13, 2021 (inception) through December 31, 2021 included in the Proxy Statement/Prospectus and incorporated herein by reference;</w:t>
      </w:r>
    </w:p>
    <w:p>
      <w:pPr>
        <w:spacing w:after="0" w:line="186"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Opco, as of, and for the six months ended June 30, 2022 which are included as an exhibit to this Form 8-K/A and incorporated herein by reference, and the historical audited consolidated financial statements of Opco as of and for the year ended December 31, 2021, included in the Proxy Statement/Prospectus and incorporated herein by reference;</w:t>
      </w:r>
    </w:p>
    <w:p>
      <w:pPr>
        <w:spacing w:after="0" w:line="1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Beacon, as of, and for the four months ended April 30, 2021, included in the Proxy Statement/Prospectus and incorporated herein by reference;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as an exhibit to this Form 8-K/A and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6"/>
            <w:vMerge w:val="restart"/>
          </w:tcPr>
          <w:p>
            <w:pPr>
              <w:jc w:val="right"/>
              <w:ind w:right="960"/>
              <w:spacing w:after="0"/>
              <w:rPr>
                <w:sz w:val="20"/>
                <w:szCs w:val="20"/>
                <w:color w:val="auto"/>
              </w:rPr>
            </w:pPr>
            <w:r>
              <w:rPr>
                <w:rFonts w:ascii="Arial" w:cs="Arial" w:eastAsia="Arial" w:hAnsi="Arial"/>
                <w:sz w:val="18"/>
                <w:szCs w:val="18"/>
                <w:b w:val="1"/>
                <w:bCs w:val="1"/>
                <w:color w:val="auto"/>
              </w:rPr>
              <w:t>Historical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90"/>
              </w:rPr>
              <w:t>Transaction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6"/>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8"/>
              </w:rPr>
              <w:t>Accounting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OPAL</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ArcLight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3"/>
          </w:tcPr>
          <w:p>
            <w:pPr>
              <w:jc w:val="center"/>
              <w:ind w:right="21"/>
              <w:spacing w:after="0" w:line="198" w:lineRule="exact"/>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Fuels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(Note 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9"/>
              </w:rPr>
              <w:t>(Note 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110,806</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235,661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311,616</w:t>
            </w:r>
          </w:p>
        </w:tc>
        <w:tc>
          <w:tcPr>
            <w:tcW w:w="340" w:type="dxa"/>
            <w:vAlign w:val="bottom"/>
          </w:tcPr>
          <w:p>
            <w:pPr>
              <w:ind w:left="40"/>
              <w:spacing w:after="0"/>
              <w:rPr>
                <w:sz w:val="20"/>
                <w:szCs w:val="20"/>
                <w:color w:val="auto"/>
              </w:rPr>
            </w:pPr>
            <w:r>
              <w:rPr>
                <w:rFonts w:ascii="Arial" w:cs="Arial" w:eastAsia="Arial" w:hAnsi="Arial"/>
                <w:sz w:val="18"/>
                <w:szCs w:val="18"/>
                <w:color w:val="auto"/>
              </w:rPr>
              <w:t>6a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(274,187)</w:t>
            </w:r>
          </w:p>
        </w:tc>
        <w:tc>
          <w:tcPr>
            <w:tcW w:w="340" w:type="dxa"/>
            <w:vAlign w:val="bottom"/>
          </w:tcPr>
          <w:p>
            <w:pPr>
              <w:ind w:left="40"/>
              <w:spacing w:after="0"/>
              <w:rPr>
                <w:sz w:val="20"/>
                <w:szCs w:val="20"/>
                <w:color w:val="auto"/>
              </w:rPr>
            </w:pPr>
            <w:r>
              <w:rPr>
                <w:rFonts w:ascii="Arial" w:cs="Arial" w:eastAsia="Arial" w:hAnsi="Arial"/>
                <w:sz w:val="18"/>
                <w:szCs w:val="18"/>
                <w:color w:val="auto"/>
              </w:rPr>
              <w:t>6i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24,781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tax credits receivable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15,589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inventory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Note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credits held for sale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360" w:type="dxa"/>
            <w:vAlign w:val="bottom"/>
          </w:tcPr>
          <w:p>
            <w:pPr>
              <w:ind w:left="60"/>
              <w:spacing w:after="0"/>
              <w:rPr>
                <w:sz w:val="20"/>
                <w:szCs w:val="20"/>
                <w:color w:val="auto"/>
              </w:rPr>
            </w:pPr>
            <w:r>
              <w:rPr>
                <w:rFonts w:ascii="Arial" w:cs="Arial" w:eastAsia="Arial" w:hAnsi="Arial"/>
                <w:sz w:val="18"/>
                <w:szCs w:val="18"/>
                <w:color w:val="auto"/>
              </w:rPr>
              <w:t>4b</w:t>
            </w: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162,969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138,351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302,085</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Capital spares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229,411</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Investment in other entities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47,113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receivable - variable fee component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311,616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(311,616)</w:t>
            </w:r>
          </w:p>
        </w:tc>
        <w:tc>
          <w:tcPr>
            <w:tcW w:w="340" w:type="dxa"/>
            <w:vAlign w:val="bottom"/>
          </w:tcPr>
          <w:p>
            <w:pPr>
              <w:ind w:left="40"/>
              <w:spacing w:after="0"/>
              <w:rPr>
                <w:sz w:val="20"/>
                <w:szCs w:val="20"/>
                <w:color w:val="auto"/>
              </w:rPr>
            </w:pPr>
            <w:r>
              <w:rPr>
                <w:rFonts w:ascii="Arial" w:cs="Arial" w:eastAsia="Arial" w:hAnsi="Arial"/>
                <w:sz w:val="18"/>
                <w:szCs w:val="18"/>
                <w:color w:val="auto"/>
              </w:rPr>
              <w:t>6a</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54,608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6"/>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312,381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(179,708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644,915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3" w:lineRule="exact"/>
              <w:rPr>
                <w:sz w:val="20"/>
                <w:szCs w:val="20"/>
                <w:color w:val="auto"/>
              </w:rPr>
            </w:pPr>
            <w:r>
              <w:rPr>
                <w:rFonts w:ascii="Arial" w:cs="Arial" w:eastAsia="Arial" w:hAnsi="Arial"/>
                <w:sz w:val="18"/>
                <w:szCs w:val="18"/>
                <w:color w:val="auto"/>
              </w:rPr>
              <w:t>Liabilities and Equity</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related party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Fuel tax credits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12,803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6,222</w:t>
            </w:r>
          </w:p>
        </w:tc>
        <w:tc>
          <w:tcPr>
            <w:tcW w:w="360" w:type="dxa"/>
            <w:vAlign w:val="bottom"/>
          </w:tcPr>
          <w:p>
            <w:pPr>
              <w:ind w:left="60"/>
              <w:spacing w:after="0"/>
              <w:rPr>
                <w:sz w:val="20"/>
                <w:szCs w:val="20"/>
                <w:color w:val="auto"/>
              </w:rPr>
            </w:pPr>
            <w:r>
              <w:rPr>
                <w:rFonts w:ascii="Arial" w:cs="Arial" w:eastAsia="Arial" w:hAnsi="Arial"/>
                <w:sz w:val="18"/>
                <w:szCs w:val="18"/>
                <w:color w:val="auto"/>
              </w:rPr>
              <w:t>4c</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340" w:type="dxa"/>
            <w:vAlign w:val="bottom"/>
          </w:tcPr>
          <w:p>
            <w:pPr>
              <w:ind w:left="40"/>
              <w:spacing w:after="0"/>
              <w:rPr>
                <w:sz w:val="20"/>
                <w:szCs w:val="20"/>
                <w:color w:val="auto"/>
              </w:rPr>
            </w:pPr>
            <w:r>
              <w:rPr>
                <w:rFonts w:ascii="Arial" w:cs="Arial" w:eastAsia="Arial" w:hAnsi="Arial"/>
                <w:sz w:val="18"/>
                <w:szCs w:val="18"/>
                <w:color w:val="auto"/>
              </w:rPr>
              <w:t>6e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4,200</w:t>
            </w:r>
          </w:p>
        </w:tc>
        <w:tc>
          <w:tcPr>
            <w:tcW w:w="340" w:type="dxa"/>
            <w:vAlign w:val="bottom"/>
          </w:tcPr>
          <w:p>
            <w:pPr>
              <w:ind w:left="40"/>
              <w:spacing w:after="0"/>
              <w:rPr>
                <w:sz w:val="20"/>
                <w:szCs w:val="20"/>
                <w:color w:val="auto"/>
              </w:rPr>
            </w:pPr>
            <w:r>
              <w:rPr>
                <w:rFonts w:ascii="Arial" w:cs="Arial" w:eastAsia="Arial" w:hAnsi="Arial"/>
                <w:sz w:val="18"/>
                <w:szCs w:val="18"/>
                <w:color w:val="auto"/>
              </w:rPr>
              <w:t>6e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Sunoma loan, current portion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1" w:lineRule="exact"/>
              <w:rPr>
                <w:sz w:val="20"/>
                <w:szCs w:val="20"/>
                <w:color w:val="auto"/>
              </w:rPr>
            </w:pPr>
            <w:r>
              <w:rPr>
                <w:rFonts w:ascii="Arial" w:cs="Arial" w:eastAsia="Arial" w:hAnsi="Arial"/>
                <w:sz w:val="18"/>
                <w:szCs w:val="18"/>
                <w:color w:val="auto"/>
                <w:w w:val="97"/>
              </w:rPr>
              <w:t>Senior secured credit facility - term loan, current portion, net of debt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72,396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Senior secured credit facility - working capital facility, current portion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OPAL term loan, current portion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Municipality loan - current portion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Derivative financial liability, current portion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5,000</w:t>
            </w:r>
          </w:p>
        </w:tc>
        <w:tc>
          <w:tcPr>
            <w:tcW w:w="340" w:type="dxa"/>
            <w:vAlign w:val="bottom"/>
          </w:tcPr>
          <w:p>
            <w:pPr>
              <w:ind w:left="40"/>
              <w:spacing w:after="0"/>
              <w:rPr>
                <w:sz w:val="20"/>
                <w:szCs w:val="20"/>
                <w:color w:val="auto"/>
              </w:rPr>
            </w:pPr>
            <w:r>
              <w:rPr>
                <w:rFonts w:ascii="Arial" w:cs="Arial" w:eastAsia="Arial" w:hAnsi="Arial"/>
                <w:sz w:val="18"/>
                <w:szCs w:val="18"/>
                <w:color w:val="auto"/>
              </w:rPr>
              <w:t>6l</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 current portion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 non-current portion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Convertible note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(30,410)</w:t>
            </w:r>
          </w:p>
        </w:tc>
        <w:tc>
          <w:tcPr>
            <w:tcW w:w="340" w:type="dxa"/>
            <w:vAlign w:val="bottom"/>
          </w:tcPr>
          <w:p>
            <w:pPr>
              <w:ind w:left="40"/>
              <w:spacing w:after="0"/>
              <w:rPr>
                <w:sz w:val="20"/>
                <w:szCs w:val="20"/>
                <w:color w:val="auto"/>
              </w:rPr>
            </w:pPr>
            <w:r>
              <w:rPr>
                <w:rFonts w:ascii="Arial" w:cs="Arial" w:eastAsia="Arial" w:hAnsi="Arial"/>
                <w:sz w:val="18"/>
                <w:szCs w:val="18"/>
                <w:color w:val="auto"/>
              </w:rPr>
              <w:t>6d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Sunoma loan, net of debt issuance costs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Opal Term Loan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62,013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warrant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16,219</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6j</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51,900</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51,900</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305,323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350,885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204"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gridSpan w:val="12"/>
          </w:tcPr>
          <w:p>
            <w:pPr>
              <w:jc w:val="center"/>
              <w:ind w:left="1510"/>
              <w:spacing w:after="0"/>
              <w:rPr>
                <w:sz w:val="20"/>
                <w:szCs w:val="20"/>
                <w:color w:val="auto"/>
              </w:rPr>
            </w:pPr>
            <w:r>
              <w:rPr>
                <w:rFonts w:ascii="Arial" w:cs="Arial" w:eastAsia="Arial" w:hAnsi="Arial"/>
                <w:sz w:val="18"/>
                <w:szCs w:val="18"/>
                <w:b w:val="1"/>
                <w:bCs w:val="1"/>
                <w:color w:val="auto"/>
              </w:rPr>
              <w:t>UNAUDITED PRO FORMA CONDENSED COMBINED BALANCE SHEET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4"/>
          </w:tcPr>
          <w:p>
            <w:pPr>
              <w:jc w:val="center"/>
              <w:ind w:left="4050"/>
              <w:spacing w:after="0"/>
              <w:rPr>
                <w:sz w:val="20"/>
                <w:szCs w:val="20"/>
                <w:color w:val="auto"/>
              </w:rPr>
            </w:pPr>
            <w:r>
              <w:rPr>
                <w:rFonts w:ascii="Arial" w:cs="Arial" w:eastAsia="Arial" w:hAnsi="Arial"/>
                <w:sz w:val="18"/>
                <w:szCs w:val="18"/>
                <w:b w:val="1"/>
                <w:bCs w:val="1"/>
                <w:color w:val="auto"/>
                <w:w w:val="93"/>
              </w:rPr>
              <w:t>AS OF JUNE 30, 2022 — (Continued)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gridSpan w:val="4"/>
          </w:tcPr>
          <w:p>
            <w:pPr>
              <w:jc w:val="center"/>
              <w:ind w:left="407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center"/>
              <w:ind w:right="101"/>
              <w:spacing w:after="0"/>
              <w:rPr>
                <w:sz w:val="20"/>
                <w:szCs w:val="20"/>
                <w:color w:val="auto"/>
              </w:rPr>
            </w:pPr>
            <w:r>
              <w:rPr>
                <w:rFonts w:ascii="Arial" w:cs="Arial" w:eastAsia="Arial" w:hAnsi="Arial"/>
                <w:sz w:val="18"/>
                <w:szCs w:val="18"/>
                <w:b w:val="1"/>
                <w:bCs w:val="1"/>
                <w:color w:val="auto"/>
                <w:w w:val="90"/>
              </w:rPr>
              <w:t>Transaction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6"/>
            <w:vMerge w:val="restart"/>
          </w:tcPr>
          <w:p>
            <w:pPr>
              <w:jc w:val="right"/>
              <w:ind w:right="901"/>
              <w:spacing w:after="0"/>
              <w:rPr>
                <w:sz w:val="20"/>
                <w:szCs w:val="20"/>
                <w:color w:val="auto"/>
              </w:rPr>
            </w:pPr>
            <w:r>
              <w:rPr>
                <w:rFonts w:ascii="Arial" w:cs="Arial" w:eastAsia="Arial" w:hAnsi="Arial"/>
                <w:sz w:val="18"/>
                <w:szCs w:val="18"/>
                <w:b w:val="1"/>
                <w:bCs w:val="1"/>
                <w:color w:val="auto"/>
              </w:rPr>
              <w:t>Historical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8"/>
              </w:rPr>
              <w:t>Accounting</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ArcLight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21"/>
              <w:spacing w:after="0" w:line="198" w:lineRule="exact"/>
              <w:rPr>
                <w:sz w:val="20"/>
                <w:szCs w:val="20"/>
                <w:color w:val="auto"/>
              </w:rPr>
            </w:pPr>
            <w:r>
              <w:rPr>
                <w:rFonts w:ascii="Arial" w:cs="Arial" w:eastAsia="Arial" w:hAnsi="Arial"/>
                <w:sz w:val="18"/>
                <w:szCs w:val="18"/>
                <w:b w:val="1"/>
                <w:bCs w:val="1"/>
                <w:color w:val="auto"/>
                <w:w w:val="89"/>
              </w:rPr>
              <w:t>Adjustments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Opco</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(Note 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9"/>
              </w:rPr>
              <w:t>(Note 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88"/>
        </w:trPr>
        <w:tc>
          <w:tcPr>
            <w:tcW w:w="576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Class A ordinary shares subject to possible redemption; 31,116,305 shares at</w:t>
            </w: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of $10.00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311,516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(311,516)</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6f</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Redeemable preferred units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units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(101,228)</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6c</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Series A-1 preferred units</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31,417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(31,417)</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6c</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preferred noncontrolling interest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101,228</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6c</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132,645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31,417</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56,636</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6h</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136,553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(3,585)</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83,503</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6h</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units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6h</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Preference shares, $0.0001 par value; 5,000,000 shares authorized; none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line="201" w:lineRule="exact"/>
              <w:rPr>
                <w:sz w:val="20"/>
                <w:szCs w:val="20"/>
                <w:color w:val="auto"/>
              </w:rPr>
            </w:pPr>
            <w:r>
              <w:rPr>
                <w:rFonts w:ascii="Arial" w:cs="Arial" w:eastAsia="Arial" w:hAnsi="Arial"/>
                <w:sz w:val="18"/>
                <w:szCs w:val="18"/>
                <w:color w:val="auto"/>
                <w:w w:val="94"/>
              </w:rPr>
              <w:t>Class A ordinary shares, $0.0001 par value; 500,000,000 shares authorized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(excluding 31,116,305 shares subject to possible redemption)</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6f</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Class B ordinary shares, $0.0001 par value; 50,000,000 shares authorized;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7,779,076 shares issued and outstanding</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6f</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New OPAL Class A common stock</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6g</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6b</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6f</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6i</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OPAL Class B common stock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6g</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New OPAL Class D common stock</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15</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6g</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6g</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110,805</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6b</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30,410</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311,513</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(21,651)</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(6,443)</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(274,184)</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6i</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(83,503)</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6m</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(21,651)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21,651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6g</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(8,955)</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6h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17,638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3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74,274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(27,793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512,242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312,381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(179,708</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500" w:type="dxa"/>
            <w:vAlign w:val="bottom"/>
            <w:gridSpan w:val="2"/>
          </w:tcPr>
          <w:p>
            <w:pPr>
              <w:ind w:left="3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644,915</w:t>
            </w:r>
          </w:p>
        </w:tc>
        <w:tc>
          <w:tcPr>
            <w:tcW w:w="0" w:type="dxa"/>
            <w:vAlign w:val="bottom"/>
          </w:tcPr>
          <w:p>
            <w:pPr>
              <w:spacing w:after="0"/>
              <w:rPr>
                <w:sz w:val="1"/>
                <w:szCs w:val="1"/>
                <w:color w:val="auto"/>
              </w:rPr>
            </w:pPr>
          </w:p>
        </w:tc>
      </w:tr>
      <w:tr>
        <w:trPr>
          <w:trHeight w:val="20"/>
        </w:trPr>
        <w:tc>
          <w:tcPr>
            <w:tcW w:w="5760" w:type="dxa"/>
            <w:vAlign w:val="bottom"/>
            <w:vMerge w:val="restart"/>
          </w:tcPr>
          <w:p>
            <w:pPr>
              <w:jc w:val="center"/>
              <w:ind w:left="5390"/>
              <w:spacing w:after="0"/>
              <w:rPr>
                <w:sz w:val="20"/>
                <w:szCs w:val="20"/>
                <w:color w:val="auto"/>
              </w:rPr>
            </w:pPr>
            <w:r>
              <w:rPr>
                <w:rFonts w:ascii="Arial" w:cs="Arial" w:eastAsia="Arial" w:hAnsi="Arial"/>
                <w:sz w:val="18"/>
                <w:szCs w:val="18"/>
                <w:color w:val="auto"/>
                <w:w w:val="90"/>
              </w:rPr>
              <w:t>-4-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7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gridSpan w:val="13"/>
          </w:tcPr>
          <w:p>
            <w:pPr>
              <w:jc w:val="center"/>
              <w:ind w:left="1470"/>
              <w:spacing w:after="0"/>
              <w:rPr>
                <w:sz w:val="20"/>
                <w:szCs w:val="20"/>
                <w:color w:val="auto"/>
              </w:rPr>
            </w:pPr>
            <w:r>
              <w:rPr>
                <w:rFonts w:ascii="Arial" w:cs="Arial" w:eastAsia="Arial" w:hAnsi="Arial"/>
                <w:sz w:val="18"/>
                <w:szCs w:val="18"/>
                <w:b w:val="1"/>
                <w:bCs w:val="1"/>
                <w:color w:val="auto"/>
                <w:w w:val="99"/>
              </w:rPr>
              <w:t>UNAUDITED PRO FORMA CONDENSED COMBINED STATEMENT OF OPERATIONS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9"/>
          </w:tcPr>
          <w:p>
            <w:pPr>
              <w:jc w:val="center"/>
              <w:ind w:left="3090"/>
              <w:spacing w:after="0"/>
              <w:rPr>
                <w:sz w:val="20"/>
                <w:szCs w:val="20"/>
                <w:color w:val="auto"/>
              </w:rPr>
            </w:pPr>
            <w:r>
              <w:rPr>
                <w:rFonts w:ascii="Arial" w:cs="Arial" w:eastAsia="Arial" w:hAnsi="Arial"/>
                <w:sz w:val="18"/>
                <w:szCs w:val="18"/>
                <w:b w:val="1"/>
                <w:bCs w:val="1"/>
                <w:color w:val="auto"/>
                <w:w w:val="98"/>
              </w:rPr>
              <w:t>FOR THE SIX MONTHS ENDED JUNE 30, 2022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80" w:type="dxa"/>
            <w:vAlign w:val="bottom"/>
            <w:gridSpan w:val="9"/>
          </w:tcPr>
          <w:p>
            <w:pPr>
              <w:jc w:val="center"/>
              <w:ind w:left="30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center"/>
              <w:ind w:right="101"/>
              <w:spacing w:after="0"/>
              <w:rPr>
                <w:sz w:val="20"/>
                <w:szCs w:val="20"/>
                <w:color w:val="auto"/>
              </w:rPr>
            </w:pPr>
            <w:r>
              <w:rPr>
                <w:rFonts w:ascii="Arial" w:cs="Arial" w:eastAsia="Arial" w:hAnsi="Arial"/>
                <w:sz w:val="18"/>
                <w:szCs w:val="18"/>
                <w:b w:val="1"/>
                <w:bCs w:val="1"/>
                <w:color w:val="auto"/>
                <w:w w:val="90"/>
              </w:rPr>
              <w:t>Transaction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Historical</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8"/>
              </w:rPr>
              <w:t>Accounting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0"/>
              <w:spacing w:after="0" w:line="198" w:lineRule="exact"/>
              <w:rPr>
                <w:sz w:val="20"/>
                <w:szCs w:val="20"/>
                <w:color w:val="auto"/>
              </w:rPr>
            </w:pPr>
            <w:r>
              <w:rPr>
                <w:rFonts w:ascii="Arial" w:cs="Arial" w:eastAsia="Arial" w:hAnsi="Arial"/>
                <w:sz w:val="18"/>
                <w:szCs w:val="18"/>
                <w:b w:val="1"/>
                <w:bCs w:val="1"/>
                <w:color w:val="auto"/>
              </w:rPr>
              <w:t>ArcLight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3"/>
          </w:tcPr>
          <w:p>
            <w:pPr>
              <w:jc w:val="center"/>
              <w:ind w:right="21"/>
              <w:spacing w:after="0" w:line="198" w:lineRule="exact"/>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1"/>
              <w:spacing w:after="0" w:line="198"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Opco</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89"/>
              </w:rPr>
              <w:t>(Note 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9"/>
              </w:rPr>
              <w:t>(Note 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50,815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50,815</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Renewable power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19,152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19,152</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station services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32,297</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102,264</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102,264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 - RNG fuel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30,884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30,884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 Renewable power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15,948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15,948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 - Fuel station services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28,757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28,757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18,810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3,125</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21,935</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36"/>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(3,125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(1,818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Interest and financing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440</w:t>
            </w:r>
          </w:p>
        </w:tc>
        <w:tc>
          <w:tcPr>
            <w:tcW w:w="400" w:type="dxa"/>
            <w:vAlign w:val="bottom"/>
          </w:tcPr>
          <w:p>
            <w:pPr>
              <w:ind w:left="100"/>
              <w:spacing w:after="0"/>
              <w:rPr>
                <w:sz w:val="20"/>
                <w:szCs w:val="20"/>
                <w:color w:val="auto"/>
              </w:rPr>
            </w:pPr>
            <w:r>
              <w:rPr>
                <w:rFonts w:ascii="Arial" w:cs="Arial" w:eastAsia="Arial" w:hAnsi="Arial"/>
                <w:sz w:val="18"/>
                <w:szCs w:val="18"/>
                <w:color w:val="auto"/>
              </w:rPr>
              <w:t>4e</w:t>
            </w:r>
          </w:p>
        </w:tc>
        <w:tc>
          <w:tcPr>
            <w:tcW w:w="100" w:type="dxa"/>
            <w:vAlign w:val="bottom"/>
          </w:tcPr>
          <w:p>
            <w:pPr>
              <w:spacing w:after="0"/>
              <w:rPr>
                <w:sz w:val="18"/>
                <w:szCs w:val="18"/>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(440) 7c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gain on interest rate swaps,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Change in fair value of derivative warrant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9,577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Gain on settlement of underwriting fees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280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7,172</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7a</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Paid in kind preferred dividend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2,435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2,772</w:t>
            </w:r>
          </w:p>
        </w:tc>
        <w:tc>
          <w:tcPr>
            <w:tcW w:w="80" w:type="dxa"/>
            <w:vAlign w:val="bottom"/>
          </w:tcPr>
          <w:p>
            <w:pPr>
              <w:spacing w:after="0"/>
              <w:rPr>
                <w:sz w:val="17"/>
                <w:szCs w:val="17"/>
                <w:color w:val="auto"/>
              </w:rPr>
            </w:pPr>
          </w:p>
        </w:tc>
        <w:tc>
          <w:tcPr>
            <w:tcW w:w="340" w:type="dxa"/>
            <w:vAlign w:val="bottom"/>
          </w:tcPr>
          <w:p>
            <w:pPr>
              <w:ind w:left="40"/>
              <w:spacing w:after="0" w:line="203" w:lineRule="exact"/>
              <w:rPr>
                <w:sz w:val="20"/>
                <w:szCs w:val="20"/>
                <w:color w:val="auto"/>
              </w:rPr>
            </w:pPr>
            <w:r>
              <w:rPr>
                <w:rFonts w:ascii="Arial" w:cs="Arial" w:eastAsia="Arial" w:hAnsi="Arial"/>
                <w:sz w:val="18"/>
                <w:szCs w:val="18"/>
                <w:color w:val="auto"/>
              </w:rPr>
              <w:t>7b</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(8,124) 7b</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52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Stockholders</w:t>
            </w: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(6,745</w:t>
            </w:r>
          </w:p>
        </w:tc>
        <w:tc>
          <w:tcPr>
            <w:tcW w:w="14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7,172</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4,912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5,339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 basic and diluted</w:t>
            </w: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unit, 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w w:val="92"/>
              </w:rPr>
              <w:t>Weighted average shares outstanding of Class A common stock, basic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31,116,305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ordinary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w w:val="92"/>
              </w:rPr>
              <w:t>Weighted average shares outstanding of Class B common stock, basic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7,779,076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ordinary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w w:val="93"/>
              </w:rPr>
              <w:t>Weighted average shares outstanding of New OPAL Class A 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stock – basic and 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24,757,483</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Pro forma net income per share attributable to New OPAL Class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 basic and diluted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655"/>
        </w:trPr>
        <w:tc>
          <w:tcPr>
            <w:tcW w:w="5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750"/>
              <w:spacing w:after="0"/>
              <w:rPr>
                <w:sz w:val="20"/>
                <w:szCs w:val="20"/>
                <w:color w:val="auto"/>
              </w:rPr>
            </w:pPr>
            <w:r>
              <w:rPr>
                <w:rFonts w:ascii="Arial" w:cs="Arial" w:eastAsia="Arial" w:hAnsi="Arial"/>
                <w:sz w:val="18"/>
                <w:szCs w:val="18"/>
                <w:color w:val="auto"/>
                <w:w w:val="90"/>
              </w:rPr>
              <w:t>-5-</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89"/>
              </w:rPr>
              <w:t>Beacon Pro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28"/>
              <w:spacing w:after="0"/>
              <w:rPr>
                <w:sz w:val="20"/>
                <w:szCs w:val="20"/>
                <w:color w:val="auto"/>
              </w:rPr>
            </w:pPr>
            <w:r>
              <w:rPr>
                <w:rFonts w:ascii="Arial" w:cs="Arial" w:eastAsia="Arial" w:hAnsi="Arial"/>
                <w:sz w:val="14"/>
                <w:szCs w:val="14"/>
                <w:b w:val="1"/>
                <w:bCs w:val="1"/>
                <w:color w:val="auto"/>
                <w:w w:val="90"/>
              </w:rPr>
              <w:t>Transaction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7"/>
              </w:rPr>
              <w:t>Historical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39"/>
              <w:spacing w:after="0" w:line="158" w:lineRule="exact"/>
              <w:rPr>
                <w:sz w:val="20"/>
                <w:szCs w:val="20"/>
                <w:color w:val="auto"/>
              </w:rPr>
            </w:pPr>
            <w:r>
              <w:rPr>
                <w:rFonts w:ascii="Arial" w:cs="Arial" w:eastAsia="Arial" w:hAnsi="Arial"/>
                <w:sz w:val="14"/>
                <w:szCs w:val="14"/>
                <w:b w:val="1"/>
                <w:bCs w:val="1"/>
                <w:color w:val="auto"/>
                <w:w w:val="98"/>
              </w:rPr>
              <w:t>Forma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OPAL</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8"/>
              <w:spacing w:after="0" w:line="158" w:lineRule="exact"/>
              <w:rPr>
                <w:sz w:val="20"/>
                <w:szCs w:val="20"/>
                <w:color w:val="auto"/>
              </w:rPr>
            </w:pPr>
            <w:r>
              <w:rPr>
                <w:rFonts w:ascii="Arial" w:cs="Arial" w:eastAsia="Arial" w:hAnsi="Arial"/>
                <w:sz w:val="14"/>
                <w:szCs w:val="14"/>
                <w:b w:val="1"/>
                <w:bCs w:val="1"/>
                <w:color w:val="auto"/>
                <w:w w:val="90"/>
              </w:rPr>
              <w:t>Accounting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Opco</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68"/>
              <w:spacing w:after="0" w:line="126" w:lineRule="exact"/>
              <w:rPr>
                <w:sz w:val="20"/>
                <w:szCs w:val="20"/>
                <w:color w:val="auto"/>
              </w:rPr>
            </w:pPr>
            <w:r>
              <w:rPr>
                <w:rFonts w:ascii="Arial" w:cs="Arial" w:eastAsia="Arial" w:hAnsi="Arial"/>
                <w:sz w:val="14"/>
                <w:szCs w:val="14"/>
                <w:b w:val="1"/>
                <w:bCs w:val="1"/>
                <w:color w:val="auto"/>
                <w:w w:val="86"/>
              </w:rPr>
              <w:t>Beacon</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39"/>
              <w:spacing w:after="0" w:line="126" w:lineRule="exact"/>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1"/>
              </w:rPr>
              <w:t>Fuels and</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48"/>
              <w:spacing w:after="0" w:line="126" w:lineRule="exact"/>
              <w:rPr>
                <w:sz w:val="20"/>
                <w:szCs w:val="20"/>
                <w:color w:val="auto"/>
              </w:rPr>
            </w:pPr>
            <w:r>
              <w:rPr>
                <w:rFonts w:ascii="Arial" w:cs="Arial" w:eastAsia="Arial" w:hAnsi="Arial"/>
                <w:sz w:val="14"/>
                <w:szCs w:val="14"/>
                <w:b w:val="1"/>
                <w:bCs w:val="1"/>
                <w:color w:val="auto"/>
                <w:w w:val="97"/>
              </w:rPr>
              <w:t>ArcLight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8"/>
              <w:spacing w:after="0" w:line="126" w:lineRule="exact"/>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00"/>
              <w:spacing w:after="0" w:line="126" w:lineRule="exact"/>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8"/>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(Note 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5"/>
              </w:rPr>
              <w:t>(Note 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Beacon</w:t>
            </w:r>
          </w:p>
        </w:tc>
        <w:tc>
          <w:tcPr>
            <w:tcW w:w="120" w:type="dxa"/>
            <w:vAlign w:val="bottom"/>
          </w:tcPr>
          <w:p>
            <w:pPr>
              <w:spacing w:after="0"/>
              <w:rPr>
                <w:sz w:val="15"/>
                <w:szCs w:val="15"/>
                <w:color w:val="auto"/>
              </w:rPr>
            </w:pPr>
          </w:p>
        </w:tc>
        <w:tc>
          <w:tcPr>
            <w:tcW w:w="92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5"/>
              </w:rPr>
              <w:t>(Note 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(Note 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48"/>
        </w:trPr>
        <w:tc>
          <w:tcPr>
            <w:tcW w:w="2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RNG fuel</w:t>
            </w:r>
          </w:p>
        </w:tc>
        <w:tc>
          <w:tcPr>
            <w:tcW w:w="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70,360</w:t>
            </w: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13,312</w:t>
            </w:r>
          </w:p>
        </w:tc>
        <w:tc>
          <w:tcPr>
            <w:tcW w:w="3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5a $</w:t>
            </w:r>
          </w:p>
        </w:tc>
        <w:tc>
          <w:tcPr>
            <w:tcW w:w="10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83,672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83,672</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Renewable power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45,324</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45,324</w:t>
            </w:r>
          </w:p>
        </w:tc>
        <w:tc>
          <w:tcPr>
            <w:tcW w:w="0" w:type="dxa"/>
            <w:vAlign w:val="bottom"/>
          </w:tcPr>
          <w:p>
            <w:pPr>
              <w:spacing w:after="0"/>
              <w:rPr>
                <w:sz w:val="1"/>
                <w:szCs w:val="1"/>
                <w:color w:val="auto"/>
              </w:rPr>
            </w:pPr>
          </w:p>
        </w:tc>
      </w:tr>
      <w:tr>
        <w:trPr>
          <w:trHeight w:val="18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Fuel station services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50,440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50,440</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50,440</w:t>
            </w:r>
          </w:p>
        </w:tc>
        <w:tc>
          <w:tcPr>
            <w:tcW w:w="0" w:type="dxa"/>
            <w:vAlign w:val="bottom"/>
          </w:tcPr>
          <w:p>
            <w:pPr>
              <w:spacing w:after="0"/>
              <w:rPr>
                <w:sz w:val="1"/>
                <w:szCs w:val="1"/>
                <w:color w:val="auto"/>
              </w:rPr>
            </w:pPr>
          </w:p>
        </w:tc>
      </w:tr>
      <w:tr>
        <w:trPr>
          <w:trHeight w:val="136"/>
        </w:trPr>
        <w:tc>
          <w:tcPr>
            <w:tcW w:w="280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color w:val="auto"/>
              </w:rPr>
              <w:t>Total revenues</w:t>
            </w:r>
          </w:p>
        </w:tc>
        <w:tc>
          <w:tcPr>
            <w:tcW w:w="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166,124</w:t>
            </w: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13,312</w:t>
            </w:r>
          </w:p>
        </w:tc>
        <w:tc>
          <w:tcPr>
            <w:tcW w:w="6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179,436</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179,436</w:t>
            </w: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Cost of sales - RNG fuel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41,075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6,397</w:t>
            </w:r>
          </w:p>
        </w:tc>
        <w:tc>
          <w:tcPr>
            <w:tcW w:w="3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5b</w:t>
            </w:r>
          </w:p>
        </w:tc>
        <w:tc>
          <w:tcPr>
            <w:tcW w:w="10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47,472</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47,472</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 - Renewable power</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31,152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31,152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31,152</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Cost of sales - Fuel station services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42,838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42,838</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42,838</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credit processing services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3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5e</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29,380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456</w:t>
            </w:r>
          </w:p>
        </w:tc>
        <w:tc>
          <w:tcPr>
            <w:tcW w:w="3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5c</w:t>
            </w:r>
          </w:p>
        </w:tc>
        <w:tc>
          <w:tcPr>
            <w:tcW w:w="10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29,836</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4,945</w:t>
            </w: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4f</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4,200</w:t>
            </w: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7h</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38,981</w:t>
            </w:r>
          </w:p>
        </w:tc>
        <w:tc>
          <w:tcPr>
            <w:tcW w:w="0" w:type="dxa"/>
            <w:vAlign w:val="bottom"/>
          </w:tcPr>
          <w:p>
            <w:pPr>
              <w:spacing w:after="0"/>
              <w:rPr>
                <w:sz w:val="1"/>
                <w:szCs w:val="1"/>
                <w:color w:val="auto"/>
              </w:rPr>
            </w:pPr>
          </w:p>
        </w:tc>
      </w:tr>
      <w:tr>
        <w:trPr>
          <w:trHeight w:val="18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amortization, and accretion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10,653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11,413</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11,413</w:t>
            </w:r>
          </w:p>
        </w:tc>
        <w:tc>
          <w:tcPr>
            <w:tcW w:w="0" w:type="dxa"/>
            <w:vAlign w:val="bottom"/>
          </w:tcPr>
          <w:p>
            <w:pPr>
              <w:spacing w:after="0"/>
              <w:rPr>
                <w:sz w:val="1"/>
                <w:szCs w:val="1"/>
                <w:color w:val="auto"/>
              </w:rPr>
            </w:pPr>
          </w:p>
        </w:tc>
      </w:tr>
      <w:tr>
        <w:trPr>
          <w:trHeight w:val="136"/>
        </w:trPr>
        <w:tc>
          <w:tcPr>
            <w:tcW w:w="280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Total expenses</w:t>
            </w:r>
          </w:p>
        </w:tc>
        <w:tc>
          <w:tcPr>
            <w:tcW w:w="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155,098</w:t>
            </w: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9,047</w:t>
            </w:r>
          </w:p>
        </w:tc>
        <w:tc>
          <w:tcPr>
            <w:tcW w:w="6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(1,434)</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162,711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4,945</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4,200</w:t>
            </w:r>
          </w:p>
        </w:tc>
        <w:tc>
          <w:tcPr>
            <w:tcW w:w="1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171,856</w:t>
            </w: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11,026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4,265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1,434</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16,725</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(4,945)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(4,200)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7,580</w:t>
            </w:r>
          </w:p>
        </w:tc>
        <w:tc>
          <w:tcPr>
            <w:tcW w:w="0" w:type="dxa"/>
            <w:vAlign w:val="bottom"/>
          </w:tcPr>
          <w:p>
            <w:pPr>
              <w:spacing w:after="0"/>
              <w:rPr>
                <w:sz w:val="1"/>
                <w:szCs w:val="1"/>
                <w:color w:val="auto"/>
              </w:rPr>
            </w:pPr>
          </w:p>
        </w:tc>
      </w:tr>
      <w:tr>
        <w:trPr>
          <w:trHeight w:val="136"/>
        </w:trPr>
        <w:tc>
          <w:tcPr>
            <w:tcW w:w="280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color w:val="auto"/>
              </w:rPr>
              <w:t>Other income (expense)</w:t>
            </w:r>
          </w:p>
        </w:tc>
        <w:tc>
          <w:tcPr>
            <w:tcW w:w="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financing expense, net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(7,467)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4g</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7g</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Realized and unrealized loss on 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80"/>
              <w:spacing w:after="0"/>
              <w:rPr>
                <w:sz w:val="20"/>
                <w:szCs w:val="20"/>
                <w:color w:val="auto"/>
              </w:rPr>
            </w:pPr>
            <w:r>
              <w:rPr>
                <w:rFonts w:ascii="Arial" w:cs="Arial" w:eastAsia="Arial" w:hAnsi="Arial"/>
                <w:sz w:val="14"/>
                <w:szCs w:val="14"/>
                <w:color w:val="auto"/>
              </w:rPr>
              <w:t>financial instruments, net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fair value of derivative warrant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(10,800)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Income from equity method investments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(2,392)</w:t>
            </w:r>
          </w:p>
        </w:tc>
        <w:tc>
          <w:tcPr>
            <w:tcW w:w="3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7d</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Gain on acquisition of equity method</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19,818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19,818</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19,818</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Gain on deconsolidation of VIEs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15,025</w:t>
            </w:r>
          </w:p>
        </w:tc>
        <w:tc>
          <w:tcPr>
            <w:tcW w:w="12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15,025</w:t>
            </w:r>
          </w:p>
        </w:tc>
        <w:tc>
          <w:tcPr>
            <w:tcW w:w="0" w:type="dxa"/>
            <w:vAlign w:val="bottom"/>
          </w:tcPr>
          <w:p>
            <w:pPr>
              <w:spacing w:after="0"/>
              <w:rPr>
                <w:sz w:val="1"/>
                <w:szCs w:val="1"/>
                <w:color w:val="auto"/>
              </w:rPr>
            </w:pPr>
          </w:p>
        </w:tc>
      </w:tr>
      <w:tr>
        <w:trPr>
          <w:trHeight w:val="18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1,134</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bottom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Income before provision for income taxes</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40,769</w:t>
            </w:r>
          </w:p>
        </w:tc>
        <w:tc>
          <w:tcPr>
            <w:tcW w:w="6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5,399</w:t>
            </w:r>
          </w:p>
        </w:tc>
        <w:tc>
          <w:tcPr>
            <w:tcW w:w="6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(2,092</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2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44,076</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(16,195</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2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(4,213</w:t>
            </w:r>
          </w:p>
        </w:tc>
        <w:tc>
          <w:tcPr>
            <w:tcW w:w="100" w:type="dxa"/>
            <w:vAlign w:val="bottom"/>
            <w:tcBorders>
              <w:top w:val="single" w:sz="8" w:color="CCEEFF"/>
              <w:bottom w:val="single" w:sz="8" w:color="CCEEFF"/>
            </w:tcBorders>
          </w:tcPr>
          <w:p>
            <w:pPr>
              <w:jc w:val="right"/>
              <w:spacing w:after="0" w:line="135" w:lineRule="exact"/>
              <w:rPr>
                <w:sz w:val="20"/>
                <w:szCs w:val="20"/>
                <w:color w:val="auto"/>
              </w:rPr>
            </w:pPr>
            <w:r>
              <w:rPr>
                <w:rFonts w:ascii="Arial" w:cs="Arial" w:eastAsia="Arial" w:hAnsi="Arial"/>
                <w:sz w:val="14"/>
                <w:szCs w:val="14"/>
                <w:b w:val="1"/>
                <w:bCs w:val="1"/>
                <w:color w:val="auto"/>
                <w:w w:val="84"/>
              </w:rPr>
              <w:t>)</w:t>
            </w:r>
          </w:p>
        </w:tc>
        <w:tc>
          <w:tcPr>
            <w:tcW w:w="2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23,668</w:t>
            </w:r>
          </w:p>
        </w:tc>
        <w:tc>
          <w:tcPr>
            <w:tcW w:w="6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7e</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40,769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5,399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(2,092)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44,076</w:t>
            </w:r>
          </w:p>
        </w:tc>
        <w:tc>
          <w:tcPr>
            <w:tcW w:w="1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(16,195)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(4,213)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23,668</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 in kind preferred dividend</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8,000</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7f</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Net income (loss) attributable to redeemable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27,718</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7f</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27,718</w:t>
            </w: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Net income (loss) attributable to noncontrolling</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99"/>
        </w:trPr>
        <w:tc>
          <w:tcPr>
            <w:tcW w:w="2800" w:type="dxa"/>
            <w:vAlign w:val="bottom"/>
            <w:tcBorders>
              <w:top w:val="single" w:sz="8" w:color="CCEEFF"/>
            </w:tcBorders>
          </w:tcPr>
          <w:p>
            <w:pPr>
              <w:spacing w:after="0" w:line="100" w:lineRule="exact"/>
              <w:rPr>
                <w:sz w:val="20"/>
                <w:szCs w:val="20"/>
                <w:color w:val="auto"/>
              </w:rPr>
            </w:pPr>
            <w:r>
              <w:rPr>
                <w:rFonts w:ascii="Arial" w:cs="Arial" w:eastAsia="Arial" w:hAnsi="Arial"/>
                <w:sz w:val="11"/>
                <w:szCs w:val="11"/>
                <w:b w:val="1"/>
                <w:bCs w:val="1"/>
                <w:color w:val="auto"/>
              </w:rPr>
              <w:t>Net income (loss) attributable to</w:t>
            </w:r>
          </w:p>
        </w:tc>
        <w:tc>
          <w:tcPr>
            <w:tcW w:w="20" w:type="dxa"/>
            <w:vAlign w:val="bottom"/>
            <w:tcBorders>
              <w:top w:val="single" w:sz="8" w:color="CCEE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800" w:type="dxa"/>
            <w:vAlign w:val="bottom"/>
          </w:tcPr>
          <w:p>
            <w:pPr>
              <w:ind w:left="18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41,363</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5,399</w:t>
            </w:r>
          </w:p>
        </w:tc>
        <w:tc>
          <w:tcPr>
            <w:tcW w:w="3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(2,092</w:t>
            </w:r>
            <w:r>
              <w:rPr>
                <w:rFonts w:ascii="Arial" w:cs="Arial" w:eastAsia="Arial" w:hAnsi="Arial"/>
                <w:sz w:val="24"/>
                <w:szCs w:val="24"/>
                <w:b w:val="1"/>
                <w:bCs w:val="1"/>
                <w:color w:val="auto"/>
                <w:vertAlign w:val="superscript"/>
              </w:rPr>
              <w:t>)</w:t>
            </w:r>
          </w:p>
        </w:tc>
        <w:tc>
          <w:tcPr>
            <w:tcW w:w="3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44,670</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(16,195</w:t>
            </w:r>
            <w:r>
              <w:rPr>
                <w:rFonts w:ascii="Arial" w:cs="Arial" w:eastAsia="Arial" w:hAnsi="Arial"/>
                <w:sz w:val="24"/>
                <w:szCs w:val="24"/>
                <w:b w:val="1"/>
                <w:bCs w:val="1"/>
                <w:color w:val="auto"/>
                <w:vertAlign w:val="superscript"/>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(39,931</w:t>
            </w:r>
            <w:r>
              <w:rPr>
                <w:rFonts w:ascii="Arial" w:cs="Arial" w:eastAsia="Arial" w:hAnsi="Arial"/>
                <w:sz w:val="24"/>
                <w:szCs w:val="24"/>
                <w:b w:val="1"/>
                <w:bCs w:val="1"/>
                <w:color w:val="auto"/>
                <w:vertAlign w:val="superscript"/>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(11,456</w:t>
            </w:r>
            <w:r>
              <w:rPr>
                <w:rFonts w:ascii="Arial" w:cs="Arial" w:eastAsia="Arial" w:hAnsi="Arial"/>
                <w:sz w:val="24"/>
                <w:szCs w:val="24"/>
                <w:b w:val="1"/>
                <w:bCs w:val="1"/>
                <w:color w:val="auto"/>
                <w:vertAlign w:val="superscript"/>
              </w:rPr>
              <w:t>)</w:t>
            </w:r>
          </w:p>
        </w:tc>
        <w:tc>
          <w:tcPr>
            <w:tcW w:w="0" w:type="dxa"/>
            <w:vAlign w:val="bottom"/>
          </w:tcPr>
          <w:p>
            <w:pPr>
              <w:spacing w:after="0"/>
              <w:rPr>
                <w:sz w:val="1"/>
                <w:szCs w:val="1"/>
                <w:color w:val="auto"/>
              </w:rPr>
            </w:pPr>
          </w:p>
        </w:tc>
      </w:tr>
      <w:tr>
        <w:trPr>
          <w:trHeight w:val="89"/>
        </w:trPr>
        <w:tc>
          <w:tcPr>
            <w:tcW w:w="2800" w:type="dxa"/>
            <w:vAlign w:val="bottom"/>
            <w:tcBorders>
              <w:top w:val="single" w:sz="8" w:color="CCEEFF"/>
            </w:tcBorders>
            <w:shd w:val="clear" w:color="auto" w:fill="CCEEFF"/>
          </w:tcPr>
          <w:p>
            <w:pPr>
              <w:spacing w:after="0" w:line="90" w:lineRule="exact"/>
              <w:rPr>
                <w:sz w:val="20"/>
                <w:szCs w:val="20"/>
                <w:color w:val="auto"/>
              </w:rPr>
            </w:pPr>
            <w:r>
              <w:rPr>
                <w:rFonts w:ascii="Arial" w:cs="Arial" w:eastAsia="Arial" w:hAnsi="Arial"/>
                <w:sz w:val="10"/>
                <w:szCs w:val="10"/>
                <w:color w:val="auto"/>
              </w:rPr>
              <w:t>Weighted average common units outstanding,</w:t>
            </w: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and diluted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w w:val="95"/>
              </w:rPr>
              <w:t>Basic and diluted net income per common unit,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80"/>
              <w:spacing w:after="0"/>
              <w:rPr>
                <w:sz w:val="20"/>
                <w:szCs w:val="20"/>
                <w:color w:val="auto"/>
              </w:rPr>
            </w:pPr>
            <w:r>
              <w:rPr>
                <w:rFonts w:ascii="Arial" w:cs="Arial" w:eastAsia="Arial" w:hAnsi="Arial"/>
                <w:sz w:val="14"/>
                <w:szCs w:val="14"/>
                <w:color w:val="auto"/>
              </w:rPr>
              <w:t>basic and diluted</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41,908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Weighted average shares outstanding of Class A</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basic and diluted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25,360,688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Basic and diluted net loss per ordinary share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Weighted average shares outstanding of Class B</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basic and diluted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7,611,848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Basic and diluted net loss per ordinary share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Weighted average shares outstanding of New</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OPAL Class A common stock – basic and</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24,757,483</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w w:val="93"/>
              </w:rPr>
              <w:t>Pro forma net loss per share attributable to New</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4"/>
              </w:rPr>
              <w:t>OPAL Class A common stockholders - basic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0" w:type="dxa"/>
            <w:vAlign w:val="bottom"/>
          </w:tcPr>
          <w:p>
            <w:pPr>
              <w:ind w:left="180"/>
              <w:spacing w:after="0"/>
              <w:rPr>
                <w:sz w:val="20"/>
                <w:szCs w:val="20"/>
                <w:color w:val="auto"/>
              </w:rPr>
            </w:pPr>
            <w:r>
              <w:rPr>
                <w:rFonts w:ascii="Arial" w:cs="Arial" w:eastAsia="Arial" w:hAnsi="Arial"/>
                <w:sz w:val="14"/>
                <w:szCs w:val="14"/>
                <w:color w:val="auto"/>
              </w:rPr>
              <w:t>and diluted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 — Description of the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Arial" w:cs="Arial" w:eastAsia="Arial" w:hAnsi="Arial"/>
          <w:sz w:val="18"/>
          <w:szCs w:val="18"/>
          <w:b w:val="1"/>
          <w:bCs w:val="1"/>
          <w:i w:val="1"/>
          <w:iCs w:val="1"/>
          <w:color w:val="auto"/>
        </w:rPr>
        <w:t>Domestication</w:t>
      </w:r>
      <w:r>
        <w:rPr>
          <w:rFonts w:ascii="Arial" w:cs="Arial" w:eastAsia="Arial" w:hAnsi="Arial"/>
          <w:sz w:val="18"/>
          <w:szCs w:val="18"/>
          <w:color w:val="auto"/>
        </w:rPr>
        <w:t>”). Following the Domestication, on July 21, 2022, ArcLight changed its name to “OPAL Fuels Inc.” (which is referred to herein as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OPAL</w:t>
      </w:r>
      <w:r>
        <w:rPr>
          <w:rFonts w:ascii="Arial" w:cs="Arial" w:eastAsia="Arial" w:hAnsi="Arial"/>
          <w:sz w:val="18"/>
          <w:szCs w:val="18"/>
          <w:color w:val="auto"/>
        </w:rPr>
        <w:t>”) and each outstanding ArcLight Class B ordinary share converted into one ArcLight Class A ordinary share, each outstanding ArcLight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share became one share of Class A common stock of New OPAL, par value $0.0001 per share (the “</w:t>
      </w:r>
      <w:r>
        <w:rPr>
          <w:rFonts w:ascii="Arial" w:cs="Arial" w:eastAsia="Arial" w:hAnsi="Arial"/>
          <w:sz w:val="18"/>
          <w:szCs w:val="18"/>
          <w:b w:val="1"/>
          <w:bCs w:val="1"/>
          <w:i w:val="1"/>
          <w:iCs w:val="1"/>
          <w:color w:val="auto"/>
        </w:rPr>
        <w:t>New OPAL Class A common stock</w:t>
      </w:r>
      <w:r>
        <w:rPr>
          <w:rFonts w:ascii="Arial" w:cs="Arial" w:eastAsia="Arial" w:hAnsi="Arial"/>
          <w:sz w:val="18"/>
          <w:szCs w:val="18"/>
          <w:color w:val="auto"/>
        </w:rPr>
        <w:t>”), and each outstanding warrant to purchase one ArcLight Class A ordinary share became a warrant to purchase one share of New OPAL Class A common stock at an exercise price of $11.50 per share.</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the consummation of the Business Combination on July 21, 2022, the Combined Company (“</w:t>
      </w:r>
      <w:r>
        <w:rPr>
          <w:rFonts w:ascii="Arial" w:cs="Arial" w:eastAsia="Arial" w:hAnsi="Arial"/>
          <w:sz w:val="17"/>
          <w:szCs w:val="17"/>
          <w:b w:val="1"/>
          <w:bCs w:val="1"/>
          <w:i w:val="1"/>
          <w:iCs w:val="1"/>
          <w:color w:val="auto"/>
        </w:rPr>
        <w:t>Combined Company</w:t>
      </w:r>
      <w:r>
        <w:rPr>
          <w:rFonts w:ascii="Arial" w:cs="Arial" w:eastAsia="Arial" w:hAnsi="Arial"/>
          <w:sz w:val="17"/>
          <w:szCs w:val="17"/>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consummation of the Business Combination, the events summarized below, among others, occurred:</w:t>
      </w:r>
    </w:p>
    <w:p>
      <w:pPr>
        <w:spacing w:after="0" w:line="225" w:lineRule="exact"/>
        <w:rPr>
          <w:sz w:val="20"/>
          <w:szCs w:val="20"/>
          <w:color w:val="auto"/>
        </w:rPr>
      </w:pPr>
    </w:p>
    <w:p>
      <w:pPr>
        <w:jc w:val="both"/>
        <w:ind w:left="980" w:hanging="324"/>
        <w:spacing w:after="0" w:line="255"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the Closing, Opal HoldCo LLC (“</w:t>
      </w:r>
      <w:r>
        <w:rPr>
          <w:rFonts w:ascii="Arial" w:cs="Arial" w:eastAsia="Arial" w:hAnsi="Arial"/>
          <w:sz w:val="18"/>
          <w:szCs w:val="18"/>
          <w:b w:val="1"/>
          <w:bCs w:val="1"/>
          <w:i w:val="1"/>
          <w:iCs w:val="1"/>
          <w:color w:val="auto"/>
        </w:rPr>
        <w:t>OPAL Holdco</w:t>
      </w:r>
      <w:r>
        <w:rPr>
          <w:rFonts w:ascii="Arial" w:cs="Arial" w:eastAsia="Arial" w:hAnsi="Arial"/>
          <w:sz w:val="18"/>
          <w:szCs w:val="18"/>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Arial" w:cs="Arial" w:eastAsia="Arial" w:hAnsi="Arial"/>
          <w:sz w:val="18"/>
          <w:szCs w:val="18"/>
          <w:b w:val="1"/>
          <w:bCs w:val="1"/>
          <w:i w:val="1"/>
          <w:iCs w:val="1"/>
          <w:color w:val="auto"/>
        </w:rPr>
        <w:t>Ares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w:t>
      </w:r>
      <w:r>
        <w:rPr>
          <w:rFonts w:ascii="Arial" w:cs="Arial" w:eastAsia="Arial" w:hAnsi="Arial"/>
          <w:sz w:val="18"/>
          <w:szCs w:val="18"/>
          <w:b w:val="1"/>
          <w:bCs w:val="1"/>
          <w:i w:val="1"/>
          <w:iCs w:val="1"/>
          <w:color w:val="auto"/>
        </w:rPr>
        <w:t>New OPAL Class D 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(which it in turn distributed to OPAL Holdco and Hillman), and (iii) issued 3,059,533 shares of New OPAL Class A common stock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Ares, collectively, in exchange for a number of Class A Units of Opco equal to the 25,171,390 shares of New OPAL Class A common stock issued and outstanding.</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related events that have taken place in connection with the Business Combination are summarized below:</w:t>
      </w:r>
    </w:p>
    <w:p>
      <w:pPr>
        <w:spacing w:after="0" w:line="225" w:lineRule="exact"/>
        <w:rPr>
          <w:sz w:val="20"/>
          <w:szCs w:val="20"/>
          <w:color w:val="auto"/>
        </w:rPr>
      </w:pPr>
    </w:p>
    <w:p>
      <w:pPr>
        <w:jc w:val="both"/>
        <w:ind w:left="980" w:hanging="324"/>
        <w:spacing w:after="0" w:line="279"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Immediately prior to the execution of the Business Combination Agreement, Opco entered into the Hillman Exchange Agreement with Hillman RNG Investments LLC (“</w:t>
      </w:r>
      <w:r>
        <w:rPr>
          <w:rFonts w:ascii="Arial" w:cs="Arial" w:eastAsia="Arial" w:hAnsi="Arial"/>
          <w:sz w:val="17"/>
          <w:szCs w:val="17"/>
          <w:b w:val="1"/>
          <w:bCs w:val="1"/>
          <w:i w:val="1"/>
          <w:iCs w:val="1"/>
          <w:color w:val="auto"/>
        </w:rPr>
        <w:t>Hillman</w:t>
      </w:r>
      <w:r>
        <w:rPr>
          <w:rFonts w:ascii="Arial" w:cs="Arial" w:eastAsia="Arial" w:hAnsi="Arial"/>
          <w:sz w:val="17"/>
          <w:szCs w:val="17"/>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71"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prior to the execution of the Business Combination Agreement, the Company entered into the NextEra Subscription Agreement with Mendocino Capital, LLC, a Delaware limited liability company (“</w:t>
      </w:r>
      <w:r>
        <w:rPr>
          <w:rFonts w:ascii="Arial" w:cs="Arial" w:eastAsia="Arial" w:hAnsi="Arial"/>
          <w:sz w:val="18"/>
          <w:szCs w:val="18"/>
          <w:b w:val="1"/>
          <w:bCs w:val="1"/>
          <w:i w:val="1"/>
          <w:iCs w:val="1"/>
          <w:color w:val="auto"/>
        </w:rPr>
        <w:t>NextEra</w:t>
      </w:r>
      <w:r>
        <w:rPr>
          <w:rFonts w:ascii="Arial" w:cs="Arial" w:eastAsia="Arial" w:hAnsi="Arial"/>
          <w:sz w:val="18"/>
          <w:szCs w:val="18"/>
          <w:color w:val="auto"/>
        </w:rPr>
        <w:t>”), pursuant to which NextEra agreed to subscribe for up to an aggregate amount of 1,000,000 Company Series A Preferred Units. The Company had drawn $100.0 million as of June 30, 2022, issuing 1,000,000 Series A Preferred Units as of such date;</w:t>
      </w:r>
    </w:p>
    <w:p>
      <w:pPr>
        <w:spacing w:after="0" w:line="186"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Immediately prior to the execution of the Business Combination Agreement, Opco entered into that certain First Amendment to Convertible Note, dated November 29, 2021 (the “</w:t>
      </w:r>
      <w:r>
        <w:rPr>
          <w:rFonts w:ascii="Arial" w:cs="Arial" w:eastAsia="Arial" w:hAnsi="Arial"/>
          <w:sz w:val="16"/>
          <w:szCs w:val="16"/>
          <w:b w:val="1"/>
          <w:bCs w:val="1"/>
          <w:i w:val="1"/>
          <w:iCs w:val="1"/>
          <w:color w:val="auto"/>
        </w:rPr>
        <w:t>Ares First Amendment</w:t>
      </w:r>
      <w:r>
        <w:rPr>
          <w:rFonts w:ascii="Arial" w:cs="Arial" w:eastAsia="Arial" w:hAnsi="Arial"/>
          <w:sz w:val="16"/>
          <w:szCs w:val="16"/>
          <w:color w:val="auto"/>
        </w:rPr>
        <w:t>”), with Ares, pursuant to which Ares irrevocably agreed to exercise its right to convert fifty percent (50%) of the principal and accrued interest outstanding pursuant to the Ares Note into pre-Closing Opco common units; On July 21, 2022, Ares elected to receive New OPAL Class A common stock in lieu of pre-Closing Opco common units.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left="980" w:hanging="324"/>
        <w:spacing w:after="0" w:line="272"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the terms of the Sponsor Letter Agreement entered into on December 2, 2021 among ArcLight, ArcLight CTC Holdings II, L.P.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Opco and certain other persons concurrently with the execution of the Business Combination Agreement (the “</w:t>
      </w:r>
      <w:r>
        <w:rPr>
          <w:rFonts w:ascii="Arial" w:cs="Arial" w:eastAsia="Arial" w:hAnsi="Arial"/>
          <w:sz w:val="17"/>
          <w:szCs w:val="17"/>
          <w:b w:val="1"/>
          <w:bCs w:val="1"/>
          <w:i w:val="1"/>
          <w:iCs w:val="1"/>
          <w:color w:val="auto"/>
        </w:rPr>
        <w:t>Sponsor Letter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the Sponsor agreed to subject 10% of its New OPAL Class A common stock (received as a result of the conversion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ArcLight Class B ordinary shares immediately prior to the Closing) to vesting and forfeiture conditions relating to VWAP targets for New OPAL Class A common stock sustained over a period of 60 months following the Closing (“</w:t>
      </w:r>
      <w:r>
        <w:rPr>
          <w:rFonts w:ascii="Arial" w:cs="Arial" w:eastAsia="Arial" w:hAnsi="Arial"/>
          <w:sz w:val="17"/>
          <w:szCs w:val="17"/>
          <w:b w:val="1"/>
          <w:bCs w:val="1"/>
          <w:i w:val="1"/>
          <w:iCs w:val="1"/>
          <w:color w:val="auto"/>
        </w:rPr>
        <w:t>Sponsor Earnout Awards</w:t>
      </w:r>
      <w:r>
        <w:rPr>
          <w:rFonts w:ascii="Arial" w:cs="Arial" w:eastAsia="Arial" w:hAnsi="Arial"/>
          <w:sz w:val="17"/>
          <w:szCs w:val="17"/>
          <w:color w:val="auto"/>
        </w:rPr>
        <w:t xml:space="preserve">”). For more information, see the section titled </w:t>
      </w:r>
      <w:r>
        <w:rPr>
          <w:rFonts w:ascii="Arial" w:cs="Arial" w:eastAsia="Arial" w:hAnsi="Arial"/>
          <w:sz w:val="17"/>
          <w:szCs w:val="17"/>
          <w:i w:val="1"/>
          <w:iCs w:val="1"/>
          <w:color w:val="auto"/>
        </w:rPr>
        <w:t>”The Business Combination Agreement — Sponsor Letter Agreement”</w:t>
      </w:r>
      <w:r>
        <w:rPr>
          <w:rFonts w:ascii="Arial" w:cs="Arial" w:eastAsia="Arial" w:hAnsi="Arial"/>
          <w:sz w:val="17"/>
          <w:szCs w:val="17"/>
          <w:color w:val="auto"/>
        </w:rPr>
        <w:t xml:space="preserve"> beginning on page 147 of the Proxy Statement/Prospectus and incorporated herein by reference.</w:t>
      </w:r>
    </w:p>
    <w:p>
      <w:pPr>
        <w:spacing w:after="0" w:line="177" w:lineRule="exact"/>
        <w:rPr>
          <w:rFonts w:ascii="Arial" w:cs="Arial" w:eastAsia="Arial" w:hAnsi="Arial"/>
          <w:sz w:val="17"/>
          <w:szCs w:val="17"/>
          <w:color w:val="auto"/>
        </w:rPr>
      </w:pPr>
    </w:p>
    <w:p>
      <w:pPr>
        <w:jc w:val="both"/>
        <w:ind w:left="980" w:hanging="324"/>
        <w:spacing w:after="0" w:line="25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 immediately after the Closing, and upon the date on which New OPAL’s annual EBITDA for the calendar year 2023 exceeds $238.0 million (the “</w:t>
      </w:r>
      <w:r>
        <w:rPr>
          <w:rFonts w:ascii="Arial" w:cs="Arial" w:eastAsia="Arial" w:hAnsi="Arial"/>
          <w:sz w:val="18"/>
          <w:szCs w:val="18"/>
          <w:b w:val="1"/>
          <w:bCs w:val="1"/>
          <w:i w:val="1"/>
          <w:iCs w:val="1"/>
          <w:color w:val="auto"/>
        </w:rPr>
        <w:t>First Earnout Triggering Event</w:t>
      </w:r>
      <w:r>
        <w:rPr>
          <w:rFonts w:ascii="Arial" w:cs="Arial" w:eastAsia="Arial" w:hAnsi="Arial"/>
          <w:sz w:val="18"/>
          <w:szCs w:val="18"/>
          <w:color w:val="auto"/>
        </w:rPr>
        <w:t>”), (i) New OPAL will issue to Opco Common Equity holders (the “</w:t>
      </w:r>
      <w:r>
        <w:rPr>
          <w:rFonts w:ascii="Arial" w:cs="Arial" w:eastAsia="Arial" w:hAnsi="Arial"/>
          <w:sz w:val="18"/>
          <w:szCs w:val="18"/>
          <w:b w:val="1"/>
          <w:bCs w:val="1"/>
          <w:i w:val="1"/>
          <w:iCs w:val="1"/>
          <w:color w:val="auto"/>
        </w:rPr>
        <w:t>Earnout Participants</w:t>
      </w:r>
      <w:r>
        <w:rPr>
          <w:rFonts w:ascii="Arial" w:cs="Arial" w:eastAsia="Arial" w:hAnsi="Arial"/>
          <w:sz w:val="18"/>
          <w:szCs w:val="18"/>
          <w:color w:val="auto"/>
        </w:rPr>
        <w:t>”) an aggregate of 5,000,000 shares of New OPAL Class B common stock and New OPAL Class D common stock and corresponding OPAL Common Units (collectively, the “</w:t>
      </w:r>
      <w:r>
        <w:rPr>
          <w:rFonts w:ascii="Arial" w:cs="Arial" w:eastAsia="Arial" w:hAnsi="Arial"/>
          <w:sz w:val="18"/>
          <w:szCs w:val="18"/>
          <w:b w:val="1"/>
          <w:bCs w:val="1"/>
          <w:i w:val="1"/>
          <w:iCs w:val="1"/>
          <w:color w:val="auto"/>
        </w:rPr>
        <w:t>First Earnout Tranche</w:t>
      </w:r>
      <w:r>
        <w:rPr>
          <w:rFonts w:ascii="Arial" w:cs="Arial" w:eastAsia="Arial" w:hAnsi="Arial"/>
          <w:sz w:val="18"/>
          <w:szCs w:val="18"/>
          <w:color w:val="auto"/>
        </w:rPr>
        <w:t>”) in accordance with the allocations set forth in the Business Combination Agreement. Additionally, upon the date on which New OPAL’s annual EBITDA for the calendar year 2024 exceeds $446.0 million (the “</w:t>
      </w:r>
      <w:r>
        <w:rPr>
          <w:rFonts w:ascii="Arial" w:cs="Arial" w:eastAsia="Arial" w:hAnsi="Arial"/>
          <w:sz w:val="18"/>
          <w:szCs w:val="18"/>
          <w:b w:val="1"/>
          <w:bCs w:val="1"/>
          <w:i w:val="1"/>
          <w:iCs w:val="1"/>
          <w:color w:val="auto"/>
        </w:rPr>
        <w:t>Second Earnout Triggering Event</w:t>
      </w:r>
      <w:r>
        <w:rPr>
          <w:rFonts w:ascii="Arial" w:cs="Arial" w:eastAsia="Arial" w:hAnsi="Arial"/>
          <w:sz w:val="18"/>
          <w:szCs w:val="18"/>
          <w:color w:val="auto"/>
        </w:rPr>
        <w:t>”), (i) New OPAL will issue to the Earnout Participants an aggregate of 5,000,000 additional shares of New OPAL Class B common stock and New OPAL Class D common stock and corresponding OPAL Common Units (collectively, the “</w:t>
      </w:r>
      <w:r>
        <w:rPr>
          <w:rFonts w:ascii="Arial" w:cs="Arial" w:eastAsia="Arial" w:hAnsi="Arial"/>
          <w:sz w:val="18"/>
          <w:szCs w:val="18"/>
          <w:b w:val="1"/>
          <w:bCs w:val="1"/>
          <w:i w:val="1"/>
          <w:iCs w:val="1"/>
          <w:color w:val="auto"/>
        </w:rPr>
        <w:t>Second Earnout Tranche</w:t>
      </w:r>
      <w:r>
        <w:rPr>
          <w:rFonts w:ascii="Arial" w:cs="Arial" w:eastAsia="Arial" w:hAnsi="Arial"/>
          <w:sz w:val="18"/>
          <w:szCs w:val="18"/>
          <w:color w:val="auto"/>
        </w:rPr>
        <w:t>”) in accordance with the allocations set forth in the Business Combination Agreement (“</w:t>
      </w:r>
      <w:r>
        <w:rPr>
          <w:rFonts w:ascii="Arial" w:cs="Arial" w:eastAsia="Arial" w:hAnsi="Arial"/>
          <w:sz w:val="18"/>
          <w:szCs w:val="18"/>
          <w:b w:val="1"/>
          <w:bCs w:val="1"/>
          <w:i w:val="1"/>
          <w:iCs w:val="1"/>
          <w:color w:val="auto"/>
        </w:rPr>
        <w:t>OPAL 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a forward share purchase agreement (the “Forward Purchase Agreement”) entered into between ArcLight and Meteora Capital Partners and its affiliates (collectively, “</w:t>
      </w:r>
      <w:r>
        <w:rPr>
          <w:rFonts w:ascii="Arial" w:cs="Arial" w:eastAsia="Arial" w:hAnsi="Arial"/>
          <w:sz w:val="17"/>
          <w:szCs w:val="17"/>
          <w:b w:val="1"/>
          <w:bCs w:val="1"/>
          <w:i w:val="1"/>
          <w:iCs w:val="1"/>
          <w:color w:val="auto"/>
        </w:rPr>
        <w:t>Meteora</w:t>
      </w:r>
      <w:r>
        <w:rPr>
          <w:rFonts w:ascii="Arial" w:cs="Arial" w:eastAsia="Arial" w:hAnsi="Arial"/>
          <w:sz w:val="17"/>
          <w:szCs w:val="17"/>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77" w:lineRule="exact"/>
        <w:rPr>
          <w:rFonts w:ascii="Arial" w:cs="Arial" w:eastAsia="Arial" w:hAnsi="Arial"/>
          <w:sz w:val="17"/>
          <w:szCs w:val="17"/>
          <w:color w:val="auto"/>
        </w:rPr>
      </w:pPr>
    </w:p>
    <w:p>
      <w:pPr>
        <w:jc w:val="both"/>
        <w:ind w:left="980" w:hanging="324"/>
        <w:spacing w:after="0" w:line="272"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a July 21, 2022 agreement between Encompass Capital Advisors LLC (“</w:t>
      </w:r>
      <w:r>
        <w:rPr>
          <w:rFonts w:ascii="Arial" w:cs="Arial" w:eastAsia="Arial" w:hAnsi="Arial"/>
          <w:sz w:val="17"/>
          <w:szCs w:val="17"/>
          <w:b w:val="1"/>
          <w:bCs w:val="1"/>
          <w:i w:val="1"/>
          <w:iCs w:val="1"/>
          <w:color w:val="auto"/>
        </w:rPr>
        <w:t>Encompass</w:t>
      </w:r>
      <w:r>
        <w:rPr>
          <w:rFonts w:ascii="Arial" w:cs="Arial" w:eastAsia="Arial" w:hAnsi="Arial"/>
          <w:sz w:val="17"/>
          <w:szCs w:val="17"/>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77" w:lineRule="exact"/>
        <w:rPr>
          <w:rFonts w:ascii="Arial" w:cs="Arial" w:eastAsia="Arial" w:hAnsi="Arial"/>
          <w:sz w:val="17"/>
          <w:szCs w:val="17"/>
          <w:color w:val="auto"/>
        </w:rPr>
      </w:pPr>
    </w:p>
    <w:p>
      <w:pPr>
        <w:jc w:val="both"/>
        <w:ind w:left="980" w:hanging="324"/>
        <w:spacing w:after="0" w:line="271"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Additionally, in connection with the Closing, Opco and Sponsor entered into a letter agreement (the “</w:t>
      </w:r>
      <w:r>
        <w:rPr>
          <w:rFonts w:ascii="Arial" w:cs="Arial" w:eastAsia="Arial" w:hAnsi="Arial"/>
          <w:sz w:val="17"/>
          <w:szCs w:val="17"/>
          <w:b w:val="1"/>
          <w:bCs w:val="1"/>
          <w:i w:val="1"/>
          <w:iCs w:val="1"/>
          <w:color w:val="auto"/>
        </w:rPr>
        <w:t>Sponsor Side Letter</w:t>
      </w:r>
      <w:r>
        <w:rPr>
          <w:rFonts w:ascii="Arial" w:cs="Arial" w:eastAsia="Arial" w:hAnsi="Arial"/>
          <w:sz w:val="17"/>
          <w:szCs w:val="17"/>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Arial" w:cs="Arial" w:eastAsia="Arial" w:hAnsi="Arial"/>
          <w:sz w:val="17"/>
          <w:szCs w:val="17"/>
          <w:b w:val="1"/>
          <w:bCs w:val="1"/>
          <w:i w:val="1"/>
          <w:iCs w:val="1"/>
          <w:color w:val="auto"/>
        </w:rPr>
        <w:t>Shortfall Amount</w:t>
      </w:r>
      <w:r>
        <w:rPr>
          <w:rFonts w:ascii="Arial" w:cs="Arial" w:eastAsia="Arial" w:hAnsi="Arial"/>
          <w:sz w:val="17"/>
          <w:szCs w:val="17"/>
          <w:color w:val="auto"/>
        </w:rPr>
        <w:t>”), Sponsor shall transfer, pledge or forfeit up to an additional 102,000 of the Sponsor Earnout Awards (shares of New OPAL Class A common stock subject to vesting conditions noted above), with such maximum number of shares pro-rated on a directly proportionate basis based on the size of the Shortfall Amount relative to $6,800,000.</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Arial" w:cs="Arial" w:eastAsia="Arial" w:hAnsi="Arial"/>
          <w:sz w:val="16"/>
          <w:szCs w:val="16"/>
          <w:b w:val="1"/>
          <w:bCs w:val="1"/>
          <w:i w:val="1"/>
          <w:iCs w:val="1"/>
          <w:color w:val="auto"/>
        </w:rPr>
        <w:t>TRA Participants</w:t>
      </w:r>
      <w:r>
        <w:rPr>
          <w:rFonts w:ascii="Arial" w:cs="Arial" w:eastAsia="Arial" w:hAnsi="Arial"/>
          <w:sz w:val="16"/>
          <w:szCs w:val="16"/>
          <w:color w:val="auto"/>
        </w:rPr>
        <w:t>”), pursuant to which New OPAL generally will be required to pay to the TRA Participants, in the aggregate, 85% of the amount of cash savings, if any, in U.S. federal, state and local income tax or franchise tax that New OPAL actually realizes as a result of (i) 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Arial" w:cs="Arial" w:eastAsia="Arial" w:hAnsi="Arial"/>
          <w:sz w:val="16"/>
          <w:szCs w:val="16"/>
          <w:i w:val="1"/>
          <w:iCs w:val="1"/>
          <w:color w:val="auto"/>
        </w:rPr>
        <w:t>The Business Combination — Related Agreements — Tax Receivable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beginning on page 144 of the Proxy Statement/Prospectus and incorporated herein by reference.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59" w:lineRule="auto"/>
        <w:rPr>
          <w:sz w:val="20"/>
          <w:szCs w:val="20"/>
          <w:color w:val="auto"/>
        </w:rPr>
      </w:pPr>
      <w:r>
        <w:rPr>
          <w:rFonts w:ascii="Arial" w:cs="Arial" w:eastAsia="Arial" w:hAnsi="Arial"/>
          <w:sz w:val="18"/>
          <w:szCs w:val="18"/>
          <w:color w:val="auto"/>
        </w:rPr>
        <w:t>In May 2022, ArcLight’s and Opco’s Advisors resigned and withdrew from their engagements in connection with the Business Combination. Please see “</w:t>
      </w:r>
      <w:r>
        <w:rPr>
          <w:rFonts w:ascii="Arial" w:cs="Arial" w:eastAsia="Arial" w:hAnsi="Arial"/>
          <w:sz w:val="18"/>
          <w:szCs w:val="18"/>
          <w:i w:val="1"/>
          <w:iCs w:val="1"/>
          <w:color w:val="auto"/>
        </w:rPr>
        <w:t>Summary — Recent Developments,</w:t>
      </w:r>
      <w:r>
        <w:rPr>
          <w:rFonts w:ascii="Arial" w:cs="Arial" w:eastAsia="Arial" w:hAnsi="Arial"/>
          <w:sz w:val="18"/>
          <w:szCs w:val="18"/>
          <w:color w:val="auto"/>
        </w:rPr>
        <w:t>” beginning on page 42 of the Proxy Statement/Prospectus and incorporated herein by reference, for a description of the potential impacts of such resignation on the Business Combination and Note 6 to this unaudited pro forma condensed combined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30, 2021, Opco and Ares signed the Exchange Agreement (the “</w:t>
      </w:r>
      <w:r>
        <w:rPr>
          <w:rFonts w:ascii="Arial" w:cs="Arial" w:eastAsia="Arial" w:hAnsi="Arial"/>
          <w:sz w:val="16"/>
          <w:szCs w:val="16"/>
          <w:b w:val="1"/>
          <w:bCs w:val="1"/>
          <w:i w:val="1"/>
          <w:iCs w:val="1"/>
          <w:color w:val="auto"/>
        </w:rPr>
        <w:t>Exchange Agreement</w:t>
      </w:r>
      <w:r>
        <w:rPr>
          <w:rFonts w:ascii="Arial" w:cs="Arial" w:eastAsia="Arial" w:hAnsi="Arial"/>
          <w:sz w:val="16"/>
          <w:szCs w:val="16"/>
          <w:color w:val="auto"/>
        </w:rPr>
        <w:t>”) which outlines terms that were substantially agreed to on April 30, 2021. Pursuant to the Exchange Agreement, Opco issued an unsecured convertible promissory note (the “</w:t>
      </w:r>
      <w:r>
        <w:rPr>
          <w:rFonts w:ascii="Arial" w:cs="Arial" w:eastAsia="Arial" w:hAnsi="Arial"/>
          <w:sz w:val="16"/>
          <w:szCs w:val="16"/>
          <w:b w:val="1"/>
          <w:bCs w:val="1"/>
          <w:i w:val="1"/>
          <w:iCs w:val="1"/>
          <w:color w:val="auto"/>
        </w:rPr>
        <w:t>Convertible Note</w:t>
      </w:r>
      <w:r>
        <w:rPr>
          <w:rFonts w:ascii="Arial" w:cs="Arial" w:eastAsia="Arial" w:hAnsi="Arial"/>
          <w:sz w:val="16"/>
          <w:szCs w:val="16"/>
          <w:color w:val="auto"/>
        </w:rPr>
        <w:t>”) in return for Ares’ assignment of its 58% Class B units in Beacon JV to Opco (the “</w:t>
      </w:r>
      <w:r>
        <w:rPr>
          <w:rFonts w:ascii="Arial" w:cs="Arial" w:eastAsia="Arial" w:hAnsi="Arial"/>
          <w:sz w:val="16"/>
          <w:szCs w:val="16"/>
          <w:b w:val="1"/>
          <w:bCs w:val="1"/>
          <w:i w:val="1"/>
          <w:iCs w:val="1"/>
          <w:color w:val="auto"/>
        </w:rPr>
        <w:t>Assignment Agreement</w:t>
      </w:r>
      <w:r>
        <w:rPr>
          <w:rFonts w:ascii="Arial" w:cs="Arial" w:eastAsia="Arial" w:hAnsi="Arial"/>
          <w:sz w:val="16"/>
          <w:szCs w:val="16"/>
          <w:color w:val="auto"/>
        </w:rPr>
        <w:t>”). The transfer date of the aforementioned consideration was set to May 1, 2021. As agreed to on April 30, 2021, Opco obtained unilateral control over Beacon JV on May 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6"/>
          <w:szCs w:val="16"/>
          <w:b w:val="1"/>
          <w:bCs w:val="1"/>
          <w:i w:val="1"/>
          <w:iCs w:val="1"/>
          <w:color w:val="auto"/>
        </w:rPr>
        <w:t>Transaction Accounting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and present the reasonably estimable synergies and other transaction effects that have occurred or are reasonably expected to occur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Management’s Adjustments</w:t>
      </w:r>
      <w:r>
        <w:rPr>
          <w:rFonts w:ascii="Arial" w:cs="Arial" w:eastAsia="Arial" w:hAnsi="Arial"/>
          <w:sz w:val="16"/>
          <w:szCs w:val="16"/>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Class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New OPAL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Pro forma</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 (2)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Ownership</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ArcLight Public Shareholders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Class 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3,752,181</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Sponsor Shareholders (1)</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7,779,076</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Class 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11,080,600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Ares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3,059,533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Opco Common Equityholders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144,399,037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Hillman</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Class 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2,021,587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OPAL HoldCo</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Class 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142,377,450</w:t>
            </w: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r>
      <w:tr>
        <w:trPr>
          <w:trHeight w:val="237"/>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 forma common stock at Closing</w:t>
            </w:r>
          </w:p>
        </w:tc>
        <w:tc>
          <w:tcPr>
            <w:tcW w:w="1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170,070,427</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1"/>
        </w:trPr>
        <w:tc>
          <w:tcPr>
            <w:tcW w:w="7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Please refer to the section titled ““</w:t>
      </w:r>
      <w:r>
        <w:rPr>
          <w:rFonts w:ascii="Arial" w:cs="Arial" w:eastAsia="Arial" w:hAnsi="Arial"/>
          <w:sz w:val="18"/>
          <w:szCs w:val="18"/>
          <w:i w:val="1"/>
          <w:iCs w:val="1"/>
          <w:color w:val="auto"/>
        </w:rPr>
        <w:t>Description of New OPAL’s Capital Stock</w:t>
      </w:r>
      <w:r>
        <w:rPr>
          <w:rFonts w:ascii="Arial" w:cs="Arial" w:eastAsia="Arial" w:hAnsi="Arial"/>
          <w:sz w:val="18"/>
          <w:szCs w:val="18"/>
          <w:color w:val="auto"/>
        </w:rPr>
        <w:t>” beginning on page 296 of the Proxy Statement/Prospectus</w:t>
      </w:r>
      <w:r>
        <w:rPr>
          <w:rFonts w:ascii="Arial" w:cs="Arial" w:eastAsia="Arial" w:hAnsi="Arial"/>
          <w:sz w:val="18"/>
          <w:szCs w:val="18"/>
          <w:i w:val="1"/>
          <w:i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for the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Earnout Awards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184"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Current stock price — The ArcLight closing stock price of $9.95 as of June 30, 2022;</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volatility — The volatility rate was determined based on historical and implied volatilities of selected industry peers deemed to be comparable to our business corresponding to the expected term of the awards;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Expected term — The expected term is the 5 years following the closing;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Expected dividend yield — The expected dividend yield is zero, as we do not anticipate distributing dividends on the common stock in the expected term.</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OPAL Earnout Awards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165"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Current stock price — The ArcLight closing stock price of $9.95 as of June 30, 2022;</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Weighted average cost of capital (“</w:t>
      </w:r>
      <w:r>
        <w:rPr>
          <w:rFonts w:ascii="Arial" w:cs="Arial" w:eastAsia="Arial" w:hAnsi="Arial"/>
          <w:sz w:val="18"/>
          <w:szCs w:val="18"/>
          <w:b w:val="1"/>
          <w:bCs w:val="1"/>
          <w:i w:val="1"/>
          <w:iCs w:val="1"/>
          <w:color w:val="auto"/>
        </w:rPr>
        <w:t>WACC</w:t>
      </w:r>
      <w:r>
        <w:rPr>
          <w:rFonts w:ascii="Arial" w:cs="Arial" w:eastAsia="Arial" w:hAnsi="Arial"/>
          <w:sz w:val="18"/>
          <w:szCs w:val="18"/>
          <w:color w:val="auto"/>
        </w:rPr>
        <w:t>”) — The WACC reflected a derived cost of capital informed by research on cost of capital of a selection of comparable public companies;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Expected term — The expected term is the 2 years earnout period;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Expected dividend yield — The expected dividend yield is zero, as we do not anticipate distributing dividends on the common stock in the expected term;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EBITDA forecast internally derived by Opco for the earnout period.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84" w:lineRule="exact"/>
        <w:rPr>
          <w:sz w:val="20"/>
          <w:szCs w:val="20"/>
          <w:color w:val="auto"/>
        </w:rPr>
      </w:pPr>
    </w:p>
    <w:p>
      <w:pPr>
        <w:ind w:left="5480" w:right="4100" w:hanging="4824"/>
        <w:spacing w:after="0" w:line="778" w:lineRule="auto"/>
        <w:tabs>
          <w:tab w:leader="none" w:pos="9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Current stock price — The ArcLight closing stock price of $9.95 as of June 30, 2022;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Expected term — The expected term is the 6 months following the closing;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Expected dividend yield — The expected dividend yield is zero, as we do not anticipate distributing dividends on the common stock in the expected term.</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Reclassifications Made to ArcLight Financial Statement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 adjustments have been made to conform ArcLight’s financial statement presentation to that of Opco’s.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reclassification adjustments were made to the unaudited pro forma condensed combined balance sheet as of June 30, 2022:</w:t>
      </w:r>
    </w:p>
    <w:p>
      <w:pPr>
        <w:spacing w:after="0" w:line="225"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reclassification of $219 thousand from ArcLight’s Cash to Cash and cash equivalents.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reclassification of $546 thousand from ArcLight’s Prepaid expenses to Prepaid expenses and other current assets.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reclassification of $30 thousand from ArcLight’s Accrued expenses and $6,192 thousand from ArcLight’s Deferred legal fees to Accrued expenses and other current liabilities.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reclassification adjustments were made to the unaudited pro forma condensed combined statement of operations for the three months ended June 30, 2022:</w:t>
      </w:r>
    </w:p>
    <w:p>
      <w:pPr>
        <w:spacing w:after="0" w:line="170"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Reflects the reclassification of $3,125 thousand from ArcLight’s General and administrative expenses to Selling, general and administrative.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reclassification of $440 thousand from ArcLight’s Net gain on investments held in Trust Account to Interest and financing expense, net.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reclassification adjustments were made to the unaudited pro forma condensed combined statement of operations for the period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13, 2021 (inception) to December 31, 2021:</w:t>
      </w:r>
    </w:p>
    <w:p>
      <w:pPr>
        <w:spacing w:after="0" w:line="211"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Reflects the reclassification of $4,945 thousand from ArcLight’s General and administrative expenses to Selling, general and administrative.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Reflects the reclassification of $463 thousand from ArcLight’s Financing costs — warrant liabilities and $13 thousand from ArcLight’s Net gain on investments held in Trust Account to Interest and financing expense, net.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5 — Reclassifications Made to Beacon Financial Statement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reclassification adjustments were made to the pro forma condensed combined statement of operations for the four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2021 to conform Beacon financial statement presentation to that of Opco’s:</w:t>
      </w:r>
    </w:p>
    <w:p>
      <w:pPr>
        <w:spacing w:after="0" w:line="211" w:lineRule="exact"/>
        <w:rPr>
          <w:sz w:val="20"/>
          <w:szCs w:val="20"/>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reclassification of $1,137 thousand from Renewable gas sales, $12,101 thousand from RIN sales, and $74 thousand from Transportation sales to RNG Fuel.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reclassification of $5,937 thousand from Operations and $460 thousand from Repairs and Maintenance to Costs of sales — RNG fuel.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reclassification of $317 thousand from General and administrative and $139 thousand from Insurance to Selling, general and administrative.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reclassification of $1,049 thousand from Depreciation and $11 thousand from Asset retirement obligation accretion to Depreciation, amortization, and accretion.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elimination of an intercompany transaction between Opco and Beacon for the amount of $1,134 thousand from Environmental credit processing service and $1,134 thousand from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Adjustments to Unaudited Pro Forma Condensed Combined Balance Sheet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 forma transaction accounting adjustments are as follows: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$311.8 million.</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reclassification of the carrying value of Opco’s Series A and Series A-1 Preferred Units to Redeemable preferred noncontrolling interest.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conversion of fifty percent (50%) of the principal and accrued interest outstanding pursuant to the Ares Note into New OPAL Class A common stock.</w:t>
      </w:r>
    </w:p>
    <w:p>
      <w:pPr>
        <w:spacing w:after="0" w:line="170"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76" w:lineRule="exact"/>
        <w:rPr>
          <w:rFonts w:ascii="Arial" w:cs="Arial" w:eastAsia="Arial" w:hAnsi="Arial"/>
          <w:sz w:val="17"/>
          <w:szCs w:val="17"/>
          <w:color w:val="auto"/>
        </w:rPr>
      </w:pPr>
    </w:p>
    <w:p>
      <w:pPr>
        <w:jc w:val="both"/>
        <w:ind w:left="980"/>
        <w:spacing w:after="0" w:line="255" w:lineRule="auto"/>
        <w:rPr>
          <w:rFonts w:ascii="Arial" w:cs="Arial" w:eastAsia="Arial" w:hAnsi="Arial"/>
          <w:sz w:val="17"/>
          <w:szCs w:val="17"/>
          <w:color w:val="auto"/>
        </w:rPr>
      </w:pPr>
      <w:r>
        <w:rPr>
          <w:rFonts w:ascii="Arial" w:cs="Arial" w:eastAsia="Arial" w:hAnsi="Arial"/>
          <w:sz w:val="18"/>
          <w:szCs w:val="18"/>
          <w:color w:val="auto"/>
        </w:rPr>
        <w:t>The $1,400 thousand and $6,243 thousand decreases to accrued expenses and other current liabilities represent the adjustment to account for payments of accrued transaction cost liabilities in both Opco’s and ArcLigh’s historical balance sheets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324" w:hanging="324"/>
        <w:spacing w:after="0" w:line="311" w:lineRule="auto"/>
        <w:tabs>
          <w:tab w:leader="none" w:pos="324"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48" w:lineRule="exact"/>
        <w:rPr>
          <w:rFonts w:ascii="Arial" w:cs="Arial" w:eastAsia="Arial" w:hAnsi="Arial"/>
          <w:sz w:val="16"/>
          <w:szCs w:val="16"/>
          <w:color w:val="auto"/>
        </w:rPr>
      </w:pPr>
    </w:p>
    <w:p>
      <w:pPr>
        <w:jc w:val="both"/>
        <w:ind w:left="324" w:hanging="324"/>
        <w:spacing w:after="0" w:line="279" w:lineRule="auto"/>
        <w:tabs>
          <w:tab w:leader="none" w:pos="324"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71" w:lineRule="exact"/>
        <w:rPr>
          <w:rFonts w:ascii="Arial" w:cs="Arial" w:eastAsia="Arial" w:hAnsi="Arial"/>
          <w:sz w:val="17"/>
          <w:szCs w:val="17"/>
          <w:color w:val="auto"/>
        </w:rPr>
      </w:pPr>
    </w:p>
    <w:p>
      <w:pPr>
        <w:jc w:val="both"/>
        <w:ind w:left="324" w:hanging="324"/>
        <w:spacing w:after="0" w:line="253" w:lineRule="auto"/>
        <w:tabs>
          <w:tab w:leader="none" w:pos="3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96"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46" w:lineRule="exact"/>
        <w:rPr>
          <w:rFonts w:ascii="Arial" w:cs="Arial" w:eastAsia="Arial" w:hAnsi="Arial"/>
          <w:sz w:val="17"/>
          <w:szCs w:val="17"/>
          <w:color w:val="auto"/>
        </w:rPr>
      </w:pPr>
    </w:p>
    <w:p>
      <w:pPr>
        <w:jc w:val="both"/>
        <w:ind w:left="324" w:hanging="324"/>
        <w:spacing w:after="0" w:line="273" w:lineRule="auto"/>
        <w:tabs>
          <w:tab w:leader="none" w:pos="324"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connection with the Business Combination, New OPAL entered into the tax receivable agreement (the “</w:t>
      </w:r>
      <w:r>
        <w:rPr>
          <w:rFonts w:ascii="Arial" w:cs="Arial" w:eastAsia="Arial" w:hAnsi="Arial"/>
          <w:sz w:val="17"/>
          <w:szCs w:val="17"/>
          <w:b w:val="1"/>
          <w:bCs w:val="1"/>
          <w:i w:val="1"/>
          <w:iCs w:val="1"/>
          <w:color w:val="auto"/>
        </w:rPr>
        <w:t>Tax Receivable Agreement</w:t>
      </w:r>
      <w:r>
        <w:rPr>
          <w:rFonts w:ascii="Arial" w:cs="Arial" w:eastAsia="Arial" w:hAnsi="Arial"/>
          <w:sz w:val="17"/>
          <w:szCs w:val="17"/>
          <w:color w:val="auto"/>
        </w:rPr>
        <w:t>”) with OPAL Holdco and Hillman such persons, together with such other persons from time to time that become party thereto, collectively, the “</w:t>
      </w:r>
      <w:r>
        <w:rPr>
          <w:rFonts w:ascii="Arial" w:cs="Arial" w:eastAsia="Arial" w:hAnsi="Arial"/>
          <w:sz w:val="17"/>
          <w:szCs w:val="17"/>
          <w:b w:val="1"/>
          <w:bCs w:val="1"/>
          <w:i w:val="1"/>
          <w:iCs w:val="1"/>
          <w:color w:val="auto"/>
        </w:rPr>
        <w:t>TRA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Participants</w:t>
      </w:r>
      <w:r>
        <w:rPr>
          <w:rFonts w:ascii="Arial" w:cs="Arial" w:eastAsia="Arial" w:hAnsi="Arial"/>
          <w:sz w:val="17"/>
          <w:szCs w:val="17"/>
          <w:color w:val="auto"/>
        </w:rPr>
        <w:t>”). Pursuant to the Tax Receivable Agreement, New OPAL will be required to pay the TRA Participants 85% of the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177" w:lineRule="exact"/>
        <w:rPr>
          <w:rFonts w:ascii="Arial" w:cs="Arial" w:eastAsia="Arial" w:hAnsi="Arial"/>
          <w:sz w:val="17"/>
          <w:szCs w:val="17"/>
          <w:color w:val="auto"/>
        </w:rPr>
      </w:pPr>
    </w:p>
    <w:p>
      <w:pPr>
        <w:jc w:val="both"/>
        <w:ind w:left="324"/>
        <w:spacing w:after="0" w:line="268" w:lineRule="auto"/>
        <w:rPr>
          <w:rFonts w:ascii="Arial" w:cs="Arial" w:eastAsia="Arial" w:hAnsi="Arial"/>
          <w:sz w:val="17"/>
          <w:szCs w:val="17"/>
          <w:color w:val="auto"/>
        </w:rPr>
      </w:pPr>
      <w:r>
        <w:rPr>
          <w:rFonts w:ascii="Arial" w:cs="Arial" w:eastAsia="Arial" w:hAnsi="Arial"/>
          <w:sz w:val="17"/>
          <w:szCs w:val="17"/>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$509.0 million and a related liability for payments under the Tax Receivable Agreement of approximately $433.0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398"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jc w:val="both"/>
        <w:ind w:left="980"/>
        <w:spacing w:after="0" w:line="259" w:lineRule="auto"/>
        <w:rPr>
          <w:sz w:val="20"/>
          <w:szCs w:val="20"/>
          <w:color w:val="auto"/>
        </w:rPr>
      </w:pPr>
      <w:r>
        <w:rPr>
          <w:rFonts w:ascii="Arial" w:cs="Arial" w:eastAsia="Arial" w:hAnsi="Arial"/>
          <w:sz w:val="18"/>
          <w:szCs w:val="18"/>
          <w:color w:val="auto"/>
        </w:rPr>
        <w:t>It is more likely than not that the deferred tax assets will not be realized in accordance with ASC Topic 740, ‘Income Taxes’ (“</w:t>
      </w:r>
      <w:r>
        <w:rPr>
          <w:rFonts w:ascii="Arial" w:cs="Arial" w:eastAsia="Arial" w:hAnsi="Arial"/>
          <w:sz w:val="18"/>
          <w:szCs w:val="18"/>
          <w:b w:val="1"/>
          <w:bCs w:val="1"/>
          <w:i w:val="1"/>
          <w:iCs w:val="1"/>
          <w:color w:val="auto"/>
        </w:rPr>
        <w:t>ASC 740</w:t>
      </w:r>
      <w:r>
        <w:rPr>
          <w:rFonts w:ascii="Arial" w:cs="Arial" w:eastAsia="Arial" w:hAnsi="Arial"/>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7" w:lineRule="exact"/>
        <w:rPr>
          <w:sz w:val="20"/>
          <w:szCs w:val="20"/>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fair value of $5,900 and $46,000 thousand of the Sponsor Earnout Awards and the OPAL Earnout Awards, respectively. Refer to Note 3 for more information.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Adjustments to Unaudited Pro Forma Condensed Combined Statements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 of operations for the three months ended June 30, 2022 are as follows:</w:t>
      </w:r>
    </w:p>
    <w:p>
      <w:pPr>
        <w:spacing w:after="0" w:line="170" w:lineRule="exact"/>
        <w:rPr>
          <w:sz w:val="20"/>
          <w:szCs w:val="20"/>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it is more likely than not that the ArcLight deferred tax assets will not be realized in accordance with ASC 740, no income tax benefit is recognized.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the elimination of interest earned on marketable securities held in ArcLight’s Trust Account.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 of operations for the year ended December 31, 2021 are as follows:</w:t>
      </w:r>
    </w:p>
    <w:p>
      <w:pPr>
        <w:spacing w:after="0" w:line="170" w:lineRule="exact"/>
        <w:rPr>
          <w:sz w:val="20"/>
          <w:szCs w:val="20"/>
          <w:color w:val="auto"/>
        </w:rPr>
      </w:pPr>
    </w:p>
    <w:p>
      <w:pPr>
        <w:jc w:val="both"/>
        <w:ind w:left="980" w:hanging="324"/>
        <w:spacing w:after="0" w:line="263"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it is more likely than not that the ArcLight deferred tax assets will not be realized in accordance with ASC 740, no income tax benefit is recognized.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elimination of interest earned on marketable securities held in ArcLight’s Trust Account.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Reflects a $4,200 thousand adjustment for estimated costs attributable to a directors’ and officers’ insurance tail policy which will be contingently incurred upon closing of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Net Income (Loss) per Share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93" w:lineRule="auto"/>
        <w:rPr>
          <w:sz w:val="20"/>
          <w:szCs w:val="20"/>
          <w:color w:val="auto"/>
        </w:rPr>
      </w:pPr>
      <w:r>
        <w:rPr>
          <w:rFonts w:ascii="Arial" w:cs="Arial" w:eastAsia="Arial" w:hAnsi="Arial"/>
          <w:sz w:val="16"/>
          <w:szCs w:val="16"/>
          <w:color w:val="auto"/>
        </w:rPr>
        <w:t>New OPAL has 6,223,261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shares and per share data)</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Numerator</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net income (loss) attributable to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(11,456)</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of New OPAL Class A common stock – basic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24,757,483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24,757,483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outstanding of New OPAL Class A common stock – diluted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24,761,483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24,761,483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net income (loss) per share (Basic) attributable to New OPAL Class A common stockholders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w w:val="98"/>
              </w:rPr>
              <w:t>Pro forma net income (loss) per share (Diluted) attributable to New OPAL Class A common stockholders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ArcLight Public Shareholders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3,752,181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3,752,181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ArcLight Public Shareholders (3)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3,756,181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3,756,181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Sponsor Shareholders (2)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6,865,169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6,865,169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PIPE Investors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11,080,600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11,080,600</w:t>
            </w: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Ares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3,059,533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3,059,533</w:t>
            </w:r>
          </w:p>
        </w:tc>
      </w:tr>
    </w:tbl>
    <w:p>
      <w:pPr>
        <w:spacing w:after="0" w:line="187" w:lineRule="exact"/>
        <w:rPr>
          <w:sz w:val="20"/>
          <w:szCs w:val="20"/>
          <w:color w:val="auto"/>
        </w:rPr>
      </w:pPr>
    </w:p>
    <w:p>
      <w:pPr>
        <w:jc w:val="both"/>
        <w:ind w:left="340" w:right="20" w:hanging="332"/>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4,000 dilutive shares of New OPAL Class A Common Stock pursuant to the Forward Purchase Agreement under the reverse treasury stock method.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lowerLetter"/>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lowerLetter"/>
      <w:start w:val="1"/>
    </w:lvl>
  </w:abstractNum>
  <w:abstractNum w:abstractNumId="4">
    <w:nsid w:val="70A64E2A"/>
    <w:multiLevelType w:val="hybridMultilevel"/>
    <w:lvl w:ilvl="0">
      <w:lvlJc w:val="left"/>
      <w:lvlText w:val="%1"/>
      <w:numFmt w:val="decimal"/>
      <w:start w:val="104"/>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lowerRoman"/>
      <w:start w:val="1"/>
    </w:lvl>
  </w:abstractNum>
  <w:abstractNum w:abstractNumId="7">
    <w:nsid w:val="1D4ED43B"/>
    <w:multiLevelType w:val="hybridMultilevel"/>
    <w:lvl w:ilvl="0">
      <w:lvlJc w:val="left"/>
      <w:lvlText w:val="(%1)"/>
      <w:numFmt w:val="lowerRoman"/>
      <w:start w:val="2"/>
    </w:lvl>
  </w:abstractNum>
  <w:abstractNum w:abstractNumId="8">
    <w:nsid w:val="725A06FB"/>
    <w:multiLevelType w:val="hybridMultilevel"/>
    <w:lvl w:ilvl="0">
      <w:lvlJc w:val="left"/>
      <w:lvlText w:val="%1."/>
      <w:numFmt w:val="decimal"/>
      <w:start w:val="5"/>
    </w:lvl>
  </w:abstractNum>
  <w:abstractNum w:abstractNumId="9">
    <w:nsid w:val="2CD89A32"/>
    <w:multiLevelType w:val="hybridMultilevel"/>
    <w:lvl w:ilvl="0">
      <w:lvlJc w:val="left"/>
      <w:lvlText w:val="(%1)"/>
      <w:numFmt w:val="lowerRoman"/>
      <w:start w:val="1"/>
    </w:lvl>
    <w:lvl w:ilvl="1">
      <w:lvlJc w:val="left"/>
      <w:lvlText w:val="(%2)"/>
      <w:numFmt w:val="decimal"/>
      <w:start w:val="1"/>
    </w:lvl>
  </w:abstractNum>
  <w:abstractNum w:abstractNumId="10">
    <w:nsid w:val="57E4CCAF"/>
    <w:multiLevelType w:val="hybridMultilevel"/>
    <w:lvl w:ilvl="0">
      <w:lvlJc w:val="left"/>
      <w:lvlText w:val="%1"/>
      <w:numFmt w:val="lowerRoman"/>
      <w:start w:val="1"/>
    </w:lvl>
    <w:lvl w:ilvl="1">
      <w:lvlJc w:val="left"/>
      <w:lvlText w:val="(%2)"/>
      <w:numFmt w:val="decimal"/>
      <w:start w:val="2"/>
    </w:lvl>
  </w:abstractNum>
  <w:abstractNum w:abstractNumId="11">
    <w:nsid w:val="7A6D8D3C"/>
    <w:multiLevelType w:val="hybridMultilevel"/>
    <w:lvl w:ilvl="0">
      <w:lvlJc w:val="left"/>
      <w:lvlText w:val="(%1)"/>
      <w:numFmt w:val="lowerRoman"/>
      <w:start w:val="2"/>
    </w:lvl>
    <w:lvl w:ilvl="1">
      <w:lvlJc w:val="left"/>
      <w:lvlText w:val="(%2)"/>
      <w:numFmt w:val="decimal"/>
      <w:start w:val="1"/>
    </w:lvl>
  </w:abstractNum>
  <w:abstractNum w:abstractNumId="12">
    <w:nsid w:val="4B588F54"/>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13">
    <w:nsid w:val="542289EC"/>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14">
    <w:nsid w:val="6DE91B18"/>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15">
    <w:nsid w:val="38437FDB"/>
    <w:multiLevelType w:val="hybridMultilevel"/>
    <w:lvl w:ilvl="0">
      <w:lvlJc w:val="left"/>
      <w:lvlText w:val="(%1)"/>
      <w:numFmt w:val="lowerRoman"/>
      <w:start w:val="1"/>
    </w:lvl>
  </w:abstractNum>
  <w:abstractNum w:abstractNumId="16">
    <w:nsid w:val="7644A45C"/>
    <w:multiLevelType w:val="hybridMultilevel"/>
    <w:lvl w:ilvl="0">
      <w:lvlJc w:val="left"/>
      <w:lvlText w:val="%1"/>
      <w:numFmt w:val="decimal"/>
      <w:start w:val="1"/>
    </w:lvl>
    <w:lvl w:ilvl="1">
      <w:lvlJc w:val="left"/>
      <w:lvlText w:val="(%2)"/>
      <w:numFmt w:val="lowerRoman"/>
      <w:start w:val="2"/>
    </w:lvl>
  </w:abstractNum>
  <w:abstractNum w:abstractNumId="17">
    <w:nsid w:val="32FFF902"/>
    <w:multiLevelType w:val="hybridMultilevel"/>
    <w:lvl w:ilvl="0">
      <w:lvlJc w:val="left"/>
      <w:lvlText w:val="%1."/>
      <w:numFmt w:val="decimal"/>
      <w:start w:val="6"/>
    </w:lvl>
    <w:lvl w:ilvl="1">
      <w:lvlJc w:val="left"/>
      <w:lvlText w:val="%2"/>
      <w:numFmt w:val="lowerRoman"/>
      <w:start w:val="1"/>
    </w:lvl>
  </w:abstractNum>
  <w:abstractNum w:abstractNumId="18">
    <w:nsid w:val="684A481A"/>
    <w:multiLevelType w:val="hybridMultilevel"/>
    <w:lvl w:ilvl="0">
      <w:lvlJc w:val="left"/>
      <w:lvlText w:val="(%1)"/>
      <w:numFmt w:val="lowerRoman"/>
      <w:start w:val="1"/>
    </w:lvl>
  </w:abstractNum>
  <w:abstractNum w:abstractNumId="19">
    <w:nsid w:val="579478FE"/>
    <w:multiLevelType w:val="hybridMultilevel"/>
    <w:lvl w:ilvl="0">
      <w:lvlJc w:val="left"/>
      <w:lvlText w:val="(%1)"/>
      <w:numFmt w:val="lowerRoman"/>
      <w:start w:val="2"/>
    </w:lvl>
  </w:abstractNum>
  <w:abstractNum w:abstractNumId="20">
    <w:nsid w:val="749ABB43"/>
    <w:multiLevelType w:val="hybridMultilevel"/>
    <w:lvl w:ilvl="0">
      <w:lvlJc w:val="left"/>
      <w:lvlText w:val="(%1)"/>
      <w:numFmt w:val="lowerRoman"/>
      <w:start w:val="1"/>
    </w:lvl>
  </w:abstractNum>
  <w:abstractNum w:abstractNumId="21">
    <w:nsid w:val="3DC240FB"/>
    <w:multiLevelType w:val="hybridMultilevel"/>
    <w:lvl w:ilvl="0">
      <w:lvlJc w:val="left"/>
      <w:lvlText w:val="(%1)"/>
      <w:numFmt w:val="lowerRoman"/>
      <w:start w:val="1"/>
    </w:lvl>
  </w:abstractNum>
  <w:abstractNum w:abstractNumId="22">
    <w:nsid w:val="1BA026FA"/>
    <w:multiLevelType w:val="hybridMultilevel"/>
    <w:lvl w:ilvl="0">
      <w:lvlJc w:val="left"/>
      <w:lvlText w:val="(%1)"/>
      <w:numFmt w:val="lowerRoman"/>
      <w:start w:val="5"/>
    </w:lvl>
  </w:abstractNum>
  <w:abstractNum w:abstractNumId="23">
    <w:nsid w:val="79A1DEAA"/>
    <w:multiLevelType w:val="hybridMultilevel"/>
    <w:lvl w:ilvl="0">
      <w:lvlJc w:val="left"/>
      <w:lvlText w:val="(%1)"/>
      <w:numFmt w:val="lowerRoman"/>
      <w:start w:val="11"/>
    </w:lvl>
    <w:lvl w:ilvl="1">
      <w:lvlJc w:val="left"/>
      <w:lvlText w:val="(%2)"/>
      <w:numFmt w:val="decimal"/>
      <w:start w:val="1"/>
    </w:lvl>
  </w:abstractNum>
  <w:abstractNum w:abstractNumId="24">
    <w:nsid w:val="75C6C33A"/>
    <w:multiLevelType w:val="hybridMultilevel"/>
    <w:lvl w:ilvl="0">
      <w:lvlJc w:val="left"/>
      <w:lvlText w:val="(%1)"/>
      <w:numFmt w:val="decimal"/>
      <w:start w:val="4"/>
    </w:lvl>
  </w:abstractNum>
  <w:abstractNum w:abstractNumId="25">
    <w:nsid w:val="12E685FB"/>
    <w:multiLevelType w:val="hybridMultilevel"/>
    <w:lvl w:ilvl="0">
      <w:lvlJc w:val="left"/>
      <w:lvlText w:val="%1"/>
      <w:numFmt w:val="decimal"/>
      <w:start w:val="1"/>
    </w:lvl>
    <w:lvl w:ilvl="1">
      <w:lvlJc w:val="left"/>
      <w:lvlText w:val="(%2)"/>
      <w:numFmt w:val="lowerRoman"/>
      <w:start w:val="13"/>
    </w:lvl>
  </w:abstractNum>
  <w:abstractNum w:abstractNumId="26">
    <w:nsid w:val="70C6A529"/>
    <w:multiLevelType w:val="hybridMultilevel"/>
    <w:lvl w:ilvl="0">
      <w:lvlJc w:val="left"/>
      <w:lvlText w:val="%1."/>
      <w:numFmt w:val="decimal"/>
      <w:start w:val="7"/>
    </w:lvl>
    <w:lvl w:ilvl="1">
      <w:lvlJc w:val="left"/>
      <w:lvlText w:val="%2"/>
      <w:numFmt w:val="lowerRoman"/>
      <w:start w:val="1"/>
    </w:lvl>
  </w:abstractNum>
  <w:abstractNum w:abstractNumId="27">
    <w:nsid w:val="520EEDD1"/>
    <w:multiLevelType w:val="hybridMultilevel"/>
    <w:lvl w:ilvl="0">
      <w:lvlJc w:val="left"/>
      <w:lvlText w:val="(%1)"/>
      <w:numFmt w:val="lowerRoman"/>
      <w:start w:val="1"/>
    </w:lvl>
  </w:abstractNum>
  <w:abstractNum w:abstractNumId="28">
    <w:nsid w:val="374A3FE6"/>
    <w:multiLevelType w:val="hybridMultilevel"/>
    <w:lvl w:ilvl="0">
      <w:lvlJc w:val="left"/>
      <w:lvlText w:val="(%1)"/>
      <w:numFmt w:val="lowerRoman"/>
      <w:start w:val="2"/>
    </w:lvl>
  </w:abstractNum>
  <w:abstractNum w:abstractNumId="29">
    <w:nsid w:val="4F4EF005"/>
    <w:multiLevelType w:val="hybridMultilevel"/>
    <w:lvl w:ilvl="0">
      <w:lvlJc w:val="left"/>
      <w:lvlText w:val="%1."/>
      <w:numFmt w:val="decimal"/>
      <w:start w:val="8"/>
    </w:lvl>
  </w:abstractNum>
  <w:abstractNum w:abstractNumId="30">
    <w:nsid w:val="23F9C13C"/>
    <w:multiLevelType w:val="hybridMultilevel"/>
    <w:lvl w:ilvl="0">
      <w:lvlJc w:val="left"/>
      <w:lvlText w:val="(%1)"/>
      <w:numFmt w:val="lowerRoman"/>
      <w:start w:val="1"/>
    </w:lvl>
  </w:abstractNum>
  <w:abstractNum w:abstractNumId="31">
    <w:nsid w:val="649BB77C"/>
    <w:multiLevelType w:val="hybridMultilevel"/>
    <w:lvl w:ilvl="0">
      <w:lvlJc w:val="left"/>
      <w:lvlText w:val="%1."/>
      <w:numFmt w:val="decimal"/>
      <w:start w:val="9"/>
    </w:lvl>
  </w:abstractNum>
  <w:abstractNum w:abstractNumId="32">
    <w:nsid w:val="275AC794"/>
    <w:multiLevelType w:val="hybridMultilevel"/>
    <w:lvl w:ilvl="0">
      <w:lvlJc w:val="left"/>
      <w:lvlText w:val="%1."/>
      <w:numFmt w:val="decimal"/>
      <w:start w:val="10"/>
    </w:lvl>
  </w:abstractNum>
  <w:abstractNum w:abstractNumId="33">
    <w:nsid w:val="39386575"/>
    <w:multiLevelType w:val="hybridMultilevel"/>
    <w:lvl w:ilvl="0">
      <w:lvlJc w:val="left"/>
      <w:lvlText w:val="%1."/>
      <w:numFmt w:val="decimal"/>
      <w:start w:val="12"/>
    </w:lvl>
  </w:abstractNum>
  <w:abstractNum w:abstractNumId="34">
    <w:nsid w:val="1CF10FD8"/>
    <w:multiLevelType w:val="hybridMultilevel"/>
    <w:lvl w:ilvl="0">
      <w:lvlJc w:val="left"/>
      <w:lvlText w:val="%1."/>
      <w:numFmt w:val="decimal"/>
      <w:start w:val="13"/>
    </w:lvl>
  </w:abstractNum>
  <w:abstractNum w:abstractNumId="35">
    <w:nsid w:val="180115BE"/>
    <w:multiLevelType w:val="hybridMultilevel"/>
    <w:lvl w:ilvl="0">
      <w:lvlJc w:val="left"/>
      <w:lvlText w:val="%1."/>
      <w:numFmt w:val="decimal"/>
      <w:start w:val="14"/>
    </w:lvl>
    <w:lvl w:ilvl="1">
      <w:lvlJc w:val="left"/>
      <w:lvlText w:val="(%2)"/>
      <w:numFmt w:val="lowerLetter"/>
      <w:start w:val="1"/>
    </w:lvl>
  </w:abstractNum>
  <w:abstractNum w:abstractNumId="36">
    <w:nsid w:val="235BA861"/>
    <w:multiLevelType w:val="hybridMultilevel"/>
    <w:lvl w:ilvl="0">
      <w:lvlJc w:val="left"/>
      <w:lvlText w:val="%1"/>
      <w:numFmt w:val="decimal"/>
      <w:start w:val="1"/>
    </w:lvl>
    <w:lvl w:ilvl="1">
      <w:lvlJc w:val="left"/>
      <w:lvlText w:val="(%2)"/>
      <w:numFmt w:val="lowerLetter"/>
      <w:start w:val="13"/>
    </w:lvl>
  </w:abstractNum>
  <w:abstractNum w:abstractNumId="37">
    <w:nsid w:val="47398C89"/>
    <w:multiLevelType w:val="hybridMultilevel"/>
    <w:lvl w:ilvl="0">
      <w:lvlJc w:val="left"/>
      <w:lvlText w:val="%1."/>
      <w:numFmt w:val="decimal"/>
      <w:start w:val="16"/>
    </w:lvl>
    <w:lvl w:ilvl="1">
      <w:lvlJc w:val="left"/>
      <w:lvlText w:val="%2"/>
      <w:numFmt w:val="lowerLetter"/>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
      <w:numFmt w:val="bullet"/>
      <w:start w:val="1"/>
    </w:lvl>
    <w:lvl w:ilvl="1">
      <w:lvlJc w:val="left"/>
      <w:lvlText w:val="●"/>
      <w:numFmt w:val="bullet"/>
      <w:start w:val="1"/>
    </w:lvl>
  </w:abstractNum>
  <w:abstractNum w:abstractNumId="43">
    <w:nsid w:val="3F6AB60F"/>
    <w:multiLevelType w:val="hybridMultilevel"/>
    <w:lvl w:ilvl="0">
      <w:lvlJc w:val="left"/>
      <w:lvlText w:val="●"/>
      <w:numFmt w:val="bullet"/>
      <w:start w:val="1"/>
    </w:lvl>
    <w:lvl w:ilvl="1">
      <w:lvlJc w:val="left"/>
      <w:lvlText w:val="●"/>
      <w:numFmt w:val="bullet"/>
      <w:start w:val="1"/>
    </w:lvl>
  </w:abstractNum>
  <w:abstractNum w:abstractNumId="44">
    <w:nsid w:val="61574095"/>
    <w:multiLevelType w:val="hybridMultilevel"/>
    <w:lvl w:ilvl="0">
      <w:lvlJc w:val="left"/>
      <w:lvlText w:val="●"/>
      <w:numFmt w:val="bullet"/>
      <w:start w:val="1"/>
    </w:lvl>
    <w:lvl w:ilvl="1">
      <w:lvlJc w:val="left"/>
      <w:lvlText w:val="●"/>
      <w:numFmt w:val="bullet"/>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Roman"/>
      <w:start w:val="2"/>
    </w:lvl>
  </w:abstractNum>
  <w:abstractNum w:abstractNumId="53">
    <w:nsid w:val="4AD084E9"/>
    <w:multiLevelType w:val="hybridMultilevel"/>
    <w:lvl w:ilvl="0">
      <w:lvlJc w:val="left"/>
      <w:lvlText w:val="(%1)"/>
      <w:numFmt w:val="lowerRoman"/>
      <w:start w:val="4"/>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4"/>
    </w:lvl>
  </w:abstractNum>
  <w:abstractNum w:abstractNumId="71">
    <w:nsid w:val="51D9C564"/>
    <w:multiLevelType w:val="hybridMultilevel"/>
    <w:lvl w:ilvl="0">
      <w:lvlJc w:val="left"/>
      <w:lvlText w:val="(%1)"/>
      <w:numFmt w:val="lowerLetter"/>
      <w:start w:val="6"/>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6"/>
    </w:lvl>
  </w:abstractNum>
  <w:abstractNum w:abstractNumId="75">
    <w:nsid w:val="42963E5A"/>
    <w:multiLevelType w:val="hybridMultilevel"/>
    <w:lvl w:ilvl="0">
      <w:lvlJc w:val="left"/>
      <w:lvlText w:val="(%1)"/>
      <w:numFmt w:val="lowerLetter"/>
      <w:start w:val="11"/>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lowerLetter"/>
      <w:start w:val="4"/>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2022-08-10T15:48:08Z</dcterms:created>
  <dcterms:modified xsi:type="dcterms:W3CDTF">2022-08-10T15:48:08Z</dcterms:modified>
</cp:coreProperties>
</file>