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2022</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251"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97"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51"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On November 14, 2022, OPAL Fuels Inc. (the ”Company”) issued a press release regarding its financial results for the three and nine months ended September 30, 2022. A copy of the press release is furnished as Exhibit 99.1 hereto.</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7"/>
          <w:szCs w:val="17"/>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Additionally, to supplement the Company’s unaudited condensed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income for realized and unrealized gain on interest rate swaps, net loss attributable to non-redeemable non-controlling interests, stock-based compensation expense, transaction costs and other one time non recurring charges, other non-cash charges, major maintenance for renewable power, unrealized loss (gain) for derivative instruments, non cash gain on reversal of a liability to non redeemable non-controlling interests, loss on disposal of assets, gain on redemption of Note receivable, gas in storage with forward purchase agreement and gain on equity method investments.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0000FF"/>
              </w:rPr>
              <w:t>Press release, issued by OPAL Fuels Inc., dated November 14, 2022</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00" w:type="dxa"/>
            <w:vAlign w:val="bottom"/>
            <w:tcBorders>
              <w:top w:val="single" w:sz="8" w:color="0000FF"/>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14, 2022</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OPAL Fuels Reports Third Quarter 2022 Results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Full Year 2022 Guidance</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WHITE PLAINS, N.Y. – (November 14, 2022) – </w:t>
      </w:r>
      <w:r>
        <w:rPr>
          <w:rFonts w:ascii="Arial" w:cs="Arial" w:eastAsia="Arial" w:hAnsi="Arial"/>
          <w:sz w:val="22"/>
          <w:szCs w:val="22"/>
          <w:u w:val="single" w:color="auto"/>
          <w:color w:val="0000FF"/>
        </w:rPr>
        <w:t>OPAL Fuels Inc.</w:t>
      </w:r>
      <w:r>
        <w:rPr>
          <w:rFonts w:ascii="Arial" w:cs="Arial" w:eastAsia="Arial" w:hAnsi="Arial"/>
          <w:sz w:val="22"/>
          <w:szCs w:val="22"/>
          <w:color w:val="auto"/>
        </w:rPr>
        <w:t>(“OPAL Fuels” or the “Company”) (Nasdaq: OPAL), a leading vertically integrated producer and distributor of renewable natural gas (RNG), today announced financial and operating results for the three and nine months ended September 30, 2022.</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37" w:lineRule="exact"/>
        <w:rPr>
          <w:sz w:val="20"/>
          <w:szCs w:val="20"/>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for the three and nine months ended September 30, 2022, were $66.6 million and $168.8 million, respectively, up 41% and 61%, compared to prior-year periods.</w:t>
      </w:r>
    </w:p>
    <w:p>
      <w:pPr>
        <w:spacing w:after="0" w:line="18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for the three and nine months ended September 30, 2022, was $5.4 million and $0.6 million, respectively, compared to $0.8 million and $19.0 million, in the same period last year.</w:t>
      </w:r>
    </w:p>
    <w:p>
      <w:pPr>
        <w:spacing w:after="0" w:line="178" w:lineRule="exact"/>
        <w:rPr>
          <w:rFonts w:ascii="Arial" w:cs="Arial" w:eastAsia="Arial" w:hAnsi="Arial"/>
          <w:sz w:val="22"/>
          <w:szCs w:val="22"/>
          <w:color w:val="auto"/>
        </w:rPr>
      </w:pPr>
    </w:p>
    <w:p>
      <w:pPr>
        <w:ind w:left="660" w:right="20" w:hanging="328"/>
        <w:spacing w:after="0" w:line="20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three and nine months ended September 30, 2022, was $25.5 million and $40.6 million, respectively, up 130% and 78%, compared to prior-year periods.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2022 Guidance Expectations</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Estimated Adjusted EBITDA</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for the full year 2022 is anticipated to range between $60.0 million and $63.0 million.</w:t>
      </w:r>
    </w:p>
    <w:p>
      <w:pPr>
        <w:spacing w:after="0" w:line="175"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2022 RNG production for the full year 2022 is anticipated to range between 2.2 million MMBtu and 2.3 million MMBtu.</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8"/>
        <w:spacing w:after="0" w:line="193" w:lineRule="auto"/>
        <w:tabs>
          <w:tab w:leader="none" w:pos="124" w:val="left"/>
        </w:tabs>
        <w:numPr>
          <w:ilvl w:val="0"/>
          <w:numId w:val="4"/>
        </w:numPr>
        <w:rPr>
          <w:rFonts w:ascii="Arial" w:cs="Arial" w:eastAsia="Arial" w:hAnsi="Arial"/>
          <w:sz w:val="28"/>
          <w:szCs w:val="28"/>
          <w:color w:val="auto"/>
          <w:vertAlign w:val="superscript"/>
        </w:rPr>
      </w:pPr>
      <w:r>
        <w:rPr>
          <w:rFonts w:ascii="Arial" w:cs="Arial" w:eastAsia="Arial" w:hAnsi="Arial"/>
          <w:sz w:val="18"/>
          <w:szCs w:val="18"/>
          <w:color w:val="auto"/>
        </w:rPr>
        <w:t>Adjusted EBITDA is a non-GAAP measure. A reconciliation of GAAP Net (Loss) Income to Adjusted EBITDA has been provided in the financial tables included in this press release. An explanation of this measure and how it is calculated is also included below under the heading “Non-GAAP Financial Measures."</w:t>
      </w:r>
    </w:p>
    <w:p>
      <w:pPr>
        <w:spacing w:after="0" w:line="245" w:lineRule="exact"/>
        <w:rPr>
          <w:sz w:val="20"/>
          <w:szCs w:val="20"/>
          <w:color w:val="auto"/>
        </w:rPr>
      </w:pPr>
    </w:p>
    <w:p>
      <w:pPr>
        <w:jc w:val="both"/>
        <w:ind w:firstLine="8"/>
        <w:spacing w:after="0" w:line="202" w:lineRule="auto"/>
        <w:tabs>
          <w:tab w:leader="none" w:pos="124" w:val="left"/>
        </w:tabs>
        <w:numPr>
          <w:ilvl w:val="0"/>
          <w:numId w:val="5"/>
        </w:numPr>
        <w:rPr>
          <w:rFonts w:ascii="Arial" w:cs="Arial" w:eastAsia="Arial" w:hAnsi="Arial"/>
          <w:sz w:val="28"/>
          <w:szCs w:val="28"/>
          <w:color w:val="auto"/>
          <w:vertAlign w:val="superscript"/>
        </w:rPr>
      </w:pPr>
      <w:r>
        <w:rPr>
          <w:rFonts w:ascii="Arial" w:cs="Arial" w:eastAsia="Arial" w:hAnsi="Arial"/>
          <w:sz w:val="18"/>
          <w:szCs w:val="18"/>
          <w:color w:val="auto"/>
        </w:rPr>
        <w:t>Estimated Adjusted EBITDA is a non-GAAP financial measure. A reconciliation of the full year estimated Adjusted EBITDA to net income (loss), the closest GAAP measure, cannot be provided due to the inherent difficulty in quantifying certain amounts including but not limited to changes in fair value of the derivative instruments and other items, due to a number of factors including the unpredictability of underlying price movements, which may be significant.</w:t>
      </w:r>
    </w:p>
    <w:p>
      <w:pPr>
        <w:spacing w:after="0" w:line="154" w:lineRule="exact"/>
        <w:rPr>
          <w:sz w:val="20"/>
          <w:szCs w:val="20"/>
          <w:color w:val="auto"/>
        </w:rPr>
      </w:pPr>
    </w:p>
    <w:p>
      <w:pPr>
        <w:ind w:left="140" w:hanging="132"/>
        <w:spacing w:after="0"/>
        <w:tabs>
          <w:tab w:leader="none" w:pos="140"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Reflects OPAL Fuels proportional ownership with respect to RNG projects owned with joint venture partners.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95" w:lineRule="exact"/>
        <w:rPr>
          <w:rFonts w:ascii="Arial" w:cs="Arial" w:eastAsia="Arial" w:hAnsi="Arial"/>
          <w:sz w:val="28"/>
          <w:szCs w:val="28"/>
          <w:color w:val="auto"/>
          <w:vertAlign w:val="superscript"/>
        </w:rPr>
      </w:pPr>
    </w:p>
    <w:p>
      <w:pPr>
        <w:ind w:left="5580"/>
        <w:spacing w:after="0"/>
        <w:rPr>
          <w:rFonts w:ascii="Arial" w:cs="Arial" w:eastAsia="Arial" w:hAnsi="Arial"/>
          <w:sz w:val="28"/>
          <w:szCs w:val="28"/>
          <w:color w:val="auto"/>
          <w:vertAlign w:val="superscript"/>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Commentary</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Adam Comora, Co-CEO of OPAL Fuels, commented, “We are pleased to report our third quarter earnings. First, and most importantly we continue to execute on our strategic goals and operational priorities. As of today, six RNG projects are in operation and seven are in construction. These construction projects are expected to come online throughout 2023 and into 2024. Second, we are on a solid trajectory towards realizing the significant long-term earnings power of our company. We also continue to grow our development portfolio adding to our pipeline of future RNG projects further supporting our long-term growth.”</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Jonathan Maurer, Co-CEO of OPAL Fuels, stated, “The passage of the Inflation Reduction Act and recent industry consolidation are clear endorsements of the RNG industry and the strength of our integrated business model. Over OPAL Fuels' long operating history in this sector, never has a period of positive momentum existed like the present. Our portfolio of RNG projects combined with our integrated downstream operations enable us to offer a differentiated value proposition that resonates with our customers and partners.”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Highlights</w:t>
      </w:r>
    </w:p>
    <w:p>
      <w:pPr>
        <w:spacing w:after="0" w:line="226" w:lineRule="exact"/>
        <w:rPr>
          <w:sz w:val="20"/>
          <w:szCs w:val="20"/>
          <w:color w:val="auto"/>
        </w:rPr>
      </w:pPr>
    </w:p>
    <w:p>
      <w:pPr>
        <w:ind w:left="660" w:hanging="328"/>
        <w:spacing w:after="0" w:line="250"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Produced 0.6 million and 1.6 million MMBtu of RNG, for the three and nine months ended September 30, 2022, respectively, up 50% and 33%, compared to prior-year periods.</w:t>
      </w:r>
    </w:p>
    <w:p>
      <w:pPr>
        <w:spacing w:after="0" w:line="201"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Sold 7.4 million and 20.5 million GGEs of RNG as transportation fuel for the three and nine months ended September 30, 2022, respectively, up 17% and 45%, compared to prior- year periods.</w:t>
      </w:r>
    </w:p>
    <w:p>
      <w:pPr>
        <w:spacing w:after="0" w:line="201" w:lineRule="exact"/>
        <w:rPr>
          <w:rFonts w:ascii="Arial" w:cs="Arial" w:eastAsia="Arial" w:hAnsi="Arial"/>
          <w:sz w:val="22"/>
          <w:szCs w:val="22"/>
          <w:color w:val="auto"/>
        </w:rPr>
      </w:pPr>
    </w:p>
    <w:p>
      <w:pPr>
        <w:jc w:val="both"/>
        <w:ind w:left="660" w:hanging="328"/>
        <w:spacing w:after="0"/>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Delivered 30.7 million and 82.6 million GGEs through a combination of owned station fuel provider agreements and third-party service and dispensing agreements for the three and nine months ended September 30, 2022, respectively, up 33% and 20%, compared to prior-year periods.</w:t>
      </w:r>
    </w:p>
    <w:p>
      <w:pPr>
        <w:spacing w:after="0" w:line="199" w:lineRule="exact"/>
        <w:rPr>
          <w:rFonts w:ascii="Arial" w:cs="Arial" w:eastAsia="Arial" w:hAnsi="Arial"/>
          <w:sz w:val="22"/>
          <w:szCs w:val="22"/>
          <w:color w:val="auto"/>
        </w:rPr>
      </w:pPr>
    </w:p>
    <w:p>
      <w:pPr>
        <w:jc w:val="both"/>
        <w:ind w:left="660" w:hanging="328"/>
        <w:spacing w:after="0" w:line="25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During the first nine months of 2022, the Pine Bend, New River and Noble Road RNG projects commenced commercial operations, bringing OPAL Fuels' share of annual nameplate capacity across our six RNG projects in operation to 3.7 million MMBtu for landfill projects and 0.2 million MMBtu for dairy projects.</w:t>
      </w:r>
      <w:r>
        <w:rPr>
          <w:rFonts w:ascii="Arial" w:cs="Arial" w:eastAsia="Arial" w:hAnsi="Arial"/>
          <w:sz w:val="28"/>
          <w:szCs w:val="28"/>
          <w:color w:val="auto"/>
          <w:vertAlign w:val="superscript"/>
        </w:rPr>
        <w:t>4</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Construction Update</w:t>
      </w:r>
    </w:p>
    <w:p>
      <w:pPr>
        <w:spacing w:after="0" w:line="226" w:lineRule="exact"/>
        <w:rPr>
          <w:sz w:val="20"/>
          <w:szCs w:val="20"/>
          <w:color w:val="auto"/>
        </w:rPr>
      </w:pPr>
    </w:p>
    <w:p>
      <w:pPr>
        <w:jc w:val="both"/>
        <w:ind w:left="660" w:hanging="328"/>
        <w:spacing w:after="0" w:line="257" w:lineRule="auto"/>
        <w:tabs>
          <w:tab w:leader="none" w:pos="655"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Company has begun construction on a renewable power to RNG conversion project in the Northeast bringing to seven the number of RNG facilities under construction as of September 30, 2022, with anticipated aggregate nameplate capacity of 4.2 million MMBtu of landfill biogas and 0.6 million MMBtu of dairy biogas.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right="680" w:firstLine="8"/>
        <w:spacing w:after="0" w:line="213" w:lineRule="auto"/>
        <w:tabs>
          <w:tab w:leader="none" w:pos="124"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Nameplate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ind w:left="660" w:hanging="328"/>
        <w:spacing w:after="0" w:line="250"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Received RIN certification for New River in October and anticipate receiving RIN certification for Pine Bend by end of 2022.</w:t>
      </w:r>
    </w:p>
    <w:p>
      <w:pPr>
        <w:spacing w:after="0" w:line="201" w:lineRule="exact"/>
        <w:rPr>
          <w:rFonts w:ascii="Arial" w:cs="Arial" w:eastAsia="Arial" w:hAnsi="Arial"/>
          <w:sz w:val="22"/>
          <w:szCs w:val="22"/>
          <w:color w:val="auto"/>
        </w:rPr>
      </w:pPr>
    </w:p>
    <w:p>
      <w:pPr>
        <w:jc w:val="both"/>
        <w:ind w:left="660" w:right="20" w:hanging="328"/>
        <w:spacing w:after="0"/>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color w:val="auto"/>
        </w:rPr>
        <w:t>Emerald and Prince William RNG projects are expected to commence commercial operations by mid-2023 and the Sapphire RNG project by early 2024. OPAL Fuels’ share of annual nameplate capacity for these landfill projects is 3.8 million MMBtu.</w:t>
      </w:r>
    </w:p>
    <w:p>
      <w:pPr>
        <w:spacing w:after="0" w:line="213"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Construction is progressing at two Central Valley California dairy RNG projects with commercial operations anticipated in 2024.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Update</w:t>
      </w:r>
    </w:p>
    <w:p>
      <w:pPr>
        <w:spacing w:after="0" w:line="239" w:lineRule="exact"/>
        <w:rPr>
          <w:sz w:val="20"/>
          <w:szCs w:val="20"/>
          <w:color w:val="auto"/>
        </w:rPr>
      </w:pPr>
    </w:p>
    <w:p>
      <w:pPr>
        <w:jc w:val="both"/>
        <w:ind w:left="660" w:hanging="328"/>
        <w:spacing w:after="0" w:line="226"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Company's Advanced Development Pipeline</w:t>
      </w:r>
      <w:r>
        <w:rPr>
          <w:rFonts w:ascii="Arial" w:cs="Arial" w:eastAsia="Arial" w:hAnsi="Arial"/>
          <w:sz w:val="28"/>
          <w:szCs w:val="28"/>
          <w:color w:val="auto"/>
          <w:vertAlign w:val="superscript"/>
        </w:rPr>
        <w:t>5</w:t>
      </w:r>
      <w:r>
        <w:rPr>
          <w:rFonts w:ascii="Arial" w:cs="Arial" w:eastAsia="Arial" w:hAnsi="Arial"/>
          <w:sz w:val="22"/>
          <w:szCs w:val="22"/>
          <w:color w:val="auto"/>
        </w:rPr>
        <w:t xml:space="preserve"> comprises 16 projects representing 7.4 million MMBtu of feedstock biogas per year consisting of 6.2 million MMBtu of landfill biogas, 0.5 million MMBtu dairy biogas, and 0.7 million MMBtu of food waste and wastewater biogas.</w:t>
      </w:r>
      <w:r>
        <w:rPr>
          <w:rFonts w:ascii="Arial" w:cs="Arial" w:eastAsia="Arial" w:hAnsi="Arial"/>
          <w:sz w:val="28"/>
          <w:szCs w:val="28"/>
          <w:color w:val="auto"/>
          <w:vertAlign w:val="superscript"/>
        </w:rPr>
        <w:t>6</w:t>
      </w:r>
    </w:p>
    <w:p>
      <w:pPr>
        <w:spacing w:after="0" w:line="127"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is evaluating nine of our existing renewable power projects comprising 3.2 million MMBtu per year of landfill biogas in light of the incentives in the Inflation Reduction Act.</w:t>
      </w:r>
    </w:p>
    <w:p>
      <w:pPr>
        <w:spacing w:after="0" w:line="201" w:lineRule="exact"/>
        <w:rPr>
          <w:rFonts w:ascii="Arial" w:cs="Arial" w:eastAsia="Arial" w:hAnsi="Arial"/>
          <w:sz w:val="22"/>
          <w:szCs w:val="22"/>
          <w:color w:val="auto"/>
        </w:rPr>
      </w:pPr>
    </w:p>
    <w:p>
      <w:pPr>
        <w:ind w:left="660" w:right="300" w:hanging="328"/>
        <w:spacing w:after="0" w:line="250"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Company's total number of RNG dispensing stations grew from 69 at December 31, 2021, to 123 at September 30, 2022.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Guidance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All guidance is current as of the date of this release and is subject to change.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 millions, except production data)</w:t>
            </w:r>
          </w:p>
        </w:tc>
        <w:tc>
          <w:tcPr>
            <w:tcW w:w="286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20"/>
                <w:szCs w:val="20"/>
                <w:b w:val="1"/>
                <w:bCs w:val="1"/>
                <w:color w:val="auto"/>
                <w:w w:val="90"/>
              </w:rPr>
              <w:t>Full Year 2022</w:t>
            </w:r>
          </w:p>
        </w:tc>
      </w:tr>
      <w:tr>
        <w:trPr>
          <w:trHeight w:val="247"/>
        </w:trPr>
        <w:tc>
          <w:tcPr>
            <w:tcW w:w="6700" w:type="dxa"/>
            <w:vAlign w:val="bottom"/>
          </w:tcPr>
          <w:p>
            <w:pPr>
              <w:spacing w:after="0"/>
              <w:rPr>
                <w:sz w:val="21"/>
                <w:szCs w:val="21"/>
                <w:color w:val="auto"/>
              </w:rPr>
            </w:pPr>
          </w:p>
        </w:tc>
        <w:tc>
          <w:tcPr>
            <w:tcW w:w="1180" w:type="dxa"/>
            <w:vAlign w:val="bottom"/>
          </w:tcPr>
          <w:p>
            <w:pPr>
              <w:ind w:left="240"/>
              <w:spacing w:after="0"/>
              <w:rPr>
                <w:sz w:val="20"/>
                <w:szCs w:val="20"/>
                <w:color w:val="auto"/>
              </w:rPr>
            </w:pPr>
            <w:r>
              <w:rPr>
                <w:rFonts w:ascii="Arial" w:cs="Arial" w:eastAsia="Arial" w:hAnsi="Arial"/>
                <w:sz w:val="20"/>
                <w:szCs w:val="20"/>
                <w:color w:val="auto"/>
              </w:rPr>
              <w:t>Low Est.</w:t>
            </w:r>
          </w:p>
        </w:tc>
        <w:tc>
          <w:tcPr>
            <w:tcW w:w="480" w:type="dxa"/>
            <w:vAlign w:val="bottom"/>
          </w:tcPr>
          <w:p>
            <w:pPr>
              <w:spacing w:after="0"/>
              <w:rPr>
                <w:sz w:val="21"/>
                <w:szCs w:val="21"/>
                <w:color w:val="auto"/>
              </w:rPr>
            </w:pPr>
          </w:p>
        </w:tc>
        <w:tc>
          <w:tcPr>
            <w:tcW w:w="1200" w:type="dxa"/>
            <w:vAlign w:val="bottom"/>
          </w:tcPr>
          <w:p>
            <w:pPr>
              <w:ind w:left="200"/>
              <w:spacing w:after="0"/>
              <w:rPr>
                <w:sz w:val="20"/>
                <w:szCs w:val="20"/>
                <w:color w:val="auto"/>
              </w:rPr>
            </w:pPr>
            <w:r>
              <w:rPr>
                <w:rFonts w:ascii="Arial" w:cs="Arial" w:eastAsia="Arial" w:hAnsi="Arial"/>
                <w:sz w:val="20"/>
                <w:szCs w:val="20"/>
                <w:color w:val="auto"/>
              </w:rPr>
              <w:t>High Est.</w:t>
            </w:r>
          </w:p>
        </w:tc>
      </w:tr>
      <w:tr>
        <w:trPr>
          <w:trHeight w:val="314"/>
        </w:trPr>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Adjusted EBITDA</w:t>
            </w:r>
          </w:p>
        </w:tc>
        <w:tc>
          <w:tcPr>
            <w:tcW w:w="118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rPr>
              <w:t>$60</w:t>
            </w:r>
          </w:p>
        </w:tc>
        <w:tc>
          <w:tcPr>
            <w:tcW w:w="4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rPr>
              <w:t>$63</w:t>
            </w:r>
          </w:p>
        </w:tc>
      </w:tr>
      <w:tr>
        <w:trPr>
          <w:trHeight w:val="416"/>
        </w:trPr>
        <w:tc>
          <w:tcPr>
            <w:tcW w:w="6700" w:type="dxa"/>
            <w:vAlign w:val="bottom"/>
          </w:tcPr>
          <w:p>
            <w:pPr>
              <w:ind w:left="20"/>
              <w:spacing w:after="0"/>
              <w:rPr>
                <w:sz w:val="20"/>
                <w:szCs w:val="20"/>
                <w:color w:val="auto"/>
              </w:rPr>
            </w:pPr>
            <w:r>
              <w:rPr>
                <w:rFonts w:ascii="Arial" w:cs="Arial" w:eastAsia="Arial" w:hAnsi="Arial"/>
                <w:sz w:val="20"/>
                <w:szCs w:val="20"/>
                <w:color w:val="auto"/>
              </w:rPr>
              <w:t>RNG Production (million MMBtu)</w:t>
            </w:r>
            <w:r>
              <w:rPr>
                <w:rFonts w:ascii="Arial" w:cs="Arial" w:eastAsia="Arial" w:hAnsi="Arial"/>
                <w:sz w:val="25"/>
                <w:szCs w:val="25"/>
                <w:color w:val="auto"/>
                <w:vertAlign w:val="superscript"/>
              </w:rPr>
              <w:t>7</w:t>
            </w:r>
          </w:p>
        </w:tc>
        <w:tc>
          <w:tcPr>
            <w:tcW w:w="1180" w:type="dxa"/>
            <w:vAlign w:val="bottom"/>
          </w:tcPr>
          <w:p>
            <w:pPr>
              <w:jc w:val="right"/>
              <w:ind w:right="361"/>
              <w:spacing w:after="0"/>
              <w:rPr>
                <w:sz w:val="20"/>
                <w:szCs w:val="20"/>
                <w:color w:val="auto"/>
              </w:rPr>
            </w:pPr>
            <w:r>
              <w:rPr>
                <w:rFonts w:ascii="Arial" w:cs="Arial" w:eastAsia="Arial" w:hAnsi="Arial"/>
                <w:sz w:val="20"/>
                <w:szCs w:val="20"/>
                <w:color w:val="auto"/>
              </w:rPr>
              <w:t>2.2</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ind w:right="401"/>
              <w:spacing w:after="0"/>
              <w:rPr>
                <w:sz w:val="20"/>
                <w:szCs w:val="20"/>
                <w:color w:val="auto"/>
              </w:rPr>
            </w:pPr>
            <w:r>
              <w:rPr>
                <w:rFonts w:ascii="Arial" w:cs="Arial" w:eastAsia="Arial" w:hAnsi="Arial"/>
                <w:sz w:val="20"/>
                <w:szCs w:val="20"/>
                <w:color w:val="auto"/>
              </w:rPr>
              <w:t>2.3</w:t>
            </w:r>
          </w:p>
        </w:tc>
      </w:tr>
      <w:tr>
        <w:trPr>
          <w:trHeight w:val="179"/>
        </w:trPr>
        <w:tc>
          <w:tcPr>
            <w:tcW w:w="6700" w:type="dxa"/>
            <w:vAlign w:val="bottom"/>
          </w:tcPr>
          <w:p>
            <w:pPr>
              <w:spacing w:after="0"/>
              <w:rPr>
                <w:sz w:val="20"/>
                <w:szCs w:val="20"/>
                <w:color w:val="auto"/>
              </w:rPr>
            </w:pPr>
            <w:r>
              <w:rPr>
                <w:rFonts w:ascii="Arial" w:cs="Arial" w:eastAsia="Arial" w:hAnsi="Arial"/>
                <w:sz w:val="14"/>
                <w:szCs w:val="14"/>
                <w:color w:val="FFFFFF"/>
              </w:rPr>
              <w:t>7</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We anticipate providing guidance for 2023 concurrently with our results for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0"/>
          <w:szCs w:val="20"/>
          <w:color w:val="auto"/>
        </w:rPr>
      </w:pPr>
    </w:p>
    <w:p>
      <w:pPr>
        <w:ind w:right="40" w:firstLine="8"/>
        <w:spacing w:after="0" w:line="198" w:lineRule="auto"/>
        <w:tabs>
          <w:tab w:leader="none" w:pos="124" w:val="left"/>
        </w:tabs>
        <w:numPr>
          <w:ilvl w:val="0"/>
          <w:numId w:val="12"/>
        </w:numPr>
        <w:rPr>
          <w:rFonts w:ascii="Arial" w:cs="Arial" w:eastAsia="Arial" w:hAnsi="Arial"/>
          <w:sz w:val="28"/>
          <w:szCs w:val="28"/>
          <w:color w:val="auto"/>
          <w:vertAlign w:val="superscript"/>
        </w:rPr>
      </w:pPr>
      <w:r>
        <w:rPr>
          <w:rFonts w:ascii="Arial" w:cs="Arial" w:eastAsia="Arial" w:hAnsi="Arial"/>
          <w:sz w:val="18"/>
          <w:szCs w:val="18"/>
          <w:color w:val="auto"/>
        </w:rPr>
        <w:t>The Company's Advanced Development Pipeline comprises projects that have been qualified and are reasonably expected to be in construction within the next twelve to eighteen months. The associated MMBtu associated with these projects is presented as available biogas resource and assumes a conversion ratio of 90% for output gas.</w:t>
      </w:r>
    </w:p>
    <w:p>
      <w:pPr>
        <w:spacing w:after="0" w:line="125"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28"/>
          <w:szCs w:val="28"/>
          <w:color w:val="auto"/>
          <w:vertAlign w:val="superscript"/>
        </w:rPr>
      </w:pPr>
      <w:r>
        <w:rPr>
          <w:rFonts w:ascii="Arial" w:cs="Arial" w:eastAsia="Arial" w:hAnsi="Arial"/>
          <w:sz w:val="18"/>
          <w:szCs w:val="18"/>
          <w:color w:val="auto"/>
        </w:rPr>
        <w:t>OPAL Fuels proportional share with respect to RNG projects owned with joint venture partners.</w:t>
      </w:r>
    </w:p>
    <w:p>
      <w:pPr>
        <w:spacing w:after="0" w:line="13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28"/>
          <w:szCs w:val="28"/>
          <w:color w:val="auto"/>
          <w:vertAlign w:val="superscript"/>
        </w:rPr>
      </w:pPr>
      <w:r>
        <w:rPr>
          <w:rFonts w:ascii="Arial" w:cs="Arial" w:eastAsia="Arial" w:hAnsi="Arial"/>
          <w:sz w:val="18"/>
          <w:szCs w:val="18"/>
          <w:color w:val="auto"/>
        </w:rPr>
        <w:t>RNG Production reflects OPAL Fuels' proportional share with respect to RNG projects owned with joint venture partners.</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14" w:right="339" w:bottom="1440" w:gutter="0" w:footer="0" w:header="0"/>
          <w:type w:val="continuous"/>
        </w:sectPr>
      </w:pPr>
    </w:p>
    <w:bookmarkStart w:id="7" w:name="page8"/>
    <w:bookmarkEnd w:id="7"/>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gridSpan w:val="6"/>
            <w:shd w:val="clear" w:color="auto" w:fill="CCEEFF"/>
          </w:tcPr>
          <w:p>
            <w:pPr>
              <w:ind w:left="20"/>
              <w:spacing w:after="0" w:line="189" w:lineRule="exact"/>
              <w:rPr>
                <w:sz w:val="20"/>
                <w:szCs w:val="20"/>
                <w:color w:val="auto"/>
              </w:rPr>
            </w:pPr>
            <w:r>
              <w:rPr>
                <w:rFonts w:ascii="Arial" w:cs="Arial" w:eastAsia="Arial" w:hAnsi="Arial"/>
                <w:sz w:val="18"/>
                <w:szCs w:val="18"/>
                <w:color w:val="auto"/>
                <w:w w:val="89"/>
              </w:rPr>
              <w:t>Three Months Ended September</w:t>
            </w:r>
          </w:p>
        </w:tc>
        <w:tc>
          <w:tcPr>
            <w:tcW w:w="100" w:type="dxa"/>
            <w:vAlign w:val="bottom"/>
            <w:tcBorders>
              <w:top w:val="single" w:sz="8" w:color="CCEEFF"/>
            </w:tcBorders>
            <w:shd w:val="clear" w:color="auto" w:fill="CCEEFF"/>
          </w:tcPr>
          <w:p>
            <w:pPr>
              <w:spacing w:after="0"/>
              <w:rPr>
                <w:sz w:val="16"/>
                <w:szCs w:val="16"/>
                <w:color w:val="auto"/>
              </w:rPr>
            </w:pPr>
          </w:p>
        </w:tc>
        <w:tc>
          <w:tcPr>
            <w:tcW w:w="2440" w:type="dxa"/>
            <w:vAlign w:val="bottom"/>
            <w:tcBorders>
              <w:top w:val="single" w:sz="8" w:color="auto"/>
            </w:tcBorders>
            <w:gridSpan w:val="6"/>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Nine Months Ended September</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thousands of dollars)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30,</w:t>
            </w: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5"/>
              </w:rPr>
              <w:t>30,</w:t>
            </w: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320" w:type="dxa"/>
            <w:vAlign w:val="bottom"/>
          </w:tcPr>
          <w:p>
            <w:pPr>
              <w:ind w:left="200"/>
              <w:spacing w:after="0"/>
              <w:rPr>
                <w:sz w:val="20"/>
                <w:szCs w:val="20"/>
                <w:color w:val="auto"/>
              </w:rPr>
            </w:pPr>
            <w:r>
              <w:rPr>
                <w:rFonts w:ascii="Arial" w:cs="Arial" w:eastAsia="Arial" w:hAnsi="Arial"/>
                <w:sz w:val="18"/>
                <w:szCs w:val="18"/>
                <w:color w:val="auto"/>
              </w:rPr>
              <w:t>RNG Fuel</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32,381</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83,196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37,066</w:t>
            </w:r>
          </w:p>
        </w:tc>
      </w:tr>
      <w:tr>
        <w:trPr>
          <w:trHeight w:val="324"/>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Fuel Station Services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r>
      <w:tr>
        <w:trPr>
          <w:trHeight w:val="230"/>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Renewable Power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32,342</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r>
      <w:tr>
        <w:trPr>
          <w:trHeight w:val="257"/>
        </w:trPr>
        <w:tc>
          <w:tcPr>
            <w:tcW w:w="6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r>
      <w:tr>
        <w:trPr>
          <w:trHeight w:val="257"/>
        </w:trPr>
        <w:tc>
          <w:tcPr>
            <w:tcW w:w="6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 volume produced (Million MMBtus)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RNG Fuel volume sold (Million GGEs)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volume delivered (Million GGEs)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bl>
    <w:p>
      <w:pPr>
        <w:spacing w:after="0" w:line="33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Revenue for the three months ended September 30, 2022, were $66.6 million, an increase of 41%, or $19.4 million, compared to $47.2 million in the prior-year period. While each business segment experienced growth, the increase was primarily driven by the RNG Fuel segment. Total revenues for the nine months ended September 30, 2022, were $168.8 million compared to $105.0 million in the prior-year period.</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income for the three months ended September 30, 2022, was $5.4 million, compared to $0.8 million in the prior-year period. The third quarter benefited from higher brown gas prices as well as higher sales of environmental attributes as a result of Noble Road having achieved RIN certification in the second quarter and the release of higher levels of stored gas. We also benefited from approximately $2.5 million of one-time income from an equity method investment that was recognized in the third quarter. Net income for the nine months ended September 30, 2022, was $0.6 million compared to $19.0 million in the prior-year period. The nine month period ended September 30, 2022, reflects the impacts of higher transaction costs associated with becoming a public company offset by higher brown gas prices and higher RIN pricing under forward sales contracts and the $2.5 million one-time benefit from an equity method investment, while the prior year period includes a $19.8 million one-time gain associated with the acquisition of our remaining interest in the Imperial and Greentree projects in May, 2021.</w:t>
      </w:r>
    </w:p>
    <w:p>
      <w:pPr>
        <w:spacing w:after="0" w:line="164" w:lineRule="exact"/>
        <w:rPr>
          <w:sz w:val="20"/>
          <w:szCs w:val="20"/>
          <w:color w:val="auto"/>
        </w:rPr>
      </w:pPr>
    </w:p>
    <w:p>
      <w:pPr>
        <w:jc w:val="both"/>
        <w:spacing w:after="0" w:line="207" w:lineRule="auto"/>
        <w:rPr>
          <w:sz w:val="20"/>
          <w:szCs w:val="20"/>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three months ended September 30, 2022, was $25.5 million, reflecting an increase of 130%, compared to $11.1 million for the prior-year period. Adjusted EBITDA for the nine months ended September 30, 2022, was $40.6 million compared to $22.8 million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i w:val="1"/>
          <w:iCs w:val="1"/>
          <w:color w:val="auto"/>
        </w:rPr>
        <w:t>Timing of Sales of RINs for Gas in Storage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At September 30, 2022, the Company had biogas in storage from second and third quarter production that was pending certification for generation of environmental credits from New River and Pine Bend. Upon completion of certification, which occurred in October for New River and is expected prior to year-end for Pine Bend, this stored biogas is anticipated to generate approximately 2.4 million RINs. These RINs will be monetized under forward sales contracts as they are generated, at a weighted-average price of $3.20.</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Under generally accepted accounting principles (“GAAP”), the timing of revenue recognition for stand-alone RIN sales contracts is tied to the delivery of the RIN to our counterparties and not the production of the RIN. Of the $7.5 million that is anticipated to be generated from these RIN sales, $6.6 million is allocated to third quarter Adjusted EBITDA and represents the volume of the stored biogas produced in the third quarter. The remainder would have been allocated to the second quarter.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Revenues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RNG Fuel</w:t>
      </w:r>
    </w:p>
    <w:p>
      <w:pPr>
        <w:spacing w:after="0" w:line="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Revenue from RNG Fuel increased was $32.4 million, an increase of $14.5 million, or 81%, for the three months ended September 30, 2022, compared to the three months ended September 30, 2021. This change was attributable primarily due to an increase in RIN sales and brown gas sales driven by additional volumes and higher prices.</w:t>
      </w:r>
    </w:p>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For the nine months ended September 30, 2022, revenue from RNG Fuel increased by $46.1 million, or 124%, compared to the nine months ended September 30, 2021. $28.0 million of this increase was attributable primarily to the impact of nine months of Beacon revenues in 2022 versus only five months in 2021. The remainder of the increase is due to higher sales of environmental credits, higher brown gas sales and incremental fuel dispensing primarily due to increased volumes.</w:t>
      </w:r>
    </w:p>
    <w:p>
      <w:pPr>
        <w:sectPr>
          <w:pgSz w:w="11900" w:h="16838" w:orient="portrait"/>
          <w:cols w:equalWidth="0" w:num="1">
            <w:col w:w="11240"/>
          </w:cols>
          <w:pgMar w:left="320" w:top="1414" w:right="33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Fuel Station Services</w:t>
      </w:r>
    </w:p>
    <w:p>
      <w:pPr>
        <w:jc w:val="both"/>
        <w:spacing w:after="0" w:line="287" w:lineRule="auto"/>
        <w:rPr>
          <w:sz w:val="20"/>
          <w:szCs w:val="20"/>
          <w:color w:val="auto"/>
        </w:rPr>
      </w:pPr>
      <w:r>
        <w:rPr>
          <w:rFonts w:ascii="Arial" w:cs="Arial" w:eastAsia="Arial" w:hAnsi="Arial"/>
          <w:sz w:val="19"/>
          <w:szCs w:val="19"/>
          <w:color w:val="auto"/>
        </w:rPr>
        <w:t>Revenue from Fuel Station Services was $23.2 million an increase of $4.8 compared to the three months ended September 30, 2021. This change was projects and incremental service volumes from four new fueling service sites.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hanging="28"/>
        <w:spacing w:after="0" w:line="274" w:lineRule="auto"/>
        <w:rPr>
          <w:sz w:val="20"/>
          <w:szCs w:val="20"/>
          <w:color w:val="auto"/>
        </w:rPr>
      </w:pPr>
      <w:r>
        <w:rPr>
          <w:rFonts w:ascii="Arial" w:cs="Arial" w:eastAsia="Arial" w:hAnsi="Arial"/>
          <w:sz w:val="21"/>
          <w:szCs w:val="21"/>
          <w:color w:val="auto"/>
        </w:rPr>
        <w:t>million, or 26%, for the third quarter of 2022 primarily attributable to additional fuel station</w:t>
      </w:r>
    </w:p>
    <w:p>
      <w:pPr>
        <w:spacing w:after="0" w:line="434" w:lineRule="exact"/>
        <w:rPr>
          <w:sz w:val="20"/>
          <w:szCs w:val="20"/>
          <w:color w:val="auto"/>
        </w:rPr>
      </w:pPr>
    </w:p>
    <w:p>
      <w:pPr>
        <w:sectPr>
          <w:pgSz w:w="11900" w:h="16838" w:orient="portrait"/>
          <w:cols w:equalWidth="0" w:num="2">
            <w:col w:w="6940" w:space="80"/>
            <w:col w:w="4220"/>
          </w:cols>
          <w:pgMar w:left="320" w:top="1414" w:right="339" w:bottom="1440" w:gutter="0" w:footer="0" w:header="0"/>
          <w:type w:val="continuous"/>
        </w:sectPr>
      </w:pPr>
    </w:p>
    <w:p>
      <w:pPr>
        <w:jc w:val="both"/>
        <w:spacing w:after="0" w:line="253" w:lineRule="auto"/>
        <w:rPr>
          <w:sz w:val="20"/>
          <w:szCs w:val="20"/>
          <w:color w:val="auto"/>
        </w:rPr>
      </w:pPr>
      <w:r>
        <w:rPr>
          <w:rFonts w:ascii="Arial" w:cs="Arial" w:eastAsia="Arial" w:hAnsi="Arial"/>
          <w:sz w:val="22"/>
          <w:szCs w:val="22"/>
          <w:color w:val="auto"/>
        </w:rPr>
        <w:t>For the nine months ended September 30, 2022, revenue from Fuel Station Services increased by $20.0 million, or 56% compared to the nine months ended September 30, 2021. This was primarily attributable to increased fuel station construction projects.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Renewable Power</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Revenue from Renewable Power was $10.9 million flat for the three months ended September 30, 2022, compared to the third quarter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4" w:right="339" w:bottom="1440" w:gutter="0" w:footer="0" w:header="0"/>
          <w:type w:val="continuous"/>
        </w:sectPr>
      </w:pPr>
    </w:p>
    <w:bookmarkStart w:id="9" w:name="page10"/>
    <w:bookmarkEnd w:id="9"/>
    <w:p>
      <w:pPr>
        <w:jc w:val="both"/>
        <w:ind w:right="20"/>
        <w:spacing w:after="0" w:line="343" w:lineRule="auto"/>
        <w:rPr>
          <w:sz w:val="20"/>
          <w:szCs w:val="20"/>
          <w:color w:val="auto"/>
        </w:rPr>
      </w:pPr>
      <w:r>
        <w:rPr>
          <w:rFonts w:ascii="Arial" w:cs="Arial" w:eastAsia="Arial" w:hAnsi="Arial"/>
          <w:sz w:val="19"/>
          <w:szCs w:val="19"/>
          <w:color w:val="auto"/>
        </w:rPr>
        <w:t>For the nine months ended September 30, 2022, revenue from Renewable Power decreased by $2.2 million, or 7%, compared to the third quarter 2021. This change was attributable primarily to a positive mark to market change in commodity swaps .</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As of September 30, 2022, our liquidity consisted of cash and cash equivalents including restricted cash of $71.4 million, plus an additional $146.9 million in short-term investments maturing within 90 days. Additionally, we entered into an aggregate $105 million senior secured credit facility to be used to fund up to $100 million of the construction costs of a portfolio of fully- and jointly-owned RNG projects owned, either in full or through a joint venture with a third party over a two year delayed draw period, with the remaining funds to be maintained in the debt service reserve account. No funds have been drawn under this facility. During the quarter three months ended September 30, 2022, we drew $12.5 million under the OPAL term loan, and recently. Subsequent to quarter-end, we drew an additional $12.5 million. We also entered into an amendment to this term loan which extended the commitment available date to March 2023 for the remaining $10.0 million.</w:t>
      </w:r>
    </w:p>
    <w:p>
      <w:pPr>
        <w:spacing w:after="0" w:line="16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believe that our available cash, anticipated cash flows from operations, available lines of credit under existing debt facilities, and access to expected sources of capital will be sufficient to meet our existing commitments and funding needs.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Expenditures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During the third quarter, OPAL Fuels invested $24.4 million across six RNG projects and 21 owned fueling stations in construction as compared to $19.2 million as of the comparable period in 2021. On a year-to-date basis, we have invested $61.8 million compared to $41.8 million for the nine months ended September 30, 2021.</w:t>
      </w:r>
      <w:r>
        <w:rPr>
          <w:rFonts w:ascii="Arial" w:cs="Arial" w:eastAsia="Arial" w:hAnsi="Arial"/>
          <w:sz w:val="28"/>
          <w:szCs w:val="28"/>
          <w:color w:val="auto"/>
          <w:vertAlign w:val="superscript"/>
        </w:rPr>
        <w:t>8</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Call</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 webcast to review OPAL Fuels’ Third Quarter 2022 results is being held tomorrow, November 15, 2022 at 11:00AM Eastern Time.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Materials to be discussed in the webcast will be available before the call on the Company's website.</w:t>
      </w:r>
    </w:p>
    <w:p>
      <w:pPr>
        <w:spacing w:after="0" w:line="206"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 xml:space="preserve">Participants may access the call at </w:t>
      </w:r>
      <w:r>
        <w:rPr>
          <w:rFonts w:ascii="Arial" w:cs="Arial" w:eastAsia="Arial" w:hAnsi="Arial"/>
          <w:sz w:val="22"/>
          <w:szCs w:val="22"/>
          <w:u w:val="single" w:color="auto"/>
          <w:color w:val="0000FF"/>
        </w:rPr>
        <w:t>https://edge.media-server.com/mmc/p/5oahi7s2</w:t>
      </w:r>
      <w:r>
        <w:rPr>
          <w:rFonts w:ascii="Arial" w:cs="Arial" w:eastAsia="Arial" w:hAnsi="Arial"/>
          <w:sz w:val="22"/>
          <w:szCs w:val="22"/>
          <w:color w:val="auto"/>
        </w:rPr>
        <w:t xml:space="preserve">, and a live webcast will also be available at </w:t>
      </w:r>
      <w:r>
        <w:rPr>
          <w:rFonts w:ascii="Arial" w:cs="Arial" w:eastAsia="Arial" w:hAnsi="Arial"/>
          <w:sz w:val="22"/>
          <w:szCs w:val="22"/>
          <w:u w:val="single" w:color="auto"/>
          <w:color w:val="0000FF"/>
        </w:rPr>
        <w:t>https://investors.opalfuels.com/news-events/events- presentations</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8"/>
        <w:spacing w:after="0" w:line="208" w:lineRule="auto"/>
        <w:tabs>
          <w:tab w:leader="none" w:pos="1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Capital Expenditures reflect net investment in RNG projects net of proceeds received from our non-redeemable non-controlling interests. We received $6.2 million and $6.4 million from such parties for the three months ended September 30, 2022 and 2021, respectively. We received $23.1 million and $15.2 million from these parties for the nine months ended September 30, 2022 and 2021, respectively. These amounts have been excluded to reflect only capital expenditures attributable to OPAL 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 of terms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22"/>
          <w:szCs w:val="22"/>
          <w:i w:val="1"/>
          <w:iCs w:val="1"/>
          <w:color w:val="auto"/>
        </w:rPr>
        <w:t xml:space="preserve">“Environmental Attributes” </w:t>
      </w:r>
      <w:r>
        <w:rPr>
          <w:rFonts w:ascii="Arial" w:cs="Arial" w:eastAsia="Arial" w:hAnsi="Arial"/>
          <w:sz w:val="22"/>
          <w:szCs w:val="22"/>
          <w:color w:val="auto"/>
        </w:rPr>
        <w:t>refer to federal, state, and local government incentives in the United States, provided in the form of</w:t>
      </w:r>
      <w:r>
        <w:rPr>
          <w:rFonts w:ascii="Arial" w:cs="Arial" w:eastAsia="Arial" w:hAnsi="Arial"/>
          <w:sz w:val="22"/>
          <w:szCs w:val="22"/>
          <w:i w:val="1"/>
          <w:iCs w:val="1"/>
          <w:color w:val="auto"/>
        </w:rPr>
        <w:t xml:space="preserve"> </w:t>
      </w:r>
      <w:r>
        <w:rPr>
          <w:rFonts w:ascii="Arial" w:cs="Arial" w:eastAsia="Arial" w:hAnsi="Arial"/>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 xml:space="preserve">“GGE” </w:t>
      </w:r>
      <w:r>
        <w:rPr>
          <w:rFonts w:ascii="Arial" w:cs="Arial" w:eastAsia="Arial" w:hAnsi="Arial"/>
          <w:sz w:val="22"/>
          <w:szCs w:val="22"/>
          <w:color w:val="auto"/>
        </w:rPr>
        <w:t>refers to Gasoline gallon equivalent. It is used to measure the total volume of RNG production that OPAL Fuels expects</w:t>
      </w:r>
      <w:r>
        <w:rPr>
          <w:rFonts w:ascii="Arial" w:cs="Arial" w:eastAsia="Arial" w:hAnsi="Arial"/>
          <w:sz w:val="22"/>
          <w:szCs w:val="22"/>
          <w:i w:val="1"/>
          <w:iCs w:val="1"/>
          <w:color w:val="auto"/>
        </w:rPr>
        <w:t xml:space="preserve"> </w:t>
      </w:r>
      <w:r>
        <w:rPr>
          <w:rFonts w:ascii="Arial" w:cs="Arial" w:eastAsia="Arial" w:hAnsi="Arial"/>
          <w:sz w:val="22"/>
          <w:szCs w:val="22"/>
          <w:color w:val="auto"/>
        </w:rPr>
        <w:t>to dispense each year. The conversion ratio is 1MMBtu equal to 7.74 GGE.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“LFG” </w:t>
      </w:r>
      <w:r>
        <w:rPr>
          <w:rFonts w:ascii="Arial" w:cs="Arial" w:eastAsia="Arial" w:hAnsi="Arial"/>
          <w:sz w:val="22"/>
          <w:szCs w:val="22"/>
          <w:color w:val="auto"/>
        </w:rPr>
        <w:t>refers to landfill gas.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“MMBtu” </w:t>
      </w:r>
      <w:r>
        <w:rPr>
          <w:rFonts w:ascii="Arial" w:cs="Arial" w:eastAsia="Arial" w:hAnsi="Arial"/>
          <w:sz w:val="22"/>
          <w:szCs w:val="22"/>
          <w:color w:val="auto"/>
        </w:rPr>
        <w:t>refers to British thermal units.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“Renewable Power” </w:t>
      </w:r>
      <w:r>
        <w:rPr>
          <w:rFonts w:ascii="Arial" w:cs="Arial" w:eastAsia="Arial" w:hAnsi="Arial"/>
          <w:sz w:val="22"/>
          <w:szCs w:val="22"/>
          <w:color w:val="auto"/>
        </w:rPr>
        <w:t>refers to electricity generated from renewable sources.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“RNG” </w:t>
      </w:r>
      <w:r>
        <w:rPr>
          <w:rFonts w:ascii="Arial" w:cs="Arial" w:eastAsia="Arial" w:hAnsi="Arial"/>
          <w:sz w:val="22"/>
          <w:szCs w:val="22"/>
          <w:color w:val="auto"/>
        </w:rPr>
        <w:t>refers to renewable natural gas.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“D3” </w:t>
      </w:r>
      <w:r>
        <w:rPr>
          <w:rFonts w:ascii="Arial" w:cs="Arial" w:eastAsia="Arial" w:hAnsi="Arial"/>
          <w:sz w:val="22"/>
          <w:szCs w:val="22"/>
          <w:color w:val="auto"/>
        </w:rPr>
        <w:t>refers to cellulosic biofuel with a 60% GHG reduction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“RIN” </w:t>
      </w:r>
      <w:r>
        <w:rPr>
          <w:rFonts w:ascii="Arial" w:cs="Arial" w:eastAsia="Arial" w:hAnsi="Arial"/>
          <w:sz w:val="22"/>
          <w:szCs w:val="22"/>
          <w:color w:val="auto"/>
        </w:rPr>
        <w:t>refers to Renewal Identification Numbers.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“EPA” </w:t>
      </w:r>
      <w:r>
        <w:rPr>
          <w:rFonts w:ascii="Arial" w:cs="Arial" w:eastAsia="Arial" w:hAnsi="Arial"/>
          <w:sz w:val="22"/>
          <w:szCs w:val="22"/>
          <w:color w:val="auto"/>
        </w:rPr>
        <w:t>refers to Environmental Protection Agency.</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0563C1"/>
        </w:rPr>
        <w:t xml:space="preserve">OPAL Fuels Inc. (Nasdaq: OPAL) </w:t>
      </w:r>
      <w:r>
        <w:rPr>
          <w:rFonts w:ascii="Arial" w:cs="Arial" w:eastAsia="Arial" w:hAnsi="Arial"/>
          <w:sz w:val="19"/>
          <w:szCs w:val="19"/>
          <w:color w:val="000000"/>
        </w:rPr>
        <w:t>is a leading vertically integrated renewable fuels platform involved in the production and</w:t>
      </w:r>
      <w:r>
        <w:rPr>
          <w:rFonts w:ascii="Arial" w:cs="Arial" w:eastAsia="Arial" w:hAnsi="Arial"/>
          <w:sz w:val="19"/>
          <w:szCs w:val="19"/>
          <w:color w:val="0563C1"/>
        </w:rPr>
        <w:t xml:space="preserve"> </w:t>
      </w:r>
      <w:r>
        <w:rPr>
          <w:rFonts w:ascii="Arial" w:cs="Arial" w:eastAsia="Arial" w:hAnsi="Arial"/>
          <w:sz w:val="19"/>
          <w:szCs w:val="19"/>
          <w:color w:val="000000"/>
        </w:rPr>
        <w:t xml:space="preserve">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 To learn more about OPAL Fuels and how it is leading the effort to capture North America’s harmful methane emissions and decarbonize the transportation industry, please visit </w:t>
      </w:r>
      <w:r>
        <w:rPr>
          <w:rFonts w:ascii="Arial" w:cs="Arial" w:eastAsia="Arial" w:hAnsi="Arial"/>
          <w:sz w:val="19"/>
          <w:szCs w:val="19"/>
          <w:color w:val="0563C1"/>
        </w:rPr>
        <w:t>www.opalfuels.com</w:t>
      </w:r>
      <w:r>
        <w:rPr>
          <w:rFonts w:ascii="Arial" w:cs="Arial" w:eastAsia="Arial" w:hAnsi="Arial"/>
          <w:sz w:val="19"/>
          <w:szCs w:val="19"/>
          <w:color w:val="000000"/>
        </w:rPr>
        <w:t xml:space="preserve"> and follow the company on LinkedIn and Twitter at @OPALFuels.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filed on November 14, 2022,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Jason Stewart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Public Relations &amp; Marketing</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914-421-5336</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jstewart@opalfuels.com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OPALFuelsPR@icrinc.com</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Todd Firestone</w:t>
      </w:r>
    </w:p>
    <w:p>
      <w:pPr>
        <w:spacing w:after="0" w:line="21" w:lineRule="exact"/>
        <w:rPr>
          <w:sz w:val="20"/>
          <w:szCs w:val="20"/>
          <w:color w:val="auto"/>
        </w:rPr>
      </w:pPr>
    </w:p>
    <w:p>
      <w:pPr>
        <w:ind w:right="4879"/>
        <w:spacing w:after="0" w:line="279" w:lineRule="auto"/>
        <w:rPr>
          <w:sz w:val="20"/>
          <w:szCs w:val="20"/>
          <w:color w:val="auto"/>
        </w:rPr>
      </w:pPr>
      <w:r>
        <w:rPr>
          <w:rFonts w:ascii="Arial" w:cs="Arial" w:eastAsia="Arial" w:hAnsi="Arial"/>
          <w:sz w:val="22"/>
          <w:szCs w:val="22"/>
          <w:color w:val="auto"/>
        </w:rPr>
        <w:t>Vice President Investor Relations &amp; Corporate Development 914-705-4001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39"/>
          </w:cols>
          <w:pgMar w:left="320" w:top="1440" w:right="1440" w:bottom="1440" w:gutter="0" w:footer="0" w:header="0"/>
        </w:sectPr>
      </w:pPr>
    </w:p>
    <w:bookmarkStart w:id="13" w:name="page14"/>
    <w:bookmarkEnd w:id="13"/>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9"/>
        </w:trPr>
        <w:tc>
          <w:tcPr>
            <w:tcW w:w="8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Cash and cash equivalents (includes $10,045 and $1,991 at September 30, 2022 and December 31, 2021, respectively,</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25,286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39,314</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1"/>
              </w:rPr>
              <w:t>Accounts receivable, net (includes $1,129 and $40 at September 30, 2022 and December 31, 2021, respectively, related to</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36,660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25,391</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1"/>
              </w:rPr>
              <w:t>Restricted cash - current (includes $7,623 and $— at September 30, 2022 and December 31, 2021, respectively, related to</w:t>
            </w: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1"/>
              </w:rPr>
              <w:t>Short term investments ( includes $15,411 and $— at September 30, 2022 and December 31, 2021, respectively, related to</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146,936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Fuel tax credits 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8,484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Parts inventory</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Environmental credits held for sale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RNG inventory</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6"/>
              </w:rPr>
              <w:t>Prepaid expense and other current assets (includes $268 and $113 at September 30, 2022 and December 31, 2021,</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6,513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assets,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81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286,255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86,975</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spares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7"/>
              </w:rPr>
              <w:t>Property, plant, and equipment, net (includes $50,099 and $27,794 at September 30, 2022 and December 31, 2021,</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250,355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169,770</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other entities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47,150</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Note receivable</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Note receivable - variable fee component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Restricted cash - non-current (includes $2,867 and $1,163 at September 30, 2022 and December 31, 2021, respectively,</w:t>
            </w: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5"/>
              </w:rPr>
              <w:t>Accounts payable (includes $2,783 and $544 at September 30, 2022 and December 31, 2021, respectively, related to</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5,798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12,581</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 related party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7,652</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6"/>
              </w:rPr>
              <w:t>Accrued capital expenses (includes $1,493 and $1,722 at September 30, 2022 and December 31, 2021, respectively,</w:t>
            </w: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9,284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5,517</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7,220</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Senior Secured Credit Facility - term loan, current portion, net of debt issuance costs</w:t>
            </w: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70,179</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 current portion</w:t>
            </w: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28,432</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1"/>
              </w:rPr>
              <w:t>Sunoma loan, current portion (includes $— and $756 at September 30, 2022 and December 31, 2021, respectively, related</w:t>
            </w:r>
          </w:p>
        </w:tc>
        <w:tc>
          <w:tcPr>
            <w:tcW w:w="68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to consolidated VIEs)</w:t>
            </w:r>
          </w:p>
        </w:tc>
        <w:tc>
          <w:tcPr>
            <w:tcW w:w="6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Convertible Note Payable</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liability, current portion</w:t>
            </w: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 retirement obligation, current portion</w:t>
            </w: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4"/>
        </w:trPr>
        <w:tc>
          <w:tcPr>
            <w:tcW w:w="81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187,580</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142,116</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 retirement obligation, non-current portion</w:t>
            </w:r>
          </w:p>
        </w:tc>
        <w:tc>
          <w:tcPr>
            <w:tcW w:w="6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OPAL Term Loan</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60,816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59,090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Convertible Note Payable</w:t>
            </w:r>
          </w:p>
        </w:tc>
        <w:tc>
          <w:tcPr>
            <w:tcW w:w="6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2"/>
              </w:rPr>
              <w:t>Sunoma loan, net of debt issuance costs (includes $22,080 and $16,199 at September 30, 2022 and December 31, 2021,</w:t>
            </w: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22,080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Municipality loan</w:t>
            </w:r>
          </w:p>
        </w:tc>
        <w:tc>
          <w:tcPr>
            <w:tcW w:w="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Derivative warrant liabilities</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22,410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Earn out liabilities</w:t>
            </w: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39,500</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337,365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285,887</w:t>
            </w:r>
          </w:p>
        </w:tc>
        <w:tc>
          <w:tcPr>
            <w:tcW w:w="0" w:type="dxa"/>
            <w:vAlign w:val="bottom"/>
          </w:tcPr>
          <w:p>
            <w:pPr>
              <w:spacing w:after="0"/>
              <w:rPr>
                <w:sz w:val="1"/>
                <w:szCs w:val="1"/>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6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preferred non-controlling interests</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135,303</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30,210</w:t>
            </w: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160" w:type="dxa"/>
            <w:vAlign w:val="bottom"/>
          </w:tcPr>
          <w:p>
            <w:pPr>
              <w:ind w:left="160"/>
              <w:spacing w:after="0"/>
              <w:rPr>
                <w:sz w:val="20"/>
                <w:szCs w:val="20"/>
                <w:color w:val="auto"/>
              </w:rPr>
            </w:pPr>
            <w:r>
              <w:rPr>
                <w:rFonts w:ascii="Arial" w:cs="Arial" w:eastAsia="Arial" w:hAnsi="Arial"/>
                <w:sz w:val="16"/>
                <w:szCs w:val="16"/>
                <w:color w:val="auto"/>
              </w:rPr>
              <w:t>Redeemable non-controlling interests</w:t>
            </w:r>
          </w:p>
        </w:tc>
        <w:tc>
          <w:tcPr>
            <w:tcW w:w="680" w:type="dxa"/>
            <w:vAlign w:val="bottom"/>
          </w:tcPr>
          <w:p>
            <w:pPr>
              <w:ind w:left="20"/>
              <w:spacing w:after="0"/>
              <w:rPr>
                <w:sz w:val="20"/>
                <w:szCs w:val="20"/>
                <w:color w:val="auto"/>
              </w:rPr>
            </w:pPr>
            <w:r>
              <w:rPr>
                <w:rFonts w:ascii="Arial" w:cs="Arial" w:eastAsia="Arial" w:hAnsi="Arial"/>
                <w:sz w:val="16"/>
                <w:szCs w:val="16"/>
                <w:color w:val="auto"/>
                <w:w w:val="89"/>
              </w:rPr>
              <w:t>1,222,657</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63,545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(deficit) equity</w:t>
            </w: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3"/>
              </w:rPr>
              <w:t>Class A common stock, $0.0001 par value, 337,852,251 shares authorized as of September 30, 2022; 25,671,390 and 0</w:t>
            </w: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shares, issued and outstanding at September 30, 2022 and December 31, 2021, respectively</w:t>
            </w: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Class B common stock, $0.0001 par value, 157,498,947 shares authorized as of September 30, 2022; None issued and</w:t>
            </w:r>
          </w:p>
        </w:tc>
        <w:tc>
          <w:tcPr>
            <w:tcW w:w="6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as of September 30, 2022 and December 31, 2021</w:t>
            </w:r>
          </w:p>
        </w:tc>
        <w:tc>
          <w:tcPr>
            <w:tcW w:w="6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4"/>
              </w:rPr>
              <w:t>Class C common stock, $0.0001 par value, 154,309,729 shares authorized as of September 30, 2022; None issued and</w:t>
            </w:r>
          </w:p>
        </w:tc>
        <w:tc>
          <w:tcPr>
            <w:tcW w:w="68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outstanding as of September 30, 2022 and December 31, 2021</w:t>
            </w:r>
          </w:p>
        </w:tc>
        <w:tc>
          <w:tcPr>
            <w:tcW w:w="6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Class D common stock, $0.0001 par value, 154,309,729 shares authorized as of September 30, 2022; 144,399,037 issued</w:t>
            </w:r>
          </w:p>
        </w:tc>
        <w:tc>
          <w:tcPr>
            <w:tcW w:w="6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outstanding at September 30, 2022 and December 31, 2021</w:t>
            </w:r>
          </w:p>
        </w:tc>
        <w:tc>
          <w:tcPr>
            <w:tcW w:w="6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6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Accumulated deficit</w:t>
            </w: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(1,066,137)</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(deficit) equity attributable to the Company</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(1,065,943)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8160" w:type="dxa"/>
            <w:vAlign w:val="bottom"/>
          </w:tcPr>
          <w:p>
            <w:pPr>
              <w:ind w:left="160"/>
              <w:spacing w:after="0"/>
              <w:rPr>
                <w:sz w:val="20"/>
                <w:szCs w:val="20"/>
                <w:color w:val="auto"/>
              </w:rPr>
            </w:pPr>
            <w:r>
              <w:rPr>
                <w:rFonts w:ascii="Arial" w:cs="Arial" w:eastAsia="Arial" w:hAnsi="Arial"/>
                <w:sz w:val="16"/>
                <w:szCs w:val="16"/>
                <w:color w:val="auto"/>
              </w:rPr>
              <w:t>Non-redeemable non-controlling interests</w:t>
            </w: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26,674</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(deficit) equity</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(1,039,269)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33"/>
        </w:trPr>
        <w:tc>
          <w:tcPr>
            <w:tcW w:w="8160" w:type="dxa"/>
            <w:vAlign w:val="bottom"/>
          </w:tcPr>
          <w:p>
            <w:pPr>
              <w:ind w:left="340"/>
              <w:spacing w:after="0"/>
              <w:rPr>
                <w:sz w:val="20"/>
                <w:szCs w:val="20"/>
                <w:color w:val="auto"/>
              </w:rPr>
            </w:pPr>
            <w:r>
              <w:rPr>
                <w:rFonts w:ascii="Arial" w:cs="Arial" w:eastAsia="Arial" w:hAnsi="Arial"/>
                <w:sz w:val="16"/>
                <w:szCs w:val="16"/>
                <w:color w:val="auto"/>
              </w:rPr>
              <w:t>Total liabilities, Redeemable preferred, Redeemable non-controlling interests and Stockholders' (deficit) equity</w:t>
            </w: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656,056</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3"/>
              </w:rPr>
              <w:t>Nine Months Ended</w:t>
            </w:r>
          </w:p>
        </w:tc>
      </w:tr>
      <w:tr>
        <w:trPr>
          <w:trHeight w:val="240"/>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20"/>
                <w:szCs w:val="20"/>
                <w:color w:val="auto"/>
              </w:rPr>
            </w:pPr>
          </w:p>
        </w:tc>
        <w:tc>
          <w:tcPr>
            <w:tcW w:w="258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1"/>
              </w:rPr>
              <w:t>September 30,</w:t>
            </w:r>
          </w:p>
        </w:tc>
      </w:tr>
      <w:tr>
        <w:trPr>
          <w:trHeight w:val="207"/>
        </w:trPr>
        <w:tc>
          <w:tcPr>
            <w:tcW w:w="5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(Restated)</w:t>
            </w: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RNG fuel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83,196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37,066</w:t>
            </w:r>
          </w:p>
        </w:tc>
      </w:tr>
      <w:tr>
        <w:trPr>
          <w:trHeight w:val="210"/>
        </w:trPr>
        <w:tc>
          <w:tcPr>
            <w:tcW w:w="5380" w:type="dxa"/>
            <w:vAlign w:val="bottom"/>
          </w:tcPr>
          <w:p>
            <w:pPr>
              <w:ind w:left="160"/>
              <w:spacing w:after="0"/>
              <w:rPr>
                <w:sz w:val="20"/>
                <w:szCs w:val="20"/>
                <w:color w:val="auto"/>
              </w:rPr>
            </w:pPr>
            <w:r>
              <w:rPr>
                <w:rFonts w:ascii="Arial" w:cs="Arial" w:eastAsia="Arial" w:hAnsi="Arial"/>
                <w:sz w:val="16"/>
                <w:szCs w:val="16"/>
                <w:color w:val="auto"/>
              </w:rPr>
              <w:t>Fuel station services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35,560</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Renewable Power</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32,342</w:t>
            </w:r>
          </w:p>
        </w:tc>
      </w:tr>
      <w:tr>
        <w:trPr>
          <w:trHeight w:val="203"/>
        </w:trPr>
        <w:tc>
          <w:tcPr>
            <w:tcW w:w="538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66,550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47,184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168,814</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104,968</w:t>
            </w: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10"/>
        </w:trPr>
        <w:tc>
          <w:tcPr>
            <w:tcW w:w="5380" w:type="dxa"/>
            <w:vAlign w:val="bottom"/>
          </w:tcPr>
          <w:p>
            <w:pPr>
              <w:ind w:left="160"/>
              <w:spacing w:after="0"/>
              <w:rPr>
                <w:sz w:val="20"/>
                <w:szCs w:val="20"/>
                <w:color w:val="auto"/>
              </w:rPr>
            </w:pPr>
            <w:r>
              <w:rPr>
                <w:rFonts w:ascii="Arial" w:cs="Arial" w:eastAsia="Arial" w:hAnsi="Arial"/>
                <w:sz w:val="16"/>
                <w:szCs w:val="16"/>
                <w:color w:val="auto"/>
              </w:rPr>
              <w:t>Cost of sales - RNG fuel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51,843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23,053</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Fuel station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29,775</w:t>
            </w:r>
          </w:p>
        </w:tc>
      </w:tr>
      <w:tr>
        <w:trPr>
          <w:trHeight w:val="210"/>
        </w:trPr>
        <w:tc>
          <w:tcPr>
            <w:tcW w:w="5380" w:type="dxa"/>
            <w:vAlign w:val="bottom"/>
          </w:tcPr>
          <w:p>
            <w:pPr>
              <w:ind w:left="160"/>
              <w:spacing w:after="0"/>
              <w:rPr>
                <w:sz w:val="20"/>
                <w:szCs w:val="20"/>
                <w:color w:val="auto"/>
              </w:rPr>
            </w:pPr>
            <w:r>
              <w:rPr>
                <w:rFonts w:ascii="Arial" w:cs="Arial" w:eastAsia="Arial" w:hAnsi="Arial"/>
                <w:sz w:val="16"/>
                <w:szCs w:val="16"/>
                <w:color w:val="auto"/>
              </w:rPr>
              <w:t>Cost of sales - Renewable Power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23,952</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19,107</w:t>
            </w:r>
          </w:p>
        </w:tc>
      </w:tr>
      <w:tr>
        <w:trPr>
          <w:trHeight w:val="210"/>
        </w:trPr>
        <w:tc>
          <w:tcPr>
            <w:tcW w:w="5380" w:type="dxa"/>
            <w:vAlign w:val="bottom"/>
          </w:tcPr>
          <w:p>
            <w:pPr>
              <w:ind w:left="16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6,672</w:t>
            </w: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102,559</w:t>
            </w:r>
          </w:p>
        </w:tc>
      </w:tr>
      <w:tr>
        <w:trPr>
          <w:trHeight w:val="204"/>
        </w:trPr>
        <w:tc>
          <w:tcPr>
            <w:tcW w:w="5380" w:type="dxa"/>
            <w:vAlign w:val="bottom"/>
          </w:tcPr>
          <w:p>
            <w:pPr>
              <w:ind w:left="340"/>
              <w:spacing w:after="0"/>
              <w:rPr>
                <w:sz w:val="20"/>
                <w:szCs w:val="20"/>
                <w:color w:val="auto"/>
              </w:rPr>
            </w:pPr>
            <w:r>
              <w:rPr>
                <w:rFonts w:ascii="Arial" w:cs="Arial" w:eastAsia="Arial" w:hAnsi="Arial"/>
                <w:sz w:val="16"/>
                <w:szCs w:val="16"/>
                <w:color w:val="auto"/>
              </w:rPr>
              <w:t>Operating (loss) income</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2,409</w:t>
            </w: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10"/>
        </w:trPr>
        <w:tc>
          <w:tcPr>
            <w:tcW w:w="5380" w:type="dxa"/>
            <w:vAlign w:val="bottom"/>
          </w:tcPr>
          <w:p>
            <w:pPr>
              <w:ind w:left="160"/>
              <w:spacing w:after="0"/>
              <w:rPr>
                <w:sz w:val="20"/>
                <w:szCs w:val="20"/>
                <w:color w:val="auto"/>
              </w:rPr>
            </w:pPr>
            <w:r>
              <w:rPr>
                <w:rFonts w:ascii="Arial" w:cs="Arial" w:eastAsia="Arial" w:hAnsi="Arial"/>
                <w:sz w:val="16"/>
                <w:szCs w:val="16"/>
                <w:color w:val="auto"/>
              </w:rPr>
              <w:t>Interest and financing expense,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(5,659)</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of derivative instruments, net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538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Gain on acquisition of equity method investment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19,818</w:t>
            </w:r>
          </w:p>
        </w:tc>
      </w:tr>
      <w:tr>
        <w:trPr>
          <w:trHeight w:val="210"/>
        </w:trPr>
        <w:tc>
          <w:tcPr>
            <w:tcW w:w="5380" w:type="dxa"/>
            <w:vAlign w:val="bottom"/>
          </w:tcPr>
          <w:p>
            <w:pPr>
              <w:ind w:left="200"/>
              <w:spacing w:after="0"/>
              <w:rPr>
                <w:sz w:val="20"/>
                <w:szCs w:val="20"/>
                <w:color w:val="auto"/>
              </w:rPr>
            </w:pPr>
            <w:r>
              <w:rPr>
                <w:rFonts w:ascii="Arial" w:cs="Arial" w:eastAsia="Arial" w:hAnsi="Arial"/>
                <w:sz w:val="16"/>
                <w:szCs w:val="16"/>
                <w:color w:val="auto"/>
              </w:rPr>
              <w:t>Income from equity method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2,392</w:t>
            </w: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18,950</w:t>
            </w:r>
          </w:p>
        </w:tc>
      </w:tr>
      <w:tr>
        <w:trPr>
          <w:trHeight w:val="204"/>
        </w:trPr>
        <w:tc>
          <w:tcPr>
            <w:tcW w:w="5380" w:type="dxa"/>
            <w:vAlign w:val="bottom"/>
          </w:tcPr>
          <w:p>
            <w:pPr>
              <w:ind w:left="16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18,950</w:t>
            </w:r>
          </w:p>
        </w:tc>
      </w:tr>
      <w:tr>
        <w:trPr>
          <w:trHeight w:val="203"/>
        </w:trPr>
        <w:tc>
          <w:tcPr>
            <w:tcW w:w="5380" w:type="dxa"/>
            <w:vAlign w:val="bottom"/>
          </w:tcPr>
          <w:p>
            <w:pPr>
              <w:ind w:left="160"/>
              <w:spacing w:after="0"/>
              <w:rPr>
                <w:sz w:val="20"/>
                <w:szCs w:val="20"/>
                <w:color w:val="auto"/>
              </w:rPr>
            </w:pPr>
            <w:r>
              <w:rPr>
                <w:rFonts w:ascii="Arial" w:cs="Arial" w:eastAsia="Arial" w:hAnsi="Arial"/>
                <w:sz w:val="16"/>
                <w:szCs w:val="16"/>
                <w:color w:val="auto"/>
              </w:rPr>
              <w:t>Net income (loss) attributable to redeemable non-controlling interests</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attributable to non-redeemable non-controlling interests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5380" w:type="dxa"/>
            <w:vAlign w:val="bottom"/>
          </w:tcPr>
          <w:p>
            <w:pPr>
              <w:ind w:left="340"/>
              <w:spacing w:after="0"/>
              <w:rPr>
                <w:sz w:val="20"/>
                <w:szCs w:val="20"/>
                <w:color w:val="auto"/>
              </w:rPr>
            </w:pPr>
            <w:r>
              <w:rPr>
                <w:rFonts w:ascii="Arial" w:cs="Arial" w:eastAsia="Arial" w:hAnsi="Arial"/>
                <w:sz w:val="16"/>
                <w:szCs w:val="16"/>
                <w:color w:val="auto"/>
              </w:rPr>
              <w:t xml:space="preserve">Paid-in-kind preferred dividends </w:t>
            </w:r>
            <w:r>
              <w:rPr>
                <w:rFonts w:ascii="Arial" w:cs="Arial" w:eastAsia="Arial" w:hAnsi="Arial"/>
                <w:sz w:val="21"/>
                <w:szCs w:val="21"/>
                <w:color w:val="auto"/>
                <w:vertAlign w:val="superscript"/>
              </w:rPr>
              <w:t>(1)</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attributable to OPAL Fuels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19,364</w:t>
            </w:r>
          </w:p>
        </w:tc>
      </w:tr>
      <w:tr>
        <w:trPr>
          <w:trHeight w:val="203"/>
        </w:trPr>
        <w:tc>
          <w:tcPr>
            <w:tcW w:w="5380" w:type="dxa"/>
            <w:vAlign w:val="bottom"/>
          </w:tcPr>
          <w:p>
            <w:pPr>
              <w:ind w:left="340"/>
              <w:spacing w:after="0"/>
              <w:rPr>
                <w:sz w:val="20"/>
                <w:szCs w:val="20"/>
                <w:color w:val="auto"/>
              </w:rPr>
            </w:pPr>
            <w:r>
              <w:rPr>
                <w:rFonts w:ascii="Arial" w:cs="Arial" w:eastAsia="Arial" w:hAnsi="Arial"/>
                <w:sz w:val="16"/>
                <w:szCs w:val="16"/>
                <w:color w:val="auto"/>
              </w:rPr>
              <w:t>Net loss attributable to Class A common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0"/>
        </w:trPr>
        <w:tc>
          <w:tcPr>
            <w:tcW w:w="5380" w:type="dxa"/>
            <w:vAlign w:val="bottom"/>
          </w:tcPr>
          <w:p>
            <w:pPr>
              <w:ind w:left="340"/>
              <w:spacing w:after="0"/>
              <w:rPr>
                <w:sz w:val="20"/>
                <w:szCs w:val="20"/>
                <w:color w:val="auto"/>
              </w:rPr>
            </w:pPr>
            <w:r>
              <w:rPr>
                <w:rFonts w:ascii="Arial" w:cs="Arial" w:eastAsia="Arial" w:hAnsi="Arial"/>
                <w:sz w:val="16"/>
                <w:szCs w:val="16"/>
                <w:color w:val="auto"/>
              </w:rPr>
              <w:t>Weighted average shares outstanding of Class A common stock :</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25,671,390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25,671,390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380" w:type="dxa"/>
            <w:vAlign w:val="bottom"/>
          </w:tcPr>
          <w:p>
            <w:pPr>
              <w:ind w:left="34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25,823,772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25,823,772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 share amounts: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43"/>
        </w:trPr>
        <w:tc>
          <w:tcPr>
            <w:tcW w:w="5380" w:type="dxa"/>
            <w:vAlign w:val="bottom"/>
          </w:tcPr>
          <w:p>
            <w:pPr>
              <w:ind w:left="3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1"/>
                <w:szCs w:val="21"/>
                <w:color w:val="auto"/>
              </w:rPr>
            </w:pPr>
          </w:p>
        </w:tc>
        <w:tc>
          <w:tcPr>
            <w:tcW w:w="24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60" w:lineRule="exact"/>
        <w:rPr>
          <w:sz w:val="20"/>
          <w:szCs w:val="20"/>
          <w:color w:val="auto"/>
        </w:rPr>
      </w:pPr>
    </w:p>
    <w:p>
      <w:pPr>
        <w:ind w:right="120" w:firstLine="8"/>
        <w:spacing w:after="0" w:line="223" w:lineRule="auto"/>
        <w:tabs>
          <w:tab w:leader="none" w:pos="198"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Paid-in-kind preferred dividend is allocated between redeemable non-controlling interests and Class A common stockholders basis their weighted average percentage of ownership.</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62" w:lineRule="exact"/>
        <w:rPr>
          <w:sz w:val="20"/>
          <w:szCs w:val="20"/>
          <w:color w:val="auto"/>
        </w:rPr>
      </w:pPr>
    </w:p>
    <w:p>
      <w:pPr>
        <w:ind w:left="-8" w:firstLine="8"/>
        <w:spacing w:after="0" w:line="264" w:lineRule="auto"/>
        <w:tabs>
          <w:tab w:leader="none" w:pos="155"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Loss per share information has not been presented for the periods prior to the Business Combination as it would not be meaningful to the users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12"/>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632"/>
          </w:cols>
          <w:pgMar w:left="328" w:top="1440" w:right="939" w:bottom="1440" w:gutter="0" w:footer="0" w:header="0"/>
        </w:sectPr>
      </w:pPr>
    </w:p>
    <w:bookmarkStart w:id="17" w:name="page18"/>
    <w:bookmarkEnd w:id="17"/>
    <w:p>
      <w:pPr>
        <w:spacing w:after="0" w:line="200" w:lineRule="exact"/>
        <w:rPr>
          <w:sz w:val="20"/>
          <w:szCs w:val="20"/>
          <w:color w:val="auto"/>
        </w:rPr>
      </w:pPr>
    </w:p>
    <w:p>
      <w:pPr>
        <w:spacing w:after="0" w:line="3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OPAL FUELS INC.</w:t>
      </w:r>
    </w:p>
    <w:p>
      <w:pPr>
        <w:spacing w:after="0" w:line="18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Nine Months Ended</w:t>
      </w:r>
    </w:p>
    <w:p>
      <w:pPr>
        <w:jc w:val="center"/>
        <w:ind w:left="814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2"/>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(Restated)</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18,950</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from equity method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6,510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Amortization of PPA liability</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Accretion expense related to asset retirement obligation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Paid-in-kind interest income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Change in fair value of Convertible Note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Unrealized loss on derivative financial instruments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40"/>
        </w:trPr>
        <w:tc>
          <w:tcPr>
            <w:tcW w:w="8160" w:type="dxa"/>
            <w:vAlign w:val="bottom"/>
          </w:tcPr>
          <w:p>
            <w:pPr>
              <w:ind w:left="140"/>
              <w:spacing w:after="0"/>
              <w:rPr>
                <w:sz w:val="20"/>
                <w:szCs w:val="20"/>
                <w:color w:val="auto"/>
              </w:rPr>
            </w:pPr>
            <w:r>
              <w:rPr>
                <w:rFonts w:ascii="Arial" w:cs="Arial" w:eastAsia="Arial" w:hAnsi="Arial"/>
                <w:sz w:val="16"/>
                <w:szCs w:val="16"/>
                <w:color w:val="auto"/>
              </w:rPr>
              <w:t>Gain on extinguishment of contingent liability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repayment of Note receivable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160" w:type="dxa"/>
            <w:vAlign w:val="bottom"/>
          </w:tcPr>
          <w:p>
            <w:pPr>
              <w:ind w:left="140"/>
              <w:spacing w:after="0"/>
              <w:rPr>
                <w:sz w:val="20"/>
                <w:szCs w:val="20"/>
                <w:color w:val="auto"/>
              </w:rPr>
            </w:pPr>
            <w:r>
              <w:rPr>
                <w:rFonts w:ascii="Arial" w:cs="Arial" w:eastAsia="Arial" w:hAnsi="Arial"/>
                <w:sz w:val="16"/>
                <w:szCs w:val="16"/>
                <w:color w:val="auto"/>
              </w:rPr>
              <w:t>Gain on acquisition of equity method investment</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(19,818)</w:t>
            </w:r>
          </w:p>
        </w:tc>
      </w:tr>
      <w:tr>
        <w:trPr>
          <w:trHeight w:val="22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received on previously recorded paid-in-kind interest income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spares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Brown gas and parts inventory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Environmental credits held for sale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Contract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6,970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 related party</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3,672</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and non-current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8,794</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28,897</w:t>
            </w:r>
          </w:p>
        </w:tc>
      </w:tr>
      <w:tr>
        <w:trPr>
          <w:trHeight w:val="19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(84,949)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(63,393)</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Cash acquired on acquisition of equity method investment</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short term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(146,936)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Cash paid for investment in other entity</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of Note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(10,450)</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Proceeds received from repayment of Note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received from equity method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w:t>
            </w:r>
          </w:p>
        </w:tc>
      </w:tr>
      <w:tr>
        <w:trPr>
          <w:trHeight w:val="204"/>
        </w:trPr>
        <w:tc>
          <w:tcPr>
            <w:tcW w:w="8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(218,930)</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(69,763)</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33"/>
        </w:trPr>
        <w:tc>
          <w:tcPr>
            <w:tcW w:w="8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6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604" w:gutter="0" w:footer="0" w:header="0"/>
          <w:type w:val="continuous"/>
        </w:sectPr>
      </w:pPr>
    </w:p>
    <w:bookmarkStart w:id="18" w:name="page19"/>
    <w:bookmarkEnd w:id="18"/>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160"/>
              <w:spacing w:after="0"/>
              <w:rPr>
                <w:sz w:val="20"/>
                <w:szCs w:val="20"/>
                <w:color w:val="auto"/>
              </w:rPr>
            </w:pPr>
            <w:r>
              <w:rPr>
                <w:rFonts w:ascii="Arial" w:cs="Arial" w:eastAsia="Arial" w:hAnsi="Arial"/>
                <w:sz w:val="16"/>
                <w:szCs w:val="16"/>
                <w:color w:val="auto"/>
              </w:rPr>
              <w:t>Proceeds from Sunoma loan</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14,191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OPAL Term Loan</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Proceeds received from Business Combination</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138,850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Financing costs paid to other third parties</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(8,462)</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Repayment of Senior Secured Credit Facility</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OPAL Term Loan</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Repayment of Municipality loan</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 of non-redeemable non-controlling interest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21,579</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Proceeds from sale of non-controlling interest, related party</w:t>
            </w:r>
          </w:p>
        </w:tc>
        <w:tc>
          <w:tcPr>
            <w:tcW w:w="5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16,645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issuance of redeemable preferred units</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Contributions from members</w:t>
            </w:r>
          </w:p>
        </w:tc>
        <w:tc>
          <w:tcPr>
            <w:tcW w:w="5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7,919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to members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04"/>
        </w:trPr>
        <w:tc>
          <w:tcPr>
            <w:tcW w:w="81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270,525</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52,729</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restricted cash, and cash equivalents</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29,306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11,863</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42,054</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15,388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 net of $— and $531 capitalized, respectively</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Convertible Note Payable related to business acquisition, excluding paid-in-kind interest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55,410</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Class A common stock issued for redemption of Convertible Note Payable</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30,595</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Derivative warrant liabilities assumed related to Business Combination</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Earnout liabilities related to Business Combination</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45,900</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put option on a forward purchase agreement related to Business Combination</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contingent consideration to redeem the non-controlling interest included in other long-term liabilities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Paid-in-kind dividend on redeemable preferred non-controlling interests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w w:val="99"/>
              </w:rPr>
              <w:t>Accrual for purchase of Property, plant and equipment included in Accounts payable and Accrued capital expenses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9,284</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 (Unaudited)</w:t>
      </w:r>
    </w:p>
    <w:p>
      <w:pPr>
        <w:spacing w:after="0" w:line="1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 time non recurring charges, non-cash charges, major maintenance for renewable power, unrealized loss (gain) for derivative instruments, non cash gain on reversal of a liability to non redeemable non-controlling interests, gain on redemption of Note receivable, environmental credits associated with renewable biogas that has been produced and is in storage pending completion of certification of the relevant environmental attribute pathway(s), such credits having been contracted for sale pursuant to a forward purchase agreement with an institutional counterparty, and gain on acquisition of equity method investment.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reconciliation of our Net income to Adjusted EBITDA: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8"/>
          </w:tcPr>
          <w:p>
            <w:pPr>
              <w:jc w:val="center"/>
              <w:ind w:left="2870"/>
              <w:spacing w:after="0"/>
              <w:rPr>
                <w:sz w:val="20"/>
                <w:szCs w:val="20"/>
                <w:color w:val="auto"/>
              </w:rPr>
            </w:pPr>
            <w:r>
              <w:rPr>
                <w:rFonts w:ascii="Arial" w:cs="Arial" w:eastAsia="Arial" w:hAnsi="Arial"/>
                <w:sz w:val="18"/>
                <w:szCs w:val="18"/>
                <w:b w:val="1"/>
                <w:bCs w:val="1"/>
                <w:color w:val="auto"/>
                <w:w w:val="92"/>
              </w:rPr>
              <w:t>Reconciliation of GAAP Net income to Adjusted EBITDA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3"/>
        </w:trPr>
        <w:tc>
          <w:tcPr>
            <w:tcW w:w="8280" w:type="dxa"/>
            <w:vAlign w:val="bottom"/>
            <w:gridSpan w:val="8"/>
          </w:tcPr>
          <w:p>
            <w:pPr>
              <w:jc w:val="center"/>
              <w:ind w:left="2870"/>
              <w:spacing w:after="0"/>
              <w:rPr>
                <w:sz w:val="20"/>
                <w:szCs w:val="20"/>
                <w:color w:val="auto"/>
              </w:rPr>
            </w:pPr>
            <w:r>
              <w:rPr>
                <w:rFonts w:ascii="Arial" w:cs="Arial" w:eastAsia="Arial" w:hAnsi="Arial"/>
                <w:sz w:val="18"/>
                <w:szCs w:val="18"/>
                <w:b w:val="1"/>
                <w:bCs w:val="1"/>
                <w:color w:val="auto"/>
                <w:w w:val="90"/>
              </w:rPr>
              <w:t>For the Three and Nine Months Ended September 30, 2022 and 2021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680" w:type="dxa"/>
            <w:vAlign w:val="bottom"/>
          </w:tcPr>
          <w:p>
            <w:pPr>
              <w:spacing w:after="0"/>
              <w:rPr>
                <w:sz w:val="23"/>
                <w:szCs w:val="23"/>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(In thousands of dollars)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68"/>
        </w:trPr>
        <w:tc>
          <w:tcPr>
            <w:tcW w:w="4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58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80" w:type="dxa"/>
            <w:vAlign w:val="bottom"/>
            <w:gridSpan w:val="3"/>
          </w:tcPr>
          <w:p>
            <w:pPr>
              <w:spacing w:after="0"/>
              <w:rPr>
                <w:sz w:val="5"/>
                <w:szCs w:val="5"/>
                <w:color w:val="auto"/>
              </w:rPr>
            </w:pPr>
          </w:p>
        </w:tc>
      </w:tr>
      <w:tr>
        <w:trPr>
          <w:trHeight w:val="229"/>
        </w:trPr>
        <w:tc>
          <w:tcPr>
            <w:tcW w:w="4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w w:val="97"/>
              </w:rPr>
              <w:t>Three Months Ended September 30,</w:t>
            </w:r>
          </w:p>
        </w:tc>
        <w:tc>
          <w:tcPr>
            <w:tcW w:w="120" w:type="dxa"/>
            <w:vAlign w:val="bottom"/>
            <w:shd w:val="clear" w:color="auto" w:fill="CCEEFF"/>
          </w:tcPr>
          <w:p>
            <w:pPr>
              <w:spacing w:after="0"/>
              <w:rPr>
                <w:sz w:val="19"/>
                <w:szCs w:val="19"/>
                <w:color w:val="auto"/>
              </w:rPr>
            </w:pPr>
          </w:p>
        </w:tc>
        <w:tc>
          <w:tcPr>
            <w:tcW w:w="28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6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Adjusted EBITDA</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financing expense, net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w w:val="90"/>
              </w:rPr>
              <w:t>Net loss attributable to non-redeemable non-controlling interests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Depreciation, amortization and accretion </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Unrealized loss on derivative instruments </w:t>
            </w:r>
            <w:r>
              <w:rPr>
                <w:rFonts w:ascii="Arial" w:cs="Arial" w:eastAsia="Arial" w:hAnsi="Arial"/>
                <w:sz w:val="23"/>
                <w:szCs w:val="23"/>
                <w:color w:val="auto"/>
                <w:vertAlign w:val="superscript"/>
              </w:rPr>
              <w:t>(2)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charges </w:t>
            </w:r>
            <w:r>
              <w:rPr>
                <w:rFonts w:ascii="Arial" w:cs="Arial" w:eastAsia="Arial" w:hAnsi="Arial"/>
                <w:sz w:val="23"/>
                <w:szCs w:val="23"/>
                <w:color w:val="auto"/>
                <w:vertAlign w:val="superscript"/>
              </w:rPr>
              <w:t>(3)</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Transaction costs and one time non-recurring charges </w:t>
            </w:r>
            <w:r>
              <w:rPr>
                <w:rFonts w:ascii="Arial" w:cs="Arial" w:eastAsia="Arial" w:hAnsi="Arial"/>
                <w:sz w:val="23"/>
                <w:szCs w:val="23"/>
                <w:color w:val="auto"/>
                <w:vertAlign w:val="superscript"/>
              </w:rPr>
              <w:t>(4)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 maintenance for Renewable Power</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r>
      <w:tr>
        <w:trPr>
          <w:trHeight w:val="176"/>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w w:val="91"/>
              </w:rPr>
              <w:t>Gain on repayment of Note receivable and reversal of liability to</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46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non-redeemable non-controlling interest </w:t>
            </w:r>
            <w:r>
              <w:rPr>
                <w:rFonts w:ascii="Arial" w:cs="Arial" w:eastAsia="Arial" w:hAnsi="Arial"/>
                <w:sz w:val="23"/>
                <w:szCs w:val="23"/>
                <w:color w:val="auto"/>
                <w:vertAlign w:val="superscript"/>
              </w:rPr>
              <w:t>(5)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 xml:space="preserve">Second quarter gas in storage with forward sales contract </w:t>
            </w:r>
            <w:r>
              <w:rPr>
                <w:rFonts w:ascii="Arial" w:cs="Arial" w:eastAsia="Arial" w:hAnsi="Arial"/>
                <w:sz w:val="23"/>
                <w:szCs w:val="23"/>
                <w:color w:val="auto"/>
                <w:w w:val="96"/>
                <w:vertAlign w:val="superscript"/>
              </w:rPr>
              <w:t>(6)</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Third quarter gas in storage with forward sales contract </w:t>
            </w:r>
            <w:r>
              <w:rPr>
                <w:rFonts w:ascii="Arial" w:cs="Arial" w:eastAsia="Arial" w:hAnsi="Arial"/>
                <w:sz w:val="23"/>
                <w:szCs w:val="23"/>
                <w:color w:val="auto"/>
                <w:vertAlign w:val="superscript"/>
              </w:rPr>
              <w:t>(6)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acquisition of equity method investments</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(19,818)</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22,785</w:t>
            </w:r>
          </w:p>
        </w:tc>
      </w:tr>
      <w:tr>
        <w:trPr>
          <w:trHeight w:val="20"/>
        </w:trPr>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depreciation, amortization and accretion on equity method investments.</w:t>
      </w:r>
    </w:p>
    <w:p>
      <w:pPr>
        <w:spacing w:after="0" w:line="201" w:lineRule="exact"/>
        <w:rPr>
          <w:rFonts w:ascii="Arial" w:cs="Arial" w:eastAsia="Arial" w:hAnsi="Arial"/>
          <w:sz w:val="21"/>
          <w:szCs w:val="21"/>
          <w:color w:val="auto"/>
          <w:vertAlign w:val="superscript"/>
        </w:rPr>
      </w:pPr>
    </w:p>
    <w:p>
      <w:pPr>
        <w:ind w:right="280" w:firstLine="8"/>
        <w:spacing w:after="0" w:line="228" w:lineRule="auto"/>
        <w:tabs>
          <w:tab w:leader="none" w:pos="181"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Unrealized loss on derivative instruments includes change in fair value of interest rate swaps, commodity swaps, earnout liabilities, warrant liabilities and put option on a forward purchase agreement.</w:t>
      </w:r>
    </w:p>
    <w:p>
      <w:pPr>
        <w:spacing w:after="0" w:line="189" w:lineRule="exact"/>
        <w:rPr>
          <w:rFonts w:ascii="Arial" w:cs="Arial" w:eastAsia="Arial" w:hAnsi="Arial"/>
          <w:sz w:val="21"/>
          <w:szCs w:val="21"/>
          <w:color w:val="auto"/>
          <w:vertAlign w:val="superscript"/>
        </w:rPr>
      </w:pPr>
    </w:p>
    <w:p>
      <w:pPr>
        <w:ind w:right="440" w:firstLine="8"/>
        <w:spacing w:after="0" w:line="230" w:lineRule="auto"/>
        <w:tabs>
          <w:tab w:leader="none" w:pos="198"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Non-cash charges includes stock based compensation expense, certain expenses included in selling, general and administrative expenses relating to employee benefit accruals, inventory write down charges included in cost of sales - RNG fuel and loss on disposal of assets.</w:t>
      </w:r>
    </w:p>
    <w:p>
      <w:pPr>
        <w:spacing w:after="0" w:line="188" w:lineRule="exact"/>
        <w:rPr>
          <w:rFonts w:ascii="Arial" w:cs="Arial" w:eastAsia="Arial" w:hAnsi="Arial"/>
          <w:sz w:val="23"/>
          <w:szCs w:val="23"/>
          <w:color w:val="auto"/>
          <w:vertAlign w:val="superscript"/>
        </w:rPr>
      </w:pPr>
    </w:p>
    <w:p>
      <w:pPr>
        <w:jc w:val="both"/>
        <w:ind w:firstLine="8"/>
        <w:spacing w:after="0" w:line="217" w:lineRule="auto"/>
        <w:tabs>
          <w:tab w:leader="none" w:pos="21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Transaction costs relate to consulting and professional fees incurred in connection with the Business Combination that could not be capitalized per GAAP. One time non-recurring charges include certain expenses related to development expenses on our RNG facilities incurred during construction phase that could not be capitalized per GAAP.</w:t>
      </w:r>
    </w:p>
    <w:p>
      <w:pPr>
        <w:spacing w:after="0" w:line="156"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Gain on repayment of Note receivable excludes $0.5 million of prepayment penalty received in cash.</w:t>
      </w:r>
    </w:p>
    <w:p>
      <w:pPr>
        <w:spacing w:after="0" w:line="188" w:lineRule="exact"/>
        <w:rPr>
          <w:rFonts w:ascii="Arial" w:cs="Arial" w:eastAsia="Arial" w:hAnsi="Arial"/>
          <w:sz w:val="23"/>
          <w:szCs w:val="23"/>
          <w:color w:val="auto"/>
          <w:vertAlign w:val="superscript"/>
        </w:rPr>
      </w:pPr>
    </w:p>
    <w:p>
      <w:pPr>
        <w:ind w:right="120" w:firstLine="8"/>
        <w:spacing w:after="0" w:line="262" w:lineRule="auto"/>
        <w:tabs>
          <w:tab w:leader="none" w:pos="198"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Represents stored biogas anticipated to generate approximately 2.4 million RINs upon completion of certification. These RINs will be monetized under forward sales contracts as they are generated at a weighted-average price of $3.20. Of the $7.5 million that is anticipated to be generated from these RIN sales, $6.5 million is allocated to third quarter Adjusted EBITDA and represents the volume of the stored biogas produced in the third quarter. The remainder would have been allocated to the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5"/>
      <w:numFmt w:val="bullet"/>
      <w:start w:val="1"/>
    </w:lvl>
  </w:abstractNum>
  <w:abstractNum w:abstractNumId="12">
    <w:nsid w:val="41A7C4C9"/>
    <w:multiLevelType w:val="hybridMultilevel"/>
    <w:lvl w:ilvl="0">
      <w:lvlJc w:val="left"/>
      <w:lvlText w:val="6"/>
      <w:numFmt w:val="bullet"/>
      <w:start w:val="1"/>
    </w:lvl>
  </w:abstractNum>
  <w:abstractNum w:abstractNumId="13">
    <w:nsid w:val="6B68079A"/>
    <w:multiLevelType w:val="hybridMultilevel"/>
    <w:lvl w:ilvl="0">
      <w:lvlJc w:val="left"/>
      <w:lvlText w:val="7"/>
      <w:numFmt w:val="bullet"/>
      <w:start w:val="1"/>
    </w:lvl>
  </w:abstractNum>
  <w:abstractNum w:abstractNumId="14">
    <w:nsid w:val="4E6AFB66"/>
    <w:multiLevelType w:val="hybridMultilevel"/>
    <w:lvl w:ilvl="0">
      <w:lvlJc w:val="left"/>
      <w:lvlText w:val="8"/>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2022-11-14T21:43:13Z</dcterms:created>
  <dcterms:modified xsi:type="dcterms:W3CDTF">2022-11-14T21:43:13Z</dcterms:modified>
</cp:coreProperties>
</file>