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886460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96" w:lineRule="exact"/>
        <w:rPr>
          <w:sz w:val="24"/>
          <w:szCs w:val="24"/>
          <w:color w:val="auto"/>
        </w:rPr>
      </w:pPr>
    </w:p>
    <w:p>
      <w:pPr>
        <w:ind w:left="3940" w:right="1960" w:hanging="3915"/>
        <w:spacing w:after="0" w:line="437" w:lineRule="auto"/>
        <w:tabs>
          <w:tab w:leader="none" w:pos="6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0" w:lineRule="exact"/>
        <w:rPr>
          <w:sz w:val="24"/>
          <w:szCs w:val="24"/>
          <w:color w:val="auto"/>
        </w:rPr>
      </w:pPr>
    </w:p>
    <w:p>
      <w:pPr>
        <w:spacing w:after="0" w:line="256" w:lineRule="exact"/>
        <w:rPr>
          <w:sz w:val="24"/>
          <w:szCs w:val="24"/>
          <w:color w:val="auto"/>
        </w:rPr>
      </w:pPr>
    </w:p>
    <w:p>
      <w:pPr>
        <w:ind w:left="3100" w:right="1580" w:hanging="3075"/>
        <w:spacing w:after="0" w:line="421" w:lineRule="auto"/>
        <w:tabs>
          <w:tab w:leader="none" w:pos="6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 to ____________</w:t>
      </w:r>
    </w:p>
    <w:p>
      <w:pPr>
        <w:spacing w:after="0" w:line="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001-40272</w:t>
      </w:r>
    </w:p>
    <w:p>
      <w:pPr>
        <w:spacing w:after="0" w:line="2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OPAL FUELS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6" w:lineRule="exact"/>
        <w:rPr>
          <w:sz w:val="24"/>
          <w:szCs w:val="24"/>
          <w:color w:val="auto"/>
        </w:rPr>
      </w:pPr>
    </w:p>
    <w:tbl>
      <w:tblPr>
        <w:tblLayout w:type="fixed"/>
        <w:tblInd w:w="460" w:type="dxa"/>
        <w:tblCellMar>
          <w:top w:w="0" w:type="dxa"/>
          <w:left w:w="0" w:type="dxa"/>
          <w:bottom w:w="0" w:type="dxa"/>
          <w:right w:w="0" w:type="dxa"/>
        </w:tblCellMar>
      </w:tblPr>
      <w:tr>
        <w:trPr>
          <w:trHeight w:val="237"/>
        </w:trPr>
        <w:tc>
          <w:tcPr>
            <w:tcW w:w="5580" w:type="dxa"/>
            <w:vAlign w:val="bottom"/>
          </w:tcPr>
          <w:p>
            <w:pPr>
              <w:jc w:val="center"/>
              <w:ind w:right="12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00" w:type="dxa"/>
            <w:vAlign w:val="bottom"/>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307"/>
        </w:trPr>
        <w:tc>
          <w:tcPr>
            <w:tcW w:w="5580" w:type="dxa"/>
            <w:vAlign w:val="bottom"/>
          </w:tcPr>
          <w:p>
            <w:pPr>
              <w:jc w:val="center"/>
              <w:ind w:right="123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90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374"/>
        </w:trPr>
        <w:tc>
          <w:tcPr>
            <w:tcW w:w="5580" w:type="dxa"/>
            <w:vAlign w:val="bottom"/>
          </w:tcPr>
          <w:p>
            <w:pPr>
              <w:jc w:val="center"/>
              <w:ind w:right="1231"/>
              <w:spacing w:after="0"/>
              <w:rPr>
                <w:sz w:val="20"/>
                <w:szCs w:val="20"/>
                <w:color w:val="auto"/>
              </w:rPr>
            </w:pPr>
            <w:r>
              <w:rPr>
                <w:rFonts w:ascii="Times New Roman" w:cs="Times New Roman" w:eastAsia="Times New Roman" w:hAnsi="Times New Roman"/>
                <w:sz w:val="18"/>
                <w:szCs w:val="18"/>
                <w:b w:val="1"/>
                <w:bCs w:val="1"/>
                <w:color w:val="auto"/>
                <w:w w:val="98"/>
              </w:rPr>
              <w:t>One North Lexington Avenue, Suite 1450</w:t>
            </w:r>
          </w:p>
        </w:tc>
        <w:tc>
          <w:tcPr>
            <w:tcW w:w="3900" w:type="dxa"/>
            <w:vAlign w:val="bottom"/>
          </w:tcPr>
          <w:p>
            <w:pPr>
              <w:spacing w:after="0"/>
              <w:rPr>
                <w:sz w:val="24"/>
                <w:szCs w:val="24"/>
                <w:color w:val="auto"/>
              </w:rPr>
            </w:pPr>
          </w:p>
        </w:tc>
      </w:tr>
      <w:tr>
        <w:trPr>
          <w:trHeight w:val="387"/>
        </w:trPr>
        <w:tc>
          <w:tcPr>
            <w:tcW w:w="5580" w:type="dxa"/>
            <w:vAlign w:val="bottom"/>
          </w:tcPr>
          <w:p>
            <w:pPr>
              <w:jc w:val="center"/>
              <w:ind w:right="1231"/>
              <w:spacing w:after="0"/>
              <w:rPr>
                <w:sz w:val="20"/>
                <w:szCs w:val="20"/>
                <w:color w:val="auto"/>
              </w:rPr>
            </w:pPr>
            <w:r>
              <w:rPr>
                <w:rFonts w:ascii="Times New Roman" w:cs="Times New Roman" w:eastAsia="Times New Roman" w:hAnsi="Times New Roman"/>
                <w:sz w:val="18"/>
                <w:szCs w:val="18"/>
                <w:b w:val="1"/>
                <w:bCs w:val="1"/>
                <w:color w:val="auto"/>
                <w:w w:val="97"/>
              </w:rPr>
              <w:t>White Plains, New York</w:t>
            </w:r>
          </w:p>
        </w:tc>
        <w:tc>
          <w:tcPr>
            <w:tcW w:w="3900" w:type="dxa"/>
            <w:vAlign w:val="bottom"/>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94"/>
        </w:trPr>
        <w:tc>
          <w:tcPr>
            <w:tcW w:w="5580" w:type="dxa"/>
            <w:vAlign w:val="bottom"/>
          </w:tcPr>
          <w:p>
            <w:pPr>
              <w:jc w:val="center"/>
              <w:ind w:right="123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90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(914) 705-4000</w:t>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41"/>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par value $0.0001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OPAL</w:t>
            </w:r>
          </w:p>
        </w:tc>
        <w:tc>
          <w:tcPr>
            <w:tcW w:w="4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1"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5"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0"/>
          <w:szCs w:val="20"/>
          <w:color w:val="auto"/>
        </w:rPr>
      </w:pPr>
    </w:p>
    <w:tbl>
      <w:tblPr>
        <w:tblLayout w:type="fixed"/>
        <w:tblInd w:w="900" w:type="dxa"/>
        <w:tblCellMar>
          <w:top w:w="0" w:type="dxa"/>
          <w:left w:w="0" w:type="dxa"/>
          <w:bottom w:w="0" w:type="dxa"/>
          <w:right w:w="0" w:type="dxa"/>
        </w:tblCellMar>
      </w:tblPr>
      <w:tr>
        <w:trPr>
          <w:trHeight w:val="307"/>
        </w:trPr>
        <w:tc>
          <w:tcPr>
            <w:tcW w:w="222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4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7"/>
        </w:trPr>
        <w:tc>
          <w:tcPr>
            <w:tcW w:w="222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14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4" w:lineRule="exact"/>
        <w:rPr>
          <w:sz w:val="20"/>
          <w:szCs w:val="20"/>
          <w:color w:val="auto"/>
        </w:rPr>
      </w:pPr>
    </w:p>
    <w:p>
      <w:pPr>
        <w:ind w:right="8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4" w:lineRule="exact"/>
        <w:rPr>
          <w:sz w:val="20"/>
          <w:szCs w:val="20"/>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6" w:lineRule="exact"/>
        <w:rPr>
          <w:sz w:val="20"/>
          <w:szCs w:val="20"/>
          <w:color w:val="auto"/>
        </w:rPr>
      </w:pPr>
    </w:p>
    <w:p>
      <w:pPr>
        <w:ind w:right="420"/>
        <w:spacing w:after="0" w:line="25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4" w:lineRule="exact"/>
        <w:rPr>
          <w:sz w:val="20"/>
          <w:szCs w:val="20"/>
          <w:color w:val="auto"/>
        </w:rPr>
      </w:pPr>
    </w:p>
    <w:p>
      <w:pPr>
        <w:ind w:right="220"/>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6" w:lineRule="exact"/>
        <w:rPr>
          <w:sz w:val="20"/>
          <w:szCs w:val="20"/>
          <w:color w:val="auto"/>
        </w:rPr>
      </w:pPr>
    </w:p>
    <w:p>
      <w:pPr>
        <w:spacing w:after="0" w:line="207" w:lineRule="exact"/>
        <w:tabs>
          <w:tab w:leader="none" w:pos="7540" w:val="left"/>
          <w:tab w:leader="none" w:pos="8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on June 30, 2025, the last business day of the registrant’s most recently completed second fiscal quarter, was approximately $65,017,000 based on the closing price of the registrant's Class A common stock on The Nasdaq Capital Market on that date.</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March 16, 2026</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 total of 29,001,120 shares of Class A common stock, par value $0.0001 per share, 121,500,000 shares of Class B common stock, par value $0.0001 per share and 22,899,037 shares of Class D common stock, par value $0.0001 per share were outstanding.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93" w:lineRule="exact"/>
        <w:rPr>
          <w:sz w:val="20"/>
          <w:szCs w:val="20"/>
          <w:color w:val="auto"/>
        </w:rPr>
      </w:pPr>
    </w:p>
    <w:p>
      <w:pPr>
        <w:ind w:right="20"/>
        <w:spacing w:after="0" w:line="225" w:lineRule="exact"/>
        <w:rPr>
          <w:sz w:val="20"/>
          <w:szCs w:val="20"/>
          <w:color w:val="auto"/>
        </w:rPr>
      </w:pPr>
      <w:r>
        <w:rPr>
          <w:rFonts w:ascii="Times New Roman" w:cs="Times New Roman" w:eastAsia="Times New Roman" w:hAnsi="Times New Roman"/>
          <w:sz w:val="18"/>
          <w:szCs w:val="18"/>
          <w:color w:val="auto"/>
        </w:rPr>
        <w:t>The information required by Part III of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is incorporated herein by reference to portions of the registrant’s Definitive Proxy Statement relating to its 2026 Annual General Meeting of Shareholders, which will be filed with the Securities and Exchange Commission within 120 days after the end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7133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Page</w:t>
            </w: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w:t>
            </w:r>
          </w:p>
        </w:tc>
        <w:tc>
          <w:tcPr>
            <w:tcW w:w="7980" w:type="dxa"/>
            <w:vAlign w:val="bottom"/>
            <w:gridSpan w:val="22"/>
          </w:tcPr>
          <w:p>
            <w:pPr>
              <w:spacing w:after="0" w:line="187" w:lineRule="exact"/>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gridSpan w:val="3"/>
          </w:tcPr>
          <w:p>
            <w:pPr>
              <w:ind w:left="620"/>
              <w:spacing w:after="0" w:line="187" w:lineRule="exact"/>
              <w:rPr>
                <w:sz w:val="20"/>
                <w:szCs w:val="20"/>
                <w:color w:val="auto"/>
              </w:rPr>
            </w:pPr>
            <w:r>
              <w:rPr>
                <w:rFonts w:ascii="Times New Roman" w:cs="Times New Roman" w:eastAsia="Times New Roman" w:hAnsi="Times New Roman"/>
                <w:sz w:val="18"/>
                <w:szCs w:val="18"/>
                <w:color w:val="0000FF"/>
              </w:rPr>
              <w:t>2</w:t>
            </w:r>
          </w:p>
        </w:tc>
        <w:tc>
          <w:tcPr>
            <w:tcW w:w="60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1A.</w:t>
            </w:r>
          </w:p>
        </w:tc>
        <w:tc>
          <w:tcPr>
            <w:tcW w:w="7980" w:type="dxa"/>
            <w:vAlign w:val="bottom"/>
            <w:gridSpan w:val="2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Risk Factors</w:t>
            </w: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18</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1B.</w:t>
            </w:r>
          </w:p>
        </w:tc>
        <w:tc>
          <w:tcPr>
            <w:tcW w:w="7980" w:type="dxa"/>
            <w:vAlign w:val="bottom"/>
            <w:gridSpan w:val="22"/>
          </w:tcPr>
          <w:p>
            <w:pPr>
              <w:spacing w:after="0" w:line="187"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52</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1C.</w:t>
            </w:r>
          </w:p>
        </w:tc>
        <w:tc>
          <w:tcPr>
            <w:tcW w:w="7980" w:type="dxa"/>
            <w:vAlign w:val="bottom"/>
            <w:gridSpan w:val="2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Cybersecurity</w:t>
            </w: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6"/>
          </w:tcPr>
          <w:p>
            <w:pPr>
              <w:spacing w:after="0" w:line="187" w:lineRule="exact"/>
              <w:rPr>
                <w:sz w:val="20"/>
                <w:szCs w:val="20"/>
                <w:color w:val="auto"/>
              </w:rPr>
            </w:pPr>
            <w:r>
              <w:rPr>
                <w:rFonts w:ascii="Times New Roman" w:cs="Times New Roman" w:eastAsia="Times New Roman" w:hAnsi="Times New Roman"/>
                <w:sz w:val="18"/>
                <w:szCs w:val="18"/>
                <w:color w:val="0000FF"/>
              </w:rPr>
              <w:t>Properties</w:t>
            </w:r>
          </w:p>
        </w:tc>
        <w:tc>
          <w:tcPr>
            <w:tcW w:w="6980" w:type="dxa"/>
            <w:vAlign w:val="bottom"/>
            <w:gridSpan w:val="16"/>
          </w:tcPr>
          <w:p>
            <w:pPr>
              <w:spacing w:after="0"/>
              <w:rPr>
                <w:sz w:val="16"/>
                <w:szCs w:val="16"/>
                <w:color w:val="auto"/>
              </w:rPr>
            </w:pP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3.</w:t>
            </w:r>
          </w:p>
        </w:tc>
        <w:tc>
          <w:tcPr>
            <w:tcW w:w="7980" w:type="dxa"/>
            <w:vAlign w:val="bottom"/>
            <w:gridSpan w:val="2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Legal Proceedings</w:t>
            </w: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4.</w:t>
            </w:r>
          </w:p>
        </w:tc>
        <w:tc>
          <w:tcPr>
            <w:tcW w:w="7980" w:type="dxa"/>
            <w:vAlign w:val="bottom"/>
            <w:gridSpan w:val="22"/>
          </w:tcPr>
          <w:p>
            <w:pPr>
              <w:spacing w:after="0" w:line="187" w:lineRule="exact"/>
              <w:rPr>
                <w:sz w:val="20"/>
                <w:szCs w:val="20"/>
                <w:color w:val="auto"/>
              </w:rPr>
            </w:pPr>
            <w:r>
              <w:rPr>
                <w:rFonts w:ascii="Times New Roman" w:cs="Times New Roman" w:eastAsia="Times New Roman" w:hAnsi="Times New Roman"/>
                <w:sz w:val="18"/>
                <w:szCs w:val="18"/>
                <w:color w:val="0000FF"/>
              </w:rPr>
              <w:t>Mine Safety Disclosures</w:t>
            </w: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7"/>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5.</w:t>
            </w:r>
          </w:p>
        </w:tc>
        <w:tc>
          <w:tcPr>
            <w:tcW w:w="7980" w:type="dxa"/>
            <w:vAlign w:val="bottom"/>
            <w:gridSpan w:val="22"/>
          </w:tcPr>
          <w:p>
            <w:pPr>
              <w:spacing w:after="0" w:line="187" w:lineRule="exact"/>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6.</w:t>
            </w:r>
          </w:p>
        </w:tc>
        <w:tc>
          <w:tcPr>
            <w:tcW w:w="7980" w:type="dxa"/>
            <w:vAlign w:val="bottom"/>
            <w:gridSpan w:val="2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[Reserved]</w:t>
            </w: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7.</w:t>
            </w:r>
          </w:p>
        </w:tc>
        <w:tc>
          <w:tcPr>
            <w:tcW w:w="7980" w:type="dxa"/>
            <w:vAlign w:val="bottom"/>
            <w:gridSpan w:val="22"/>
          </w:tcPr>
          <w:p>
            <w:pPr>
              <w:spacing w:after="0" w:line="187"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gridSpan w:val="16"/>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660" w:type="dxa"/>
            <w:vAlign w:val="bottom"/>
            <w:gridSpan w:val="6"/>
            <w:shd w:val="clear" w:color="auto" w:fill="CCEEFF"/>
          </w:tcPr>
          <w:p>
            <w:pPr>
              <w:spacing w:after="0"/>
              <w:rPr>
                <w:sz w:val="16"/>
                <w:szCs w:val="16"/>
                <w:color w:val="auto"/>
              </w:rPr>
            </w:pP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68</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8.</w:t>
            </w:r>
          </w:p>
        </w:tc>
        <w:tc>
          <w:tcPr>
            <w:tcW w:w="4320" w:type="dxa"/>
            <w:vAlign w:val="bottom"/>
            <w:gridSpan w:val="16"/>
          </w:tcPr>
          <w:p>
            <w:pPr>
              <w:spacing w:after="0" w:line="187"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660" w:type="dxa"/>
            <w:vAlign w:val="bottom"/>
            <w:gridSpan w:val="6"/>
          </w:tcPr>
          <w:p>
            <w:pPr>
              <w:spacing w:after="0"/>
              <w:rPr>
                <w:sz w:val="16"/>
                <w:szCs w:val="16"/>
                <w:color w:val="auto"/>
              </w:rPr>
            </w:pP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68</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9.</w:t>
            </w:r>
          </w:p>
        </w:tc>
        <w:tc>
          <w:tcPr>
            <w:tcW w:w="7980" w:type="dxa"/>
            <w:vAlign w:val="bottom"/>
            <w:gridSpan w:val="2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68</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20"/>
          </w:tcPr>
          <w:p>
            <w:pPr>
              <w:spacing w:after="0" w:line="187" w:lineRule="exact"/>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2"/>
          </w:tcPr>
          <w:p>
            <w:pPr>
              <w:spacing w:after="0"/>
              <w:rPr>
                <w:sz w:val="16"/>
                <w:szCs w:val="16"/>
                <w:color w:val="auto"/>
              </w:rPr>
            </w:pP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68</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9B.</w:t>
            </w:r>
          </w:p>
        </w:tc>
        <w:tc>
          <w:tcPr>
            <w:tcW w:w="7980" w:type="dxa"/>
            <w:vAlign w:val="bottom"/>
            <w:gridSpan w:val="2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Other Information</w:t>
            </w: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69</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9C.</w:t>
            </w:r>
          </w:p>
        </w:tc>
        <w:tc>
          <w:tcPr>
            <w:tcW w:w="7980" w:type="dxa"/>
            <w:vAlign w:val="bottom"/>
            <w:gridSpan w:val="22"/>
          </w:tcPr>
          <w:p>
            <w:pPr>
              <w:spacing w:after="0" w:line="187"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69</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7"/>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10.</w:t>
            </w:r>
          </w:p>
        </w:tc>
        <w:tc>
          <w:tcPr>
            <w:tcW w:w="7980" w:type="dxa"/>
            <w:vAlign w:val="bottom"/>
            <w:gridSpan w:val="22"/>
          </w:tcPr>
          <w:p>
            <w:pPr>
              <w:spacing w:after="0" w:line="187"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69</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10"/>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6180" w:type="dxa"/>
            <w:vAlign w:val="bottom"/>
            <w:gridSpan w:val="12"/>
            <w:shd w:val="clear" w:color="auto" w:fill="CCEEFF"/>
          </w:tcPr>
          <w:p>
            <w:pPr>
              <w:spacing w:after="0"/>
              <w:rPr>
                <w:sz w:val="16"/>
                <w:szCs w:val="16"/>
                <w:color w:val="auto"/>
              </w:rPr>
            </w:pP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69</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12.</w:t>
            </w:r>
          </w:p>
        </w:tc>
        <w:tc>
          <w:tcPr>
            <w:tcW w:w="7980" w:type="dxa"/>
            <w:vAlign w:val="bottom"/>
            <w:gridSpan w:val="22"/>
          </w:tcPr>
          <w:p>
            <w:pPr>
              <w:spacing w:after="0" w:line="187"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69</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13.</w:t>
            </w:r>
          </w:p>
        </w:tc>
        <w:tc>
          <w:tcPr>
            <w:tcW w:w="5400" w:type="dxa"/>
            <w:vAlign w:val="bottom"/>
            <w:gridSpan w:val="18"/>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2580" w:type="dxa"/>
            <w:vAlign w:val="bottom"/>
            <w:gridSpan w:val="4"/>
            <w:shd w:val="clear" w:color="auto" w:fill="CCEEFF"/>
          </w:tcPr>
          <w:p>
            <w:pPr>
              <w:spacing w:after="0"/>
              <w:rPr>
                <w:sz w:val="16"/>
                <w:szCs w:val="16"/>
                <w:color w:val="auto"/>
              </w:rPr>
            </w:pP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70</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8"/>
          </w:tcPr>
          <w:p>
            <w:pPr>
              <w:spacing w:after="0" w:line="187"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580" w:type="dxa"/>
            <w:vAlign w:val="bottom"/>
            <w:gridSpan w:val="4"/>
          </w:tcPr>
          <w:p>
            <w:pPr>
              <w:spacing w:after="0"/>
              <w:rPr>
                <w:sz w:val="16"/>
                <w:szCs w:val="16"/>
                <w:color w:val="auto"/>
              </w:rPr>
            </w:pP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70</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7"/>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187"/>
        </w:trPr>
        <w:tc>
          <w:tcPr>
            <w:tcW w:w="15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Item 15.</w:t>
            </w:r>
          </w:p>
        </w:tc>
        <w:tc>
          <w:tcPr>
            <w:tcW w:w="7980" w:type="dxa"/>
            <w:vAlign w:val="bottom"/>
            <w:gridSpan w:val="22"/>
          </w:tcPr>
          <w:p>
            <w:pPr>
              <w:spacing w:after="0" w:line="187"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400" w:type="dxa"/>
            <w:vAlign w:val="bottom"/>
            <w:gridSpan w:val="4"/>
          </w:tcPr>
          <w:p>
            <w:pPr>
              <w:ind w:left="620"/>
              <w:spacing w:after="0" w:line="187" w:lineRule="exact"/>
              <w:rPr>
                <w:sz w:val="20"/>
                <w:szCs w:val="20"/>
                <w:color w:val="auto"/>
              </w:rPr>
            </w:pPr>
            <w:r>
              <w:rPr>
                <w:rFonts w:ascii="Times New Roman" w:cs="Times New Roman" w:eastAsia="Times New Roman" w:hAnsi="Times New Roman"/>
                <w:sz w:val="18"/>
                <w:szCs w:val="18"/>
                <w:color w:val="0000FF"/>
              </w:rPr>
              <w:t>70</w:t>
            </w:r>
          </w:p>
        </w:tc>
      </w:tr>
      <w:tr>
        <w:trPr>
          <w:trHeight w:val="20"/>
        </w:trPr>
        <w:tc>
          <w:tcPr>
            <w:tcW w:w="1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7"/>
        </w:trPr>
        <w:tc>
          <w:tcPr>
            <w:tcW w:w="1580" w:type="dxa"/>
            <w:vAlign w:val="bottom"/>
            <w:shd w:val="clear" w:color="auto" w:fill="CCEEFF"/>
          </w:tcPr>
          <w:p>
            <w:pPr>
              <w:spacing w:after="0"/>
              <w:rPr>
                <w:sz w:val="16"/>
                <w:szCs w:val="16"/>
                <w:color w:val="auto"/>
              </w:rPr>
            </w:pPr>
          </w:p>
        </w:tc>
        <w:tc>
          <w:tcPr>
            <w:tcW w:w="7980" w:type="dxa"/>
            <w:vAlign w:val="bottom"/>
            <w:gridSpan w:val="2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Signatures</w:t>
            </w:r>
          </w:p>
        </w:tc>
        <w:tc>
          <w:tcPr>
            <w:tcW w:w="1400" w:type="dxa"/>
            <w:vAlign w:val="bottom"/>
            <w:gridSpan w:val="4"/>
            <w:shd w:val="clear" w:color="auto" w:fill="CCEEFF"/>
          </w:tcPr>
          <w:p>
            <w:pPr>
              <w:ind w:left="620"/>
              <w:spacing w:after="0" w:line="187" w:lineRule="exact"/>
              <w:rPr>
                <w:sz w:val="20"/>
                <w:szCs w:val="20"/>
                <w:color w:val="auto"/>
              </w:rPr>
            </w:pPr>
            <w:r>
              <w:rPr>
                <w:rFonts w:ascii="Times New Roman" w:cs="Times New Roman" w:eastAsia="Times New Roman" w:hAnsi="Times New Roman"/>
                <w:sz w:val="18"/>
                <w:szCs w:val="18"/>
                <w:color w:val="0000FF"/>
              </w:rPr>
              <w:t>76</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References in this Annual Report on Form 10-K (this “Form 10-K” or “Annual Report”) to “we,” “us,” “our,” “OPAL Fuels,” “OPAL,” the “Company” and similar terms all refer to OPAL Fuels Inc. and its subsidiaries, unless otherwise stated or the context otherwise requires.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glossary of terms (the “Glossary”) that should be used as a reference when reading this Annual Report can be found immediately prior to Item 1A.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that are used in this Annual Report are either defined when they are first used or in the Glossary.</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 SUMMARY</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Form 10-K contains forward-looking statements within the meaning of the federal securities laws.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51"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 and maintain relationships with customers and suppliers;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our principal officers, key employees or directors;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and competitive pressures from other companies in the industry in which we operate;</w:t>
      </w:r>
    </w:p>
    <w:p>
      <w:pPr>
        <w:spacing w:after="0" w:line="19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or delays in obtaining, key components or labor for the construction and completion of landfill gas ("LFG") and livestock waste projects that generate electricity and renewable natural gas (“RNG”) and compressed natural gas (“CNG”) and hydrogen dispensing stations;</w:t>
      </w:r>
    </w:p>
    <w:p>
      <w:pPr>
        <w:spacing w:after="0" w:line="123"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 market conditions and global and economic factors beyond our control;</w:t>
      </w:r>
    </w:p>
    <w:p>
      <w:pPr>
        <w:spacing w:after="0" w:line="12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government economic incentives to the renewable energy market;</w:t>
      </w:r>
    </w:p>
    <w:p>
      <w:pPr>
        <w:spacing w:after="0" w:line="193"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on which we operate our LFG and livestock waste projects that generate electricity and (iii) RNG prices for Environmental Attributes, LCFS credits and other incentives;</w:t>
      </w:r>
    </w:p>
    <w:p>
      <w:pPr>
        <w:spacing w:after="0" w:line="14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acquire, develop and operate renewable projects and fueling stations ("Fueling Stations");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and sell equity or equity-linked securities or obtain or amend debt financing;</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renewable energy not being sustained;</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changing weather patterns and conditions and natural disasters;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10-K.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OPAL Fuels Inc. (including its subsidiaries, the “Company,” “OPAL,” “we,” “us” or “our”)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Biogas is generated by microbes as they break down organic matter in the absence of oxygen. Biogas is comprised of non-fossil waste gas, with high concentrations of methane, which is the primary component of RNG and the source for combustion utilized by Renewable Power plants to generate electricity. Biogas can be collected and processed to remove impurities for use as RNG (a form of high-Btu fuel) and injected into existing natural gas pipelines as it is fully interchangeable with fossil fuel-based natural gas. Partially treated biogas can be used directly in heating applications (as a form of medium-Btu fuel) or in the production of Renewable Power. Our principal sources of biogas are (i) LFG, which is produced by the decomposition of organic waste at landfills, and (ii) dairy manure, which is processed through anaerobic digesters to produce the biogas.</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aim to maintain and grow our position as a leading producer and dispenser of RNG in the United States and a leading provider of RNG to the heavy and medium-duty commercial vehicle market in the U.S. We support these objectives through a multi-pronged strategy of:</w:t>
      </w:r>
    </w:p>
    <w:p>
      <w:pPr>
        <w:spacing w:after="0" w:line="119" w:lineRule="exact"/>
        <w:rPr>
          <w:sz w:val="20"/>
          <w:szCs w:val="20"/>
          <w:color w:val="auto"/>
        </w:rPr>
      </w:pPr>
    </w:p>
    <w:p>
      <w:pPr>
        <w:jc w:val="both"/>
        <w:ind w:left="640" w:hanging="313"/>
        <w:spacing w:after="0" w:line="25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Promoting the reduction of methane and greenhouse gases emissions and expanding the use of renewable fuels to displace fossil-based fuels: </w:t>
      </w:r>
      <w:r>
        <w:rPr>
          <w:rFonts w:ascii="Times New Roman" w:cs="Times New Roman" w:eastAsia="Times New Roman" w:hAnsi="Times New Roman"/>
          <w:sz w:val="18"/>
          <w:szCs w:val="18"/>
          <w:color w:val="auto"/>
        </w:rPr>
        <w:t>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55" w:lineRule="exact"/>
        <w:rPr>
          <w:rFonts w:ascii="Times New Roman" w:cs="Times New Roman" w:eastAsia="Times New Roman" w:hAnsi="Times New Roman"/>
          <w:sz w:val="18"/>
          <w:szCs w:val="18"/>
          <w:color w:val="auto"/>
        </w:rPr>
      </w:pPr>
    </w:p>
    <w:p>
      <w:pPr>
        <w:jc w:val="both"/>
        <w:ind w:left="640" w:hanging="313"/>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industry position as a full-service partner for development opportunities, including through strategic transactions: </w:t>
      </w:r>
      <w:r>
        <w:rPr>
          <w:rFonts w:ascii="Times New Roman" w:cs="Times New Roman" w:eastAsia="Times New Roman" w:hAnsi="Times New Roman"/>
          <w:sz w:val="18"/>
          <w:szCs w:val="18"/>
          <w:color w:val="auto"/>
        </w:rPr>
        <w:t>Throughout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over twenty years of biogas conversion experience, we have developed the full range of biogas conversion project related capabilities from LFG collection system expertise, to engineering, construction, management and operations, through environmental health and safety ("EHS") oversight and Environmental Attributes management. Our full suite of capabilities allows us to serve as a multi-project partner, including through strategic transactions.</w:t>
      </w:r>
    </w:p>
    <w:p>
      <w:pPr>
        <w:spacing w:after="0" w:line="138" w:lineRule="exact"/>
        <w:rPr>
          <w:rFonts w:ascii="Times New Roman" w:cs="Times New Roman" w:eastAsia="Times New Roman" w:hAnsi="Times New Roman"/>
          <w:sz w:val="18"/>
          <w:szCs w:val="18"/>
          <w:color w:val="auto"/>
        </w:rPr>
      </w:pPr>
    </w:p>
    <w:p>
      <w:pPr>
        <w:jc w:val="both"/>
        <w:ind w:left="640" w:hanging="313"/>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capabilities to new feedstock sources and technologies: </w:t>
      </w:r>
      <w:r>
        <w:rPr>
          <w:rFonts w:ascii="Times New Roman" w:cs="Times New Roman" w:eastAsia="Times New Roman" w:hAnsi="Times New Roman"/>
          <w:sz w:val="18"/>
          <w:szCs w:val="18"/>
          <w:color w:val="auto"/>
        </w:rPr>
        <w:t>We believe we will be able to enter new markets for our products.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and industry expertise, we believe we are well-positioned to take advantage of opportunities to meet the clean energy needs of other industries looking to use renewable energy in their operations both domestic and internationally. We are actively reviewing opportunities beyond our core LFG and dairy RNG business. Specifically, we intend to diversify our project portfolio beyond landfill biogas through the expansion into additional methane producing assets.</w:t>
      </w:r>
    </w:p>
    <w:p>
      <w:pPr>
        <w:spacing w:after="0" w:line="138" w:lineRule="exact"/>
        <w:rPr>
          <w:rFonts w:ascii="Times New Roman" w:cs="Times New Roman" w:eastAsia="Times New Roman" w:hAnsi="Times New Roman"/>
          <w:sz w:val="18"/>
          <w:szCs w:val="18"/>
          <w:color w:val="auto"/>
        </w:rPr>
      </w:pPr>
    </w:p>
    <w:p>
      <w:pPr>
        <w:jc w:val="both"/>
        <w:ind w:left="640" w:hanging="313"/>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Empowering our customers to achieve their sustainability and carbon reduction objectives: </w:t>
      </w:r>
      <w:r>
        <w:rPr>
          <w:rFonts w:ascii="Times New Roman" w:cs="Times New Roman" w:eastAsia="Times New Roman" w:hAnsi="Times New Roman"/>
          <w:sz w:val="18"/>
          <w:szCs w:val="18"/>
          <w:color w:val="auto"/>
        </w:rPr>
        <w:t>We are well positioned to empower our customers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their sustainability and carbon reduction goals, by, for example, reducing GHG emissions from their commercial transportation activities at a cost to customers that is competitive to other fuels, like diesel. We also assist our customers in their transition to cleaner transportation fuels by helping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 w:name="page6"/>
    <w:bookmarkEnd w:id="5"/>
    <w:p>
      <w:pPr>
        <w:ind w:left="640"/>
        <w:spacing w:after="0" w:line="277" w:lineRule="auto"/>
        <w:rPr>
          <w:sz w:val="20"/>
          <w:szCs w:val="20"/>
          <w:color w:val="auto"/>
        </w:rPr>
      </w:pPr>
      <w:r>
        <w:rPr>
          <w:rFonts w:ascii="Times New Roman" w:cs="Times New Roman" w:eastAsia="Times New Roman" w:hAnsi="Times New Roman"/>
          <w:sz w:val="18"/>
          <w:szCs w:val="18"/>
          <w:color w:val="auto"/>
        </w:rPr>
        <w:t>them obtain federal, state and local tax credits, grants and incentives, vehicle financing, and facilitating customer selection of vehicle specifications to meet their needs.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Vertical Integration of Business</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combination of Biogas Conversion Projects and Fueling Stations, together with our dispensing, generation, and monetization of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transportation customers. The increasing adoption of RNG as a fuel for transportation use amongst our customers subsequently gives us more opportunities to secure additional gas rights for Biogas Conversion Projects.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vertical integration also attracts low carbon intensity ("CI") project developers that need partners to market and dispense their fuel to obtain Low Carbon Fuel Standard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Project Expertise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management team has decades of combined experience in the design, development, construction, maintenance, and operation of Biogas Conversion Projects and Fueling Stations that dispense RNG, as well as the monetization of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their day-to-day activities.</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 We apply our experience and knowledge to identify new sources of biogas.</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also have a network of experienced and creditworthy EPC contractors to perform design, development, procurement and construction services under our supervision. Typically, our contracts for EPC services contain fixed price, date certain provisions and liquidated damages provisions, which greatly reduce the risks typically associated with construction projects.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to Development Opportunities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many relationships throughout the industry supply chain including technology and equipment providers, feedstock owners and RNG off-takers. We believe the strong reputation we have attained and our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and referrals from existing partners. We actively seek to extend the term of our contracts at project sites and view our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 w:name="page7"/>
    <w:bookmarkEnd w:id="6"/>
    <w:p>
      <w:pPr>
        <w:jc w:val="both"/>
        <w:spacing w:after="0" w:line="277" w:lineRule="auto"/>
        <w:rPr>
          <w:sz w:val="20"/>
          <w:szCs w:val="20"/>
          <w:color w:val="auto"/>
        </w:rPr>
      </w:pPr>
      <w:r>
        <w:rPr>
          <w:rFonts w:ascii="Times New Roman" w:cs="Times New Roman" w:eastAsia="Times New Roman" w:hAnsi="Times New Roman"/>
          <w:sz w:val="18"/>
          <w:szCs w:val="18"/>
          <w:color w:val="auto"/>
        </w:rPr>
        <w:t>positive relationships with the owners and managers of host landfills and dairy farms as a contributing factor to our ability to extend contract terms as they come due.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Large and Diverse Project Portfolio</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large, technologically optimized Biogas Conversion Project portfolio. Our ability to solve complex project development challenges and integrate such solutions across our entire project portfolio has supported the long-term successful partnerships we have with our Biogas Conversion Project hosts. Because we are able to meet the varying needs of our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EHS and Compliance</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our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Capture and Conversion Business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power purchase agreements.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4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Our current Biogas Conversion Projects generate RNG from landfill sites and dairy farms. We view the acquisition of new LFG, dairy farm, and other biogas waste projects as significant opportunities for us to expand our RNG business, complementing the ongoing conversion of certain of our existing Renewable Power plants to RNG production facilities. We believe our business is scalable and will continue to support growth through development and acquisitions.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differentiate ourselves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Dispensing and Monetization Business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2025, we dispensed 74 million gasoline gallon equivalent ("GGEs") of RNG to the transportation market, generating corresponding Environmental Attributes, utilizing our current network of Fueling Stations across the United States.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Hydrogen Fuel</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the coming years, we believe we will be able to provide hydrogen fuel to vehicle fleets by constructing and servicing hydrogen Fueling Stations as well as providing RNG for hydrogen production.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Our revenues are driven principally from the sale of Environmental Attributes that are generated from dispensing RNG as transportation fuel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heavy and medium-duty trucking fleets at Fueling Stations. In addition, we generate revenue from (i) the sale of Renewable Power, (ii) design, development, construction and service of Fueling Stations, and (iii) sales of RNG produced by OPAL and third parties as pipeline quality natural gas.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Currently, our Environmental Attributes revenue stream is primarily comprised of RINs, LCFS credits, ISCC Carbon Credits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an LCFS credit may be generated as well. Lastly, LFG-to-Renewable Power projects can create Environmental Attributes, in the form of a REC, in certain states and can be bundled with electricity off-take or monetized separately. See "Biogas RNG Market Opportunity".</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Power Purchase Agreements. </w:t>
      </w:r>
      <w:r>
        <w:rPr>
          <w:rFonts w:ascii="Times New Roman" w:cs="Times New Roman" w:eastAsia="Times New Roman" w:hAnsi="Times New Roman"/>
          <w:sz w:val="18"/>
          <w:szCs w:val="18"/>
          <w:color w:val="auto"/>
        </w:rPr>
        <w:t>Our Renewable Power projects have associated Power Purchase Agreements (“PPAs”) with creditworthy utility off-takers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municipalities. Nearly all of our Renewable Power off-takers have investment grade credit ratings with either S&amp;P or Moody’s. As discussed above, we also generate RECs from Renewable Power projects through the conversion of biogas to Renewable Power.</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Fueling Station Construction and Services</w:t>
      </w:r>
      <w:r>
        <w:rPr>
          <w:rFonts w:ascii="Times New Roman" w:cs="Times New Roman" w:eastAsia="Times New Roman" w:hAnsi="Times New Roman"/>
          <w:sz w:val="18"/>
          <w:szCs w:val="18"/>
          <w:color w:val="auto"/>
        </w:rPr>
        <w:t>. We have significant experience in the engineering, design, construction and operation of Fueling Stations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dispense RNG. We use a combination of custom designed and off-the-shelf equipment to build these stations. We also perform in-house manufacturing of modularized portable CNG compressor packages for smaller dispensing stations, utilizing our patented technology that allows faster and easier station installations. These portable packages can include defueling panels that allow smaller fleet owners to avoid expensive maintenance shop upgrades. In addition, we also generate revenues by providing operations and maintenance services for customer stations; and by helping our customers obtain federal, state and local tax credits, grants and incentives.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Conversion Projects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Typically, a Biogas Conversion Project includes two phases: (i) biogas collection, and (ii) processing and purifying biogas.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because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spacing w:after="0" w:line="1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 basic biogas processing plant includes: (i) a moisture removal system, (ii) blowers to provide a vacuum to “pull” the gas and pressure to convey the gas and (iii) a flare for destroying unutilized gas. System operators monitor parameters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maximize system efficiency. Using biogas in a Renewable Power facility usually requires some treatment of the LFG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a process that separates carbon dioxide from the methane molecules. Further treatment of the biogas is often required to remove residual nitrogen and/or oxygen to meet pipeline specifications.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a biogas capture and conversion project is not within close proximity to a pipeline, the RNG is transported by road using tube trailers to a gas injection point. This is referred to as a virtual pipeline.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RNG Market Opportunity</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Biogas can be collected and processed to remove impurities for use as RNG (a form of high-Btu fuel) and can be injected into existing natural gas pipelines because it is fully interchangeable with fossil fuel-based natural gas. Partially treated biogas can be used directly in heating applications (as a form of medium-Btu fuel) or in the production of Renewable Power. Our current primary sources of biogas are landfills and dairy farms.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Landfill Gas Sources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14 projects), all but one relates to landfills that are currently open and accepting more waste, which we believe provides a high degree of visibility into the long-term volumes of RNG capable of being generated at each of these projects.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Using proven biogas purification technology, biogas can be processed on-site to remove impurities, and used at around 50% methane to generate Renewable Power. Biogas can be further processed and upgraded to remove carbon dioxide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 and exported to international markets.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Livestock Sources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Livestock is the top agricultural source of GHG worldwide, according to the EPA. Livestock waste, particularly from dairies, produces methane that can be converted to RNG and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9" w:name="page10"/>
    <w:bookmarkEnd w:id="9"/>
    <w:p>
      <w:pPr>
        <w:jc w:val="both"/>
        <w:spacing w:after="0" w:line="277" w:lineRule="auto"/>
        <w:rPr>
          <w:sz w:val="20"/>
          <w:szCs w:val="20"/>
          <w:color w:val="auto"/>
        </w:rPr>
      </w:pPr>
      <w:r>
        <w:rPr>
          <w:rFonts w:ascii="Times New Roman" w:cs="Times New Roman" w:eastAsia="Times New Roman" w:hAnsi="Times New Roman"/>
          <w:sz w:val="18"/>
          <w:szCs w:val="18"/>
          <w:color w:val="auto"/>
        </w:rPr>
        <w:t>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view dairy farms as a significant opportunity for us to expand our RNG business. Processing biogas from dairy farms requires similar expertise and capabilities as processing biogas from landfills.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Highly Fragmented Market</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LFG market is heavily fragmented, which we believe represents an opportunity for companies like us to find project opportunities. The top players in the industry account for the majority of installed LFG capacity. This market dynamic creates the opportunity for consolidation by well capitalized, experienced market participants such as OPAL.</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LFG has accounted for most of the growth in Biogas Conversion Projects to date, we believe additional economically viable LFG project opportunities exist. According to the EPA LMOP project database, as of July 2023, there were 532 LFG projects in operation in the United States, including 359 operating LFG-to-electricity projects that may be converted to produce RNG as well as 470 additional candidate landfills. Based on EPA data, these 470 candidate landfills have the potential to collect a combined 343 million standard cubic feet of LFG per day. Based on our industry experience, technical knowledge and analysis we believe many of these sites are potentially economically viable for RNG project acquisitions.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Well-Established Regulatory Framework</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RINs are credits used by Obligated Parties for regulatory compliance as part of the RFS program. The RFS program is a federal law introduced in 2005 and updated in 2007 to incorporate renewable content into various transportation fuels. Through the RFS program, RINs can be sold to counterparties in order for them to meet their renewable standard requirements. RNG from landfills and livestock waste, among other sources, qualifies as a cellulosic biofuel with a 60% GHG reduction requirement (“D3”) RIN, which is currently the highest priced RIN and commands a premium compared to non-cellulosic renewable fuels such as ethanol and renewable diesel.</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began in 2023.</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LCFS programs are attractive because LCFS credits can be additive to RINs. In California, the most established program, the LCFS program is administered by CARB, which sets annual CI standards. Fuel producers in the transportation fuel pool that have lower CI scores than the target established by the California Air Resources Board generate LCFS credits, and those with higher CI scores than the annual standard will generate deficits. A fuel producer with deficits must have enough LCFS credits through either generation or acquisitions to be in annual compliance with the annual standard. We are poised to take advantage of these LCFS programs because RNG from dairies has very low or negative CI, and therefore generates valuable credits in states with LCFS programs.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it is estimated that RNG production in the United States can only cover about 1.5% of the U.S. heavy- and medium-duty vehicles fuel market. RNG production is projected to increase by 2027, bringing the RNG industry share to as much as 2.5%. Although it is likely that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0" w:name="page11"/>
    <w:bookmarkEnd w:id="10"/>
    <w:p>
      <w:pPr>
        <w:ind w:right="1080"/>
        <w:spacing w:after="0" w:line="456" w:lineRule="auto"/>
        <w:rPr>
          <w:sz w:val="20"/>
          <w:szCs w:val="20"/>
          <w:color w:val="auto"/>
        </w:rPr>
      </w:pPr>
      <w:r>
        <w:rPr>
          <w:rFonts w:ascii="Times New Roman" w:cs="Times New Roman" w:eastAsia="Times New Roman" w:hAnsi="Times New Roman"/>
          <w:sz w:val="18"/>
          <w:szCs w:val="18"/>
          <w:color w:val="auto"/>
        </w:rPr>
        <w:t xml:space="preserve">sharply increased the required volume of the D3 RINs in recent years, with the current D3 RIN RVO level encouraging growth in the industry. </w:t>
      </w:r>
      <w:r>
        <w:rPr>
          <w:rFonts w:ascii="Times New Roman" w:cs="Times New Roman" w:eastAsia="Times New Roman" w:hAnsi="Times New Roman"/>
          <w:sz w:val="18"/>
          <w:szCs w:val="18"/>
          <w:i w:val="1"/>
          <w:iCs w:val="1"/>
          <w:color w:val="auto"/>
        </w:rPr>
        <w:t>Economic Benefits Incentivize Switching to RNG</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Projects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owned and operated 27 projects, 12 of which are RNG projects and 15 of which are Renewable Power projects. As of that date, our RNG projects in operation had a design capacity of 9.1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as well as a portfolio of projects in development, with six of our current Renewable Power projects being considered candidates for conversion to RNG projects in the foreseeable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table setting forth the RNG projects in operation and construction in our portfolio:</w:t>
      </w:r>
    </w:p>
    <w:p>
      <w:pPr>
        <w:spacing w:after="0" w:line="207"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b w:val="1"/>
          <w:bCs w:val="1"/>
          <w:color w:val="auto"/>
        </w:rPr>
        <w:t>OPAL's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-119380</wp:posOffset>
            </wp:positionV>
            <wp:extent cx="5954395" cy="601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4395" cy="601980"/>
                    </a:xfrm>
                    <a:prstGeom prst="rect">
                      <a:avLst/>
                    </a:prstGeom>
                    <a:noFill/>
                  </pic:spPr>
                </pic:pic>
              </a:graphicData>
            </a:graphic>
          </wp:anchor>
        </w:drawing>
      </w:r>
    </w:p>
    <w:p>
      <w:pPr>
        <w:jc w:val="center"/>
        <w:ind w:left="2340"/>
        <w:spacing w:after="0" w:line="216" w:lineRule="auto"/>
        <w:rPr>
          <w:sz w:val="20"/>
          <w:szCs w:val="20"/>
          <w:color w:val="auto"/>
        </w:rPr>
      </w:pPr>
      <w:r>
        <w:rPr>
          <w:rFonts w:ascii="Times New Roman" w:cs="Times New Roman" w:eastAsia="Times New Roman" w:hAnsi="Times New Roman"/>
          <w:sz w:val="18"/>
          <w:szCs w:val="18"/>
          <w:b w:val="1"/>
          <w:bCs w:val="1"/>
          <w:color w:val="auto"/>
        </w:rPr>
        <w:t>of Design</w:t>
      </w:r>
    </w:p>
    <w:tbl>
      <w:tblPr>
        <w:tblLayout w:type="fixed"/>
        <w:tblInd w:w="940" w:type="dxa"/>
        <w:tblCellMar>
          <w:top w:w="0" w:type="dxa"/>
          <w:left w:w="0" w:type="dxa"/>
          <w:bottom w:w="0" w:type="dxa"/>
          <w:right w:w="0" w:type="dxa"/>
        </w:tblCellMar>
      </w:tblPr>
      <w:tr>
        <w:trPr>
          <w:trHeight w:val="159"/>
        </w:trPr>
        <w:tc>
          <w:tcPr>
            <w:tcW w:w="5740" w:type="dxa"/>
            <w:vAlign w:val="bottom"/>
          </w:tcPr>
          <w:p>
            <w:pPr>
              <w:spacing w:after="0"/>
              <w:rPr>
                <w:sz w:val="13"/>
                <w:szCs w:val="13"/>
                <w:color w:val="auto"/>
              </w:rPr>
            </w:pPr>
          </w:p>
        </w:tc>
        <w:tc>
          <w:tcPr>
            <w:tcW w:w="1180" w:type="dxa"/>
            <w:vAlign w:val="bottom"/>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8"/>
              </w:rPr>
              <w:t>Capacity</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Source of</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15"/>
                <w:szCs w:val="15"/>
                <w:color w:val="auto"/>
              </w:rPr>
            </w:pPr>
          </w:p>
        </w:tc>
        <w:tc>
          <w:tcPr>
            <w:tcW w:w="11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(MMbtus per</w:t>
            </w:r>
          </w:p>
        </w:tc>
        <w:tc>
          <w:tcPr>
            <w:tcW w:w="1120" w:type="dxa"/>
            <w:vAlign w:val="bottom"/>
            <w:vMerge w:val="continue"/>
          </w:tcPr>
          <w:p>
            <w:pPr>
              <w:spacing w:after="0"/>
              <w:rPr>
                <w:sz w:val="15"/>
                <w:szCs w:val="15"/>
                <w:color w:val="auto"/>
              </w:rPr>
            </w:pPr>
          </w:p>
        </w:tc>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40"/>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RNG Projects in Operation:</w:t>
            </w:r>
          </w:p>
        </w:tc>
        <w:tc>
          <w:tcPr>
            <w:tcW w:w="1180" w:type="dxa"/>
            <w:vAlign w:val="bottom"/>
            <w:tcBorders>
              <w:bottom w:val="single" w:sz="8" w:color="auto"/>
            </w:tcBorders>
          </w:tcPr>
          <w:p>
            <w:pPr>
              <w:jc w:val="center"/>
              <w:spacing w:after="0" w:line="241" w:lineRule="exact"/>
              <w:rPr>
                <w:sz w:val="20"/>
                <w:szCs w:val="20"/>
                <w:color w:val="auto"/>
              </w:rPr>
            </w:pPr>
            <w:r>
              <w:rPr>
                <w:rFonts w:ascii="Times New Roman" w:cs="Times New Roman" w:eastAsia="Times New Roman" w:hAnsi="Times New Roman"/>
                <w:sz w:val="18"/>
                <w:szCs w:val="18"/>
                <w:b w:val="1"/>
                <w:bCs w:val="1"/>
                <w:color w:val="auto"/>
                <w:w w:val="89"/>
              </w:rPr>
              <w:t xml:space="preserve">year) </w:t>
            </w:r>
            <w:r>
              <w:rPr>
                <w:rFonts w:ascii="Times New Roman" w:cs="Times New Roman" w:eastAsia="Times New Roman" w:hAnsi="Times New Roman"/>
                <w:sz w:val="23"/>
                <w:szCs w:val="23"/>
                <w:b w:val="1"/>
                <w:bCs w:val="1"/>
                <w:color w:val="auto"/>
                <w:w w:val="89"/>
                <w:vertAlign w:val="superscript"/>
              </w:rPr>
              <w:t>(1)</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Biogas</w:t>
            </w: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Greentree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1,061,712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Imperial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Emerald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1,327,140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Sapphire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796,284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River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663,570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Noble Road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464,499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Pine Bend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424,685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Biotown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Sunoma </w:t>
            </w:r>
            <w:r>
              <w:rPr>
                <w:rFonts w:ascii="Times New Roman" w:cs="Times New Roman" w:eastAsia="Times New Roman" w:hAnsi="Times New Roman"/>
                <w:sz w:val="23"/>
                <w:szCs w:val="23"/>
                <w:color w:val="auto"/>
                <w:vertAlign w:val="superscript"/>
              </w:rPr>
              <w:t>(3)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Prince William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1,725,282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Polk County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7"/>
        </w:trPr>
        <w:tc>
          <w:tcPr>
            <w:tcW w:w="5740" w:type="dxa"/>
            <w:vAlign w:val="bottom"/>
            <w:tcBorders>
              <w:bottom w:val="single" w:sz="8" w:color="CCEEFF"/>
            </w:tcBorders>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Atlantic </w:t>
            </w:r>
            <w:r>
              <w:rPr>
                <w:rFonts w:ascii="Times New Roman" w:cs="Times New Roman" w:eastAsia="Times New Roman" w:hAnsi="Times New Roman"/>
                <w:sz w:val="23"/>
                <w:szCs w:val="23"/>
                <w:color w:val="auto"/>
                <w:vertAlign w:val="superscript"/>
              </w:rPr>
              <w:t>(2)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331,785</w:t>
            </w: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4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9,136,716</w:t>
            </w:r>
          </w:p>
        </w:tc>
        <w:tc>
          <w:tcPr>
            <w:tcW w:w="1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RNG Projects in Construction:</w:t>
            </w: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line="227" w:lineRule="exact"/>
              <w:rPr>
                <w:sz w:val="20"/>
                <w:szCs w:val="20"/>
                <w:color w:val="auto"/>
              </w:rPr>
            </w:pPr>
            <w:r>
              <w:rPr>
                <w:rFonts w:ascii="Times New Roman" w:cs="Times New Roman" w:eastAsia="Times New Roman" w:hAnsi="Times New Roman"/>
                <w:sz w:val="26"/>
                <w:szCs w:val="26"/>
                <w:color w:val="auto"/>
                <w:vertAlign w:val="subscript"/>
              </w:rPr>
              <w:t>Hilltop</w:t>
            </w:r>
            <w:r>
              <w:rPr>
                <w:rFonts w:ascii="Times New Roman" w:cs="Times New Roman" w:eastAsia="Times New Roman" w:hAnsi="Times New Roman"/>
                <w:sz w:val="10"/>
                <w:szCs w:val="10"/>
                <w:color w:val="auto"/>
              </w:rPr>
              <w:t xml:space="preserve"> (4),(6)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Vander Schaaf </w:t>
            </w:r>
            <w:r>
              <w:rPr>
                <w:rFonts w:ascii="Times New Roman" w:cs="Times New Roman" w:eastAsia="Times New Roman" w:hAnsi="Times New Roman"/>
                <w:sz w:val="23"/>
                <w:szCs w:val="23"/>
                <w:color w:val="auto"/>
                <w:vertAlign w:val="superscript"/>
              </w:rPr>
              <w:t>(4),(6)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line="227" w:lineRule="exact"/>
              <w:rPr>
                <w:sz w:val="20"/>
                <w:szCs w:val="20"/>
                <w:color w:val="auto"/>
              </w:rPr>
            </w:pPr>
            <w:r>
              <w:rPr>
                <w:rFonts w:ascii="Times New Roman" w:cs="Times New Roman" w:eastAsia="Times New Roman" w:hAnsi="Times New Roman"/>
                <w:sz w:val="26"/>
                <w:szCs w:val="26"/>
                <w:color w:val="auto"/>
                <w:vertAlign w:val="subscript"/>
              </w:rPr>
              <w:t>Burlington</w:t>
            </w:r>
            <w:r>
              <w:rPr>
                <w:rFonts w:ascii="Times New Roman" w:cs="Times New Roman" w:eastAsia="Times New Roman" w:hAnsi="Times New Roman"/>
                <w:sz w:val="10"/>
                <w:szCs w:val="10"/>
                <w:color w:val="auto"/>
              </w:rPr>
              <w:t xml:space="preserve"> (2),(5),(6)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Cottonwood </w:t>
            </w:r>
            <w:r>
              <w:rPr>
                <w:rFonts w:ascii="Times New Roman" w:cs="Times New Roman" w:eastAsia="Times New Roman" w:hAnsi="Times New Roman"/>
                <w:sz w:val="23"/>
                <w:szCs w:val="23"/>
                <w:color w:val="auto"/>
                <w:vertAlign w:val="superscript"/>
              </w:rPr>
              <w:t>(5),(6)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664,884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7"/>
        </w:trPr>
        <w:tc>
          <w:tcPr>
            <w:tcW w:w="5740" w:type="dxa"/>
            <w:vAlign w:val="bottom"/>
            <w:tcBorders>
              <w:bottom w:val="single" w:sz="8" w:color="CCEEFF"/>
            </w:tcBorders>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Kirby Canyon </w:t>
            </w:r>
            <w:r>
              <w:rPr>
                <w:rFonts w:ascii="Times New Roman" w:cs="Times New Roman" w:eastAsia="Times New Roman" w:hAnsi="Times New Roman"/>
                <w:sz w:val="23"/>
                <w:szCs w:val="23"/>
                <w:color w:val="auto"/>
                <w:vertAlign w:val="superscript"/>
              </w:rPr>
              <w:t>(5),(6)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663,570</w:t>
            </w: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2,299,354</w:t>
            </w:r>
          </w:p>
        </w:tc>
        <w:tc>
          <w:tcPr>
            <w:tcW w:w="1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ind w:firstLine="7"/>
        <w:spacing w:after="0" w:line="233" w:lineRule="auto"/>
        <w:tabs>
          <w:tab w:leader="none" w:pos="19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 w:name="page12"/>
    <w:bookmarkEnd w:id="11"/>
    <w:p>
      <w:pPr>
        <w:spacing w:after="0" w:line="277" w:lineRule="auto"/>
        <w:rPr>
          <w:sz w:val="20"/>
          <w:szCs w:val="20"/>
          <w:color w:val="auto"/>
        </w:rPr>
      </w:pPr>
      <w:r>
        <w:rPr>
          <w:rFonts w:ascii="Times New Roman" w:cs="Times New Roman" w:eastAsia="Times New Roman" w:hAnsi="Times New Roman"/>
          <w:sz w:val="18"/>
          <w:szCs w:val="18"/>
          <w:color w:val="auto"/>
        </w:rPr>
        <w:t>depend on many variables including, but not limited to, (i) quantity and quality of the biogas, (ii) operational up-time of the facility and (iii) actual efficiency of the facility.</w:t>
      </w:r>
    </w:p>
    <w:p>
      <w:pPr>
        <w:spacing w:after="0" w:line="103" w:lineRule="exact"/>
        <w:rPr>
          <w:sz w:val="20"/>
          <w:szCs w:val="20"/>
          <w:color w:val="auto"/>
        </w:rPr>
      </w:pPr>
    </w:p>
    <w:p>
      <w:pPr>
        <w:ind w:left="180" w:hanging="173"/>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record our ownership interests in these projects as equity method investments in our consolidated financial statements.</w:t>
      </w:r>
    </w:p>
    <w:p>
      <w:pPr>
        <w:spacing w:after="0" w:line="168" w:lineRule="exact"/>
        <w:rPr>
          <w:rFonts w:ascii="Times New Roman" w:cs="Times New Roman" w:eastAsia="Times New Roman" w:hAnsi="Times New Roman"/>
          <w:sz w:val="22"/>
          <w:szCs w:val="22"/>
          <w:color w:val="auto"/>
          <w:vertAlign w:val="superscript"/>
        </w:rPr>
      </w:pPr>
    </w:p>
    <w:p>
      <w:pPr>
        <w:ind w:firstLine="7"/>
        <w:spacing w:after="0" w:line="227" w:lineRule="auto"/>
        <w:tabs>
          <w:tab w:leader="none" w:pos="19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34" w:lineRule="exact"/>
        <w:rPr>
          <w:rFonts w:ascii="Times New Roman" w:cs="Times New Roman" w:eastAsia="Times New Roman" w:hAnsi="Times New Roman"/>
          <w:sz w:val="23"/>
          <w:szCs w:val="23"/>
          <w:color w:val="auto"/>
          <w:vertAlign w:val="superscript"/>
        </w:rPr>
      </w:pPr>
    </w:p>
    <w:p>
      <w:pPr>
        <w:ind w:left="180" w:hanging="173"/>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Please see Part I, Item 3: Legal Proceedings and </w:t>
      </w:r>
      <w:r>
        <w:rPr>
          <w:rFonts w:ascii="Times New Roman" w:cs="Times New Roman" w:eastAsia="Times New Roman" w:hAnsi="Times New Roman"/>
          <w:sz w:val="17"/>
          <w:szCs w:val="17"/>
          <w:i w:val="1"/>
          <w:iCs w:val="1"/>
          <w:color w:val="auto"/>
        </w:rPr>
        <w:t>Note 15. Commitments and Contingencies.</w:t>
      </w:r>
    </w:p>
    <w:p>
      <w:pPr>
        <w:spacing w:after="0" w:line="134" w:lineRule="exact"/>
        <w:rPr>
          <w:rFonts w:ascii="Times New Roman" w:cs="Times New Roman" w:eastAsia="Times New Roman" w:hAnsi="Times New Roman"/>
          <w:sz w:val="22"/>
          <w:szCs w:val="22"/>
          <w:color w:val="auto"/>
          <w:vertAlign w:val="superscript"/>
        </w:rPr>
      </w:pPr>
    </w:p>
    <w:p>
      <w:pPr>
        <w:ind w:left="180" w:hanging="173"/>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construction of the Cottonwood, Burlington and Kirby Canyon projects began in the second, third and fourth quarters of 2024, respectively.</w:t>
      </w:r>
    </w:p>
    <w:p>
      <w:pPr>
        <w:spacing w:after="0" w:line="168" w:lineRule="exact"/>
        <w:rPr>
          <w:rFonts w:ascii="Times New Roman" w:cs="Times New Roman" w:eastAsia="Times New Roman" w:hAnsi="Times New Roman"/>
          <w:sz w:val="22"/>
          <w:szCs w:val="22"/>
          <w:color w:val="auto"/>
          <w:vertAlign w:val="superscript"/>
        </w:rPr>
      </w:pPr>
    </w:p>
    <w:p>
      <w:pPr>
        <w:jc w:val="both"/>
        <w:ind w:firstLine="7"/>
        <w:spacing w:after="0" w:line="248"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Renewable Power Projects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table setting forth the Renewable Power projects in operation in our portfolio:</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2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Nameplate capacity</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Current RNG conversion</w:t>
            </w:r>
          </w:p>
        </w:tc>
      </w:tr>
      <w:tr>
        <w:trPr>
          <w:trHeight w:val="240"/>
        </w:trPr>
        <w:tc>
          <w:tcPr>
            <w:tcW w:w="626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51"/>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(MW per hour) </w:t>
            </w:r>
            <w:r>
              <w:rPr>
                <w:rFonts w:ascii="Times New Roman" w:cs="Times New Roman" w:eastAsia="Times New Roman" w:hAnsi="Times New Roman"/>
                <w:sz w:val="23"/>
                <w:szCs w:val="23"/>
                <w:b w:val="1"/>
                <w:bCs w:val="1"/>
                <w:color w:val="auto"/>
                <w:vertAlign w:val="superscript"/>
              </w:rPr>
              <w:t>(1)</w:t>
            </w:r>
          </w:p>
        </w:tc>
        <w:tc>
          <w:tcPr>
            <w:tcW w:w="2120" w:type="dxa"/>
            <w:vAlign w:val="bottom"/>
            <w:tcBorders>
              <w:bottom w:val="single" w:sz="8" w:color="auto"/>
            </w:tcBorders>
            <w:shd w:val="clear" w:color="auto" w:fill="CCEEFF"/>
          </w:tcPr>
          <w:p>
            <w:pPr>
              <w:jc w:val="center"/>
              <w:spacing w:after="0" w:line="241" w:lineRule="exact"/>
              <w:rPr>
                <w:sz w:val="20"/>
                <w:szCs w:val="20"/>
                <w:color w:val="auto"/>
              </w:rPr>
            </w:pPr>
            <w:r>
              <w:rPr>
                <w:rFonts w:ascii="Times New Roman" w:cs="Times New Roman" w:eastAsia="Times New Roman" w:hAnsi="Times New Roman"/>
                <w:sz w:val="18"/>
                <w:szCs w:val="18"/>
                <w:b w:val="1"/>
                <w:bCs w:val="1"/>
                <w:color w:val="auto"/>
                <w:w w:val="94"/>
              </w:rPr>
              <w:t xml:space="preserve">candidate </w:t>
            </w:r>
            <w:r>
              <w:rPr>
                <w:rFonts w:ascii="Times New Roman" w:cs="Times New Roman" w:eastAsia="Times New Roman" w:hAnsi="Times New Roman"/>
                <w:sz w:val="23"/>
                <w:szCs w:val="23"/>
                <w:b w:val="1"/>
                <w:bCs w:val="1"/>
                <w:color w:val="auto"/>
                <w:w w:val="94"/>
                <w:vertAlign w:val="superscript"/>
              </w:rPr>
              <w:t>(2)</w:t>
            </w:r>
          </w:p>
        </w:tc>
      </w:tr>
      <w:tr>
        <w:trPr>
          <w:trHeight w:val="20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 Power projects in operation:</w:t>
            </w:r>
          </w:p>
        </w:tc>
        <w:tc>
          <w:tcPr>
            <w:tcW w:w="18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Sycamore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Lopez</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Miramar Energy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Marcos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Cruz</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Diego - Miramar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Covina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 Charlotte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Taunton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7"/>
        </w:trPr>
        <w:tc>
          <w:tcPr>
            <w:tcW w:w="62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Arbor Hills </w:t>
            </w:r>
            <w:r>
              <w:rPr>
                <w:rFonts w:ascii="Times New Roman" w:cs="Times New Roman" w:eastAsia="Times New Roman" w:hAnsi="Times New Roman"/>
                <w:sz w:val="23"/>
                <w:szCs w:val="23"/>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C&amp;C</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Albany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Concord and CMS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Pioneer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Richmond (previously "Old Dominion")</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120" w:type="dxa"/>
            <w:vAlign w:val="bottom"/>
            <w:tcBorders>
              <w:bottom w:val="single" w:sz="8" w:color="CCEEFF"/>
            </w:tcBorders>
          </w:tcPr>
          <w:p>
            <w:pPr>
              <w:spacing w:after="0"/>
              <w:rPr>
                <w:sz w:val="19"/>
                <w:szCs w:val="19"/>
                <w:color w:val="auto"/>
              </w:rPr>
            </w:pPr>
          </w:p>
        </w:tc>
      </w:tr>
      <w:tr>
        <w:trPr>
          <w:trHeight w:val="20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 Power projects in construction:</w:t>
            </w:r>
          </w:p>
        </w:tc>
        <w:tc>
          <w:tcPr>
            <w:tcW w:w="18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30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Fall River </w:t>
            </w:r>
            <w:r>
              <w:rPr>
                <w:rFonts w:ascii="Times New Roman" w:cs="Times New Roman" w:eastAsia="Times New Roman" w:hAnsi="Times New Roman"/>
                <w:sz w:val="23"/>
                <w:szCs w:val="23"/>
                <w:color w:val="auto"/>
                <w:vertAlign w:val="superscript"/>
              </w:rPr>
              <w:t>(4)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2" w:lineRule="exact"/>
        <w:rPr>
          <w:sz w:val="20"/>
          <w:szCs w:val="20"/>
          <w:color w:val="auto"/>
        </w:rPr>
      </w:pPr>
    </w:p>
    <w:p>
      <w:pPr>
        <w:jc w:val="both"/>
        <w:ind w:firstLine="7"/>
        <w:spacing w:after="0" w:line="259" w:lineRule="auto"/>
        <w:tabs>
          <w:tab w:leader="none" w:pos="177"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355" w:lineRule="exact"/>
        <w:rPr>
          <w:rFonts w:ascii="Times New Roman" w:cs="Times New Roman" w:eastAsia="Times New Roman" w:hAnsi="Times New Roman"/>
          <w:sz w:val="21"/>
          <w:szCs w:val="21"/>
          <w:color w:val="auto"/>
          <w:vertAlign w:val="superscript"/>
        </w:rPr>
      </w:pPr>
    </w:p>
    <w:p>
      <w:pPr>
        <w:jc w:val="both"/>
        <w:ind w:firstLine="7"/>
        <w:spacing w:after="0" w:line="236" w:lineRule="auto"/>
        <w:tabs>
          <w:tab w:leader="none" w:pos="21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disclosing Renewable Power conversion candidates provides visibility into the effect of those conversions on the existing Renewable Power portfolio.</w:t>
      </w:r>
    </w:p>
    <w:p>
      <w:pPr>
        <w:spacing w:after="0" w:line="180" w:lineRule="exact"/>
        <w:rPr>
          <w:sz w:val="20"/>
          <w:szCs w:val="20"/>
          <w:color w:val="auto"/>
        </w:rPr>
      </w:pPr>
    </w:p>
    <w:p>
      <w:pPr>
        <w:ind w:firstLine="7"/>
        <w:spacing w:after="0" w:line="238" w:lineRule="auto"/>
        <w:tabs>
          <w:tab w:leader="none" w:pos="182"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Although the RNG conversion is completed, it is currently contemplated that the Arbor Hills Renewable Power plant will continue limited operations on a stand-by, emergency basis through March of 2031.</w:t>
      </w:r>
    </w:p>
    <w:p>
      <w:pPr>
        <w:spacing w:after="0" w:line="149" w:lineRule="exact"/>
        <w:rPr>
          <w:rFonts w:ascii="Times New Roman" w:cs="Times New Roman" w:eastAsia="Times New Roman" w:hAnsi="Times New Roman"/>
          <w:sz w:val="22"/>
          <w:szCs w:val="22"/>
          <w:color w:val="auto"/>
          <w:vertAlign w:val="superscript"/>
        </w:rPr>
      </w:pPr>
    </w:p>
    <w:p>
      <w:pPr>
        <w:ind w:left="180" w:hanging="173"/>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Construction of the Fall River project has been delayed due to permitting issues.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producers in the country, we are well-positioned to continue to operate and grow our portfolio and respond to competitive pressures. We have demonstrated a track record of strategic flexibility over our greater than 20-year history which has allowed us to pivot towards projects and markets that we believe deliver optimal returns and stockholder value in response to changes in market, regulatory and competitive pressures.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biogas market is highly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RNG projects are subject to federal RFS program regulations, including the Energy Policy Act of 2005 (the “</w:t>
      </w:r>
      <w:r>
        <w:rPr>
          <w:rFonts w:ascii="Times New Roman" w:cs="Times New Roman" w:eastAsia="Times New Roman" w:hAnsi="Times New Roman"/>
          <w:sz w:val="18"/>
          <w:szCs w:val="18"/>
          <w:i w:val="1"/>
          <w:iCs w:val="1"/>
          <w:color w:val="auto"/>
        </w:rPr>
        <w:t>EPACT 2005</w:t>
      </w:r>
      <w:r>
        <w:rPr>
          <w:rFonts w:ascii="Times New Roman" w:cs="Times New Roman" w:eastAsia="Times New Roman" w:hAnsi="Times New Roman"/>
          <w:sz w:val="18"/>
          <w:szCs w:val="18"/>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RNG projects are also subject to state renewable fuel standard regulations. By way of example, the LCFS program in California required producers of petroleum-based fuels to reduce the CI of their products by at least 10% by 2020 and requires a reduction of at least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 for LCFS credits in California.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8"/>
          <w:szCs w:val="18"/>
          <w:color w:val="auto"/>
        </w:rPr>
        <w:t>The EPA under the Clean Air Act (the “CAA”) regulates emissions of pollutants to protect the environment and public health. The CAA contains provisions for New Source Review (the “NSR”)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an RNG project can be developed, all the Resource Conservation and Recovery (th</w:t>
      </w:r>
      <w:r>
        <w:rPr>
          <w:rFonts w:ascii="Times New Roman" w:cs="Times New Roman" w:eastAsia="Times New Roman" w:hAnsi="Times New Roman"/>
          <w:sz w:val="18"/>
          <w:szCs w:val="18"/>
          <w:i w:val="1"/>
          <w:iCs w:val="1"/>
          <w:color w:val="auto"/>
        </w:rPr>
        <w:t>e “</w:t>
      </w:r>
      <w:r>
        <w:rPr>
          <w:rFonts w:ascii="Times New Roman" w:cs="Times New Roman" w:eastAsia="Times New Roman" w:hAnsi="Times New Roman"/>
          <w:sz w:val="18"/>
          <w:szCs w:val="18"/>
          <w:color w:val="auto"/>
        </w:rPr>
        <w:t>RCRA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Qualifying Facilities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Public Utility Regulatory Policies Act established a class of generating facilities that would receive special rate and regulatory treatment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Utility Regulation</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Production and Sale</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Future Regulations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Production Tax Credits ("PTCs"). We view the enactment of the IRA as favorable for the overall business climate for the renewable energy industry. However, there is uncertainty related to the applicability of the IRA to our current and planned projects and the scope of the IRA and its interpretations under the new U.S. administration or if government agencies’ authority to interpret federal law is restricted as a result of the Supreme Court’s review of the Chevron doctrine under which federal government agencies have been awarded broad authority to interpret broad or ambiguous legislation. We may also continue to experience a delay in our sales cycles and new award activity as our customers consider the applicability of the IRA and as financing projects may take longer as result of this uncertainty. The IRA may increase the competition in our industry and as such increase the demand and cost for labor, equipment and commodities needed for our projects. Similarly, recent presidential executive orders directing the review and potential termination of funds appropriated through the IRA are also creating uncertainty of whether these financial incentives could be reduced or repealed in the future.</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believe our operations comply in all material respects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corporate headquarters are located in White Plains, New York, where we occupy approximately 13,600 square feet of shared office space with Fortistar pursuant to an Administrative Services Agreement. We believe this office space is adequate for our needs for the immediate future and that, should it be necessary, we can lease additional space to accommodate any future growth.</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services office and maintenance facility is located in Oronoco, Minnesota, where we own and occupy a 20,000 square foot building of combined office space, maintenance shop and loading dock located on 3.25 acres. The building was acquired in September 2018 and is adequate for our needs for the immediate future. Should it be necessary, we believe we can expand the building to accommodate future growth.</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construction office and maintenance facility is located in Rancho Cucamonga, California, where we occupy approximately 29,935 square feet of combined office space, maintenance shop and loading dock. In March 2022, we entered into an amendment to the lease which extended the lease term to January 2026. We believe the space that we currently lease is adequate for our needs for the immediate future but we may seek additional space to accommodate future growth, which we believe will be available to us on satisfactory terms.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employed 331 individuals, consisting of 330 full-time employees and one part-time employee. Substantially all of our employees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values</w:t>
      </w:r>
    </w:p>
    <w:p>
      <w:pPr>
        <w:spacing w:after="0" w:line="192"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SAFETY - </w:t>
      </w:r>
      <w:r>
        <w:rPr>
          <w:rFonts w:ascii="Times New Roman" w:cs="Times New Roman" w:eastAsia="Times New Roman" w:hAnsi="Times New Roman"/>
          <w:sz w:val="18"/>
          <w:szCs w:val="18"/>
          <w:color w:val="auto"/>
        </w:rPr>
        <w:t>Passion for safety</w:t>
      </w:r>
    </w:p>
    <w:p>
      <w:pPr>
        <w:spacing w:after="0" w:line="180" w:lineRule="exact"/>
        <w:rPr>
          <w:rFonts w:ascii="Times New Roman" w:cs="Times New Roman" w:eastAsia="Times New Roman" w:hAnsi="Times New Roman"/>
          <w:sz w:val="18"/>
          <w:szCs w:val="18"/>
          <w:b w:val="1"/>
          <w:bCs w:val="1"/>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INTEGRITY </w:t>
      </w:r>
      <w:r>
        <w:rPr>
          <w:rFonts w:ascii="Times New Roman" w:cs="Times New Roman" w:eastAsia="Times New Roman" w:hAnsi="Times New Roman"/>
          <w:sz w:val="18"/>
          <w:szCs w:val="18"/>
          <w:color w:val="auto"/>
        </w:rPr>
        <w:t>- Straightforward, open and honest</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RELATIONSHIPS </w:t>
      </w:r>
      <w:r>
        <w:rPr>
          <w:rFonts w:ascii="Times New Roman" w:cs="Times New Roman" w:eastAsia="Times New Roman" w:hAnsi="Times New Roman"/>
          <w:sz w:val="18"/>
          <w:szCs w:val="18"/>
          <w:color w:val="auto"/>
        </w:rPr>
        <w:t>- Engaging all stakeholders</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EXCELLENCE </w:t>
      </w:r>
      <w:r>
        <w:rPr>
          <w:rFonts w:ascii="Times New Roman" w:cs="Times New Roman" w:eastAsia="Times New Roman" w:hAnsi="Times New Roman"/>
          <w:sz w:val="18"/>
          <w:szCs w:val="18"/>
          <w:color w:val="auto"/>
        </w:rPr>
        <w:t>- Quality and creativity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 and leadership</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rights, health and safety</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accidents occur. We continuously strive to provide a secure working environment for both our office-based and field operations personnel.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57"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Our website can be found at www.opalfuels.com. We make available, free of charge through our website,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proxy statement, our registration statements and Forms 3, 4 and 5 filed on behalf of directors and executive officers, and amendments to these reports, as soon as reasonably practicable after we electronically file such material with, or furnish such material to, the SEC. We are not including the information contained on our website or any other website as a part of, or incorporating it by reference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any other filing we make with the SEC. The filings are also available through the SEC’s website at www.sec.gov. Our Board of Directors (the “Board”) has documented its governance practices by adopting several corporate governance policies. These governance policies, including our Corporate Governance Guidelines and Code of Business Conduct and Ethics, as well as the charter for the Audit Committee of the Board may also be viewed on our website. Copies of such documents will be provided to stockholders without charge upon written request to the corporate secretary at the address shown on the cover page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definitions of terms used in this Form 10-K.</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“ArcLight” refers to ArcLight Clean Transition Corp. II, a blank check company incorporated as a Cayman Islands exempt company, and our previous name prior to the closing of the Business Combination.</w:t>
      </w:r>
    </w:p>
    <w:p>
      <w:pPr>
        <w:spacing w:after="0" w:line="12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i w:val="1"/>
          <w:iCs w:val="1"/>
          <w:color w:val="auto"/>
        </w:rPr>
        <w:t>“Business Combination” refers to the transactions contemplated by the Business Combination Agreement dated as of December 2, 2021 (as the same has been or may be amended, modified, supplemented or waived from time to time), by and among ArcLight, OPAL Fuels and OPAL Holdco.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 Valley" refers to the consolidated variable interest entity of Central Valley RNG Holdings LLC and its subsidiaries.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refers to the shares of Class A common stock, par value $0.0001 per share, of OPAL.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common stock” refers to the shares of Class B common stock, par value $0.0001 per share, of OPAL.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C common stock” refers to the shares of Class C common stock, par value $0.0001 per share, of OPAL.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D common stock” refers to the shares of Class D common stock, par value $0.0001 per share, of OPAL.</w:t>
      </w:r>
    </w:p>
    <w:p>
      <w:pPr>
        <w:spacing w:after="0" w:line="18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i w:val="1"/>
          <w:iCs w:val="1"/>
          <w:color w:val="auto"/>
        </w:rPr>
        <w:t>"CMS" refers to CMS RNG LLC, a consolidated variable interest entity formed on May 9, 2025 as a joint venture to develop, construct, own, and operate a renewable natural gas facility. The Company holds a 70% membership interest in CMS, with the remaining 30% owned by a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party partner.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“we”, “our”, “us” or similar terms refers to OPAL Fuels Inc. individually or on a consolidated basis, as the context may require.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refers to the Financial Accounting Standards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“Fortistar” refers to Fortistar LLC, a Delaware limited liability company.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“Hillman” refers to Hillman RNG Investments, LLC, a Delaware limited liability company and an affiliate of Fortistar.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the Investment Company Act of 1940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amended.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Intermediate Holdco” refers to OPAL Fuels Intermediate Holding Company LLC an indirect wholly owned subsidiary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Term Loan" refers to the term loan agreement entered into on October 22, 2021, by OPAL Intermediate Holdco with a syndicate of lenders.</w:t>
      </w:r>
    </w:p>
    <w:p>
      <w:pPr>
        <w:spacing w:after="0" w:line="142"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i w:val="1"/>
          <w:iCs w:val="1"/>
          <w:color w:val="auto"/>
        </w:rPr>
        <w:t>"Paragon Loan" refers to the senior secured delayed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draw term loan and related revolving loan facilities governed by the Amended and Restated Credit Agreement, under which Paragon RNG LLC, the Company’s joint venture, is the borrower and certain of its subsidiaries are guarantors.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"PTC" and "45z" refers to Production Tax Credits.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“Sarbanes-Oxley Act” refers to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155"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i w:val="1"/>
          <w:iCs w:val="1"/>
          <w:color w:val="auto"/>
        </w:rPr>
        <w:t>“Sunoma” refers to Sunoma Holdings LLC and its wholly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owned subsidiary, Sunoma Renewable Biofuel LLC, which together are owned 90% by OPAL Fuels Inc. and 10% by Paloma Dairy LLC.</w:t>
      </w:r>
    </w:p>
    <w:p>
      <w:pPr>
        <w:spacing w:after="0" w:line="115"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i w:val="1"/>
          <w:iCs w:val="1"/>
          <w:color w:val="auto"/>
        </w:rPr>
        <w:t>"Sunoma Loan" refers to the debt agreement entered into on August 27, 2020 by Sunoma Renewable Biofuel LLC, an indirect wholly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owned subsidiary of the Company, with Live Oak Banking Company.</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“Tax Receivable Agreement” refers to the Tax Receivable Agreement, dated July 21, 2022, by and among OPAL Fuels Inc, Opal Holdco LLC and the Parties named therein as included in Exhibit 10.6 to the Current Report on Form 8-K, filed with the SEC on July 27, 2022, as the same may be amended, modified, supplemented or waived from time to time in accordance with its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is a glossary of key industry terms used 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"AAA" refers to the American Arbitration Association.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refers to At Market Issuance Sales Agreement.</w:t>
      </w:r>
    </w:p>
    <w:p>
      <w:pPr>
        <w:spacing w:after="0" w:line="19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“Btu” refers to British thermal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 refers to carbon intensity.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“CNG” refers to compressed natural gas.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“D3” refers to cellulosic biofuel with a 60% GHG reduction requirement.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“EHS” refers to environment, health and safety.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“EISA” refers to the Energy Independence and Security Act of 2007.</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 refers to the U.S. Environmental Protection Agency.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“EPACT 2005” refers to the Energy Policy Act of 2005.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refers to the U.S. Federal Energy Regulatory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“GHG” refers to greenhouse gases.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"IRA" refers to the Inflation Reduction Act of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"ISCC Carbon Credits" refers to Environmental Attributes associated with renewable biomethane.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“ISOs” refers to independent system operators.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"ITC" refers to Investment Tax Credit.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“LCFS” refers to Low Carbon Fuel Standard or similar types of federal and state programs.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“LFG” refers to landfill gas.</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w:t>
      </w:r>
    </w:p>
    <w:p>
      <w:pPr>
        <w:sectPr>
          <w:pgSz w:w="11900" w:h="16838" w:orient="portrait"/>
          <w:cols w:equalWidth="0" w:num="1">
            <w:col w:w="11240"/>
          </w:cols>
          <w:pgMar w:left="320" w:top="921"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of market-based rate authority, including blanket authorization under section 204 of the Federal Power Act to issue securities and assume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“Obligated Parties” means refiners or importers of gasoline or diesel fuel under the RFS program.</w:t>
      </w:r>
    </w:p>
    <w:p>
      <w:pPr>
        <w:spacing w:after="0" w:line="19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i w:val="1"/>
          <w:iCs w:val="1"/>
          <w:color w:val="auto"/>
        </w:rPr>
        <w:t>“QFs” refers to qualifying small power production facilities under the Federal Power Act and the Public Utility Regulatory Policies Act of 1978, as amended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“RECs” refers to renewable energy credits.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 refers to electricity generated from renewable 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“RFS” refers to the EPA’s Renewable Fuel Standard.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“RINs” refers to Renewable Identification Numbers.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refers to renewable natural gas.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"ROU" refers to a Right-of-Use asset representing a lessee's rights to use a leased item.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“RPS” refers to Renewable Portfolio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“RTOs” refers to regional transmission organizations.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“RVOs” refers to renewable volume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"VIEs" refers to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1A. Risk Factors</w:t>
      </w:r>
    </w:p>
    <w:p>
      <w:pPr>
        <w:spacing w:after="0" w:line="19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There are many factors that affect our business and results of operations, some of which are beyond our control. The following is a description of some important factors that may cause the actual results of operations in future periods to differ materially from those currently expected or desired.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98" w:lineRule="exact"/>
        <w:rPr>
          <w:sz w:val="20"/>
          <w:szCs w:val="20"/>
          <w:color w:val="auto"/>
        </w:rPr>
      </w:pPr>
    </w:p>
    <w:p>
      <w:pPr>
        <w:jc w:val="both"/>
        <w:ind w:left="640" w:hanging="313"/>
        <w:spacing w:after="0" w:line="26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 and operators of biogas project sites generally make no warranties to us as to the quality or quantity of gas produced.</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50"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3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36"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prices we can obtain for the Environmental Attributes generated from RNG, which include RINs, ISCC Carbon Credits, LCFS credits, and other incentives, could have a material adverse effect on our business prospects, financial condition and results of operations.</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oil, gasoline, diesel, natural gas, RNG, or Environmental Attribute prices could adversely affect our business.</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36"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convert, develop and operate Biogas Conversion Projects, as well as expand production at current Biogas Conversion Projects, is subject to many risks.</w:t>
      </w:r>
    </w:p>
    <w:p>
      <w:pPr>
        <w:spacing w:after="0" w:line="136" w:lineRule="exact"/>
        <w:rPr>
          <w:rFonts w:ascii="Times New Roman" w:cs="Times New Roman" w:eastAsia="Times New Roman" w:hAnsi="Times New Roman"/>
          <w:sz w:val="18"/>
          <w:szCs w:val="18"/>
          <w:color w:val="auto"/>
        </w:rPr>
      </w:pPr>
    </w:p>
    <w:p>
      <w:pPr>
        <w:ind w:left="640" w:hanging="313"/>
        <w:spacing w:after="0" w:line="308"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99" w:lineRule="exact"/>
        <w:rPr>
          <w:rFonts w:ascii="Times New Roman" w:cs="Times New Roman" w:eastAsia="Times New Roman" w:hAnsi="Times New Roman"/>
          <w:sz w:val="17"/>
          <w:szCs w:val="17"/>
          <w:color w:val="auto"/>
        </w:rPr>
      </w:pPr>
    </w:p>
    <w:p>
      <w:pPr>
        <w:jc w:val="both"/>
        <w:ind w:left="640" w:hanging="313"/>
        <w:spacing w:after="0" w:line="26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36"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reliance on information technology and other systems subjects us to risks associated with cybersecurity. Cybersecurity incidents or our failure to maintain the security and integrity of Company, employee,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7"/>
          <w:szCs w:val="17"/>
          <w:color w:val="auto"/>
        </w:rPr>
        <w:t>associate, customer or third-party data could have a disruptive effect on our business and adversely affect our reputation and financial performance.</w:t>
      </w:r>
    </w:p>
    <w:p>
      <w:pPr>
        <w:spacing w:after="0" w:line="192" w:lineRule="exact"/>
        <w:rPr>
          <w:sz w:val="20"/>
          <w:szCs w:val="20"/>
          <w:color w:val="auto"/>
        </w:rPr>
      </w:pPr>
    </w:p>
    <w:p>
      <w:pPr>
        <w:jc w:val="both"/>
        <w:ind w:left="640" w:hanging="313"/>
        <w:spacing w:after="0" w:line="26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Regulations or Governmental Actions</w:t>
      </w:r>
    </w:p>
    <w:p>
      <w:pPr>
        <w:spacing w:after="0" w:line="184" w:lineRule="exact"/>
        <w:rPr>
          <w:sz w:val="20"/>
          <w:szCs w:val="20"/>
          <w:color w:val="auto"/>
        </w:rPr>
      </w:pPr>
    </w:p>
    <w:p>
      <w:pPr>
        <w:jc w:val="both"/>
        <w:ind w:left="640" w:hanging="313"/>
        <w:spacing w:after="0" w:line="25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42"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55"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84" w:lineRule="exact"/>
        <w:rPr>
          <w:sz w:val="20"/>
          <w:szCs w:val="20"/>
          <w:color w:val="auto"/>
        </w:rPr>
      </w:pPr>
    </w:p>
    <w:p>
      <w:pPr>
        <w:jc w:val="both"/>
        <w:ind w:left="640" w:hanging="313"/>
        <w:spacing w:after="0" w:line="26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84" w:lineRule="exact"/>
        <w:rPr>
          <w:sz w:val="20"/>
          <w:szCs w:val="20"/>
          <w:color w:val="auto"/>
        </w:rPr>
      </w:pPr>
    </w:p>
    <w:p>
      <w:pPr>
        <w:ind w:left="640" w:hanging="313"/>
        <w:spacing w:after="0" w:line="277"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and thus not subject to all of the corporate governance rules of Nasdaq. You will not have the same protections afforded to stockholders of companies that are subject to such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do not own any of the biogas project sites from which our Biogas Conversion Projects collect biogas, and therefore we depend on contractual relationships with, and the cooperation of,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our Biogas Conversion Projects facilities, which may have an adverse impact on our business, financial condition and results of operations.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obtain rights to utilize the biogas and the biogas project sites on which our projects operate under contractual arrangements, with the associated biogas rights generally being for fixed terms of 20 years or more, with certain additional renewal options. See “Business — Our Projects.” Because the rights we hold in connection with our projects typically include the right to produce electricity generated from Renewable Power, or RNG, but not both,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additional rights necessary in connection with conversion from production of Renewable Power to RNG, we cannot guarantee that this success will continue in the future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2" w:name="page23"/>
    <w:bookmarkEnd w:id="22"/>
    <w:p>
      <w:pPr>
        <w:jc w:val="both"/>
        <w:spacing w:after="0" w:line="262" w:lineRule="auto"/>
        <w:rPr>
          <w:sz w:val="20"/>
          <w:szCs w:val="20"/>
          <w:color w:val="auto"/>
        </w:rPr>
      </w:pPr>
      <w:r>
        <w:rPr>
          <w:rFonts w:ascii="Times New Roman" w:cs="Times New Roman" w:eastAsia="Times New Roman" w:hAnsi="Times New Roman"/>
          <w:sz w:val="18"/>
          <w:szCs w:val="18"/>
          <w:color w:val="auto"/>
        </w:rPr>
        <w:t>on commercial terms that are attractive to us or at all, and any failure to do so, or any other disruption in the relationship with any of the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ownership interests in the land subject to the licenses, easements, leases and rights-of-way necessary for the operation of our business may be subject to mortgages securing loans or other liens (such as tax liens) and other easements, lease rights and rights-of-way of third parties (such as leases of mineral rights). As a result, certain of our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owners and operators of biogas project sites generally make no warranties to us as to the quality or quantity of gas produced.</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that may affect the quantity and quality of biogas, including,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We cannot guarantee that our production will be free from operational risks, nor can we guarantee the production of a sufficient quantity and quality of biogas from the owners and operators of biogas conversion project sites.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4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without consulting with us, including in circumstances where they have a contractual obligation to do so. Such decisions made by the biogas conversion project site owners and operators could impact our ability to produce RNG or Renewable Power and generate the associated Environmental Attributes.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financial condition of the biogas conversion project sites may be affected by conditions and events that are beyond our control. Significant deterioration in the financial condition of any biogas conversion project waste site could cause the biogas conversion project site owners and operators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we are unable to maintain good relationships with these site owners and operators, or if they take any actions that disrupt or halt production of RNG or Renewable Power, our business, financial condition and results of operations could be materially and adversely affected.</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gas-powered vehicles and to contract with us for the provision of compressed natural gas to these fleets.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We are dependent on vehicle and engine manufacturers to succeed in our target RNG fuel dispensing markets, and we have no influence or control over their activities. These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and Executive Order N-79-20 issued by the Governor of the State of California in September 2020. The supply of engines or vehicle product lines by these vehicle and engine manufacturers may also be disrupted due to delays, restrictions or other business impacts related to supply chain disruptions, crises or other developments.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components manufactured and supplied by third parties and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our production and distribution of RNG and Renewable Power or the generation of related Environmental Attributes or RNG dispensing at Fueling Stations, potentially harming our brand, reputation and growth prospects.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dependent on third-party utility companies to provide sufficient utilities including sewer, water, gas and electricity, to sustain our operations and operate our Biogas Conversion Projects. Any major or sustained disruptions in the supply of utilities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18"/>
          <w:szCs w:val="18"/>
          <w:color w:val="auto"/>
        </w:rPr>
        <w:t>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prices we can obtain for the Environmental Attributes generated from RNG, which include RINs, ISCC Carbon Credits, LCFS credits, and other incentives,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significant portion of our revenues comes from the sale of Environmental Attributes, which exist because of legal and governmental regulatory requirements. A change in law or in governmental policies concerning renewable fuels, landfill or animal waste site biogas or the sale of Environmental Attributes could be expected to affect the market for, and the pricing of, the Environmental Attributes that we can generate through production at our Biogas Conversion Projects. A reduction in the prices we receive for Environmental Attributes, or a reduction in demand for them, whether through market forces generally, through the actions of market participants generally, or through the consolidation or elimination of participants competing in the market for the purchase and retirement of Environmental Attributes, could have a material adverse effect on our results of operations. The current regulatory regime also creates uncertainty related to the future market for such Environmental Attributes and this could have an adverse effect on the earnings we generate from such attributes.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oil, gasoline, diesel, natural gas, RNG, or Environmental Attribute prices could adversely affect our business.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6" w:name="page27"/>
    <w:bookmarkEnd w:id="26"/>
    <w:p>
      <w:pPr>
        <w:jc w:val="both"/>
        <w:spacing w:after="0" w:line="252" w:lineRule="auto"/>
        <w:rPr>
          <w:sz w:val="20"/>
          <w:szCs w:val="20"/>
          <w:color w:val="auto"/>
        </w:rPr>
      </w:pPr>
      <w:r>
        <w:rPr>
          <w:rFonts w:ascii="Times New Roman" w:cs="Times New Roman" w:eastAsia="Times New Roman" w:hAnsi="Times New Roman"/>
          <w:sz w:val="18"/>
          <w:szCs w:val="18"/>
          <w:color w:val="auto"/>
        </w:rPr>
        <w:t>transportation costs; and (xi) the price of foreign imports. If the prices of crude oil, gasoline and diesel decline,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5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market prices for LCFS credits specifically within California have declined over the past year,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(vii) development of new fuels or new technologies for the production of power; (viii) federal and state regulations; and (ix) actions of the ISOs and RTOs that control and administer regional power markets.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acquire, convert, develop and operate Biogas Conversion Projects, as well as expand production at current Biogas Conversion Projects, is subject to many risks.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strategy includes (i) the conversion of LFG projects from Renewable Power to RNG production where we already control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8" w:name="page29"/>
    <w:bookmarkEnd w:id="28"/>
    <w:p>
      <w:pPr>
        <w:jc w:val="both"/>
        <w:spacing w:after="0" w:line="277" w:lineRule="auto"/>
        <w:rPr>
          <w:sz w:val="20"/>
          <w:szCs w:val="20"/>
          <w:color w:val="auto"/>
        </w:rPr>
      </w:pPr>
      <w:r>
        <w:rPr>
          <w:rFonts w:ascii="Times New Roman" w:cs="Times New Roman" w:eastAsia="Times New Roman" w:hAnsi="Times New Roman"/>
          <w:sz w:val="18"/>
          <w:szCs w:val="18"/>
          <w:color w:val="auto"/>
        </w:rPr>
        <w:t>compete with other companies for these development and acquisition opportunities, which may increase our costs or cause us to refrain from making acquisitions at all.</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ability to acquire, convert, develop and operate Biogas Conversion Projects, as well as expand production at current Biogas Conversion Projects, is subject to several additional risks, including:</w:t>
      </w:r>
    </w:p>
    <w:p>
      <w:pPr>
        <w:spacing w:after="0" w:line="123" w:lineRule="exact"/>
        <w:rPr>
          <w:sz w:val="20"/>
          <w:szCs w:val="20"/>
          <w:color w:val="auto"/>
        </w:rPr>
      </w:pPr>
    </w:p>
    <w:p>
      <w:pPr>
        <w:ind w:left="640" w:hanging="313"/>
        <w:spacing w:after="0" w:line="27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2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commodity prices, such as natural gas and wholesale electricity prices, which could have a significant effect on our revenues and expenses;</w:t>
      </w:r>
    </w:p>
    <w:p>
      <w:pPr>
        <w:spacing w:after="0" w:line="136"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2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23"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 that may result due to recent regulatory changes or otherwise;</w:t>
      </w:r>
    </w:p>
    <w:p>
      <w:pPr>
        <w:spacing w:after="0" w:line="150"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and the effect of disruptions on our business, including the effects of global health crises, weather conditions, catastrophic events, such as fires, explosions, earthquakes, droughts and acts of terrorism, and other force majeure events that impact us, our counterparties, suppliers, distributors and subcontractors;</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markets where we have less experience, such as our Biogas Conversion Projects for biogas recovery at livestock farms;</w:t>
      </w:r>
    </w:p>
    <w:p>
      <w:pPr>
        <w:spacing w:after="0" w:line="193"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desired or necessary land rights, including ownership, leases, easements, zoning rights and building permits;</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50"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keeping in good standing permits, authorizations and consents from local city, county, state and US federal government agencies and organizations;</w:t>
      </w:r>
    </w:p>
    <w:p>
      <w:pPr>
        <w:spacing w:after="0" w:line="12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including potential termination, under short-term and long-term contracts for failing to produce or deliver a sufficient quantity and acceptable quality of RNG in accordance with our contractual obligations;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9" w:name="page30"/>
    <w:bookmarkEnd w:id="29"/>
    <w:p>
      <w:pPr>
        <w:ind w:left="640" w:hanging="313"/>
        <w:spacing w:after="0" w:line="277"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regulatory changes related to the transportation of RNG, which may increase the transportation cost for delivering under our contracts then in effect;</w:t>
      </w:r>
    </w:p>
    <w:p>
      <w:pPr>
        <w:spacing w:after="0" w:line="12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and authorization of local utilities or other energy development off-takers to ensure successful interconnection to energy grids to enable power and gas sales; and</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Biogas Conversion Projects.</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acquisition of existing Biogas Conversion Projects involves numerous risks, many of which may not be 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risks related to acquiring existing projects, include:</w:t>
      </w:r>
    </w:p>
    <w:p>
      <w:pPr>
        <w:spacing w:after="0" w:line="180" w:lineRule="exact"/>
        <w:rPr>
          <w:sz w:val="20"/>
          <w:szCs w:val="20"/>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we pay could significantly deplete our cash reserves or result in dilution to our existing stockholders;</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or assets may not improve our customer offerings or market position as planned;</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the acquired companies;</w:t>
      </w:r>
    </w:p>
    <w:p>
      <w:pPr>
        <w:spacing w:after="0" w:line="180"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and counterparties of the acquired companies may terminate their relationships with the acquired companies as a result of or following the acquisition;</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additional financial and accounting challenges and complexities in certain areas, such as tax planning and financial reporting;</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and expenses related to complying with additional laws, rules or regulations in new jurisdictions;</w:t>
      </w:r>
    </w:p>
    <w:p>
      <w:pPr>
        <w:spacing w:after="0" w:line="180"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36"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and management’s attention may be disrupted or diverted by transition or integration issues and the complexity of managing geographically diverse enterprises;</w:t>
      </w:r>
    </w:p>
    <w:p>
      <w:pPr>
        <w:spacing w:after="0" w:line="12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one-time write-offs or restructuring charges in connection with an acquisition;</w:t>
      </w:r>
    </w:p>
    <w:p>
      <w:pPr>
        <w:spacing w:after="0" w:line="180"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goodwill and other intangible assets that are subject to amortization or impairment tests, which could result in future charges to earnings; and</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equipment, latent defects, design or operator errors, force majeure events, or lack of transmission capacity or other problems with third party interconnection and transmission facilities.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our performance under associated dispensing agreements.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development and operation of our Biogas Conversion Projects involves significant risks and hazards.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6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Our Biogas Conversion Projects facilities and Fueling Stations or those that we otherwise acquire, construct or operate may be targets of terrorist activities, as well as events occurring in response to or in connection with them, that could result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18"/>
          <w:szCs w:val="18"/>
          <w:color w:val="auto"/>
        </w:rPr>
        <w:t>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some of our facilities are located in areas prone to extreme weather conditions, most notably extreme cold.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Energy Marketing, LLC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2" w:name="page33"/>
    <w:bookmarkEnd w:id="32"/>
    <w:p>
      <w:pPr>
        <w:jc w:val="both"/>
        <w:spacing w:after="0" w:line="257" w:lineRule="auto"/>
        <w:rPr>
          <w:sz w:val="20"/>
          <w:szCs w:val="20"/>
          <w:color w:val="auto"/>
        </w:rPr>
      </w:pPr>
      <w:r>
        <w:rPr>
          <w:rFonts w:ascii="Times New Roman" w:cs="Times New Roman" w:eastAsia="Times New Roman" w:hAnsi="Times New Roman"/>
          <w:sz w:val="18"/>
          <w:szCs w:val="18"/>
          <w:color w:val="auto"/>
        </w:rPr>
        <w:t>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If, however, the agreement was to be terminated as of the date of this report and we were not to deliver any further Environmental Attribute volume to NextEra under the agreement, the maximum potential payment to NextEra under these provisions would be approximately $9.9 million based on current market prices for such Environmental Attributes.</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4" w:name="page35"/>
    <w:bookmarkEnd w:id="34"/>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5" w:name="page36"/>
    <w:bookmarkEnd w:id="35"/>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w:t>
      </w:r>
    </w:p>
    <w:p>
      <w:pPr>
        <w:jc w:val="both"/>
        <w:ind w:firstLine="7"/>
        <w:spacing w:after="0" w:line="249" w:lineRule="auto"/>
        <w:tabs>
          <w:tab w:leader="none" w:pos="2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factors that may influence the adoption of natural gas vehicle fuels, many of which are beyond our control, include, among others:</w:t>
      </w:r>
    </w:p>
    <w:p>
      <w:pPr>
        <w:spacing w:after="0" w:line="180"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demand for trucks that use natural gas vehicle fuels due to business disruptions and depressed oil prices;</w:t>
      </w:r>
    </w:p>
    <w:p>
      <w:pPr>
        <w:spacing w:after="0" w:line="193"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36"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2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supply, demand, use and prices of crude oil, gasoline, diesel, RNG, natural gas and other vehicle fuels, such as electricity, hydrogen, renewable diesel, biodiesel and ethanol;</w:t>
      </w:r>
    </w:p>
    <w:p>
      <w:pPr>
        <w:spacing w:after="0" w:line="13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3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36"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36"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23"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emissions and other environmental regulations and pressures on producing, transporting, and dispensing our fuels.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Acquisition, financing, construction, and development of Fueling Station projects by us or our partners that own projects may not commence on anticipated timelines or at all.</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financing, construction and development of projects involves numerous risks, including:</w:t>
      </w:r>
    </w:p>
    <w:p>
      <w:pPr>
        <w:spacing w:after="0" w:line="180" w:lineRule="exact"/>
        <w:rPr>
          <w:sz w:val="20"/>
          <w:szCs w:val="20"/>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projects;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all necessary rights to land access and use;</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cost and schedule for completing construction;</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biogas potential, including quality, volume, and asset life;</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project on acceptable terms or at all;</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deliveries or increases in the price of equipment or other materials;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and other regulatory issues, license revocation and changes in legal requirements;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labor, labor disputes and work stoppages or the inability to find an adequate supply of workers;</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quality and timely performance of third-party services;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and environmental problems;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or supply chain disruptions;</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180"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health crises, pandemics, catastrophic events, including fires, explosions, earthquakes, droughts and acts of terrorism, and other force majeure events; and</w:t>
      </w:r>
    </w:p>
    <w:p>
      <w:pPr>
        <w:spacing w:after="0" w:line="12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interconnection and access to utilities.</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new projects have no operating history. A new project may be unable to fund principal and interest payments under its debt service obligations or may operate at a loss.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and cost overruns.</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7" w:name="page38"/>
    <w:bookmarkEnd w:id="37"/>
    <w:p>
      <w:pPr>
        <w:jc w:val="both"/>
        <w:spacing w:after="0" w:line="257" w:lineRule="auto"/>
        <w:rPr>
          <w:sz w:val="20"/>
          <w:szCs w:val="20"/>
          <w:color w:val="auto"/>
        </w:rPr>
      </w:pPr>
      <w:r>
        <w:rPr>
          <w:rFonts w:ascii="Times New Roman" w:cs="Times New Roman" w:eastAsia="Times New Roman" w:hAnsi="Times New Roman"/>
          <w:sz w:val="18"/>
          <w:szCs w:val="18"/>
          <w:color w:val="auto"/>
        </w:rPr>
        <w:t>reduced operations of permitting agencies because of the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Biogas Conversion Projects and Fueling Stations are newly constructed or are under construction and may not perform as we expect.</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could be adversely affected if the financial institutions in which we hold our cash fail.</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8" w:name="page39"/>
    <w:bookmarkEnd w:id="38"/>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accounting losses and may incur additional losses in the future.</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could adversely affect our business performance. Our management team has limited experience in operating a public company such as us.</w:t>
      </w:r>
    </w:p>
    <w:p>
      <w:pPr>
        <w:spacing w:after="0" w:line="1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in accordance with Section 404 of the Sarbanes-Oxley Act could have a material adverse effect on our business and operating results. In addition, current and potential stockholders could lose confidence in our financial reporting, which could have a material adverse effect on the price of our Class A common stock.</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and a report by our independent registered public accounting firm on the effectiveness of internal control over financial reporting as of year-end. We are required to report, among other things, control deficiencies that constitute material weaknesses or changes in internal control that, or that are reasonably likely to, materially affect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9" w:name="page40"/>
    <w:bookmarkEnd w:id="39"/>
    <w:p>
      <w:pPr>
        <w:jc w:val="both"/>
        <w:spacing w:after="0" w:line="277" w:lineRule="auto"/>
        <w:rPr>
          <w:sz w:val="20"/>
          <w:szCs w:val="20"/>
          <w:color w:val="auto"/>
        </w:rPr>
      </w:pPr>
      <w:r>
        <w:rPr>
          <w:rFonts w:ascii="Times New Roman" w:cs="Times New Roman" w:eastAsia="Times New Roman" w:hAnsi="Times New Roman"/>
          <w:sz w:val="18"/>
          <w:szCs w:val="18"/>
          <w:color w:val="auto"/>
        </w:rPr>
        <w:t>internal control over financial reporting. A “material weakness” is a significant deficiency or combination of significant deficiencies that results in more than a remote likelihood that a material misstatement of the annual or interim financial statements will not be prevented or detected.</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identified and remediated control deficiencies in the past, and we cannot assure you that we will at all times in the future be able to report that our internal controls are effective. If we cannot provide reliable financial reports or prevent fraud, our results of operation could be harmed. Our failure to maintain the effective internal control over financial reporting could cause the cost related to remediation to increase and could cause our stock price to decline. In addition, we may not be able to accurately report our financial results, may be subject to regulatory sanctions, and investors may lose confidence in our financial statements. No material weaknesses were identified during the year ended December 31,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reputations or business.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8"/>
          <w:szCs w:val="18"/>
          <w:color w:val="auto"/>
        </w:rPr>
        <w:t>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1" w:name="page42"/>
    <w:bookmarkEnd w:id="41"/>
    <w:p>
      <w:pPr>
        <w:jc w:val="both"/>
        <w:spacing w:after="0" w:line="252" w:lineRule="auto"/>
        <w:rPr>
          <w:sz w:val="20"/>
          <w:szCs w:val="20"/>
          <w:color w:val="auto"/>
        </w:rPr>
      </w:pPr>
      <w:r>
        <w:rPr>
          <w:rFonts w:ascii="Times New Roman" w:cs="Times New Roman" w:eastAsia="Times New Roman" w:hAnsi="Times New Roman"/>
          <w:sz w:val="18"/>
          <w:szCs w:val="18"/>
          <w:color w:val="auto"/>
        </w:rPr>
        <w:t>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be approximately $133.0 million depending on OPAL Fuels’ rate of recovery of the tax basis increases associated with the deemed exchange of the OPAL Fuels Common Units (other than those held by us). This estimated Tax Receivable Agreement lump-sum payment is calculated using a discount rate equal to 7.47%, applied against an undiscounted liability of approximately $240.8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It is more likely than not that the deferred tax assets will not be realized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the ability of OPAL Fuels to make distributions to us. To the extent that OPAL is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increasing reliance on information technology and other systems subjects us to risks associated with cybersecurity. Cybersecurity incidents or our failure to maintain the security and integrity of Company, employee, associate, customer or third-party data could have a disruptive effect on our business and adversely affect our reputation and financial performance.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failure of our IT and data security infrastructure could have a material adverse effect on our business and operations. We rely upon the expertise, reliability and security of our outsourced IT provider and their services to 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2" w:name="page43"/>
    <w:bookmarkEnd w:id="42"/>
    <w:p>
      <w:pPr>
        <w:jc w:val="both"/>
        <w:spacing w:after="0" w:line="277" w:lineRule="auto"/>
        <w:rPr>
          <w:sz w:val="20"/>
          <w:szCs w:val="20"/>
          <w:color w:val="auto"/>
        </w:rPr>
      </w:pPr>
      <w:r>
        <w:rPr>
          <w:rFonts w:ascii="Times New Roman" w:cs="Times New Roman" w:eastAsia="Times New Roman" w:hAnsi="Times New Roman"/>
          <w:sz w:val="18"/>
          <w:szCs w:val="18"/>
          <w:color w:val="auto"/>
        </w:rPr>
        <w:t>projects and infrastructure or third-party facilities and infrastructure, such as processing projects and pipelines, natural disasters, threats from terrorist acts and war.</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 repairs to infrastructure or capabilities essential to our operations, responding to litigation or regulatory investigations, and those related to a material and adverse impact on our reputation, financial position, results of operations, or cash flows.</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impacted by macroeconomic conditions, including fears concerning the financial services industry, inflation, rising interest rates and volatile market conditions, and other uncertainties beyond our control.</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on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Currently, we do not have a business relationship with any of the banking institutions mentioned above, and our cash and cash equivalents have been unaffected by the turmoil in the financial industry; however, we cannot guarantee that the banking institution with which we do business will not face similar circumstances in the future, or that the third parties with whom we do business will not be negatively affected by such circumstances.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Regulations or Governmental Actions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EHS laws and regulations, including those relating to the release, emission or discharge of materials into the air, water and ground, the generation, storage, handling, use, transportation and disposal of hazardous materials and wastes, and the health and safety of our employees and other persons.</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laws and regulations impose numerous obligations applicable to our operations, including the acquisition of permits before construction and operation of our Biogas Conversion Projects and Fueling Stations; the restriction of types, quantities and concentration of materials that can be released into the environment; the limitation or prohibition of our activities on certain lands lying within wilderness, wetlands and other protected areas; the application of specific health and safety criteria addressing worker protection; and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3" w:name="page44"/>
    <w:bookmarkEnd w:id="43"/>
    <w:p>
      <w:pPr>
        <w:jc w:val="both"/>
        <w:spacing w:after="0" w:line="257" w:lineRule="auto"/>
        <w:rPr>
          <w:sz w:val="20"/>
          <w:szCs w:val="20"/>
          <w:color w:val="auto"/>
        </w:rPr>
      </w:pPr>
      <w:r>
        <w:rPr>
          <w:rFonts w:ascii="Times New Roman" w:cs="Times New Roman" w:eastAsia="Times New Roman" w:hAnsi="Times New Roman"/>
          <w:sz w:val="18"/>
          <w:szCs w:val="18"/>
          <w:color w:val="auto"/>
        </w:rPr>
        <w:t>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or any future executive orders on our operations.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with respect to production from the non-complying facility, (iv) the imposition of liens, fines, refunds and interest, and/or civil or criminal liability and (v) delays or failures in the development of new Biogas Conversion Projects and Fueling Stations.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4" w:name="page45"/>
    <w:bookmarkEnd w:id="44"/>
    <w:p>
      <w:pPr>
        <w:jc w:val="both"/>
        <w:spacing w:after="0" w:line="257" w:lineRule="auto"/>
        <w:rPr>
          <w:sz w:val="20"/>
          <w:szCs w:val="20"/>
          <w:color w:val="auto"/>
        </w:rPr>
      </w:pPr>
      <w:r>
        <w:rPr>
          <w:rFonts w:ascii="Times New Roman" w:cs="Times New Roman" w:eastAsia="Times New Roman" w:hAnsi="Times New Roman"/>
          <w:sz w:val="18"/>
          <w:szCs w:val="18"/>
          <w:color w:val="auto"/>
        </w:rPr>
        <w:t>The EPA annually sets proposed and actual RVOs for the RIN market in accordance with the mandates established by EISA. The EPA’s issuance of timely and sufficient annual RVOs to accommodate the RNG industry’s growing production levels may be needed to stabilize the RIN market. The EPA annually sets proposed RVOs for D3 (cellulosic biofuel with a 60% GHG reduction requirement) RINs in accordance with the mandates established by the EISA. In June 2023, the EPA set RVOs for 2023 through 2025 via a new Set rule.</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EPA will timely set annual RVOs in the future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60"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Resources Board adopted LCFS regulations aimed at reducing the CI of transportation fuel sold and purchased in the state. A CI score is calculated as grams of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 out of infrastructure. The California Air Resources Board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If we are unable to sell LCFS credits, it could adversely affect our business.</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ability to generate revenue from sales of RINs and LCFS credits depends on our strict compliance with these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our business is influenced by laws, rules and regulations that require reductions in carbon emissions and/or the use of renewable fuels, such as the programs under which we generate Environmental Credits. These programs and regulations, which encourage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All of our current electric generating facilities are qualifying small power production facilities (“QFs”) under the Federal Power Act and the Public Utility Regulatory Policies Act of 1978, as amended. We are permitted to make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5" w:name="page46"/>
    <w:bookmarkEnd w:id="45"/>
    <w:p>
      <w:pPr>
        <w:jc w:val="both"/>
        <w:spacing w:after="0" w:line="250" w:lineRule="auto"/>
        <w:rPr>
          <w:sz w:val="20"/>
          <w:szCs w:val="20"/>
          <w:color w:val="auto"/>
        </w:rPr>
      </w:pPr>
      <w:r>
        <w:rPr>
          <w:rFonts w:ascii="Times New Roman" w:cs="Times New Roman" w:eastAsia="Times New Roman" w:hAnsi="Times New Roman"/>
          <w:sz w:val="18"/>
          <w:szCs w:val="18"/>
          <w:color w:val="auto"/>
        </w:rPr>
        <w:t>wholesale sales (that is, sales for resale) of renewable electricity, capacity, and ancillary services from our QFs with a net generating capacity that does not exceed 20 megawatts or that is an “eligible” facility as defined by section 3(17)(E) of the Federal Power Act without (a) obtaining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do not intend to develop, construct or operate electric generating facilities that would require us to apply for and receive MBR Authority from FERC. Nevertheless, if we were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 site owners and operators are also subject to extensive federal, state and local regulations and policies, including permitting requirements. Any failure on their part to comply with any laws, regulations, rules or permits, applicable to them may also adversely affect our business, investments and results of operations.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and are commonly subject to resistance from citizen or other groups and other political pressures, including allegations by such persons that a site is in violation of any applicable permits, laws or regulations. Failure by project site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6" w:name="page47"/>
    <w:bookmarkEnd w:id="46"/>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owners and operators to obtain or maintain any required permit to operate its site would adversely affect our production of Renewable Power, RNG and generation of the associated Environmental Attributes, as applicable.</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failure by biogas conversion project site owners and operators to comply with extensive federal, state and local regulations and policies, including permitting requirements, may result in the suspension or cessation of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provision for income taxes is subject to volatility and could be adversely affected by changes in tax laws or regulations, particularly changes in tax incentives in support of energy efficiency. The IRA contains extended and expanded clean energy tax credits such as ITCs, the PTC, and created other financial incentives designed to promote the development of certain domestic clean energy projects. In order to receive the full value of such credits and incentives, our projects must satisfy a number of requirements including prevailing wage and apprenticeship requirements. If we fail to comply with these requirements, the value of the credits may be limited, and we may become subject to financial penalties. Uncertainty remains under the IRA on which types of projects are eligible for the tax credits and incentives and how projects can demonstrate compliance with the requirements, we may not receive full value of the tax credits and incentives, which could increase our income tax expense, reduce our net income and adversely impact the profitability of our projects or our ability to finance our projects. The U.S. Congress may look to alter or repeal various energy tax incentives included in the IRA, which could potentially impact projects in development or future project economics. Similarly, recent presidential executive orders directing the review and potential termination of funds appropriated through the IRA are also creating uncertainty of whether these financial incentives could be reduced or repealed in the future.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17, 2023, the Treasury and the IRS proposed regulations regarding ITCs on renewable energy projects where the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the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pacing w:after="0" w:line="14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There is also uncertainty if IRA incentives may be reduced or repealed in the future, especially in light of the 2024 election results. In addition, the timing of when assets are placed in service has in the past and could in the future impact our tax rate. If we experience unexpected delays in this timing, we may not be able to take advantage of ITCs as expected. If we are not able to utilize the ITCs as expected this could have an adverse effect on our financial results.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and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7" w:name="page48"/>
    <w:bookmarkEnd w:id="47"/>
    <w:p>
      <w:pPr>
        <w:jc w:val="both"/>
        <w:spacing w:after="0" w:line="277" w:lineRule="auto"/>
        <w:rPr>
          <w:sz w:val="20"/>
          <w:szCs w:val="20"/>
          <w:color w:val="auto"/>
        </w:rPr>
      </w:pPr>
      <w:r>
        <w:rPr>
          <w:rFonts w:ascii="Times New Roman" w:cs="Times New Roman" w:eastAsia="Times New Roman" w:hAnsi="Times New Roman"/>
          <w:sz w:val="18"/>
          <w:szCs w:val="18"/>
          <w:color w:val="auto"/>
        </w:rPr>
        <w:t>effects may result from decreased revenues, reduced economic returns on Biogas Conversion Projects and other potential future investments or joint ventures, increased financing costs, and/or difficulty obtaining financing.</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Company may incur contractual obligations from the indemnification of third parties if tax authorities challenge the amount or availability of ITCs or related tax benefits that the Company is obligated to provide to such third parties under such contractual arrangements.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from time-to-time enters into arrangements with third parties that acquire tax credits, including ITCs, from the Company where tax credits and related tax benefits represent a material portion of the economic benefit of the arrangement to such other party. In certain circumstances, as is customary in the industry, the Company has guaranteed and may have to guarantee the economic benefit of such tax credits and other tax benefits to such party. A reduction in expected tax credits or tax benefits resulting from successful challenges by the IRS could result in an obligation under the Company’s contractual arrangements that could have a material impact on the Company’s financial condition, results of operations and liquidity.</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increased general and administrative expenses.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12, 2023, the EPA issued final rule 88 Fed. Reg. 44468 (July 12, 2023) to, in part, implement biogas regulatory reform to the EPA’s Renewable Fuel Standard Program (“RFS”) (the “Biogas Regulatory Reform Rule” or “BRRR”). BRRR significantly changed the method by which RINs are generated from biogas feedstock and how market participants are required to administer RINs. BRRR required all parties in the chain of title to biogas, renewable natural gas, and RINs to register with the EPA by January 1, 2025.</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timely completed and received approval of its required registrations under BRRR. As part of this registration process, with respect to Fueling Stations, the Company registered as RNG RIN separator for stations that accounted for approximately 57% of the Company’s CNG dispensing capacity. Wherever the Company is not registered as the RNG RIN separator, it will rely on the owner/operator of the Fueling Station to perform the role as RNG RIN separator (i.e., separating the RINs and transferring them to the Company for monetization). There can be no assurance that these owners/operators will timely provide the necessary administrative services and transactional data required for the separation and transfer of RINs from these stations. If we are unable to receive RINs from stations representing a material proportion of our dispensing capacity, it would have a material adverse effect on our financial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8" w:name="page49"/>
    <w:bookmarkEnd w:id="48"/>
    <w:p>
      <w:pPr>
        <w:spacing w:after="0" w:line="277" w:lineRule="auto"/>
        <w:rPr>
          <w:sz w:val="20"/>
          <w:szCs w:val="20"/>
          <w:color w:val="auto"/>
        </w:rPr>
      </w:pPr>
      <w:r>
        <w:rPr>
          <w:rFonts w:ascii="Times New Roman" w:cs="Times New Roman" w:eastAsia="Times New Roman" w:hAnsi="Times New Roman"/>
          <w:sz w:val="18"/>
          <w:szCs w:val="18"/>
          <w:color w:val="auto"/>
        </w:rPr>
        <w:t>As of December 31, 2025, our total indebtedness was $361.3 million, excluding deferred financing costs. Additionally, we have redeemable preferred non-controlling interests outstanding of $130.0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and preferred units redemption obligations could have important consequences, including, for example:</w:t>
      </w:r>
    </w:p>
    <w:p>
      <w:pPr>
        <w:spacing w:after="0" w:line="194" w:lineRule="exact"/>
        <w:rPr>
          <w:sz w:val="20"/>
          <w:szCs w:val="20"/>
          <w:color w:val="auto"/>
        </w:rPr>
      </w:pPr>
    </w:p>
    <w:p>
      <w:pPr>
        <w:ind w:left="640" w:hanging="313"/>
        <w:spacing w:after="0" w:line="27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required to accept then-prevailing market terms in connection with any required refinancing of such indebtedness or redemption obligations, which may be less favorable than existing terms;</w:t>
      </w:r>
    </w:p>
    <w:p>
      <w:pPr>
        <w:spacing w:after="0" w:line="12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23"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36"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interest rates on our existing debt facilities or a reduction in the supply of project debt financing could reduce our ability to construct and operate new RNG projects or Fueling Stations;</w:t>
      </w:r>
    </w:p>
    <w:p>
      <w:pPr>
        <w:spacing w:after="0" w:line="12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financial flexibility could reduce our ability to plan for and react to unexpected opportunities; and</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will have certain rights and remedies.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 example, upon written notice from NextEra at any time after November 29, 2025, we would be required to redeem the Series A preferred units. In the event we do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 For more information related to our obligation to redeem the Series A preferred units, please refer to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Class A Common Stock</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could result in additional dilution of the percentage ownership of our stockholders and could cause our share price to fall.</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or our subsidiaries issue additional equity securities, investors may be materially diluted by subsequent sales. Such sales may also result in material dilution to our existing stockholders, and new investors could gain rights, preferences, and privileges senior to existing holders of our Class A common stock.</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that certain Investor Rights Agreement, dated July 21, 2022, by and among OPAL Fuels Inc., each of the sellers named therein, ArcLight CTC Holdings II, L.P. and its principals, those stockholders are entitled to have the registration statement under the Securities Act kept effective for a prolonged period of time such that registered resales of their shares of Class A common stock can be made. We originally registered for resale up to 163,676,735 shares of our Class A common stock pursuant to our registration statement on Form S-3 filed under the Securities Act (File No. 333-266757), which was declared effective on August 10, 2023.</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w:t>
      </w:r>
    </w:p>
    <w:p>
      <w:pPr>
        <w:spacing w:after="0" w:line="1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4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may lose our emerging growth company status and become subject to the SEC’s internal control over financial reporting auditor attestation requirements. If we are unable to certify the effectiveness of our internal controls, or if our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148,336,349 shares of OPAL, comprising 84.1% of our outstanding common stock as of March 12, 2026, assuming conversion of all shares of Class B and Class D common stock into shares of Class A common stock. All of these shares (with the exception of 880,600 shares of Class A common stock purchased by Fortistar in the PIPE Investment, 3,000,000 shares of Class A common stock underlying warrants beneficially owned by Fortistar, and 56,712 shares of Class A common stock held directly by Mr. Comora) are Class B common stock, or are Class D common stock which have no economic rights but are entitled to five votes per share, giving Mr. Mark Comora control over 89.5% of our voting power. OPAL Holdco and Hillman are controlled, indirectly, by Mr. Mark Comora through entities affiliated with Mr. Mark Comora, including Fortistar and certain of its other affiliates. Mr. Mark Comora is the Chairman of our board of directors.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certificate of incorporation or bylaws,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1" w:name="page52"/>
    <w:bookmarkEnd w:id="51"/>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they, in their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the shares of Class A common stock.</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cannot predict whether our dual class structure, which affords the shares of Class A common stock and Class B common stock one vote per share while affording the shares of Class C common stock and Class D common stock with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2" w:name="page53"/>
    <w:bookmarkEnd w:id="52"/>
    <w:p>
      <w:pPr>
        <w:jc w:val="both"/>
        <w:spacing w:after="0" w:line="270" w:lineRule="auto"/>
        <w:rPr>
          <w:sz w:val="20"/>
          <w:szCs w:val="20"/>
          <w:color w:val="auto"/>
        </w:rPr>
      </w:pPr>
      <w:r>
        <w:rPr>
          <w:rFonts w:ascii="Times New Roman" w:cs="Times New Roman" w:eastAsia="Times New Roman" w:hAnsi="Times New Roman"/>
          <w:sz w:val="17"/>
          <w:szCs w:val="17"/>
          <w:color w:val="auto"/>
        </w:rPr>
        <w:t>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spacing w:after="0" w:line="137" w:lineRule="exact"/>
        <w:rPr>
          <w:sz w:val="20"/>
          <w:szCs w:val="20"/>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80"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Class A common stock is a “penny stock” which will require brokers trading in the Class A common stock to adhere to more stringent rules;</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reduction in the level of trading activity in the secondary trading market for shares of the Class A common stock;</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are contained in our certificate of incorporation that could delay or prevent a change of control.</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Certain provisions of our certificate of incorporation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among other things:</w:t>
      </w:r>
    </w:p>
    <w:p>
      <w:pPr>
        <w:spacing w:after="0" w:line="180" w:lineRule="exact"/>
        <w:rPr>
          <w:sz w:val="20"/>
          <w:szCs w:val="20"/>
          <w:color w:val="auto"/>
        </w:rPr>
      </w:pPr>
    </w:p>
    <w:p>
      <w:pPr>
        <w:ind w:left="640" w:hanging="313"/>
        <w:spacing w:after="0" w:line="277"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our board;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3" w:name="page54"/>
    <w:bookmarkEnd w:id="53"/>
    <w:p>
      <w:pPr>
        <w:ind w:left="640" w:hanging="313"/>
        <w:spacing w:after="0" w:line="277"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2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to establish the number of directors;</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is expressly authorized to make, alter or repeal our bylaws; and</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jurisdictions in which certain stockholder litigation may be brought.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Class A common stock has been, and is likely to continue to be, volatile and could fluctuate in response to a number of factors, many of which are beyond our control.</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trading price of the Class A common stock may fluctuate significantly in response to a number of factors, many of which are beyond our control. For instance, if our financial results are below the expectations of securities analysts and investors, the market price of the Class A common stock could decrease, perhaps significantly. Factors that may affect the market price of the Class A common stock include changes in market prices of oil, natural gas and natural gas liquids; announcements relating to significant corporate transactions; fluctuations in our quarterly and annual financial results; operating and stock price performance of companies that investors deem comparable to us; and changes in government regulation or proposals relating to us, including as a result of increased and/or new tariffs on equipment supply and raw materials. In addition, the U.S. securities markets have experienced significant price and volume fluctuations, and these fluctuations often have been unrelated to the operating performance of companies in these markets. Any volatility of, or a significant decrease in, the market price of the Class A common stock could also negatively affect our ability to make acquisitions using Class A common stock. Further, if we were to be the object of securities class action litigation as a result of volatility in the Class A common stock price or for other reasons, it could result in substantial costs and diversion of our management’s attention and resources, which could negatively affect our financial results.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uncertainty surrounding potential tariff increases on imported products and possible retaliatory measures by other countries could negatively impact our business. At this time, it is unclear the extent to which any tariffs will apply to imports of equipment and machinery upon which our business is reliant. Any new or increased tariffs, trade sanctions, or changes in U.S. trade policy could lead to higher operational costs. If we are unable to pass these additional costs to our customers and/or effectively manage higher operational expenses, our financial performance could be adversely affected.</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While we continue to assess the potential impact of these proposed tariffs and explore mitigation strategies, we do not currently anticipate a material adverse effect on our cost of goods sold or gross profit. This expectation assumes that the financial burden of increased tariffs will be absorbed primarily by market adjustments.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credit ratings downgrade or other negative action by a credit rating organization could adversely affect the trading price of the shares of our Class A common stock.</w:t>
      </w:r>
    </w:p>
    <w:p>
      <w:pPr>
        <w:spacing w:after="0" w:line="1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Credit rating agencies continually revise their ratings for companies they follow. The condition of the financial and credit markets and prevailing interest rates have fluctuated in the past and are likely to fluctuate in the future.</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developments in our business and operations could lead to a ratings downgrade for us or our subsidiaries. Any such fluctuation in our or our subsidiaries’ ratings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alternate forum, the Court of Chancery of the State of Delaware will, to the fullest extent permitted by applicable law, be the exclusive forum for (i) any derivative action, suit or proceeding brought on behalf of the Company; (ii) any action, suit or proceeding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4" w:name="page55"/>
    <w:bookmarkEnd w:id="54"/>
    <w:p>
      <w:pPr>
        <w:jc w:val="both"/>
        <w:spacing w:after="0" w:line="251" w:lineRule="auto"/>
        <w:rPr>
          <w:sz w:val="20"/>
          <w:szCs w:val="20"/>
          <w:color w:val="auto"/>
        </w:rPr>
      </w:pPr>
      <w:r>
        <w:rPr>
          <w:rFonts w:ascii="Times New Roman" w:cs="Times New Roman" w:eastAsia="Times New Roman" w:hAnsi="Times New Roman"/>
          <w:sz w:val="18"/>
          <w:szCs w:val="18"/>
          <w:color w:val="auto"/>
        </w:rPr>
        <w:t>(including any class action) asserting a claim of breach of a fiduciary duty owed by any current or former director, officer, other employee, agent or stockholder of the Company to the Company or the Company’s stockholders; (iii) any action, suit or proceeding (including any class action) asserting a claim against the Company or any current or former director, officer, other employee, agent or stockholder of the Company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Company or any director, officer or other employee of the Company governed by the internal affairs doctrine, in all cases to the fullest extent permitted by law and subject to the court’s having personal jurisdiction over the indispensable parties named as defendants.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finds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To prevent having to litigate claims in multiple jurisdictions and the threat of inconsistent or contrary rulings by different courts, among other considerations, our certificate of incorporation provides that, unless we consent in writing to the selection of an alternate forum, the federal district courts of the United States of America will be the exclusive forum for the resolution of any complaint asserting a cause of action arising under the federal securities laws.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and data to operate our business and develop, market, and deliver our products and services to our customers. We have implemented and maintain various information security processes designed to identify, assess and manage material risks from cybersecurity threats to critical computer networks, third party hosted services, communications systems, hardware, software, and our confidential, personal, proprietary, and sensitive data (collectively, “Information Assets”). Accordingly, we maintain certain risk assessment processes intended to identify cybersecurity threats. We have implemented an information technology security policy, which includes cybersecurity vulnerability management designed to protect the confidentiality, integrity, and availability of our Information Assets and mitigate harm to our business.</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engage in processes designed to identify such threats by, among other things, monitoring the threat environment using manual and automated tools. We subscribe to reports and services that identify cybersecurity threats, analyze reports of threats and conduct vulnerability assessments to identify vulnerabilities.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designed to manage and mitigate material risks from cybersecurity threats to our Information Assets. We work with third parties, including cybersecurity software providers and managed cybersecurity service providers, to identify and assess cybersecurity risks and conduct penetration testing.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a third-party service provider reporting to the Company's management. Management is also responsible for integrating cybersecurity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5" w:name="page56"/>
    <w:bookmarkEnd w:id="55"/>
    <w:p>
      <w:pPr>
        <w:jc w:val="both"/>
        <w:spacing w:after="0" w:line="262" w:lineRule="auto"/>
        <w:rPr>
          <w:sz w:val="20"/>
          <w:szCs w:val="20"/>
          <w:color w:val="auto"/>
        </w:rPr>
      </w:pPr>
      <w:r>
        <w:rPr>
          <w:rFonts w:ascii="Times New Roman" w:cs="Times New Roman" w:eastAsia="Times New Roman" w:hAnsi="Times New Roman"/>
          <w:sz w:val="18"/>
          <w:szCs w:val="18"/>
          <w:color w:val="auto"/>
        </w:rPr>
        <w:t>considerations into our overall risk management strategy, communicating key priorities to employees, approving budgets, helping to prepare for cybersecurity incidents, approving cybersecurity processes, reviewing security assessments and making required disclosures. Management participates in cybersecurity incident response efforts by being a member of the incident response team and helping direct our response to cybersecurity incidents.</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Audit Committee of the board of directors is responsible for overseeing our cybersecurity risk management processes, including oversight and mitigation of risks from cybersecurity threats.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do not own any real property. Our corporate headquarters are located in White Plains, New York, where we occupy approximately 13,600 square feet of shared office space with an affiliate of Fortistar pursuant to an Administrative Services Agreement. In addition, we lease office and maintenance facilities in Oronoco, Minnesota and Rancho Cucamonga, California. Our interests in our RNG and Renewable Power projects are our only material properties. See Item 1. Business — Our projects for additional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 We do not believe that the outcome of any of our current legal proceedings will have a material adverse impact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 Valley Project</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CEI has submitted a series of change order requests seeking to increase the EPC Contract Price by approximately $14 million, per project, primarily due to:</w:t>
      </w:r>
    </w:p>
    <w:p>
      <w:pPr>
        <w:spacing w:after="0" w:line="26" w:lineRule="exact"/>
        <w:rPr>
          <w:sz w:val="20"/>
          <w:szCs w:val="20"/>
          <w:color w:val="auto"/>
        </w:rPr>
      </w:pPr>
    </w:p>
    <w:p>
      <w:pPr>
        <w:ind w:firstLine="7"/>
        <w:spacing w:after="0" w:line="255" w:lineRule="auto"/>
        <w:tabs>
          <w:tab w:leader="none" w:pos="2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CEI’s design drawings which are required to meet its contracted performance guaranties, and (2) a default by one of CEI’s major equipment manufacturers. The Company disputes the vast majority of the change order requests.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scheduled in May 2026.</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EPC Agreement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notified CEI’s performance bond surety, Atlantic Specialty Insurance Company of the termination and demanded that it perform under the bond. Atlantic has denied the claim.</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6" w:name="page57"/>
    <w:bookmarkEnd w:id="56"/>
    <w:p>
      <w:pPr>
        <w:jc w:val="both"/>
        <w:spacing w:after="0" w:line="262" w:lineRule="auto"/>
        <w:rPr>
          <w:sz w:val="20"/>
          <w:szCs w:val="20"/>
          <w:color w:val="auto"/>
        </w:rPr>
      </w:pPr>
      <w:r>
        <w:rPr>
          <w:rFonts w:ascii="Times New Roman" w:cs="Times New Roman" w:eastAsia="Times New Roman" w:hAnsi="Times New Roman"/>
          <w:sz w:val="18"/>
          <w:szCs w:val="18"/>
          <w:color w:val="auto"/>
        </w:rPr>
        <w:t>CEI has since recorded mechanic’s liens against each of the projects for $4.9 million (MD) and $2 million (VS), and recently filed actions with the Stanislaus and San Joaquin County Superior Courts, respectively, to enforce their liens. It is expected that these claims will be stayed and consolidated with the pending arbitration proceeding.</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to the above-referenced action and arbitration, several of CEI’s subcontractors have recorded mechanic’s liens against the MD and VS projects, which the Company is obligated to defend and indemnify the dairy owners from and against. Several liens were untimely and have been released.</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does not believe it is feasible at this time to assess the likely outcome of the litigation and related arbitration, the timing of its resolution, or its ultimate impact, if any, on the Central Valley projects or the Company's business, financial condition or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Development Partner/Construction Manager</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defendants have recently filed an answer and certain cross claims, to which the Company has demurred. Discovery in the case is now underway.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Class A common stock are traded on the Nasdaq Stock Market LLC under the symbol "OPAL".</w:t>
      </w:r>
    </w:p>
    <w:p>
      <w:pPr>
        <w:spacing w:after="0" w:line="194" w:lineRule="exact"/>
        <w:rPr>
          <w:sz w:val="20"/>
          <w:szCs w:val="20"/>
          <w:color w:val="auto"/>
        </w:rPr>
      </w:pPr>
    </w:p>
    <w:p>
      <w:pPr>
        <w:ind w:right="520"/>
        <w:spacing w:after="0" w:line="454" w:lineRule="auto"/>
        <w:rPr>
          <w:sz w:val="20"/>
          <w:szCs w:val="20"/>
          <w:color w:val="auto"/>
        </w:rPr>
      </w:pPr>
      <w:r>
        <w:rPr>
          <w:rFonts w:ascii="Times New Roman" w:cs="Times New Roman" w:eastAsia="Times New Roman" w:hAnsi="Times New Roman"/>
          <w:sz w:val="18"/>
          <w:szCs w:val="18"/>
          <w:color w:val="auto"/>
        </w:rPr>
        <w:t xml:space="preserve">On March 13, 2026, the closing sale price of our shares of Class A common stock, as reported on the Nasdaq Stock Market LLC, was $2.14 per share. The number of stockholders of record of our shares of Class A common stock was approximately 10 on March 13, 2026. </w:t>
      </w:r>
      <w:r>
        <w:rPr>
          <w:rFonts w:ascii="Times New Roman" w:cs="Times New Roman" w:eastAsia="Times New Roman" w:hAnsi="Times New Roman"/>
          <w:sz w:val="18"/>
          <w:szCs w:val="18"/>
          <w:b w:val="1"/>
          <w:bCs w:val="1"/>
          <w:color w:val="auto"/>
        </w:rPr>
        <w:t>Payment of Dividends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Our Board of Directors currently intends to retain any future earnings to support operations and to finance the growth and development of our business, and therefore does not intend to pay cash dividends on our common stock in the near term.</w:t>
      </w:r>
    </w:p>
    <w:p>
      <w:pPr>
        <w:spacing w:after="0" w:line="133" w:lineRule="exact"/>
        <w:rPr>
          <w:sz w:val="20"/>
          <w:szCs w:val="20"/>
          <w:color w:val="auto"/>
        </w:rPr>
      </w:pPr>
    </w:p>
    <w:p>
      <w:pPr>
        <w:ind w:right="496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Unregistered Sales of Equity Securities; Use of Proceeds from Registered Offerings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consolidated financial statements and related notes set forth in Part II, Item 8 - "Financial Statements and Supplementary Data" and the risk factors identified in Part I, Item 1A - "Risk Factors" of this Annual Report. In addition to historical information, this discussion and analysis includes certain forward-looking statements which reflect our current expectations. The Company's actual results may materially differ from these forward-looking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vertically integrated leader in the capture and conversion of biogas into low carbon intensity Renewable Power and RNG.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LFG, which is produced by the decomposition of organic waste at landfills, and (ii) dairy manure, which is processed through anaerobic digesters to produce the biogas.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6, 2026, OPAL Fuels LLC entered into a subscription agreement with Preferred Fuels LLC (“Preferred Fuels”), an affiliate of Fortistar, pursuant to which Preferred Fuels committed to purchase up to $180.0 million of Series A preferred units in multiple closings. At the initial closing on March 6, 2026, the investor purchased 1.2 million Series A preferred units for aggregate proceeds of $120.0 million. OPAL Fuels may, in its sole discretion, require the investor to fund up to an additional $60.0 million within one year of the initial closing, subject to the terms of the subscription agreement.</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Series A preferred units are entitled to preferred quarterly distributions at a rate of 12% per annum, compounding quarterly, and rank senior to all other classes of equity interests of OPAL Fuels LLC, except for certain existing preferred units to which they are pari passu. In connection with the initial closing, the Company also issued a warrant to the investor to purchase up to 3.0 million shares of the Company’s Class A common stock, subject to vesting, forfeiture, and other terms and conditions.</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fourth quarter of 2025, Nextera provided notice of its right to require redemption of all outstanding Series A preferred units. The redemption period, originally scheduled to expire on March 3, 2026 was extended through March 31, 2026. On March 6, 2026, OPAL Fuels LLC redeemed all such preferred units for an aggregate redemption price of $100.0 million, funded with proceeds from the initial preferred unit issuance described above.</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subsequent to December 31, 2025, the Company drew approximately $128.4 million under its term loan facility pursuant to its existing credit agreement. A portion of the proceeds from the borrowing was used to repay approximately $20.0 million outstanding under the revolving loan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Influencing our Results of Operations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8" w:name="page59"/>
    <w:bookmarkEnd w:id="58"/>
    <w:p>
      <w:pPr>
        <w:jc w:val="both"/>
        <w:spacing w:after="0" w:line="262" w:lineRule="auto"/>
        <w:rPr>
          <w:sz w:val="20"/>
          <w:szCs w:val="20"/>
          <w:color w:val="auto"/>
        </w:rPr>
      </w:pPr>
      <w:r>
        <w:rPr>
          <w:rFonts w:ascii="Times New Roman" w:cs="Times New Roman" w:eastAsia="Times New Roman" w:hAnsi="Times New Roman"/>
          <w:sz w:val="18"/>
          <w:szCs w:val="18"/>
          <w:color w:val="auto"/>
        </w:rPr>
        <w:t>The principal factors affecting our results of operations and financial condition are the markets for RNG, Renewable Power, and associated Environmental Attributes, access to suitable biogas production resources, the regulatory environment of our industry, and the seasonality of demand and pricing for our products. Additional factors and trends affecting our business are discussed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elsewhere in this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Demand for RNG</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Washington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Transportation, including heavy-duty trucking, generates approximately 30% of overall carbon dioxide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exposed to the commodity prices of natural gas and diesel, which serve as alternative fuel for RNG and therefore impact the demand for RNG.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 Markets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also generate revenues from sales of Renewable Power generated by our biogas-to-Renewable Power projects, and associated RECs. RECs exist because of legal and governmental regulatory requirements in Europe and the United States, and a change in law or in governmental policies concerning Renewable Power, LFG, or RECs could affect the market for, and the pricing of, such power and credits.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and associated RECs, together with the revenue opportunities and conversion costs associated with converting our LFG sites to RNG production, could have a significant impact on our future profitability.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landscape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on the demand for our products. For more information, see our risk factor titled </w:t>
      </w:r>
      <w:r>
        <w:rPr>
          <w:rFonts w:ascii="Times New Roman" w:cs="Times New Roman" w:eastAsia="Times New Roman" w:hAnsi="Times New Roman"/>
          <w:sz w:val="18"/>
          <w:szCs w:val="18"/>
          <w:i w:val="1"/>
          <w:iCs w:val="1"/>
          <w:color w:val="auto"/>
        </w:rPr>
        <w:t>"The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of our business depends upon tax and other government incentives for the generation of RNG and Renewable Power, any of which could change at any time and such changes may negatively impact our growth strategy." </w:t>
      </w:r>
      <w:r>
        <w:rPr>
          <w:rFonts w:ascii="Times New Roman" w:cs="Times New Roman" w:eastAsia="Times New Roman" w:hAnsi="Times New Roman"/>
          <w:sz w:val="18"/>
          <w:szCs w:val="18"/>
          <w:color w:val="auto"/>
        </w:rPr>
        <w:t>Government regulations have become increasingly stringent and complying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regulations may result in significant additional operating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consolidated statements of operations under the following captions:</w:t>
      </w:r>
    </w:p>
    <w:p>
      <w:pPr>
        <w:spacing w:after="0" w:line="146" w:lineRule="exact"/>
        <w:rPr>
          <w:sz w:val="20"/>
          <w:szCs w:val="20"/>
          <w:color w:val="auto"/>
        </w:rPr>
      </w:pPr>
    </w:p>
    <w:p>
      <w:pPr>
        <w:ind w:left="640" w:hanging="313"/>
        <w:spacing w:after="0" w:line="282"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The RNG Fuel segment includes RNG supply as well as the associated generation and sale of commodity natural gas and environmental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credits, and consists of:</w:t>
      </w:r>
    </w:p>
    <w:p>
      <w:pPr>
        <w:spacing w:after="0" w:line="118" w:lineRule="exact"/>
        <w:rPr>
          <w:rFonts w:ascii="Times New Roman" w:cs="Times New Roman" w:eastAsia="Times New Roman" w:hAnsi="Times New Roman"/>
          <w:sz w:val="18"/>
          <w:szCs w:val="18"/>
          <w:color w:val="auto"/>
        </w:rPr>
      </w:pPr>
    </w:p>
    <w:p>
      <w:pPr>
        <w:ind w:left="1440" w:hanging="471"/>
        <w:spacing w:after="0" w:line="277" w:lineRule="auto"/>
        <w:tabs>
          <w:tab w:leader="none" w:pos="14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Production Facilities – the design, development, construction, maintenance and operation of facilities that convert raw biogas into pipeline quality natural gas; and</w:t>
      </w:r>
    </w:p>
    <w:p>
      <w:pPr>
        <w:spacing w:after="0" w:line="123" w:lineRule="exact"/>
        <w:rPr>
          <w:rFonts w:ascii="Times New Roman" w:cs="Times New Roman" w:eastAsia="Times New Roman" w:hAnsi="Times New Roman"/>
          <w:sz w:val="18"/>
          <w:szCs w:val="18"/>
          <w:color w:val="auto"/>
        </w:rPr>
      </w:pPr>
    </w:p>
    <w:p>
      <w:pPr>
        <w:ind w:left="1440" w:hanging="471"/>
        <w:spacing w:after="0"/>
        <w:tabs>
          <w:tab w:leader="none" w:pos="14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in both operating and construction projects.</w:t>
      </w:r>
    </w:p>
    <w:p>
      <w:pPr>
        <w:spacing w:after="0" w:line="189" w:lineRule="exact"/>
        <w:rPr>
          <w:rFonts w:ascii="Times New Roman" w:cs="Times New Roman" w:eastAsia="Times New Roman" w:hAnsi="Times New Roman"/>
          <w:sz w:val="18"/>
          <w:szCs w:val="18"/>
          <w:color w:val="auto"/>
        </w:rPr>
      </w:pPr>
    </w:p>
    <w:p>
      <w:pPr>
        <w:ind w:left="640" w:hanging="313"/>
        <w:spacing w:after="0" w:line="282"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Through the Fuel Station Services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provide construction and maintenance services to third-party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Fueling Stations and perform fuel dispensing activities including generation and minting of environmental credits. This segment includes:</w:t>
      </w:r>
    </w:p>
    <w:p>
      <w:pPr>
        <w:spacing w:after="0" w:line="118" w:lineRule="exact"/>
        <w:rPr>
          <w:rFonts w:ascii="Times New Roman" w:cs="Times New Roman" w:eastAsia="Times New Roman" w:hAnsi="Times New Roman"/>
          <w:sz w:val="18"/>
          <w:szCs w:val="18"/>
          <w:color w:val="auto"/>
        </w:rPr>
      </w:pPr>
    </w:p>
    <w:p>
      <w:pPr>
        <w:ind w:left="1440" w:hanging="471"/>
        <w:spacing w:after="0"/>
        <w:tabs>
          <w:tab w:leader="none" w:pos="14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division that builds compact fueling systems and defueling systems;</w:t>
      </w:r>
    </w:p>
    <w:p>
      <w:pPr>
        <w:spacing w:after="0" w:line="180" w:lineRule="exact"/>
        <w:rPr>
          <w:rFonts w:ascii="Times New Roman" w:cs="Times New Roman" w:eastAsia="Times New Roman" w:hAnsi="Times New Roman"/>
          <w:sz w:val="18"/>
          <w:szCs w:val="18"/>
          <w:color w:val="auto"/>
        </w:rPr>
      </w:pPr>
    </w:p>
    <w:p>
      <w:pPr>
        <w:ind w:left="1440" w:right="420" w:hanging="471"/>
        <w:spacing w:after="0" w:line="277" w:lineRule="auto"/>
        <w:tabs>
          <w:tab w:leader="none" w:pos="14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Design/Build contracts where the Company serves as general contractor for construction of Fueling Stations, typically structured as Guarantee Maximum Price or fixed priced contracts for customers, generally lasting less than one year;</w:t>
      </w:r>
    </w:p>
    <w:p>
      <w:pPr>
        <w:spacing w:after="0" w:line="136" w:lineRule="exact"/>
        <w:rPr>
          <w:rFonts w:ascii="Times New Roman" w:cs="Times New Roman" w:eastAsia="Times New Roman" w:hAnsi="Times New Roman"/>
          <w:sz w:val="18"/>
          <w:szCs w:val="18"/>
          <w:color w:val="auto"/>
        </w:rPr>
      </w:pPr>
    </w:p>
    <w:p>
      <w:pPr>
        <w:ind w:left="1440" w:hanging="471"/>
        <w:spacing w:after="0"/>
        <w:tabs>
          <w:tab w:leader="none" w:pos="14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contracts for RNG/CNG Fueling Stations; and</w:t>
      </w:r>
    </w:p>
    <w:p>
      <w:pPr>
        <w:spacing w:after="0" w:line="180" w:lineRule="exact"/>
        <w:rPr>
          <w:rFonts w:ascii="Times New Roman" w:cs="Times New Roman" w:eastAsia="Times New Roman" w:hAnsi="Times New Roman"/>
          <w:sz w:val="18"/>
          <w:szCs w:val="18"/>
          <w:color w:val="auto"/>
        </w:rPr>
      </w:pPr>
    </w:p>
    <w:p>
      <w:pPr>
        <w:ind w:left="1440" w:right="760" w:hanging="471"/>
        <w:spacing w:after="0" w:line="277" w:lineRule="auto"/>
        <w:tabs>
          <w:tab w:leader="none" w:pos="14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and CNG Fuel Dispensing Stations - This includes both the dispensing (or sale) of RNG, CNG, and environmental credit generation and monetization. We operate Fueling Stations that dispense both CNG and RNG fuel for vehicles.</w:t>
      </w:r>
    </w:p>
    <w:p>
      <w:pPr>
        <w:spacing w:after="0" w:line="119" w:lineRule="exact"/>
        <w:rPr>
          <w:rFonts w:ascii="Times New Roman" w:cs="Times New Roman" w:eastAsia="Times New Roman" w:hAnsi="Times New Roman"/>
          <w:sz w:val="18"/>
          <w:szCs w:val="18"/>
          <w:color w:val="auto"/>
        </w:rPr>
      </w:pPr>
    </w:p>
    <w:p>
      <w:pPr>
        <w:ind w:left="640" w:right="40" w:hanging="313"/>
        <w:spacing w:after="0" w:line="26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Portfolio. </w:t>
      </w:r>
      <w:r>
        <w:rPr>
          <w:rFonts w:ascii="Times New Roman" w:cs="Times New Roman" w:eastAsia="Times New Roman" w:hAnsi="Times New Roman"/>
          <w:sz w:val="18"/>
          <w:szCs w:val="18"/>
          <w:color w:val="auto"/>
        </w:rPr>
        <w:t>The Renewable Power segment generates Renewable Power and associated Environmental Attributes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combustion of biogas from landfills which is then sold to public utilities throughout the United States. Please see </w:t>
      </w:r>
      <w:r>
        <w:rPr>
          <w:rFonts w:ascii="Times New Roman" w:cs="Times New Roman" w:eastAsia="Times New Roman" w:hAnsi="Times New Roman"/>
          <w:sz w:val="18"/>
          <w:szCs w:val="18"/>
          <w:i w:val="1"/>
          <w:iCs w:val="1"/>
          <w:color w:val="auto"/>
        </w:rPr>
        <w:t>Note 10. Reportable Segments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Geographic Information </w:t>
      </w:r>
      <w:r>
        <w:rPr>
          <w:rFonts w:ascii="Times New Roman" w:cs="Times New Roman" w:eastAsia="Times New Roman" w:hAnsi="Times New Roman"/>
          <w:sz w:val="18"/>
          <w:szCs w:val="18"/>
          <w:color w:val="auto"/>
        </w:rPr>
        <w:t>to our consolidated financial statements for additional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of sales associated with each revenue category are as follows:</w:t>
      </w:r>
    </w:p>
    <w:p>
      <w:pPr>
        <w:spacing w:after="0" w:line="176" w:lineRule="exact"/>
        <w:rPr>
          <w:sz w:val="20"/>
          <w:szCs w:val="20"/>
          <w:color w:val="auto"/>
        </w:rPr>
      </w:pPr>
    </w:p>
    <w:p>
      <w:pPr>
        <w:ind w:left="640" w:hanging="313"/>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Includes royalty payments to biogas site owners for the biogas we use; service provider costs; salaries and other indirect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production process, utilities, transportation, storage, and insurance; and depreciation of production facilities.</w:t>
      </w:r>
    </w:p>
    <w:p>
      <w:pPr>
        <w:spacing w:after="0" w:line="1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Includes equipment supplier costs; service provider costs; and salaries and other indirect expenses.</w:t>
      </w:r>
    </w:p>
    <w:p>
      <w:pPr>
        <w:spacing w:after="0" w:line="193" w:lineRule="exact"/>
        <w:rPr>
          <w:rFonts w:ascii="Times New Roman" w:cs="Times New Roman" w:eastAsia="Times New Roman" w:hAnsi="Times New Roman"/>
          <w:sz w:val="18"/>
          <w:szCs w:val="18"/>
          <w:color w:val="auto"/>
        </w:rPr>
      </w:pPr>
    </w:p>
    <w:p>
      <w:pPr>
        <w:ind w:left="640" w:hanging="313"/>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Includes land usage costs; service provider costs; salaries and other indirect expenses related to the production process; utilities;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depreciation of production facilities.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Project development and start up costs includes certain development costs such as legal fees, consulting fees for joint venture structuring, royalties to the landfill owner, fines, settlements, site lease expenses and certification costs on our RNG projects under construction. Additionally, the Company also incurs certain expenses on new RNG projects during the first two years that such projects are operational, such as virtual pipeline costs (incurred until a physical interconnect pipeline is built) and ramp up costs incurred during the certification period.</w:t>
      </w:r>
    </w:p>
    <w:p>
      <w:pPr>
        <w:spacing w:after="0" w:line="1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Selling, general, and administrative expense consists of costs involving corporate overhead functions, including the cost of services provided to us by an affiliate, and marketing costs.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 and associated credit risk</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percentage of consolidated accounts receivable, net by customers that equal or exceed 10% of the consolidated accounts receivable, net as of December 31, 2025 and 2024. No other single customer accounted for 10% or greater of our consolidated accounts receivables in these periods:</w:t>
      </w:r>
    </w:p>
    <w:p>
      <w:pPr>
        <w:spacing w:after="0" w:line="195" w:lineRule="exact"/>
        <w:rPr>
          <w:sz w:val="20"/>
          <w:szCs w:val="20"/>
          <w:color w:val="auto"/>
        </w:rPr>
      </w:pPr>
    </w:p>
    <w:tbl>
      <w:tblPr>
        <w:tblLayout w:type="fixed"/>
        <w:tblInd w:w="2800" w:type="dxa"/>
        <w:tblCellMar>
          <w:top w:w="0" w:type="dxa"/>
          <w:left w:w="0" w:type="dxa"/>
          <w:bottom w:w="0" w:type="dxa"/>
          <w:right w:w="0" w:type="dxa"/>
        </w:tblCellMar>
      </w:tblPr>
      <w:tr>
        <w:trPr>
          <w:trHeight w:val="227"/>
        </w:trPr>
        <w:tc>
          <w:tcPr>
            <w:tcW w:w="152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152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2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7"/>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2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2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2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49" w:lineRule="exact"/>
        <w:rPr>
          <w:sz w:val="20"/>
          <w:szCs w:val="20"/>
          <w:color w:val="auto"/>
        </w:rPr>
      </w:pPr>
    </w:p>
    <w:p>
      <w:pPr>
        <w:ind w:left="640" w:right="1780" w:firstLine="8"/>
        <w:spacing w:after="0" w:line="449" w:lineRule="auto"/>
        <w:tabs>
          <w:tab w:leader="none" w:pos="804"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Relates to sales of Environmental Attributes under Purchase and Sale agreements and Renewable Power sale agreements. *Less than 10%</w:t>
      </w: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percentage of consolidated revenues from customers that equal 10% or greater of the consolidated revenues in the period. No other single customer accounted for more than 10% of consolidated revenues in these periods:</w:t>
      </w:r>
    </w:p>
    <w:p>
      <w:pPr>
        <w:spacing w:after="0" w:line="1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-125095</wp:posOffset>
            </wp:positionV>
            <wp:extent cx="2934970" cy="144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34970" cy="144145"/>
                    </a:xfrm>
                    <a:prstGeom prst="rect">
                      <a:avLst/>
                    </a:prstGeom>
                    <a:noFill/>
                  </pic:spPr>
                </pic:pic>
              </a:graphicData>
            </a:graphic>
          </wp:anchor>
        </w:drawing>
      </w:r>
    </w:p>
    <w:p>
      <w:pPr>
        <w:spacing w:after="0" w:line="10" w:lineRule="exact"/>
        <w:rPr>
          <w:sz w:val="20"/>
          <w:szCs w:val="20"/>
          <w:color w:val="auto"/>
        </w:rPr>
      </w:pPr>
    </w:p>
    <w:p>
      <w:pPr>
        <w:ind w:left="518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p>
    <w:tbl>
      <w:tblPr>
        <w:tblLayout w:type="fixed"/>
        <w:tblInd w:w="3320" w:type="dxa"/>
        <w:tblCellMar>
          <w:top w:w="0" w:type="dxa"/>
          <w:left w:w="0" w:type="dxa"/>
          <w:bottom w:w="0" w:type="dxa"/>
          <w:right w:w="0" w:type="dxa"/>
        </w:tblCellMar>
      </w:tblPr>
      <w:tr>
        <w:trPr>
          <w:trHeight w:val="220"/>
        </w:trPr>
        <w:tc>
          <w:tcPr>
            <w:tcW w:w="1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2360" w:type="dxa"/>
            <w:vAlign w:val="bottom"/>
            <w:tcBorders>
              <w:top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34 %</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236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*Less than 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years ended December 31, 2025 and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operational data achieved for the years ended December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Landfill RNG Facility Capacity and Utilization Summary</w:t>
            </w:r>
          </w:p>
        </w:tc>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0"/>
        </w:trPr>
        <w:tc>
          <w:tcPr>
            <w:tcW w:w="18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5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227"/>
        </w:trPr>
        <w:tc>
          <w:tcPr>
            <w:tcW w:w="1860" w:type="dxa"/>
            <w:vAlign w:val="bottom"/>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shd w:val="clear" w:color="auto" w:fill="CCEEFF"/>
          </w:tcPr>
          <w:p>
            <w:pPr>
              <w:spacing w:after="0"/>
              <w:rPr>
                <w:sz w:val="19"/>
                <w:szCs w:val="19"/>
                <w:color w:val="auto"/>
              </w:rPr>
            </w:pPr>
          </w:p>
        </w:tc>
      </w:tr>
      <w:tr>
        <w:trPr>
          <w:trHeight w:val="227"/>
        </w:trPr>
        <w:tc>
          <w:tcPr>
            <w:tcW w:w="1860" w:type="dxa"/>
            <w:vAlign w:val="bottom"/>
          </w:tcPr>
          <w:p>
            <w:pPr>
              <w:spacing w:after="0"/>
              <w:rPr>
                <w:sz w:val="19"/>
                <w:szCs w:val="19"/>
                <w:color w:val="auto"/>
              </w:rPr>
            </w:pPr>
          </w:p>
        </w:tc>
        <w:tc>
          <w:tcPr>
            <w:tcW w:w="5500" w:type="dxa"/>
            <w:vAlign w:val="bottom"/>
            <w:gridSpan w:val="2"/>
          </w:tcPr>
          <w:p>
            <w:pPr>
              <w:ind w:left="50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9"/>
                <w:szCs w:val="19"/>
                <w:color w:val="auto"/>
              </w:rPr>
            </w:pPr>
          </w:p>
        </w:tc>
      </w:tr>
      <w:tr>
        <w:trPr>
          <w:trHeight w:val="220"/>
        </w:trPr>
        <w:tc>
          <w:tcPr>
            <w:tcW w:w="1860" w:type="dxa"/>
            <w:vAlign w:val="bottom"/>
          </w:tcPr>
          <w:p>
            <w:pPr>
              <w:spacing w:after="0"/>
              <w:rPr>
                <w:sz w:val="19"/>
                <w:szCs w:val="19"/>
                <w:color w:val="auto"/>
              </w:rPr>
            </w:pPr>
          </w:p>
        </w:tc>
        <w:tc>
          <w:tcPr>
            <w:tcW w:w="450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Design Capacity (Million MMBtus) </w:t>
            </w:r>
            <w:r>
              <w:rPr>
                <w:rFonts w:ascii="Times New Roman" w:cs="Times New Roman" w:eastAsia="Times New Roman" w:hAnsi="Times New Roman"/>
                <w:sz w:val="23"/>
                <w:szCs w:val="23"/>
                <w:color w:val="auto"/>
                <w:vertAlign w:val="superscript"/>
              </w:rPr>
              <w:t>(1)</w:t>
            </w:r>
          </w:p>
        </w:tc>
        <w:tc>
          <w:tcPr>
            <w:tcW w:w="10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151"/>
              <w:spacing w:after="0"/>
              <w:rPr>
                <w:sz w:val="20"/>
                <w:szCs w:val="20"/>
                <w:color w:val="auto"/>
              </w:rPr>
            </w:pPr>
            <w:r>
              <w:rPr>
                <w:rFonts w:ascii="Times New Roman" w:cs="Times New Roman" w:eastAsia="Times New Roman" w:hAnsi="Times New Roman"/>
                <w:sz w:val="18"/>
                <w:szCs w:val="18"/>
                <w:color w:val="auto"/>
              </w:rPr>
              <w:t>8.6</w:t>
            </w:r>
          </w:p>
        </w:tc>
        <w:tc>
          <w:tcPr>
            <w:tcW w:w="4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r>
      <w:tr>
        <w:trPr>
          <w:trHeight w:val="227"/>
        </w:trPr>
        <w:tc>
          <w:tcPr>
            <w:tcW w:w="1860" w:type="dxa"/>
            <w:vAlign w:val="bottom"/>
          </w:tcPr>
          <w:p>
            <w:pPr>
              <w:spacing w:after="0"/>
              <w:rPr>
                <w:sz w:val="19"/>
                <w:szCs w:val="19"/>
                <w:color w:val="auto"/>
              </w:rPr>
            </w:pPr>
          </w:p>
        </w:tc>
        <w:tc>
          <w:tcPr>
            <w:tcW w:w="55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Volume of Inlet Gas (Million MMBtus) </w:t>
            </w:r>
            <w:r>
              <w:rPr>
                <w:rFonts w:ascii="Times New Roman" w:cs="Times New Roman" w:eastAsia="Times New Roman" w:hAnsi="Times New Roman"/>
                <w:sz w:val="23"/>
                <w:szCs w:val="23"/>
                <w:color w:val="auto"/>
                <w:vertAlign w:val="superscript"/>
              </w:rPr>
              <w:t>(2)</w:t>
            </w:r>
          </w:p>
        </w:tc>
        <w:tc>
          <w:tcPr>
            <w:tcW w:w="1540" w:type="dxa"/>
            <w:vAlign w:val="bottom"/>
          </w:tcPr>
          <w:p>
            <w:pPr>
              <w:jc w:val="right"/>
              <w:ind w:right="1151"/>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r>
      <w:tr>
        <w:trPr>
          <w:trHeight w:val="227"/>
        </w:trPr>
        <w:tc>
          <w:tcPr>
            <w:tcW w:w="1860" w:type="dxa"/>
            <w:vAlign w:val="bottom"/>
          </w:tcPr>
          <w:p>
            <w:pPr>
              <w:spacing w:after="0"/>
              <w:rPr>
                <w:sz w:val="19"/>
                <w:szCs w:val="19"/>
                <w:color w:val="auto"/>
              </w:rPr>
            </w:pPr>
          </w:p>
        </w:tc>
        <w:tc>
          <w:tcPr>
            <w:tcW w:w="550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Inlet Design Capacity Utilization % </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75 %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7"/>
        </w:trPr>
        <w:tc>
          <w:tcPr>
            <w:tcW w:w="1860" w:type="dxa"/>
            <w:vAlign w:val="bottom"/>
          </w:tcPr>
          <w:p>
            <w:pPr>
              <w:spacing w:after="0"/>
              <w:rPr>
                <w:sz w:val="19"/>
                <w:szCs w:val="19"/>
                <w:color w:val="auto"/>
              </w:rPr>
            </w:pPr>
          </w:p>
        </w:tc>
        <w:tc>
          <w:tcPr>
            <w:tcW w:w="55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RNG Fuel volume produced (Million MMBtus) </w:t>
            </w:r>
            <w:r>
              <w:rPr>
                <w:rFonts w:ascii="Times New Roman" w:cs="Times New Roman" w:eastAsia="Times New Roman" w:hAnsi="Times New Roman"/>
                <w:sz w:val="23"/>
                <w:szCs w:val="23"/>
                <w:color w:val="auto"/>
                <w:vertAlign w:val="superscript"/>
              </w:rPr>
              <w:t>(3)</w:t>
            </w:r>
          </w:p>
        </w:tc>
        <w:tc>
          <w:tcPr>
            <w:tcW w:w="1540" w:type="dxa"/>
            <w:vAlign w:val="bottom"/>
          </w:tcPr>
          <w:p>
            <w:pPr>
              <w:jc w:val="right"/>
              <w:ind w:right="1151"/>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r>
      <w:tr>
        <w:trPr>
          <w:trHeight w:val="227"/>
        </w:trPr>
        <w:tc>
          <w:tcPr>
            <w:tcW w:w="1860" w:type="dxa"/>
            <w:vAlign w:val="bottom"/>
          </w:tcPr>
          <w:p>
            <w:pPr>
              <w:spacing w:after="0"/>
              <w:rPr>
                <w:sz w:val="19"/>
                <w:szCs w:val="19"/>
                <w:color w:val="auto"/>
              </w:rPr>
            </w:pPr>
          </w:p>
        </w:tc>
        <w:tc>
          <w:tcPr>
            <w:tcW w:w="550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Utilization of Inlet Gas % </w:t>
            </w:r>
            <w:r>
              <w:rPr>
                <w:rFonts w:ascii="Times New Roman" w:cs="Times New Roman" w:eastAsia="Times New Roman" w:hAnsi="Times New Roman"/>
                <w:sz w:val="23"/>
                <w:szCs w:val="23"/>
                <w:color w:val="auto"/>
                <w:vertAlign w:val="superscript"/>
              </w:rPr>
              <w:t>(4)</w:t>
            </w:r>
          </w:p>
        </w:tc>
        <w:tc>
          <w:tcPr>
            <w:tcW w:w="154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77 %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249" w:lineRule="exact"/>
        <w:rPr>
          <w:sz w:val="20"/>
          <w:szCs w:val="20"/>
          <w:color w:val="auto"/>
        </w:rPr>
      </w:pPr>
    </w:p>
    <w:p>
      <w:pPr>
        <w:jc w:val="both"/>
        <w:ind w:firstLine="7"/>
        <w:spacing w:after="0" w:line="276" w:lineRule="auto"/>
        <w:tabs>
          <w:tab w:leader="none" w:pos="164"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40" w:lineRule="exact"/>
        <w:rPr>
          <w:rFonts w:ascii="Times New Roman" w:cs="Times New Roman" w:eastAsia="Times New Roman" w:hAnsi="Times New Roman"/>
          <w:sz w:val="20"/>
          <w:szCs w:val="20"/>
          <w:color w:val="auto"/>
          <w:vertAlign w:val="superscript"/>
        </w:rPr>
      </w:pPr>
    </w:p>
    <w:p>
      <w:pPr>
        <w:jc w:val="both"/>
        <w:ind w:firstLine="7"/>
        <w:spacing w:after="0" w:line="277" w:lineRule="auto"/>
        <w:tabs>
          <w:tab w:leader="none" w:pos="164"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LFG collection system used to recover the LFG. The Design Capacity for each facility will typically be correlated to the amount of LFG expected to be generated by the landfill during the term of the related gas rights agreement. The Company expects Inlet Design Capacity Utilization to be in the range of 75-85% on an aggregate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61" w:name="page62"/>
    <w:bookmarkEnd w:id="61"/>
    <w:p>
      <w:pPr>
        <w:spacing w:after="0" w:line="277" w:lineRule="auto"/>
        <w:rPr>
          <w:sz w:val="20"/>
          <w:szCs w:val="20"/>
          <w:color w:val="auto"/>
        </w:rPr>
      </w:pPr>
      <w:r>
        <w:rPr>
          <w:rFonts w:ascii="Times New Roman" w:cs="Times New Roman" w:eastAsia="Times New Roman" w:hAnsi="Times New Roman"/>
          <w:sz w:val="18"/>
          <w:szCs w:val="18"/>
          <w:color w:val="auto"/>
        </w:rPr>
        <w:t>basis over the next several years. Typically, newer facilities perform at the lower end of this range and demonstrate increasing utilization as they mature and the biogas resource increases at open landfills. Excludes Sunoma and Biotown.</w:t>
      </w:r>
    </w:p>
    <w:p>
      <w:pPr>
        <w:spacing w:after="0" w:line="103" w:lineRule="exact"/>
        <w:rPr>
          <w:sz w:val="20"/>
          <w:szCs w:val="20"/>
          <w:color w:val="auto"/>
        </w:rPr>
      </w:pPr>
    </w:p>
    <w:p>
      <w:pPr>
        <w:ind w:left="180" w:hanging="173"/>
        <w:spacing w:after="0"/>
        <w:tabs>
          <w:tab w:leader="none" w:pos="1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Sunoma and Biotown</w:t>
      </w:r>
    </w:p>
    <w:p>
      <w:pPr>
        <w:spacing w:after="0" w:line="168" w:lineRule="exact"/>
        <w:rPr>
          <w:rFonts w:ascii="Times New Roman" w:cs="Times New Roman" w:eastAsia="Times New Roman" w:hAnsi="Times New Roman"/>
          <w:sz w:val="22"/>
          <w:szCs w:val="22"/>
          <w:color w:val="auto"/>
          <w:vertAlign w:val="superscript"/>
        </w:rPr>
      </w:pPr>
    </w:p>
    <w:p>
      <w:pPr>
        <w:jc w:val="both"/>
        <w:ind w:firstLine="7"/>
        <w:spacing w:after="0" w:line="233" w:lineRule="auto"/>
        <w:tabs>
          <w:tab w:leader="none" w:pos="21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Utilization of Inlet Gas is measured as RNG Fuel Volume Produced divided by the Volume of Inlet Gas. Utilization of Inlet Gas varies over time depending on availability and efficiency of the facility and the quality of LFG (i.e., concentrations of methane, oxygen, nitrogen, and other gases). The Company generally expects Utilization of Inlet Gas to be in the range of 80% to 90%. Excludes Sunoma and Biotown.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Renewable Power Capacity and Utilization Summary</w:t>
            </w:r>
          </w:p>
        </w:tc>
        <w:tc>
          <w:tcPr>
            <w:tcW w:w="18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0"/>
        </w:trPr>
        <w:tc>
          <w:tcPr>
            <w:tcW w:w="17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040" w:type="dxa"/>
            <w:vAlign w:val="bottom"/>
            <w:gridSpan w:val="2"/>
          </w:tcPr>
          <w:p>
            <w:pPr>
              <w:spacing w:after="0"/>
              <w:rPr>
                <w:sz w:val="17"/>
                <w:szCs w:val="17"/>
                <w:color w:val="auto"/>
              </w:rPr>
            </w:pPr>
          </w:p>
        </w:tc>
      </w:tr>
      <w:tr>
        <w:trPr>
          <w:trHeight w:val="227"/>
        </w:trPr>
        <w:tc>
          <w:tcPr>
            <w:tcW w:w="1700" w:type="dxa"/>
            <w:vAlign w:val="bottom"/>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7"/>
        </w:trPr>
        <w:tc>
          <w:tcPr>
            <w:tcW w:w="1700" w:type="dxa"/>
            <w:vAlign w:val="bottom"/>
          </w:tcPr>
          <w:p>
            <w:pPr>
              <w:spacing w:after="0"/>
              <w:rPr>
                <w:sz w:val="19"/>
                <w:szCs w:val="19"/>
                <w:color w:val="auto"/>
              </w:rPr>
            </w:pPr>
          </w:p>
        </w:tc>
        <w:tc>
          <w:tcPr>
            <w:tcW w:w="48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1700" w:type="dxa"/>
            <w:vAlign w:val="bottom"/>
          </w:tcPr>
          <w:p>
            <w:pPr>
              <w:spacing w:after="0"/>
              <w:rPr>
                <w:sz w:val="19"/>
                <w:szCs w:val="19"/>
                <w:color w:val="auto"/>
              </w:rPr>
            </w:pPr>
          </w:p>
        </w:tc>
        <w:tc>
          <w:tcPr>
            <w:tcW w:w="48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Nameplate Capacity (MW per hour)</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105.8</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105.8</w:t>
            </w:r>
          </w:p>
        </w:tc>
      </w:tr>
      <w:tr>
        <w:trPr>
          <w:trHeight w:val="227"/>
        </w:trPr>
        <w:tc>
          <w:tcPr>
            <w:tcW w:w="1700" w:type="dxa"/>
            <w:vAlign w:val="bottom"/>
          </w:tcPr>
          <w:p>
            <w:pPr>
              <w:spacing w:after="0"/>
              <w:rPr>
                <w:sz w:val="19"/>
                <w:szCs w:val="19"/>
                <w:color w:val="auto"/>
              </w:rPr>
            </w:pPr>
          </w:p>
        </w:tc>
        <w:tc>
          <w:tcPr>
            <w:tcW w:w="48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Nameplate Capacity for the period (Millions MWh) </w:t>
            </w:r>
            <w:r>
              <w:rPr>
                <w:rFonts w:ascii="Times New Roman" w:cs="Times New Roman" w:eastAsia="Times New Roman" w:hAnsi="Times New Roman"/>
                <w:sz w:val="23"/>
                <w:szCs w:val="23"/>
                <w:color w:val="auto"/>
                <w:vertAlign w:val="superscript"/>
              </w:rPr>
              <w:t>(1)</w:t>
            </w:r>
          </w:p>
        </w:tc>
        <w:tc>
          <w:tcPr>
            <w:tcW w:w="18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0.93</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0.93</w:t>
            </w:r>
          </w:p>
        </w:tc>
      </w:tr>
      <w:tr>
        <w:trPr>
          <w:trHeight w:val="227"/>
        </w:trPr>
        <w:tc>
          <w:tcPr>
            <w:tcW w:w="170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 produced ( Millions MWh)</w:t>
            </w:r>
          </w:p>
        </w:tc>
        <w:tc>
          <w:tcPr>
            <w:tcW w:w="18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0.35</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0.36</w:t>
            </w:r>
          </w:p>
        </w:tc>
      </w:tr>
      <w:tr>
        <w:trPr>
          <w:trHeight w:val="309"/>
        </w:trPr>
        <w:tc>
          <w:tcPr>
            <w:tcW w:w="170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Design Capacity Utilization (%) </w:t>
            </w:r>
            <w:r>
              <w:rPr>
                <w:rFonts w:ascii="Times New Roman" w:cs="Times New Roman" w:eastAsia="Times New Roman" w:hAnsi="Times New Roman"/>
                <w:sz w:val="23"/>
                <w:szCs w:val="23"/>
                <w:color w:val="auto"/>
                <w:vertAlign w:val="superscript"/>
              </w:rPr>
              <w:t>(2)</w:t>
            </w:r>
          </w:p>
        </w:tc>
        <w:tc>
          <w:tcPr>
            <w:tcW w:w="1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38 %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67" w:lineRule="exact"/>
        <w:rPr>
          <w:sz w:val="20"/>
          <w:szCs w:val="20"/>
          <w:color w:val="auto"/>
        </w:rPr>
      </w:pPr>
    </w:p>
    <w:p>
      <w:pPr>
        <w:jc w:val="both"/>
        <w:ind w:firstLine="7"/>
        <w:spacing w:after="0" w:line="276" w:lineRule="auto"/>
        <w:tabs>
          <w:tab w:leader="none" w:pos="164"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Nameplate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w:t>
      </w:r>
    </w:p>
    <w:p>
      <w:pPr>
        <w:spacing w:after="0" w:line="140" w:lineRule="exact"/>
        <w:rPr>
          <w:rFonts w:ascii="Times New Roman" w:cs="Times New Roman" w:eastAsia="Times New Roman" w:hAnsi="Times New Roman"/>
          <w:sz w:val="20"/>
          <w:szCs w:val="20"/>
          <w:color w:val="auto"/>
          <w:vertAlign w:val="superscript"/>
        </w:rPr>
      </w:pPr>
    </w:p>
    <w:p>
      <w:pPr>
        <w:jc w:val="both"/>
        <w:ind w:firstLine="7"/>
        <w:spacing w:after="0" w:line="271" w:lineRule="auto"/>
        <w:tabs>
          <w:tab w:leader="none" w:pos="177"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Nameplate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for information on RNG and Renewable Power projects that are currently in operation or under construction within our portfolio.</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00" w:type="dxa"/>
            <w:vAlign w:val="bottom"/>
            <w:gridSpan w:val="3"/>
          </w:tcPr>
          <w:p>
            <w:pPr>
              <w:jc w:val="right"/>
              <w:ind w:right="3991"/>
              <w:spacing w:after="0"/>
              <w:rPr>
                <w:sz w:val="20"/>
                <w:szCs w:val="20"/>
                <w:color w:val="auto"/>
              </w:rPr>
            </w:pPr>
            <w:r>
              <w:rPr>
                <w:rFonts w:ascii="Times New Roman" w:cs="Times New Roman" w:eastAsia="Times New Roman" w:hAnsi="Times New Roman"/>
                <w:sz w:val="18"/>
                <w:szCs w:val="18"/>
                <w:b w:val="1"/>
                <w:bCs w:val="1"/>
                <w:color w:val="auto"/>
                <w:w w:val="98"/>
              </w:rPr>
              <w:t>RNG Fuel Production, Sales, and Delivery</w:t>
            </w: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3"/>
        </w:trPr>
        <w:tc>
          <w:tcPr>
            <w:tcW w:w="19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4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r>
      <w:tr>
        <w:trPr>
          <w:trHeight w:val="227"/>
        </w:trPr>
        <w:tc>
          <w:tcPr>
            <w:tcW w:w="1940" w:type="dxa"/>
            <w:vAlign w:val="bottom"/>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shd w:val="clear" w:color="auto" w:fill="CCEEFF"/>
          </w:tcPr>
          <w:p>
            <w:pPr>
              <w:spacing w:after="0"/>
              <w:rPr>
                <w:sz w:val="19"/>
                <w:szCs w:val="19"/>
                <w:color w:val="auto"/>
              </w:rPr>
            </w:pPr>
          </w:p>
        </w:tc>
      </w:tr>
      <w:tr>
        <w:trPr>
          <w:trHeight w:val="227"/>
        </w:trPr>
        <w:tc>
          <w:tcPr>
            <w:tcW w:w="1940" w:type="dxa"/>
            <w:vAlign w:val="bottom"/>
          </w:tcPr>
          <w:p>
            <w:pPr>
              <w:spacing w:after="0"/>
              <w:rPr>
                <w:sz w:val="19"/>
                <w:szCs w:val="19"/>
                <w:color w:val="auto"/>
              </w:rPr>
            </w:pPr>
          </w:p>
        </w:tc>
        <w:tc>
          <w:tcPr>
            <w:tcW w:w="5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9"/>
                <w:szCs w:val="19"/>
                <w:color w:val="auto"/>
              </w:rPr>
            </w:pPr>
          </w:p>
        </w:tc>
      </w:tr>
      <w:tr>
        <w:trPr>
          <w:trHeight w:val="220"/>
        </w:trPr>
        <w:tc>
          <w:tcPr>
            <w:tcW w:w="1940" w:type="dxa"/>
            <w:vAlign w:val="bottom"/>
          </w:tcPr>
          <w:p>
            <w:pPr>
              <w:spacing w:after="0"/>
              <w:rPr>
                <w:sz w:val="19"/>
                <w:szCs w:val="19"/>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9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7"/>
        </w:trPr>
        <w:tc>
          <w:tcPr>
            <w:tcW w:w="194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RNG Fuel volume sold (Million GGEs)</w:t>
            </w:r>
          </w:p>
        </w:tc>
        <w:tc>
          <w:tcPr>
            <w:tcW w:w="154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rPr>
              <w:t>81.0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7"/>
        </w:trPr>
        <w:tc>
          <w:tcPr>
            <w:tcW w:w="1940" w:type="dxa"/>
            <w:vAlign w:val="bottom"/>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volume delivered (Million GGEs)</w:t>
            </w:r>
          </w:p>
        </w:tc>
        <w:tc>
          <w:tcPr>
            <w:tcW w:w="154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rPr>
              <w:t>161.9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150.2</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presents the period-over-period change for each line item in the Company's consolidated statements of operations for the years ended December 31, 2025 and 2024.</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8"/>
        </w:trPr>
        <w:tc>
          <w:tcPr>
            <w:tcW w:w="3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960" w:type="dxa"/>
            <w:vAlign w:val="bottom"/>
            <w:gridSpan w:val="3"/>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2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4"/>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RNG fuel</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101,656</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88,420</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13,236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60"/>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Fuel Station Services</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214,551</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166,875</w:t>
            </w: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47,676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7"/>
        </w:trPr>
        <w:tc>
          <w:tcPr>
            <w:tcW w:w="3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Renewable Power</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44,677</w:t>
            </w: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(11,909)</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4"/>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348,975</w:t>
            </w: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299,972</w:t>
            </w:r>
          </w:p>
        </w:tc>
        <w:tc>
          <w:tcPr>
            <w:tcW w:w="3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49,003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 - RNG fuel</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49,282</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10,730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7"/>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166,778</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128,804</w:t>
            </w:r>
          </w:p>
        </w:tc>
        <w:tc>
          <w:tcPr>
            <w:tcW w:w="360" w:type="dxa"/>
            <w:vAlign w:val="bottom"/>
          </w:tcPr>
          <w:p>
            <w:pPr>
              <w:spacing w:after="0"/>
              <w:rPr>
                <w:sz w:val="21"/>
                <w:szCs w:val="21"/>
                <w:color w:val="auto"/>
              </w:rPr>
            </w:pPr>
          </w:p>
        </w:tc>
        <w:tc>
          <w:tcPr>
            <w:tcW w:w="16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37,974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60"/>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32,495</w:t>
            </w: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(5,761)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7"/>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Project development and start up costs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360" w:type="dxa"/>
            <w:vAlign w:val="bottom"/>
          </w:tcPr>
          <w:p>
            <w:pPr>
              <w:spacing w:after="0"/>
              <w:rPr>
                <w:sz w:val="21"/>
                <w:szCs w:val="21"/>
                <w:color w:val="auto"/>
              </w:rPr>
            </w:pPr>
          </w:p>
        </w:tc>
        <w:tc>
          <w:tcPr>
            <w:tcW w:w="16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(4,167)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0"/>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63,982</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53,124</w:t>
            </w: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10,858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7"/>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360" w:type="dxa"/>
            <w:vAlign w:val="bottom"/>
          </w:tcPr>
          <w:p>
            <w:pPr>
              <w:spacing w:after="0"/>
              <w:rPr>
                <w:sz w:val="21"/>
                <w:szCs w:val="21"/>
                <w:color w:val="auto"/>
              </w:rPr>
            </w:pPr>
          </w:p>
        </w:tc>
        <w:tc>
          <w:tcPr>
            <w:tcW w:w="16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4,585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60"/>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loss</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(2,016)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3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10,608</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47"/>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341,561</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278,750</w:t>
            </w:r>
          </w:p>
        </w:tc>
        <w:tc>
          <w:tcPr>
            <w:tcW w:w="3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62,811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7"/>
        </w:trPr>
        <w:tc>
          <w:tcPr>
            <w:tcW w:w="3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21,222</w:t>
            </w: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(13,808)</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(27,521)</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360" w:type="dxa"/>
            <w:vAlign w:val="bottom"/>
          </w:tcPr>
          <w:p>
            <w:pPr>
              <w:spacing w:after="0"/>
              <w:rPr>
                <w:sz w:val="21"/>
                <w:szCs w:val="21"/>
                <w:color w:val="auto"/>
              </w:rPr>
            </w:pPr>
          </w:p>
        </w:tc>
        <w:tc>
          <w:tcPr>
            <w:tcW w:w="16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(5,990)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0"/>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(674)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7"/>
        </w:trPr>
        <w:tc>
          <w:tcPr>
            <w:tcW w:w="3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(1,282)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7"/>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income before income tax benefit</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3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(21,754)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7"/>
        </w:trPr>
        <w:tc>
          <w:tcPr>
            <w:tcW w:w="3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52,746</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43,840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254"/>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36,411</w:t>
            </w: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3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22,086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189"/>
        </w:trPr>
        <w:tc>
          <w:tcPr>
            <w:tcW w:w="378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Net income attributable to redeemable non-</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controlling interest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21,329</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360" w:type="dxa"/>
            <w:vAlign w:val="bottom"/>
          </w:tcPr>
          <w:p>
            <w:pPr>
              <w:spacing w:after="0"/>
              <w:rPr>
                <w:sz w:val="20"/>
                <w:szCs w:val="20"/>
                <w:color w:val="auto"/>
              </w:rPr>
            </w:pPr>
          </w:p>
        </w:tc>
        <w:tc>
          <w:tcPr>
            <w:tcW w:w="16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18,478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215"/>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non-redeemable non-</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controlling interest</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(113)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on redeemable preferred non-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controlling interests</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Net income attributable to Class A common</w:t>
            </w:r>
          </w:p>
        </w:tc>
        <w:tc>
          <w:tcPr>
            <w:tcW w:w="40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40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6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3,722</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0" w:type="dxa"/>
            <w:vAlign w:val="bottom"/>
          </w:tcPr>
          <w:p>
            <w:pPr>
              <w:spacing w:after="0"/>
              <w:rPr>
                <w:sz w:val="1"/>
                <w:szCs w:val="1"/>
                <w:color w:val="auto"/>
              </w:rPr>
            </w:pPr>
          </w:p>
        </w:tc>
      </w:tr>
      <w:tr>
        <w:trPr>
          <w:trHeight w:val="239"/>
        </w:trPr>
        <w:tc>
          <w:tcPr>
            <w:tcW w:w="37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660"/>
          </w:cols>
          <w:pgMar w:left="320" w:top="968" w:right="9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25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206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r>
      <w:tr>
        <w:trPr>
          <w:trHeight w:val="247"/>
        </w:trPr>
        <w:tc>
          <w:tcPr>
            <w:tcW w:w="426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7"/>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Brown gas sales</w:t>
            </w:r>
          </w:p>
        </w:tc>
        <w:tc>
          <w:tcPr>
            <w:tcW w:w="1280" w:type="dxa"/>
            <w:vAlign w:val="bottom"/>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r>
      <w:tr>
        <w:trPr>
          <w:trHeight w:val="22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attributes</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86,315</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82,317</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r>
      <w:tr>
        <w:trPr>
          <w:trHeight w:val="227"/>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RNG Fuel</w:t>
            </w:r>
          </w:p>
        </w:tc>
        <w:tc>
          <w:tcPr>
            <w:tcW w:w="1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101,656</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88,420</w:t>
            </w:r>
          </w:p>
        </w:tc>
        <w:tc>
          <w:tcPr>
            <w:tcW w:w="4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Fuel Station Services</w:t>
            </w: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OPAL owned stations</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r>
      <w:tr>
        <w:trPr>
          <w:trHeight w:val="227"/>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attributes</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51,305</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41,726</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27"/>
        </w:trPr>
        <w:tc>
          <w:tcPr>
            <w:tcW w:w="4260" w:type="dxa"/>
            <w:vAlign w:val="bottom"/>
            <w:shd w:val="clear" w:color="auto" w:fill="CCEEFF"/>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RNG marketing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43,947</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34,593</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r>
      <w:tr>
        <w:trPr>
          <w:trHeight w:val="227"/>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Third party station service and maintenance</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2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49,040</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39,767</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r>
      <w:tr>
        <w:trPr>
          <w:trHeight w:val="227"/>
        </w:trPr>
        <w:tc>
          <w:tcPr>
            <w:tcW w:w="4260" w:type="dxa"/>
            <w:vAlign w:val="bottom"/>
            <w:tcBorders>
              <w:bottom w:val="single" w:sz="8" w:color="CCEEFF"/>
            </w:tcBorders>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Lease revenues </w:t>
            </w:r>
            <w:r>
              <w:rPr>
                <w:rFonts w:ascii="Times New Roman" w:cs="Times New Roman" w:eastAsia="Times New Roman" w:hAnsi="Times New Roman"/>
                <w:sz w:val="23"/>
                <w:szCs w:val="23"/>
                <w:color w:val="auto"/>
                <w:vertAlign w:val="superscript"/>
              </w:rPr>
              <w:t>(2)</w:t>
            </w: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13,180</w:t>
            </w:r>
          </w:p>
        </w:tc>
      </w:tr>
      <w:tr>
        <w:trPr>
          <w:trHeight w:val="22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Fuel Station Services</w:t>
            </w:r>
          </w:p>
        </w:tc>
        <w:tc>
          <w:tcPr>
            <w:tcW w:w="1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214,551</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166,875</w:t>
            </w:r>
          </w:p>
        </w:tc>
        <w:tc>
          <w:tcPr>
            <w:tcW w:w="4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47,676</w:t>
            </w: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 Power</w:t>
            </w: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Electricity sales</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7"/>
        </w:trPr>
        <w:tc>
          <w:tcPr>
            <w:tcW w:w="4260" w:type="dxa"/>
            <w:vAlign w:val="bottom"/>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3"/>
                <w:szCs w:val="23"/>
                <w:color w:val="auto"/>
                <w:vertAlign w:val="superscript"/>
              </w:rPr>
              <w:t>(3)</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(11,017)</w:t>
            </w:r>
          </w:p>
        </w:tc>
      </w:tr>
      <w:tr>
        <w:trPr>
          <w:trHeight w:val="22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Capacity</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7"/>
        </w:trPr>
        <w:tc>
          <w:tcPr>
            <w:tcW w:w="4260" w:type="dxa"/>
            <w:vAlign w:val="bottom"/>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Lease revenues </w:t>
            </w:r>
            <w:r>
              <w:rPr>
                <w:rFonts w:ascii="Times New Roman" w:cs="Times New Roman" w:eastAsia="Times New Roman" w:hAnsi="Times New Roman"/>
                <w:sz w:val="23"/>
                <w:szCs w:val="23"/>
                <w:color w:val="auto"/>
                <w:vertAlign w:val="superscript"/>
              </w:rPr>
              <w:t>(4)</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7"/>
        </w:trPr>
        <w:tc>
          <w:tcPr>
            <w:tcW w:w="4260" w:type="dxa"/>
            <w:vAlign w:val="bottom"/>
            <w:shd w:val="clear" w:color="auto" w:fill="CCEEFF"/>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1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Renewable Power</w:t>
            </w: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44,677</w:t>
            </w: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(11,909)</w:t>
            </w:r>
          </w:p>
        </w:tc>
      </w:tr>
      <w:tr>
        <w:trPr>
          <w:trHeight w:val="247"/>
        </w:trPr>
        <w:tc>
          <w:tcPr>
            <w:tcW w:w="426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80" w:type="dxa"/>
            <w:vAlign w:val="bottom"/>
            <w:tcBorders>
              <w:bottom w:val="single" w:sz="8" w:color="auto"/>
            </w:tcBorders>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348,975</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299,972</w:t>
            </w: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49,003</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4"/>
        </w:trPr>
        <w:tc>
          <w:tcPr>
            <w:tcW w:w="4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7"/>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280" w:type="dxa"/>
            <w:vAlign w:val="bottom"/>
            <w:tcBorders>
              <w:bottom w:val="single" w:sz="8" w:color="auto"/>
            </w:tcBorders>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326,717</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290,856</w:t>
            </w: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35,861</w:t>
            </w:r>
          </w:p>
        </w:tc>
      </w:tr>
      <w:tr>
        <w:trPr>
          <w:trHeight w:val="22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lease arrangements</w:t>
            </w:r>
          </w:p>
        </w:tc>
        <w:tc>
          <w:tcPr>
            <w:tcW w:w="1280" w:type="dxa"/>
            <w:vAlign w:val="bottom"/>
            <w:tcBorders>
              <w:bottom w:val="single" w:sz="8" w:color="auto"/>
            </w:tcBorders>
            <w:shd w:val="clear" w:color="auto" w:fill="CCEEFF"/>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22,258</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r>
    </w:tbl>
    <w:p>
      <w:pPr>
        <w:spacing w:after="0" w:line="249" w:lineRule="exact"/>
        <w:rPr>
          <w:sz w:val="20"/>
          <w:szCs w:val="20"/>
          <w:color w:val="auto"/>
        </w:rPr>
      </w:pPr>
    </w:p>
    <w:p>
      <w:pPr>
        <w:ind w:firstLine="7"/>
        <w:spacing w:after="0"/>
        <w:tabs>
          <w:tab w:leader="none" w:pos="164"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Revenues from RNG marketing in the Fuel Station Services segment relate to revenues earned from Environmental Attribute generation and monetization services.</w:t>
      </w:r>
    </w:p>
    <w:p>
      <w:pPr>
        <w:spacing w:after="0" w:line="384" w:lineRule="exact"/>
        <w:rPr>
          <w:rFonts w:ascii="Times New Roman" w:cs="Times New Roman" w:eastAsia="Times New Roman" w:hAnsi="Times New Roman"/>
          <w:sz w:val="20"/>
          <w:szCs w:val="20"/>
          <w:color w:val="auto"/>
          <w:vertAlign w:val="superscript"/>
        </w:rPr>
      </w:pPr>
    </w:p>
    <w:p>
      <w:pPr>
        <w:jc w:val="both"/>
        <w:ind w:firstLine="7"/>
        <w:spacing w:after="0" w:line="276" w:lineRule="auto"/>
        <w:tabs>
          <w:tab w:leader="none" w:pos="164"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Fuel Station Services lease revenue relates to revenue from fuel purchasing agreements where we determined that we transferred the right to control the use of the station to the purchaser. Includes sales-type lease revenues of $7,734 and $— respectively, for the years ended December 31, 2025 and 2024, from customers domiciled outside of United States. All remaining lease revenue relates to operating leases.</w:t>
      </w:r>
    </w:p>
    <w:p>
      <w:pPr>
        <w:spacing w:after="0" w:line="106" w:lineRule="exact"/>
        <w:rPr>
          <w:rFonts w:ascii="Times New Roman" w:cs="Times New Roman" w:eastAsia="Times New Roman" w:hAnsi="Times New Roman"/>
          <w:sz w:val="20"/>
          <w:szCs w:val="20"/>
          <w:color w:val="auto"/>
          <w:vertAlign w:val="superscript"/>
        </w:rPr>
      </w:pPr>
    </w:p>
    <w:p>
      <w:pPr>
        <w:ind w:left="180" w:hanging="173"/>
        <w:spacing w:after="0"/>
        <w:tabs>
          <w:tab w:leader="none" w:pos="18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of $— and $16,286 respectively, for the years ended December 31, 2025 and 2024, from customers domiciled outside of United States.</w:t>
      </w:r>
    </w:p>
    <w:p>
      <w:pPr>
        <w:spacing w:after="0" w:line="154" w:lineRule="exact"/>
        <w:rPr>
          <w:rFonts w:ascii="Times New Roman" w:cs="Times New Roman" w:eastAsia="Times New Roman" w:hAnsi="Times New Roman"/>
          <w:sz w:val="22"/>
          <w:szCs w:val="22"/>
          <w:color w:val="auto"/>
          <w:vertAlign w:val="superscript"/>
        </w:rPr>
      </w:pPr>
    </w:p>
    <w:p>
      <w:pPr>
        <w:ind w:right="20" w:firstLine="7"/>
        <w:spacing w:after="0" w:line="282" w:lineRule="auto"/>
        <w:tabs>
          <w:tab w:leader="none" w:pos="164"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Renewable Power operating lease revenue relates to revenue from power purchase agreements where we determined that we transferred the right to control the use of the power plant to the purchaser.</w:t>
      </w:r>
    </w:p>
    <w:p>
      <w:pPr>
        <w:spacing w:after="0" w:line="107" w:lineRule="exact"/>
        <w:rPr>
          <w:rFonts w:ascii="Times New Roman" w:cs="Times New Roman" w:eastAsia="Times New Roman" w:hAnsi="Times New Roman"/>
          <w:sz w:val="20"/>
          <w:szCs w:val="20"/>
          <w:color w:val="auto"/>
          <w:vertAlign w:val="superscript"/>
        </w:rPr>
      </w:pPr>
    </w:p>
    <w:p>
      <w:pPr>
        <w:ind w:left="180" w:hanging="173"/>
        <w:spacing w:after="0"/>
        <w:tabs>
          <w:tab w:leader="none" w:pos="18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management fee revenues earned from management of operations of equity method entities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Fuel</w:t>
      </w:r>
    </w:p>
    <w:p>
      <w:pPr>
        <w:spacing w:after="0" w:line="16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Revenue from RNG Fuel increased by $13.2 million or 15%, for the year ended December 31, 2025 compared to the year ended December 31, 2024. This increase was primarily related to a $8.9 million increase in brown gas sales due to</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64" w:name="page65"/>
    <w:bookmarkEnd w:id="64"/>
    <w:p>
      <w:pPr>
        <w:ind w:right="140"/>
        <w:spacing w:after="0" w:line="242" w:lineRule="auto"/>
        <w:rPr>
          <w:sz w:val="20"/>
          <w:szCs w:val="20"/>
          <w:color w:val="auto"/>
        </w:rPr>
      </w:pPr>
      <w:r>
        <w:rPr>
          <w:rFonts w:ascii="Times New Roman" w:cs="Times New Roman" w:eastAsia="Times New Roman" w:hAnsi="Times New Roman"/>
          <w:sz w:val="18"/>
          <w:szCs w:val="18"/>
          <w:color w:val="auto"/>
        </w:rPr>
        <w:t>$3.5 million increase in price and a $2.9 million increase in volume, as well as $2.5 million driven by commencement of operations at new facilities and a $4.0 million increase in the sale of environmental attributes. The increase in environmental attributes was primarily related to a $5.0 million increase due to timing of green gas sales, a $15.2 million increase from the new facilities (Prince William and Polk), a $1.4 million increase in RIN volume, and a $17.7 million decrease due to RIN price reduction.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Station 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Fuel Station Services increased by $47.7 million or 29%, for the year ended December 31, 2025 compared to the year ended December 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This is primarily related to the following:</w:t>
      </w:r>
    </w:p>
    <w:p>
      <w:pPr>
        <w:spacing w:after="0" w:line="161"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Environmental attributes and RNG marketing revenue increased primarily due to increase in RIN sales driven by $23.1 million higher RIN volumes, partially offset by $12.7 million lower RIN prices, and $8.6 million increase in LCFS sales due to higher dispensing volumes. OPAL owned stations revenue increased by $3.3 million primarily due to higher GGE volumes. Third party station service and maintenance increased by $3.0 million driven by higher service volumes resulting from increased GGE volume of $3.9 million partially offset by $1.1 million in lower service rates. Construction revenue increased by $9.3 million mainly due to project construction timing. Lease revenues increased by $13.2 million as a result of 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type lease revenue recognition increase of $7.7 million and higher GGE volumes of $5.5 million associated with operating leases.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Revenue from Renewable Power decreased by $11.9 million or 27%, for the year ended December 31, 2025 compared to the year ended December 31, 2024. This is primarily related to a $16.3 million decrease from the termination of an ISCC Carbon Credit contract in the fourth quarter of 2024, related to the Pioneer, Old Dominion, and West Covina facilities, partially offset by increased Renewable Thermal Certificates ("RTC") sales.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Fuel</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Cost of sales from RNG Fuel increased by $10.7 million or 28%, for the year ended December 31, 2025 compared to the year ended December 31, 2024. This increase is primarily related to $7.0 million increase from Polk, which commenced operations in the fourth quarter of 2024, $2.3 million increase from Imperial due to higher natural gas, utilities and maintenance expenses and $0.3 million increase from other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Station Services</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Cost of sales from Fuel Station Services increased by $38.0 million or 29%, for the year ended December 31, 2025 compared to the year ended December 31, 2024. This is primarily related to a $17.4 million increase in dispensing fees, a $6.9 million increase due to recognition of sales-type lease a $5.8 million increase in FPA tolling expense, and a $7.5 million increase in construction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Cost of sales from Renewable Power decreased by $5.8 million or 18%, for the year ended December 31, 2025 compared to the year ended December 31, 2024. This is primarily related to a $3.7 million decrease in royalties related to corresponding decrease in ISCC Carbon Credit revenues, and a $2.1 million decrease primarily driven by the timing of major maintenance and non-labor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development and start up costs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Project development and start up costs decreased by $4.2 million or 22%, for the year ended December 31, 2025 compared to the year ended December 31, 2024. This is primarily related to decrease of $3.0 million in virtual pipeline costs related to Prince William and Polk facilities and $0.6 million of development costs of Central Valley.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increased $10.9 million or 20% for the year ended December 31, 2025 compared to the year ended December 31, 2024. This is primarily related to an increase in professional fees of $1.9 million, IT and legal expenses of $4.1 million, stock compensation of $1.1 million and bad debt expense of $2.5 million .</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accretion</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Depreciation, amortization, and accretion expense increased by a total of $4.6 million, or 26%, for the year ended December 31, 2025 compared to the year ended December 31, 2024. This is primarily related to depreciation expense on Prince William and Polk, which became operational in the second and fourth quarter of 2024, respectively, as well as additional depreciation expense on fuel stations.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Impairment loss decreased by a total of $2.0 million or 100%, for the year ended December 31, 2025 compared to the year ended December 31, 2024. This change was primarily due to the impairment of a Renewable Energy facility in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equity method investments</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Net income attributable to equity method investments decreased by $10.6 million or 80%, for the year ended December 31, 2025 compared to the year ended December 31, 2024. This is primarily related to a decrease in the realized price of RINs sold on operating facilities.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financing expense</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Interest and financing expenses, net increased by $6.0 million or 28%, for the year ended December 31, 2025 compared to the year ended December 31, 2024. This is primarily related to an increase in the drawn balance of the OPAL Term Loan.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Interest income decreased by $0.7 million or 35%, for the year ended December 31, 2025 compared to the year ended December 31, 2024 primarily due to lower interest earned on money market accounts and the note receivable.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Other income decreased by $1.3 million or 34%, for the year ended December 31, 2025 compared to the year ended December 31, 2024. This is primarily related to a lower gain associated with the mark-to-market adjustments to the earnout liabilities in the current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Income tax benefit increased by $43.8 million or 492% for the year ended December 31, 2025 compared to the year ended December 31, 2024. This is primarily related to receipt of net proceeds from sale of ITCs for Prince William, Sapphire and Polk as well as recognition of PTCs and Atlantic ITCs.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redeemable non-controlling interests</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Net income attributable to redeemable non-controlling interests increased by $18.5 million or 648% for the year ended December 31, 2025 compared to the year ended December 31, 2024. The increase is primarily attributable to higher net income in the current period compared to the same prior-year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non-redeemable non-controlling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non-redeemable non-controlling interests remained flat for the years ended December 31, 2025 and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redeemable preferred non-controlling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on redeemable preferred non-controlling interests remained flat for the years ended December 31, 2025 and 2024.</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66" w:name="page67"/>
    <w:bookmarkEnd w:id="66"/>
    <w:p>
      <w:pPr>
        <w:spacing w:after="0" w:line="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6, 2026, OPAL Fuels LLC entered into a subscription agreement with Preferred Fuels LLC, (“Preferred Fuels”), an affiliate of Fortistar, pursuant to which Preferred Fuels committed to purchase up to $180.0 million of Series A preferred units in multiple closings. At the initial closing on March 6, 2026, the investor purchased 1.2 million preferred units for aggregate proceeds of $120.0 million. OPAL Fuels may, in its sole discretion, require the investor to fund up to an additional $60.0 million within one year of the initial closing, subject to the terms of the subscription agreement.</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Series A preferred units are entitled to preferred quarterly distributions at a rate of 12% per annum, compounding quarterly, and rank senior to all other classes of equity interests of OPAL Fuels LLC, except for certain existing preferred units to which they are pari passu. In connection with the initial closing, the Company also issued a warrant to the investor to purchase up to 3.0 million shares of the Company’s Class A common stock, subject to vesting, forfeiture, and other terms and conditions.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fourth quarter of 2025, Nextera provided notice of its right to require redemption of all outstanding Series A preferred units. The redemption period, originally scheduled to expire on March 3, 2026, was extended through March 31, 2026. On March 6, 2026, OPAL Fuels LLC redeemed all such preferred units for an aggregate redemption price of $100.0 million, funded with proceeds from the initial preferred unit issuance described above.</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subsequent to December 31, 2025, the Company drew approximately $128.4 million under its term loan facility pursuant to its existing credit agreement. A portion of the proceeds from the borrowing was used to repay approximately $20.0 million outstanding under the revolving loan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As of December 31, 2025, our liquidity was $168.2 million consisting of $128.4 million of unused capacity under our $450 million senior secured credit facility, $15.4 million of unused capacity under the associated revolver, and $24.4 million of cash, cash equivalents. Refer to </w:t>
      </w:r>
      <w:r>
        <w:rPr>
          <w:rFonts w:ascii="Times New Roman" w:cs="Times New Roman" w:eastAsia="Times New Roman" w:hAnsi="Times New Roman"/>
          <w:sz w:val="18"/>
          <w:szCs w:val="18"/>
          <w:i w:val="1"/>
          <w:iCs w:val="1"/>
          <w:color w:val="auto"/>
        </w:rPr>
        <w:t>Note 6. Loans</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We intend to make payments under our various debt instruments when due and pursue opportunities for earlier repayment and/or refinancing if and when these opportunities arise. In the fourth quarter of 2025, NextEra exercised its redemption option to redeem the preferred units. Refer to </w:t>
      </w:r>
      <w:r>
        <w:rPr>
          <w:rFonts w:ascii="Times New Roman" w:cs="Times New Roman" w:eastAsia="Times New Roman" w:hAnsi="Times New Roman"/>
          <w:sz w:val="18"/>
          <w:szCs w:val="18"/>
          <w:i w:val="1"/>
          <w:iCs w:val="1"/>
          <w:color w:val="auto"/>
        </w:rPr>
        <w:t>Note 11. 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Non-controlling Interest, Redeemable Preferred Non-controlling Interest and Stockholders' Deficit </w:t>
      </w:r>
      <w:r>
        <w:rPr>
          <w:rFonts w:ascii="Times New Roman" w:cs="Times New Roman" w:eastAsia="Times New Roman" w:hAnsi="Times New Roman"/>
          <w:sz w:val="18"/>
          <w:szCs w:val="18"/>
          <w:color w:val="auto"/>
        </w:rPr>
        <w:t>for additional details.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Term Loan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persons from time to time party thereto (as amended, restated, amended and restated, supplemented or otherwise modified and in effect from time to time).</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connection with the Credit Agreement Amendment, the Borrower paid the Administrative Agent, for the account of each lender, a one-time nonrefundable fee of $1.25 million.</w:t>
      </w:r>
    </w:p>
    <w:p>
      <w:pPr>
        <w:spacing w:after="0" w:line="1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December 31, 2025 and 2024, the outstanding loan balance (current and non-current) excluding deferred financing costs was $341.6 million and $286.6 million, respectively.</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 As of December 31, 2025, the Company is in compliance with the financial covenants under the OPAL Term Loan.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Sunoma Loan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27, 2020, Sunoma, an indirect wholly-owned subsidiary of the Company entered into a debt agreement with Live Oak Banking Company for an aggregate principal amount of $20 million. Sunoma paid $0.6 million in financing fees. The amounts outstanding under the Sunoma Loan are secured by the assets of Sunoma. On July 19, 2022, Sunoma completed the conversion of the construction loan into a permanent loan and increased the commitment from $20 to $23 million. The maturity date is July 19, 2033. The outstanding loans under the Sunoma Loan Agreement bear interest at annual fixed rates of 7.8%, and 8.2% per annum during the term.</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December 31, 2025, Sunoma is in compliance with the financial covenants under the Sunoma Loan Agreement.</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December 31, 2025 and 2024, the outstanding loan balance (current and non-current) excluding deferred financing costs was $19.1 million and $20.8 million, respectively.</w:t>
      </w:r>
    </w:p>
    <w:p>
      <w:pPr>
        <w:spacing w:after="0" w:line="1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significant assets of Sunoma, as well as those of other consolidated variable VIEs, are presented in a separate table below the consolidated balance sheets as of December 31, 2025 and 2024. See </w:t>
      </w:r>
      <w:r>
        <w:rPr>
          <w:rFonts w:ascii="Times New Roman" w:cs="Times New Roman" w:eastAsia="Times New Roman" w:hAnsi="Times New Roman"/>
          <w:sz w:val="18"/>
          <w:szCs w:val="18"/>
          <w:i w:val="1"/>
          <w:iCs w:val="1"/>
          <w:color w:val="auto"/>
        </w:rPr>
        <w:t>Note 3. Investments in other entities and Variable Interest Entities</w:t>
      </w:r>
      <w:r>
        <w:rPr>
          <w:rFonts w:ascii="Times New Roman" w:cs="Times New Roman" w:eastAsia="Times New Roman" w:hAnsi="Times New Roman"/>
          <w:sz w:val="18"/>
          <w:szCs w:val="18"/>
          <w:color w:val="auto"/>
        </w:rPr>
        <w:t xml:space="preserve"> for additional information.</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December 31, 2025 and 2024, the Company was required to maintain standby letters of credit totaling $15,504 and $15,120,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Series A Preferred Units of OPAL Fuels LLC</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NextEra subscribed for an aggregate of $100,000,000 of Series A preferred units issued by OPAL Fuels LLC, a consolidated subsidiary of OPAL Fuels, Inc. The Series A preferred units have limited rights to prevent OPAL Fuels LLC from taking certain actions including (i) major issuances of new debt or equity (ii) executing transactions with affiliates which are not on an arm's-length basis (iii) 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8" w:name="page69"/>
    <w:bookmarkEnd w:id="68"/>
    <w:p>
      <w:pPr>
        <w:jc w:val="both"/>
        <w:spacing w:after="0" w:line="277" w:lineRule="auto"/>
        <w:rPr>
          <w:sz w:val="20"/>
          <w:szCs w:val="20"/>
          <w:color w:val="auto"/>
        </w:rPr>
      </w:pPr>
      <w:r>
        <w:rPr>
          <w:rFonts w:ascii="Times New Roman" w:cs="Times New Roman" w:eastAsia="Times New Roman" w:hAnsi="Times New Roman"/>
          <w:sz w:val="18"/>
          <w:szCs w:val="18"/>
          <w:color w:val="auto"/>
        </w:rPr>
        <w:t>to issue additional Series A preferred units (paid-in-kind) in lieu of cash for the first eight dividend payment dates. As of December 31, 2025 and 2024, there was accrued preferred dividend payable of $0 and $2.0 million, respectively.</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w:t>
      </w:r>
    </w:p>
    <w:p>
      <w:pPr>
        <w:jc w:val="both"/>
        <w:ind w:firstLine="7"/>
        <w:spacing w:after="0" w:line="249" w:lineRule="auto"/>
        <w:tabs>
          <w:tab w:leader="none" w:pos="2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OPAL Fuel Inc.’s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Subsequent to December 31, 2025, the Company completed a $120.0 million preferred equity issuance and drew approximately $128.4 million under its term loan facility, which was used to redeem $100.0 million of outstanding preferred units and repay a portion of the revolving loan facility.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for additional details regarding these transactions.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87"/>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cash flows for the years ended December 31, 2025 and 2024: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7"/>
        </w:trPr>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40" w:type="dxa"/>
            <w:vAlign w:val="bottom"/>
          </w:tcPr>
          <w:p>
            <w:pPr>
              <w:spacing w:after="0"/>
              <w:rPr>
                <w:sz w:val="24"/>
                <w:szCs w:val="24"/>
                <w:color w:val="auto"/>
              </w:rPr>
            </w:pPr>
          </w:p>
        </w:tc>
      </w:tr>
      <w:tr>
        <w:trPr>
          <w:trHeight w:val="237"/>
        </w:trPr>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0"/>
                <w:szCs w:val="20"/>
                <w:color w:val="auto"/>
              </w:rPr>
            </w:pPr>
          </w:p>
        </w:tc>
      </w:tr>
      <w:tr>
        <w:trPr>
          <w:trHeight w:val="25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2"/>
                <w:szCs w:val="22"/>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5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36,498</w:t>
            </w: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31,385</w:t>
            </w:r>
          </w:p>
        </w:tc>
      </w:tr>
      <w:tr>
        <w:trPr>
          <w:trHeight w:val="24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(77,320)</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(134,551)</w:t>
            </w:r>
          </w:p>
        </w:tc>
      </w:tr>
      <w:tr>
        <w:trPr>
          <w:trHeight w:val="25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41,560</w:t>
            </w: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83,504</w:t>
            </w:r>
          </w:p>
        </w:tc>
      </w:tr>
      <w:tr>
        <w:trPr>
          <w:trHeight w:val="25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restricted cash, and cash equivalents</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5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(19,662)</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2025 was $36.5 million, an increase of $5.1 million compared to net cash provided by operating activities of $31.4 million for the year ended December 31, 2024.</w:t>
      </w:r>
    </w:p>
    <w:p>
      <w:pPr>
        <w:spacing w:after="0" w:line="1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increase was primarily attributable to higher net income driven by increased revenues, lower income from equity method investments, and higher non-cash items. These were partially offset by unfavorable changes in working capital and a decrease in distributions from equity method investments.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$77.3 million, a decrease of $57.2 million compared to the $134.6 million used in investing activities for the year ended December 31, 2024.</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was primarily driven by a decrease in payments made for the construction of various RNG generation and dispensing facilities in 2025 compared to 2024, an increase in distributions received from equity method investments, higher proceeds from the disposal of property, plant and equipment as well as an increase in cash received from the settlement of notes receivable. This increase was partially offset by higher contributions made to equity method investments and lower proceeds from sale of short-term investments.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$41.6 million, a decrease of $41.9 million compared to the $83.5 million provided by financing activities for the year ended December 31, 2024.</w:t>
      </w:r>
    </w:p>
    <w:p>
      <w:pPr>
        <w:spacing w:after="0" w:line="83"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color w:val="auto"/>
        </w:rPr>
        <w:t>This was primarily driven by a decrease in proceeds from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loans and an increase in repayments, partially offset by lower preferred dividend payments.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other cash commitments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December 31, 2025, we currently anticipate spending of approximately $154.0 million in capital expenditures for the next 12 months for RNG projects, fuel stations and our share of contributions in our equity method investment projects. This includes projects which have not been fully committed.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 w:cs="Times New Roman" w:eastAsia="Times New Roman" w:hAnsi="Times New Roman"/>
          <w:sz w:val="18"/>
          <w:szCs w:val="18"/>
          <w:b w:val="1"/>
          <w:bCs w:val="1"/>
          <w:color w:val="auto"/>
        </w:rPr>
        <w:t>.</w:t>
      </w:r>
    </w:p>
    <w:p>
      <w:pPr>
        <w:spacing w:after="0" w:line="1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In addition to the above, we also have lease commitments on our vehicle fleets and office leases and quarterly amortization payment obligations under various debt facilities. Please see </w:t>
      </w:r>
      <w:r>
        <w:rPr>
          <w:rFonts w:ascii="Times New Roman" w:cs="Times New Roman" w:eastAsia="Times New Roman" w:hAnsi="Times New Roman"/>
          <w:sz w:val="18"/>
          <w:szCs w:val="18"/>
          <w:i w:val="1"/>
          <w:iCs w:val="1"/>
          <w:color w:val="auto"/>
        </w:rPr>
        <w:t>Note 6. Loans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7. Leases</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fund these expenditures primarily through cash on hand, cash generated from operations and availability under existing debt facilities.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management to make estimates and assumptions that involve significant judgment and that could materially affect the amounts reported in our financial statements. These estimates relate to matters that are highly uncertain and require management to exercise judgment in selecting the underlying assumptions. If actual results differ from those assumptions, our financial condition or results of operations could be materially affected.</w:t>
      </w:r>
    </w:p>
    <w:p>
      <w:pPr>
        <w:spacing w:after="0" w:line="1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Certain of these estimates are particularly important because they involve assumptions that are inherently uncertain and could materially impact our financial statements if actual results differ. These critical accounting estimates require us to make difficult, subjective, and complex judgments about matters that are inherently uncertain, and changes in those estimates could result in materially different outcomes. The following discussion highlights the estimates that we believe involve the most significant judgment and present the greatest potential for material impact on our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Construction Contracts</w:t>
      </w:r>
    </w:p>
    <w:p>
      <w:pPr>
        <w:spacing w:after="0" w:line="142"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The recognition of revenue on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construction contracts requires significant judgment and involves estimates that are inherently subjective. These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 contracts are accounted for using an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revenue recognition model, under which progress is measured based on the percentage of costs incurred to total estimated costs for each project. Determining the total expected cost to complete a project—including labor, materials, subcontractors, change orders, and contingencies—requires management to make assumptions regarding project scope, productivity, pricing, and timing. Changes in any of these estimates, including revisions to anticipated costs or outcomes of outstanding change orders, can materially affect the amount and timing of revenue and margin recognized.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Evaluating goodwill for potential impairment requires the use of estimates and assumptions that involve significant judgment and could materially affect our financial results. We assess goodwill for impairment at least annually, or more frequently if events or changes in circumstances indicate that the fair value of a reporting unit may be less than its carrying amount.</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key source of estimation uncertainty relates to the determination of the fair value of our reporting units when a quantitative impairment test is required. Fair value estimates rely on unobservable inputs and require management to make assumptions about future performance, market conditions, and discount rates. These assumptions include projected cash flows, expectations for growth in RIN prices, future production and sales volumes, terminal value estimates, and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selection of an appropriate weighted-average cost of capital. These inputs are inherently uncertain and highly sensitive to changes in market conditions.</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Because fair value measurements depend on these complex judgments, changes in assumptions—or differences between projected and actual results—could result in a material impairment charge in future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for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42"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Assessing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potential impairment requires the use of significant estimates and assumptions that involve material judgment. These assets include plant equipment, buildings, patents, and other assets which are grouped and tested for recoverability when events or changes in circumstances indicate that the carrying amount may not be recoverable. Determining the appropriate asset group requires management to exercise judgment in evaluating how assets are used in the business, the degree to which cash flows are interdependent, and how operations are managed.</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When a triggering event occurs, we estimate future undiscounted cash flows for the applicable asset group. These estimates require assumptions about future operating performance, commodity pricing, production levels, operating costs, and asset utilization. Because these estimates reflect conditions that existed at the time of the assessment and extend over long periods, they are inherently uncertain. If the estimated undiscounted cash flows are less than the carrying amount of the asset group, we must estimate fair value, which adds further judgment and complexity.</w:t>
      </w:r>
    </w:p>
    <w:p>
      <w:pPr>
        <w:spacing w:after="0" w:line="101"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Fair value measurements for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often rely on discounted cash flow models that require additional significant assumptions, including discount rates,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expectations, and market participant assumptions. In certain cases, we may apply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approach, which requires estimating replacement cost, physical deterioration, and economic obsolescence. Changes in any of these assumptions, or differences between estimated and actual results, could materially affect the fair value conclusions and may result in a material impairment charge.</w:t>
      </w:r>
    </w:p>
    <w:p>
      <w:pPr>
        <w:spacing w:after="0" w:line="155"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Because both recoverability assessments and fair value measurements depend on management’s assumptions about future economic and operating conditions, these evaluations involve a high degree of subjectivity and represent one of the most judgment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dependent areas of our financial reporting.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is not required to provide the information required by this Item as it is a “smaller reporting company.” However, we note that 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w:t>
      </w:r>
      <w:r>
        <w:rPr>
          <w:rFonts w:ascii="Times New Roman" w:cs="Times New Roman" w:eastAsia="Times New Roman" w:hAnsi="Times New Roman"/>
          <w:sz w:val="18"/>
          <w:szCs w:val="18"/>
          <w:i w:val="1"/>
          <w:iCs w:val="1"/>
          <w:color w:val="auto"/>
        </w:rPr>
        <w:t>Note 8. Derivative Financial Instruments and Fair Value Measurements,</w:t>
      </w:r>
      <w:r>
        <w:rPr>
          <w:rFonts w:ascii="Times New Roman" w:cs="Times New Roman" w:eastAsia="Times New Roman" w:hAnsi="Times New Roman"/>
          <w:sz w:val="18"/>
          <w:szCs w:val="18"/>
          <w:color w:val="auto"/>
        </w:rPr>
        <w:t xml:space="preserve"> to our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contained in the financial statements set forth in Item 15(a) under the caption "Consolidated Financial Statements" as part of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71" w:name="page72"/>
    <w:bookmarkEnd w:id="71"/>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our Chief Financial Officer (our co- principal executive officers and principal financial officer, respectively), evaluated, as of the end of the period covered by this Annual Report on Form 10-K,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of December 31, 2025, our Co-Chief Executive Officers and Chief Financial Officer concluded that, as of such date, our disclosure controls and procedures were effective for the period covered by this report.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Under the supervision and with the participation of our Co-Chief Executive Officers and Chief Financial Officer, we conducted an evaluation of the effectiveness of our internal control over financial reporting. Management has adopted the framework in Internal Control-Integrated Framework (2013) issued by the Committee of Sponsoring Organizations of the Treadway Commission. Based on the results of our evaluation, our management including our Co-Chief Executive Officers and Chief Financial Officer concluded that our internal control over financial reporting was effective as of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19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During the fiscal quarter ended December 31, 2025, none of our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33" w:lineRule="exact"/>
        <w:rPr>
          <w:sz w:val="20"/>
          <w:szCs w:val="20"/>
          <w:color w:val="auto"/>
        </w:rPr>
      </w:pPr>
    </w:p>
    <w:p>
      <w:pPr>
        <w:ind w:right="310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Information regarding our directors, executive officers and certain corporate governance items will be included in the proxy statement for the 2026 annual meeting of shareholders, to be filed within 120 days after December 31, 2025, and is incorporated by reference to this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Information regarding executive compensation will be included in the proxy statement for the 2026 annual meeting of shareholders, to be filed within 120 days after December 31, 2025, and is incorporated by reference to this Form 10-K.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72" w:name="page73"/>
    <w:bookmarkEnd w:id="72"/>
    <w:p>
      <w:pPr>
        <w:jc w:val="both"/>
        <w:spacing w:after="0" w:line="262" w:lineRule="auto"/>
        <w:rPr>
          <w:sz w:val="20"/>
          <w:szCs w:val="20"/>
          <w:color w:val="auto"/>
        </w:rPr>
      </w:pPr>
      <w:r>
        <w:rPr>
          <w:rFonts w:ascii="Times New Roman" w:cs="Times New Roman" w:eastAsia="Times New Roman" w:hAnsi="Times New Roman"/>
          <w:sz w:val="18"/>
          <w:szCs w:val="18"/>
          <w:color w:val="auto"/>
        </w:rPr>
        <w:t>Information regarding (i) security ownership of certain beneficial owners and management and related stockholder matters and (ii) securities authorized for issuance under equity compensation plans will be included in the proxy statement for the 2026 annual meeting of shareholders, to be filed within 120 days after December 31, 2025, and is incorporated by reference to this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be included in the proxy statement for the 2026 annual meeting of shareholders, to be filed within 120 days after December 31, 2025, and is incorporated by reference to this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Information regarding principal accounting fees and services billed to us by our principal accountant, BDO USA, P.C will be included in the proxy statement for the 2026 annual meeting of shareholders, to be filed within 120 days after December 31, 2025, and is incorporated by reference to this Form 10-K.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84" w:lineRule="exact"/>
        <w:rPr>
          <w:sz w:val="20"/>
          <w:szCs w:val="20"/>
          <w:color w:val="auto"/>
        </w:rPr>
      </w:pPr>
    </w:p>
    <w:p>
      <w:pPr>
        <w:ind w:left="240" w:hanging="233"/>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Annual Report on Form 10-K</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See accompanying Index to Consolidated Financial Statements.</w:t>
      </w:r>
    </w:p>
    <w:p>
      <w:pPr>
        <w:spacing w:after="0" w:line="180"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 Financial statement schedules are omitted either due to the absence of conditions under which they are required or because the information required is included in the notes to the Company’s consolidated financial statements.</w:t>
      </w:r>
    </w:p>
    <w:p>
      <w:pPr>
        <w:spacing w:after="0" w:line="123"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30" w:lineRule="exact"/>
        <w:rPr>
          <w:sz w:val="20"/>
          <w:szCs w:val="20"/>
          <w:color w:val="auto"/>
        </w:rPr>
      </w:pPr>
    </w:p>
    <w:p>
      <w:pPr>
        <w:ind w:left="26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-125095</wp:posOffset>
            </wp:positionV>
            <wp:extent cx="6845300" cy="152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45300" cy="15240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2.1†*</w:t>
      </w:r>
    </w:p>
    <w:p>
      <w:pPr>
        <w:spacing w:after="0" w:line="3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3.1*</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3.2*</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3.3*</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4.1*"</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4.2*"</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4.3*"</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4.4*</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10.1*</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10.2*</w:t>
      </w: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40"/>
        <w:spacing w:after="0" w:line="224" w:lineRule="auto"/>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u w:val="single" w:color="auto"/>
            <w:color w:val="0000FF"/>
          </w:rPr>
          <w:t>Business Combination Agreement, dated as of December 2, 2021, by and among ArcLight, OPAL Fuels and OPAL Holdco</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(incorporated by reference to Exhibit 2.1 of the Company’s Current Report on Form 8-K, filed with the SEC on December 3,</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2021)</w:t>
        </w:r>
        <w:r>
          <w:rPr>
            <w:rFonts w:ascii="Times New Roman" w:cs="Times New Roman" w:eastAsia="Times New Roman" w:hAnsi="Times New Roman"/>
            <w:sz w:val="18"/>
            <w:szCs w:val="18"/>
            <w:color w:val="000000"/>
          </w:rPr>
          <w:t>.</w:t>
        </w:r>
      </w:hyperlink>
    </w:p>
    <w:p>
      <w:pPr>
        <w:spacing w:after="0" w:line="8" w:lineRule="exact"/>
        <w:rPr>
          <w:rFonts w:ascii="Times New Roman" w:cs="Times New Roman" w:eastAsia="Times New Roman" w:hAnsi="Times New Roman"/>
          <w:sz w:val="18"/>
          <w:szCs w:val="18"/>
          <w:u w:val="single" w:color="auto"/>
          <w:color w:val="0000FF"/>
        </w:rPr>
      </w:pPr>
    </w:p>
    <w:p>
      <w:pPr>
        <w:jc w:val="both"/>
        <w:ind w:right="260"/>
        <w:spacing w:after="0" w:line="235"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Restated Certificate of Incorporation of OPAL Fuels Inc. (incorporated by reference to Exhibit 3.1 to the Current Report on Form</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8-K/A filed by the Company on August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jc w:val="both"/>
        <w:ind w:right="240"/>
        <w:spacing w:after="0" w:line="235"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Bylaws of OPAL Fuels Inc. (incorporated by reference to Exhibit 3.2 to the Current Report on Form 8-K filed by the Company on</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July 27, 2022)</w:t>
        </w:r>
      </w:hyperlink>
    </w:p>
    <w:p>
      <w:pPr>
        <w:spacing w:after="0" w:line="9" w:lineRule="exact"/>
        <w:rPr>
          <w:sz w:val="20"/>
          <w:szCs w:val="20"/>
          <w:color w:val="auto"/>
        </w:rPr>
      </w:pPr>
    </w:p>
    <w:p>
      <w:pPr>
        <w:jc w:val="both"/>
        <w:ind w:right="240"/>
        <w:spacing w:after="0" w:line="235"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Amended and Restated Certificate of Designations of Series A Preferred Units of OPAL Fuels LLC, dated March 6, 2026</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(incorporated by reference to Exhibit 3.1 to the Current Report on Form 8-K filed with the Company on March 9,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jc w:val="both"/>
        <w:ind w:right="260"/>
        <w:spacing w:after="0" w:line="235"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OPAL Fuels Inc. Short-Term Incentive Plan (incorporated by reference to Exhibit 4.4 to the Annual Report on Form 10-K filed</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by the Company on March 29, 2023).</w:t>
        </w:r>
      </w:hyperlink>
    </w:p>
    <w:p>
      <w:pPr>
        <w:spacing w:after="0" w:line="9" w:lineRule="exact"/>
        <w:rPr>
          <w:sz w:val="20"/>
          <w:szCs w:val="20"/>
          <w:color w:val="auto"/>
        </w:rPr>
      </w:pPr>
    </w:p>
    <w:p>
      <w:pPr>
        <w:jc w:val="both"/>
        <w:ind w:right="260"/>
        <w:spacing w:after="0" w:line="235"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Form of Stock Option Grant Notice and Option Agreement (incorporated by reference to Exhibit 4.5 to the Annual Report on</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Form 10-K filed by the Company on March 29,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jc w:val="both"/>
        <w:ind w:right="240"/>
        <w:spacing w:after="0" w:line="235"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Form of Performance Restricted Stock Unit Award Grant Notice and Award Agreement (incorporated by reference to Exhibit 4.6</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to the Annual Report on Form 10-K filed by the Company on March 29, 2023).</w:t>
        </w:r>
      </w:hyperlink>
    </w:p>
    <w:p>
      <w:pPr>
        <w:spacing w:after="0" w:line="9" w:lineRule="exact"/>
        <w:rPr>
          <w:sz w:val="20"/>
          <w:szCs w:val="20"/>
          <w:color w:val="auto"/>
        </w:rPr>
      </w:pPr>
    </w:p>
    <w:p>
      <w:pPr>
        <w:jc w:val="both"/>
        <w:ind w:right="260"/>
        <w:spacing w:after="0" w:line="235"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Warrant, dated March 6, 2026 (incorporated by reference to Exhibit 4.1 to the Current Report on Form 8-K filed by the Company</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on March 9,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jc w:val="both"/>
        <w:ind w:right="240"/>
        <w:spacing w:after="0" w:line="235" w:lineRule="auto"/>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u w:val="single" w:color="auto"/>
            <w:color w:val="0000FF"/>
          </w:rPr>
          <w:t>Form of OPAL Indemnification Agreement (incorporated by reference to Exhibit 10.1 to the Registration Statement on Form S-4</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(File No. 333-262583), filed on May 6, 2022</w:t>
        </w:r>
        <w:r>
          <w:rPr>
            <w:rFonts w:ascii="Times New Roman" w:cs="Times New Roman" w:eastAsia="Times New Roman" w:hAnsi="Times New Roman"/>
            <w:sz w:val="18"/>
            <w:szCs w:val="18"/>
            <w:color w:val="000000"/>
          </w:rPr>
          <w:t>).</w:t>
        </w:r>
      </w:hyperlink>
    </w:p>
    <w:p>
      <w:pPr>
        <w:spacing w:after="0" w:line="9" w:lineRule="exact"/>
        <w:rPr>
          <w:sz w:val="20"/>
          <w:szCs w:val="20"/>
          <w:color w:val="auto"/>
        </w:rPr>
      </w:pPr>
    </w:p>
    <w:p>
      <w:pPr>
        <w:jc w:val="both"/>
        <w:ind w:right="240"/>
        <w:spacing w:after="0" w:line="235"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2022 Omnibus Equity Incentive Plan (incorporated by reference to Exhibit 10.2 to the Current Report on Form 8-K filed by the</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jc w:val="both"/>
        <w:ind w:right="240"/>
        <w:spacing w:after="0" w:line="224"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Sponsor Letter Agreement, dated as of December 2, 2021, by and among OPAL Fuels LLC, ArcLight Clean Transition Corp. II</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and certain other parties thereto (incorporated by referenced to Exhibit 10.2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by the registrant on December 3, 2021)</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000" w:space="720"/>
            <w:col w:w="9520"/>
          </w:cols>
          <w:pgMar w:left="320" w:top="923" w:right="339" w:bottom="1440" w:gutter="0" w:footer="0" w:header="0"/>
          <w:type w:val="continuous"/>
        </w:sectPr>
      </w:pPr>
    </w:p>
    <w:p>
      <w:pPr>
        <w:spacing w:after="0" w:line="289"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181610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type w:val="continuous"/>
        </w:sectPr>
      </w:pPr>
    </w:p>
    <w:bookmarkStart w:id="73" w:name="page74"/>
    <w:bookmarkEnd w:id="73"/>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10.22*+#</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10.23*+#</w:t>
      </w:r>
    </w:p>
    <w:p>
      <w:pPr>
        <w:spacing w:after="0" w:line="20" w:lineRule="exact"/>
        <w:rPr>
          <w:sz w:val="20"/>
          <w:szCs w:val="20"/>
          <w:color w:val="auto"/>
        </w:rPr>
      </w:pPr>
      <w:r>
        <w:rPr>
          <w:sz w:val="20"/>
          <w:szCs w:val="20"/>
          <w:color w:val="auto"/>
        </w:rPr>
        <w:br w:type="column"/>
      </w:r>
    </w:p>
    <w:p>
      <w:pPr>
        <w:spacing w:after="0" w:line="235"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Form of Subscription Agreement (incorporated by reference to Exhibit 10.1 of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with the SEC on December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35"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Form of Amendment No. 1 to the Subscription Agreement (incorporated by reference to Exhibit 10.1 of the Company’s Current</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Report on Form 8-K, filed with the SEC on May 12, 2022).</w:t>
        </w:r>
      </w:hyperlink>
    </w:p>
    <w:p>
      <w:pPr>
        <w:spacing w:after="0" w:line="9"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Tax Receivable Agreement, dated July 21, 2022, by and among OPAL Fuels Inc. and the persons named therein (incorporated by</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reference to Exhibit 10.6 to the Current Report on Form 8-K filed by the 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20"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Investor Rights Agreement, dated July 21, 2022, by and among OPAL Fuels Inc., ArcLight CTC Holdings II, L.P., and the other</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persons named therein (incorporated by reference to Exhibit 10.7 to the Current Report on Form 8-K filed by the Company on</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3175</wp:posOffset>
            </wp:positionV>
            <wp:extent cx="6845300" cy="262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32"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Second A&amp;R LLC Agreement of OPAL Fuels, including any Certificates of Designations (incorporated by reference to Exhibit</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10.8 to the Current Report on Form 8-K filed by the Company on July 27, 2022).</w:t>
        </w:r>
      </w:hyperlink>
    </w:p>
    <w:p>
      <w:pPr>
        <w:spacing w:after="0" w:line="8"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Delayed Draw Term Loan and Guaranty Agreement, dated October 22, 2021, by and among OPAL Fuels Intermediate Holdco</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LLC, the Guarantors named on the signature pages thereto, and the Lenders (as defined therein), and Bank of America, N.A., as</w:t>
        </w:r>
      </w:hyperlink>
    </w:p>
    <w:p>
      <w:pPr>
        <w:spacing w:after="0" w:line="1" w:lineRule="exact"/>
        <w:rPr>
          <w:sz w:val="20"/>
          <w:szCs w:val="20"/>
          <w:color w:val="auto"/>
        </w:rPr>
      </w:pPr>
    </w:p>
    <w:p>
      <w:pPr>
        <w:ind w:right="20"/>
        <w:spacing w:after="0" w:line="223"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Administrative Agent for the Lenders (incorporated by reference to Exhibit 10.8 to the Registration Statement on Form S-4 (File</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635</wp:posOffset>
            </wp:positionV>
            <wp:extent cx="6845300" cy="262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32"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Amendment No. 1 to Delayed Draw Term Loan and Guaranty Agreement and Waiver, dated February 1, 2022 (incorporated by</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reference to Exhibit 10.9 to the Registration Statement on Form S-4 (File No. 333-262583), filed on March 25, 2022).</w:t>
        </w:r>
      </w:hyperlink>
    </w:p>
    <w:p>
      <w:pPr>
        <w:spacing w:after="0" w:line="8" w:lineRule="exact"/>
        <w:rPr>
          <w:sz w:val="20"/>
          <w:szCs w:val="20"/>
          <w:color w:val="auto"/>
        </w:rPr>
      </w:pPr>
    </w:p>
    <w:p>
      <w:pPr>
        <w:spacing w:after="0" w:line="233" w:lineRule="auto"/>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Environmental Attributes Purchase and Sale Agreement, dated November 29, 2021, by and between, on the one hand, NextEra</w:t>
        </w:r>
      </w:hyperlink>
      <w:r>
        <w:rPr>
          <w:rFonts w:ascii="Times New Roman" w:cs="Times New Roman" w:eastAsia="Times New Roman" w:hAnsi="Times New Roman"/>
          <w:sz w:val="17"/>
          <w:szCs w:val="17"/>
          <w:u w:val="single" w:color="auto"/>
          <w:color w:val="0000FF"/>
        </w:rPr>
        <w:t xml:space="preserve"> </w:t>
      </w:r>
      <w:hyperlink r:id="rId113">
        <w:r>
          <w:rPr>
            <w:rFonts w:ascii="Times New Roman" w:cs="Times New Roman" w:eastAsia="Times New Roman" w:hAnsi="Times New Roman"/>
            <w:sz w:val="17"/>
            <w:szCs w:val="17"/>
            <w:u w:val="single" w:color="auto"/>
            <w:color w:val="0000FF"/>
          </w:rPr>
          <w:t>Energy Marketing, LLC and, on the other hand, TruStar Energy LLC and OPAL Fuels LLC (incorporated by reference to Exhibit</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10.10 to the Registration Statement on Form S-4 (File 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3175</wp:posOffset>
            </wp:positionV>
            <wp:extent cx="6845300" cy="373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6845300" cy="373380"/>
                    </a:xfrm>
                    <a:prstGeom prst="rect">
                      <a:avLst/>
                    </a:prstGeom>
                    <a:noFill/>
                  </pic:spPr>
                </pic:pic>
              </a:graphicData>
            </a:graphic>
          </wp:anchor>
        </w:drawing>
      </w:r>
    </w:p>
    <w:p>
      <w:pPr>
        <w:jc w:val="both"/>
        <w:spacing w:after="0" w:line="230"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Administrative Services Agreement, dated December 31, 2021, by and between OPAL Fuels and Fortistar Services 2 LLC</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(incorporated by reference to Exhibit 10.11 to the Registration Statement on Form S-4 (File No. 333-262583), filed on March 25,</w:t>
        </w:r>
      </w:hyperlink>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2022).</w:t>
        </w:r>
      </w:hyperlink>
    </w:p>
    <w:p>
      <w:pPr>
        <w:spacing w:after="0" w:line="6" w:lineRule="exact"/>
        <w:rPr>
          <w:sz w:val="20"/>
          <w:szCs w:val="20"/>
          <w:color w:val="auto"/>
        </w:rPr>
      </w:pPr>
    </w:p>
    <w:p>
      <w:pPr>
        <w:jc w:val="both"/>
        <w:spacing w:after="0" w:line="230" w:lineRule="auto"/>
        <w:rPr>
          <w:rFonts w:ascii="Times New Roman" w:cs="Times New Roman" w:eastAsia="Times New Roman" w:hAnsi="Times New Roman"/>
          <w:sz w:val="17"/>
          <w:szCs w:val="17"/>
          <w:u w:val="single" w:color="auto"/>
          <w:color w:val="0000FF"/>
        </w:rPr>
      </w:pPr>
      <w:hyperlink r:id="rId116">
        <w:r>
          <w:rPr>
            <w:rFonts w:ascii="Times New Roman" w:cs="Times New Roman" w:eastAsia="Times New Roman" w:hAnsi="Times New Roman"/>
            <w:sz w:val="17"/>
            <w:szCs w:val="17"/>
            <w:u w:val="single" w:color="auto"/>
            <w:color w:val="0000FF"/>
          </w:rPr>
          <w:t>Indemnification and Hold Harmless Agreement, dated December 31, 2020, by and between OPAL Fuels LLC and Fortistar LLC</w:t>
        </w:r>
      </w:hyperlink>
      <w:r>
        <w:rPr>
          <w:rFonts w:ascii="Times New Roman" w:cs="Times New Roman" w:eastAsia="Times New Roman" w:hAnsi="Times New Roman"/>
          <w:sz w:val="17"/>
          <w:szCs w:val="17"/>
          <w:u w:val="single" w:color="auto"/>
          <w:color w:val="0000FF"/>
        </w:rPr>
        <w:t xml:space="preserve"> </w:t>
      </w:r>
      <w:hyperlink r:id="rId116">
        <w:r>
          <w:rPr>
            <w:rFonts w:ascii="Times New Roman" w:cs="Times New Roman" w:eastAsia="Times New Roman" w:hAnsi="Times New Roman"/>
            <w:sz w:val="17"/>
            <w:szCs w:val="17"/>
            <w:u w:val="single" w:color="auto"/>
            <w:color w:val="0000FF"/>
          </w:rPr>
          <w:t>(incorporated by reference to Exhibit 10.12 to the Registration Statement on Form S-4 (File No. 333-262583), filed on March 25,</w:t>
        </w:r>
      </w:hyperlink>
    </w:p>
    <w:p>
      <w:pPr>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3175</wp:posOffset>
            </wp:positionV>
            <wp:extent cx="6845300" cy="262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32"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Form of Stock Award Agreement dated September 15, 2022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Form 8-K filed by the Company on September 19, 2022).</w:t>
        </w:r>
      </w:hyperlink>
    </w:p>
    <w:p>
      <w:pPr>
        <w:spacing w:after="0" w:line="8"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Credit Agreement, dated August 4, 2022, made by and among OPAL Intermediate Holdco 2 as Borrower, the guarantors, the</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lenders thereto, Bank of Montreal as the administration agent, Wilmington Trust as collateral agent and Bank of Montreal,</w:t>
        </w:r>
      </w:hyperlink>
    </w:p>
    <w:p>
      <w:pPr>
        <w:spacing w:after="0" w:line="1" w:lineRule="exact"/>
        <w:rPr>
          <w:sz w:val="20"/>
          <w:szCs w:val="20"/>
          <w:color w:val="auto"/>
        </w:rPr>
      </w:pPr>
    </w:p>
    <w:p>
      <w:pPr>
        <w:spacing w:after="0" w:line="223"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Investec Inc. and Comerica Bank as joint lead arrangers (incorporated by reference to Exhibit 10.1 to the Current Report on Form</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8-K filed by the Company on August 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635</wp:posOffset>
            </wp:positionV>
            <wp:extent cx="6845300" cy="262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32"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Promissory Note, dated as of May 16, 2022, by and between Arclight and Arclight CTC Holdings II, L.P. (incorporated by</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reference to Exhibit 10.6 to the Quarterly Report on Form 10-Q filed by the Company on August 10, 2022).</w:t>
        </w:r>
      </w:hyperlink>
    </w:p>
    <w:p>
      <w:pPr>
        <w:spacing w:after="0" w:line="8"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Service Contract Agreement, dated December 15, 2022, by and between OPAL Fuels Inc. and United Parcel Service Oasis</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Supply Corporation (incorporated by reference to Exhibit 10.1 to the Current Report on Form 8-K filed by the Company on</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December 21,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3175</wp:posOffset>
            </wp:positionV>
            <wp:extent cx="6845300" cy="262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32"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Securities Purchase Agreement, dated March 30, 2023, by and between the Company and the purchasers named therein</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(incorporated by reference to Exhibit 10.1 to the Current Report on Form 8-K filed by the Company on April 5, 2023).</w:t>
        </w:r>
      </w:hyperlink>
    </w:p>
    <w:p>
      <w:pPr>
        <w:spacing w:after="0" w:line="8" w:lineRule="exact"/>
        <w:rPr>
          <w:sz w:val="20"/>
          <w:szCs w:val="20"/>
          <w:color w:val="auto"/>
        </w:rPr>
      </w:pPr>
    </w:p>
    <w:p>
      <w:pPr>
        <w:ind w:right="20"/>
        <w:spacing w:after="0" w:line="235"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Landfill Gas Purchase and Sale Agreement dated April 13, 2023 (effective as of March 13, 2023) (incorporated by reference to</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Exhibit 10.2 to the Quarterly Report on Form 10-Q filed by the Company on May 15, 2023).</w:t>
        </w:r>
      </w:hyperlink>
    </w:p>
    <w:p>
      <w:pPr>
        <w:spacing w:after="0" w:line="9"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Piggyback Agreement for Landfill Gas Purchase Agreement dated May 2, 2023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Quarterly Report on Form 10-Q filed by the Company on May 15,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20"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Amended and Restated Credit and Guaranty Agreement, dated May 30, 2023, among Paragon RNG LLC as Borrower, the</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Guarantors, the lenders thereto, Bank of Montreal as the administrative agent, Wilmington Trust as collateral agent and BMO</w:t>
        </w:r>
      </w:hyperlink>
    </w:p>
    <w:p>
      <w:pPr>
        <w:spacing w:after="0" w:line="1" w:lineRule="exact"/>
        <w:rPr>
          <w:sz w:val="20"/>
          <w:szCs w:val="20"/>
          <w:color w:val="auto"/>
        </w:rPr>
      </w:pPr>
    </w:p>
    <w:p>
      <w:pPr>
        <w:spacing w:after="0" w:line="223"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Capital Markets Corp., Investec Inc. and Comerica Bank as joint lead arrangers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Current Report on Form 8-K filed by the Company on June 2, 2023).</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71120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740" w:space="720"/>
            <w:col w:w="9280"/>
          </w:cols>
          <w:pgMar w:left="580" w:top="963" w:right="579" w:bottom="1440" w:gutter="0" w:footer="0" w:header="0"/>
        </w:sectPr>
      </w:pPr>
    </w:p>
    <w:bookmarkStart w:id="74" w:name="page75"/>
    <w:bookmarkEnd w:id="74"/>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10.27*+#</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10.28*+#</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10.29*</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10.31*</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10.40*</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10.41*</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10.42*</w:t>
      </w:r>
    </w:p>
    <w:p>
      <w:pPr>
        <w:spacing w:after="0" w:line="20" w:lineRule="exact"/>
        <w:rPr>
          <w:sz w:val="20"/>
          <w:szCs w:val="20"/>
          <w:color w:val="auto"/>
        </w:rPr>
      </w:pPr>
      <w:r>
        <w:rPr>
          <w:sz w:val="20"/>
          <w:szCs w:val="20"/>
          <w:color w:val="auto"/>
        </w:rPr>
        <w:br w:type="column"/>
      </w:r>
    </w:p>
    <w:p>
      <w:pPr>
        <w:spacing w:after="0" w:line="235"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Third Amended and Restated Gas Sale and Purchase Agreement, dated August 11, 2023 (incorporated by reference to Exhibit</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10.5 to the Quarterly Report on Form 10-Q filed by the Company on August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-406400</wp:posOffset>
            </wp:positionV>
            <wp:extent cx="6845300" cy="568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6845300" cy="568325"/>
                    </a:xfrm>
                    <a:prstGeom prst="rect">
                      <a:avLst/>
                    </a:prstGeom>
                    <a:noFill/>
                  </pic:spPr>
                </pic:pic>
              </a:graphicData>
            </a:graphic>
          </wp:anchor>
        </w:drawing>
      </w:r>
    </w:p>
    <w:p>
      <w:pPr>
        <w:spacing w:after="0" w:line="229"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Landfill Gas Purchase and Sale Agreement, dated August 28, 2023 with Waste Management of California, Inc. (incorporated by</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reference to Exhibit 10.1 to the Current Report on Form 8-K filed by the Company on August 31, 2023).</w:t>
        </w:r>
      </w:hyperlink>
    </w:p>
    <w:p>
      <w:pPr>
        <w:spacing w:after="0" w:line="9"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Lease Agreement, dated August 28, 2023 with Waste Management of California, Inc. (incorporated by reference to Exhibit 10.2</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to the Current Report on Form 8-K filed by the Company on August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35"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Landfill Gas Purchase and Sale Agreement, dated August 28, 2023 with Guadalupe Rubbish Disposal Co., Inc. (incorporated by</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reference to Exhibit 10.3 to the Current Report on Form 8-K filed by the Company on August 31, 2023).</w:t>
        </w:r>
      </w:hyperlink>
    </w:p>
    <w:p>
      <w:pPr>
        <w:spacing w:after="0" w:line="9" w:lineRule="exact"/>
        <w:rPr>
          <w:sz w:val="20"/>
          <w:szCs w:val="20"/>
          <w:color w:val="auto"/>
        </w:rPr>
      </w:pPr>
    </w:p>
    <w:p>
      <w:pPr>
        <w:ind w:right="20"/>
        <w:spacing w:after="0" w:line="235"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Lease Agreement, dated August 28, 2023 with Guadalupe Rubbish Disposal Co., Inc. (incorporated by reference to Exhibit 10.4</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to the Current Report on Form 8-K filed by the Company on August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20"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Credit Agreement, dated September 1, 2023, by and among Intermediate HoldCo as Borrower, the guarantors, the lenders party</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thereto, Bank of America, N.A. as the administration agent, and Apterra Infrastructure Capital LLC, Barclays Bank PLC, BofA</w:t>
        </w:r>
      </w:hyperlink>
    </w:p>
    <w:p>
      <w:pPr>
        <w:spacing w:after="0" w:line="1" w:lineRule="exact"/>
        <w:rPr>
          <w:sz w:val="20"/>
          <w:szCs w:val="20"/>
          <w:color w:val="auto"/>
        </w:rPr>
      </w:pPr>
    </w:p>
    <w:p>
      <w:pPr>
        <w:ind w:right="20"/>
        <w:spacing w:after="0" w:line="223"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Securities, Inc., Celtic Bank Corporation, JP Morgan Chase Bank, N.A. and Investec Inc., as joint lead arrangers (incorporated by</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reference to Exhibit 10.1 to the Current Report on Form 8-K filed by the Company on September 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635</wp:posOffset>
            </wp:positionV>
            <wp:extent cx="6845300" cy="262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20"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Pledge Agreement, dated September 1, 2023, by OPAL Fuels Parent HoldCo 3 LLC in favor of Bank of America, N.A.</w:t>
        </w:r>
      </w:hyperlink>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(incorporated by reference to Exhibit 10.2 to the Current Report on Form 8-K filed by the Company on September 5, 2023).</w:t>
        </w:r>
      </w:hyperlink>
    </w:p>
    <w:p>
      <w:pPr>
        <w:spacing w:after="0" w:line="13" w:lineRule="exact"/>
        <w:rPr>
          <w:sz w:val="20"/>
          <w:szCs w:val="20"/>
          <w:color w:val="auto"/>
        </w:rPr>
      </w:pPr>
    </w:p>
    <w:p>
      <w:pPr>
        <w:ind w:right="20"/>
        <w:spacing w:after="0" w:line="220"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Security Agreement, dated September 1, 2023, by OPAL Fuels Intermediate HoldCo LLC and the other grantors listed on the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signature pages thereto in favor of Bank of America, N.A. (incorporated by reference to Exhibit 10.3 to the Current Report on</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Form 8-K filed by the Company on September 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3175</wp:posOffset>
            </wp:positionV>
            <wp:extent cx="6845300" cy="262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32"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Note (Term), dated September 1, 2023, between OPAL Fuels Intermediate HoldCo LLC and BankUnited, N.A. (incorporated by</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reference to Exhibit 10.4 to the Current Report on Form 8-K filed by the Company on September 5, 2023).</w:t>
        </w:r>
      </w:hyperlink>
    </w:p>
    <w:p>
      <w:pPr>
        <w:spacing w:after="0" w:line="234"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Note (Revolving), dated September 1, 2023, between OPAL Fuels Intermediate HoldCo LLC and BankUnited, N.A.</w:t>
        </w:r>
      </w:hyperlink>
    </w:p>
    <w:p>
      <w:pPr>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(incorporated by reference to Exhibit 10.5 to the Current Report on Form 8-K filed by the Company on September 5, 2023).</w:t>
        </w:r>
      </w:hyperlink>
    </w:p>
    <w:p>
      <w:pPr>
        <w:spacing w:after="0" w:line="13" w:lineRule="exact"/>
        <w:rPr>
          <w:sz w:val="20"/>
          <w:szCs w:val="20"/>
          <w:color w:val="auto"/>
        </w:rPr>
      </w:pPr>
    </w:p>
    <w:p>
      <w:pPr>
        <w:ind w:right="20"/>
        <w:spacing w:after="0" w:line="235"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Agreement, dated September 14, 2023, by and among OPAL L2G and SJI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Current Report on Form 8-K filed by the Company on September 20,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35"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Asset Purchase and Sale Agreement, dated October 20, 2023, with Washington Gas Light Company (incorporated by reference to</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Exhibit 10.1 to the Current Report on Form 8-K filed by the Company on October 26, 2023).</w:t>
        </w:r>
      </w:hyperlink>
    </w:p>
    <w:p>
      <w:pPr>
        <w:spacing w:after="0" w:line="9"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Base Contract for Sale and Purchase of Natural Gas (San Diego), dated September 15, 2023 (incorporated by reference to Exhibit</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10.12 to the Quarterly Report on Form 10-Q filed by the Company on November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35"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Base Contract for Sale and Purchase of Natural Gas (Richmond), dated September 15, 2023 (incorporated by reference to Exhibit</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10.13 to the Quarterly Report on Form 10-Q filed by the Company on November 14, 2023).</w:t>
        </w:r>
      </w:hyperlink>
    </w:p>
    <w:p>
      <w:pPr>
        <w:spacing w:after="0" w:line="9"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At Market Issuance Sales Agreement, dated November 17, 2023, among OPAL Fuels Inc., B. Riley Securities, Inc., Cantor</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Fitzgerald &amp; Co. and Stifel, Nicolaus &amp; Company, Incorporated (incorporated by reference to Exhibit 10.1 to the Current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-236855</wp:posOffset>
            </wp:positionV>
            <wp:extent cx="6845300" cy="3733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6845300" cy="37338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on Form 8-K filed by the Company on November 17, 2023).</w:t>
        </w:r>
      </w:hyperlink>
    </w:p>
    <w:p>
      <w:pPr>
        <w:spacing w:after="0" w:line="6" w:lineRule="exact"/>
        <w:rPr>
          <w:sz w:val="20"/>
          <w:szCs w:val="20"/>
          <w:color w:val="auto"/>
        </w:rPr>
      </w:pPr>
    </w:p>
    <w:p>
      <w:pPr>
        <w:ind w:right="20"/>
        <w:spacing w:after="0" w:line="230"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First Amendment to Amended and Restated Credit and Guaranty Agreement, dated March 5, 2024, by and among Paragon RNG</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LLC, as Borrower, the guarantors, the lenders party thereto, and Bank of Montreal, as administrative agent (incorporated by</w:t>
        </w:r>
      </w:hyperlink>
    </w:p>
    <w:p>
      <w:pPr>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reference to Exhibit 10.1 to the Current Report on Form 8-K filed by the Company on March 11,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3175</wp:posOffset>
            </wp:positionV>
            <wp:extent cx="6845300" cy="3733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6845300" cy="373380"/>
                    </a:xfrm>
                    <a:prstGeom prst="rect">
                      <a:avLst/>
                    </a:prstGeom>
                    <a:noFill/>
                  </pic:spPr>
                </pic:pic>
              </a:graphicData>
            </a:graphic>
          </wp:anchor>
        </w:drawing>
      </w:r>
    </w:p>
    <w:p>
      <w:pPr>
        <w:ind w:right="20"/>
        <w:spacing w:after="0" w:line="217"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First Amendment to Depositary Agreement, dated March 5, 2024, by Paragon RNG LLC, as Borrower, Bank of Montreal, as</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administrative agent, and Wilmington Trust, National Association, as collateral agent and depositary agent (incorporated by</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reference to Exhibit 10.2 to the Current Report on Form 8-K filed by the Company on March 11, 2024).</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71120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740" w:space="720"/>
            <w:col w:w="9280"/>
          </w:cols>
          <w:pgMar w:left="580" w:top="1203" w:right="579" w:bottom="1440" w:gutter="0" w:footer="0" w:header="0"/>
        </w:sectPr>
      </w:pPr>
    </w:p>
    <w:bookmarkStart w:id="75" w:name="page76"/>
    <w:bookmarkEnd w:id="75"/>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10.47*</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10.48*+#</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10.50*+</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32.3**</w:t>
      </w:r>
    </w:p>
    <w:p>
      <w:pPr>
        <w:spacing w:after="0" w:line="20" w:lineRule="exact"/>
        <w:rPr>
          <w:sz w:val="20"/>
          <w:szCs w:val="20"/>
          <w:color w:val="auto"/>
        </w:rPr>
      </w:pPr>
      <w:r>
        <w:rPr>
          <w:sz w:val="20"/>
          <w:szCs w:val="20"/>
          <w:color w:val="auto"/>
        </w:rPr>
        <w:br w:type="column"/>
      </w:r>
    </w:p>
    <w:p>
      <w:pPr>
        <w:spacing w:after="0" w:line="235"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First Amendment to Landfill Gas Purchase Agreement, dated March 27, 2024 (effective as of March 6, 2024) (incorporated by</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reference to Exhibit 10.1 to the Current Report on Form 8-K filed by the Company on March 28, 2024).</w:t>
        </w:r>
      </w:hyperlink>
    </w:p>
    <w:p>
      <w:pPr>
        <w:spacing w:after="0" w:line="9"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Lease and Access Agreement, dated March 27, 2024 (effective as of March 20, 2024) (incorporated by reference to Exhibit 10.2</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to the Current Report on Form 8-K filed by the Company on March 28,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35"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Tax Credit Purchase Agreement, dated September 13, 2024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Form 8-K filed by the Company on September 19, 2024).</w:t>
        </w:r>
      </w:hyperlink>
    </w:p>
    <w:p>
      <w:pPr>
        <w:spacing w:after="0" w:line="9"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Guaranty, dated September 13, 2024 (incorporated by reference to Exhibit 10.2 to the Current Report on Form 8-K filed by the</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Company on September 19,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20"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Amendment No. 1 to Credit and Guarantee Agreement, dated March 3, 2025 by and among OPAL Fuels Intermediate HoldCo</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LLC, as Borrower, the Guarantors, the Lenders, the LC Issuers, and Bank of America, N.A., as Administrative Agent</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(incorporated by reference to Exhibit 10.1 to the Current Report on Form 8-K filed by the Company on March 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3175</wp:posOffset>
            </wp:positionV>
            <wp:extent cx="6845300" cy="262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32"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Tax Credit Purchase Agreement, dated March 28, 2025 (incorporated by reference to Exhibit 10.1 to the Current Report on Form</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8-K filed by the Company on March 28, 2025).</w:t>
        </w:r>
      </w:hyperlink>
    </w:p>
    <w:p>
      <w:pPr>
        <w:spacing w:after="0" w:line="8"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Guaranty, dated March 28, 2025 (incorporated by reference to Exhibit 10.2 to the Current Report on Form 8-K filed by the</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Company on March 28, 2025).</w:t>
        </w:r>
      </w:hyperlink>
    </w:p>
    <w:p>
      <w:pPr>
        <w:spacing w:after="0" w:line="9"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First Amendment to Administrative Services Agreement, dated March 17, 2025 between Fortistar Services 2 LLC and OPAL</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Fuels LLC (incorporated by reference to Exhibit 10.4 to the Quarterly Report on Form 10-Q filed by the Company on May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-236855</wp:posOffset>
            </wp:positionV>
            <wp:extent cx="6845300" cy="3733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6845300" cy="37338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2025)</w:t>
        </w:r>
      </w:hyperlink>
    </w:p>
    <w:p>
      <w:pPr>
        <w:spacing w:after="0" w:line="6" w:lineRule="exact"/>
        <w:rPr>
          <w:sz w:val="20"/>
          <w:szCs w:val="20"/>
          <w:color w:val="auto"/>
        </w:rPr>
      </w:pPr>
    </w:p>
    <w:p>
      <w:pPr>
        <w:spacing w:after="0" w:line="232"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Option Agreement, dated March 17, 2025, between Wasatch RNG LLC and OPAL Fuels LLC (incorporated by reference to</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Exhibit 10.5 to the Quarterly Report on Form 10-Q filed by the Company on May 13, 2025)</w:t>
        </w:r>
      </w:hyperlink>
    </w:p>
    <w:p>
      <w:pPr>
        <w:spacing w:after="0" w:line="8"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Limited Liability Company Agreement, dated May 9, 2025 (incorporated by reference to Exhibit 10.6 to the Quarterly Report on</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Form 10-Q filed by the Company on May 13,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1">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Employment Agreement, dated December 31, 2024 between the Company and Kazi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15875</wp:posOffset>
            </wp:positionV>
            <wp:extent cx="6845300" cy="144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2">
                      <a:extLst>
                        <a:ext uri="{28A0092B-C50C-407E-A947-70E740481C1C}"/>
                      </a:extLst>
                    </a:blip>
                    <a:srcRect/>
                    <a:stretch>
                      <a:fillRect/>
                    </a:stretch>
                  </pic:blipFill>
                  <pic:spPr bwMode="auto">
                    <a:xfrm>
                      <a:off x="0" y="0"/>
                      <a:ext cx="6845300" cy="1441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Tax Credit Purchase Agreement, dated June 20, 2025.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Guaranty, dated 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12700</wp:posOffset>
            </wp:positionV>
            <wp:extent cx="6845300" cy="144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3">
                      <a:extLst>
                        <a:ext uri="{28A0092B-C50C-407E-A947-70E740481C1C}"/>
                      </a:extLst>
                    </a:blip>
                    <a:srcRect/>
                    <a:stretch>
                      <a:fillRect/>
                    </a:stretch>
                  </pic:blipFill>
                  <pic:spPr bwMode="auto">
                    <a:xfrm>
                      <a:off x="0" y="0"/>
                      <a:ext cx="6845300"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Tax Credit Purchase Agreement, dated June 20, 2025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Guaranty, dated 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12700</wp:posOffset>
            </wp:positionV>
            <wp:extent cx="6845300" cy="144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4">
                      <a:extLst>
                        <a:ext uri="{28A0092B-C50C-407E-A947-70E740481C1C}"/>
                      </a:extLst>
                    </a:blip>
                    <a:srcRect/>
                    <a:stretch>
                      <a:fillRect/>
                    </a:stretch>
                  </pic:blipFill>
                  <pic:spPr bwMode="auto">
                    <a:xfrm>
                      <a:off x="0" y="0"/>
                      <a:ext cx="6845300"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Tax Credit Purchase Agreement, dated September 12, 2025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Guaranty, dated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12700</wp:posOffset>
            </wp:positionV>
            <wp:extent cx="6845300" cy="262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32"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Subscription Agreement, dated March 6, 2026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by the Company on March 6, 2026)</w:t>
        </w:r>
      </w:hyperlink>
    </w:p>
    <w:p>
      <w:pPr>
        <w:spacing w:after="0" w:line="8" w:lineRule="exact"/>
        <w:rPr>
          <w:sz w:val="20"/>
          <w:szCs w:val="20"/>
          <w:color w:val="auto"/>
        </w:rPr>
      </w:pPr>
    </w:p>
    <w:p>
      <w:pPr>
        <w:spacing w:after="0" w:line="235" w:lineRule="auto"/>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u w:val="single" w:color="auto"/>
            <w:color w:val="0000FF"/>
          </w:rPr>
          <w:t>Insider Trading Policy (incorporated by reference to Exhibit 19.1 to the Annual Report on Form 10-K filed by the Company on</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March 17, 2025)</w:t>
        </w:r>
        <w:r>
          <w:rPr>
            <w:rFonts w:ascii="Times New Roman" w:cs="Times New Roman" w:eastAsia="Times New Roman" w:hAnsi="Times New Roman"/>
            <w:sz w:val="18"/>
            <w:szCs w:val="18"/>
            <w:color w:val="000000"/>
          </w:rPr>
          <w:t>.</w:t>
        </w:r>
      </w:hyperlink>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-127635</wp:posOffset>
            </wp:positionV>
            <wp:extent cx="6845300" cy="144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6845300" cy="1441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BDO USA, P.C, independent registered accounting firm</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12700</wp:posOffset>
            </wp:positionV>
            <wp:extent cx="6845300" cy="144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9">
                      <a:extLst>
                        <a:ext uri="{28A0092B-C50C-407E-A947-70E740481C1C}"/>
                      </a:extLst>
                    </a:blip>
                    <a:srcRect/>
                    <a:stretch>
                      <a:fillRect/>
                    </a:stretch>
                  </pic:blipFill>
                  <pic:spPr bwMode="auto">
                    <a:xfrm>
                      <a:off x="0" y="0"/>
                      <a:ext cx="6845300"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the signature page of this Annual Report on Form 10-K)</w:t>
      </w:r>
      <w:r>
        <w:rPr>
          <w:rFonts w:ascii="Times New Roman" w:cs="Times New Roman" w:eastAsia="Times New Roman" w:hAnsi="Times New Roman"/>
          <w:sz w:val="18"/>
          <w:szCs w:val="18"/>
          <w:color w:val="000000"/>
        </w:rPr>
        <w:t>.</w:t>
      </w:r>
    </w:p>
    <w:p>
      <w:pPr>
        <w:spacing w:after="0" w:line="20"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Rules 13a-14(a) and 15d-14(a) under the Securities Exchange Act of 1934, as Adopted Pursuant to Section 302 of the Sarbanes-Oxley Act of 2002.</w:t>
      </w:r>
    </w:p>
    <w:p>
      <w:pPr>
        <w:spacing w:after="0" w:line="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ind w:right="20"/>
        <w:spacing w:after="0" w:line="235"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18 U.S.C. Section 1350, as Adopted Pursuant to Section 906 of the Sarbanes-Oxley Act of 2002.</w:t>
      </w:r>
    </w:p>
    <w:p>
      <w:pPr>
        <w:spacing w:after="0" w:line="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71120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740" w:space="720"/>
            <w:col w:w="9280"/>
          </w:cols>
          <w:pgMar w:left="580" w:top="963" w:right="579" w:bottom="1440" w:gutter="0" w:footer="0" w:header="0"/>
        </w:sectPr>
      </w:pPr>
    </w:p>
    <w:bookmarkStart w:id="76" w:name="page77"/>
    <w:bookmarkEnd w:id="76"/>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101.SCH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101.CAL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101.LAB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35"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Clawback Policy (incorporated by reference to Exhibit 97.1 to the Annual Report on Form 10-K filed by the Company on March</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15, 2024).</w:t>
        </w:r>
      </w:hyperlink>
    </w:p>
    <w:p>
      <w:pPr>
        <w:spacing w:after="0" w:line="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-253365</wp:posOffset>
            </wp:positionV>
            <wp:extent cx="6845300" cy="262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6845300" cy="262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15875</wp:posOffset>
            </wp:positionV>
            <wp:extent cx="6845300" cy="144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6845300" cy="1441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12700</wp:posOffset>
            </wp:positionV>
            <wp:extent cx="6845300" cy="144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6845300"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12700</wp:posOffset>
            </wp:positionV>
            <wp:extent cx="6845300" cy="144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6845300"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40" w:space="720"/>
            <w:col w:w="9280"/>
          </w:cols>
          <w:pgMar w:left="580" w:top="963" w:right="579" w:bottom="1440" w:gutter="0" w:footer="0" w:header="0"/>
        </w:sectPr>
      </w:pPr>
    </w:p>
    <w:p>
      <w:pPr>
        <w:spacing w:after="0" w:line="175" w:lineRule="exact"/>
        <w:rPr>
          <w:sz w:val="20"/>
          <w:szCs w:val="20"/>
          <w:color w:val="auto"/>
        </w:rPr>
      </w:pPr>
    </w:p>
    <w:p>
      <w:pPr>
        <w:ind w:left="680" w:hanging="5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6" w:lineRule="exact"/>
        <w:rPr>
          <w:sz w:val="20"/>
          <w:szCs w:val="20"/>
          <w:color w:val="auto"/>
        </w:rPr>
      </w:pPr>
    </w:p>
    <w:p>
      <w:pPr>
        <w:jc w:val="both"/>
        <w:ind w:left="680" w:right="180" w:hanging="521"/>
        <w:spacing w:after="0" w:line="22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pacing w:after="0" w:line="8" w:lineRule="exact"/>
        <w:rPr>
          <w:sz w:val="20"/>
          <w:szCs w:val="20"/>
          <w:color w:val="auto"/>
        </w:rPr>
      </w:pPr>
    </w:p>
    <w:p>
      <w:pPr>
        <w:ind w:left="680" w:hanging="5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6" w:lineRule="exact"/>
        <w:rPr>
          <w:sz w:val="20"/>
          <w:szCs w:val="20"/>
          <w:color w:val="auto"/>
        </w:rPr>
      </w:pPr>
    </w:p>
    <w:p>
      <w:pPr>
        <w:ind w:left="680" w:right="180" w:hanging="521"/>
        <w:spacing w:after="0" w:line="23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Company agrees to furnish supplementally a copy of any omitted schedule or exhibit to the SEC upon request.</w:t>
      </w:r>
    </w:p>
    <w:p>
      <w:pPr>
        <w:spacing w:after="0" w:line="8" w:lineRule="exact"/>
        <w:rPr>
          <w:sz w:val="20"/>
          <w:szCs w:val="20"/>
          <w:color w:val="auto"/>
        </w:rPr>
      </w:pPr>
    </w:p>
    <w:p>
      <w:pPr>
        <w:ind w:left="680" w:right="180" w:hanging="521"/>
        <w:spacing w:after="0" w:line="235"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exhibits to this exhibit have been omitted pursuant to Regulation S-K Item 601(a)(5). The Company agrees to furnish supplementally a copy of any omitted schedule or exhibit to the SEC upon its request.</w:t>
      </w:r>
    </w:p>
    <w:p>
      <w:pPr>
        <w:spacing w:after="0" w:line="9" w:lineRule="exact"/>
        <w:rPr>
          <w:sz w:val="20"/>
          <w:szCs w:val="20"/>
          <w:color w:val="auto"/>
        </w:rPr>
      </w:pPr>
    </w:p>
    <w:p>
      <w:pPr>
        <w:ind w:left="680" w:hanging="521"/>
        <w:spacing w:after="0"/>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confidential information contained in this document has been redacted in accordance with Item 601(b)(10)(iv) of Regulation S-K.</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9" w:lineRule="exact"/>
        <w:rPr>
          <w:rFonts w:ascii="Times New Roman" w:cs="Times New Roman" w:eastAsia="Times New Roman" w:hAnsi="Times New Roman"/>
          <w:sz w:val="17"/>
          <w:szCs w:val="17"/>
          <w:color w:val="auto"/>
        </w:rPr>
      </w:pPr>
    </w:p>
    <w:p>
      <w:pPr>
        <w:ind w:left="5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62865</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40"/>
          </w:cols>
          <w:pgMar w:left="580" w:top="963" w:right="579" w:bottom="1440" w:gutter="0" w:footer="0" w:header="0"/>
          <w:type w:val="continuous"/>
        </w:sectPr>
      </w:pPr>
    </w:p>
    <w:bookmarkStart w:id="77" w:name="page78"/>
    <w:bookmarkEnd w:id="77"/>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62865</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8" w:name="page79"/>
    <w:bookmarkEnd w:id="78"/>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65" w:lineRule="exact"/>
        <w:rPr>
          <w:sz w:val="20"/>
          <w:szCs w:val="20"/>
          <w:color w:val="auto"/>
        </w:rPr>
      </w:pPr>
    </w:p>
    <w:p>
      <w:pPr>
        <w:ind w:left="900"/>
        <w:spacing w:after="0"/>
        <w:tabs>
          <w:tab w:leader="none" w:pos="5600" w:val="left"/>
        </w:tabs>
        <w:rPr>
          <w:sz w:val="20"/>
          <w:szCs w:val="20"/>
          <w:color w:val="auto"/>
        </w:rPr>
      </w:pPr>
      <w:r>
        <w:rPr>
          <w:rFonts w:ascii="Times New Roman" w:cs="Times New Roman" w:eastAsia="Times New Roman" w:hAnsi="Times New Roman"/>
          <w:sz w:val="18"/>
          <w:szCs w:val="18"/>
          <w:color w:val="auto"/>
        </w:rPr>
        <w:t>March 16, 2026</w:t>
      </w:r>
      <w:r>
        <w:rPr>
          <w:sz w:val="20"/>
          <w:szCs w:val="20"/>
          <w:color w:val="auto"/>
        </w:rPr>
        <w:tab/>
      </w:r>
      <w:r>
        <w:rPr>
          <w:rFonts w:ascii="Times New Roman" w:cs="Times New Roman" w:eastAsia="Times New Roman" w:hAnsi="Times New Roman"/>
          <w:sz w:val="17"/>
          <w:szCs w:val="17"/>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33020</wp:posOffset>
            </wp:positionV>
            <wp:extent cx="30283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3028315" cy="8255"/>
                    </a:xfrm>
                    <a:prstGeom prst="rect">
                      <a:avLst/>
                    </a:prstGeom>
                    <a:noFill/>
                  </pic:spPr>
                </pic:pic>
              </a:graphicData>
            </a:graphic>
          </wp:anchor>
        </w:drawing>
      </w:r>
    </w:p>
    <w:p>
      <w:pPr>
        <w:spacing w:after="0" w:line="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367"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Jonathan Maurer, Adam Comora, Kazi Hasan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202" w:lineRule="exact"/>
        <w:rPr>
          <w:sz w:val="20"/>
          <w:szCs w:val="20"/>
          <w:color w:val="auto"/>
        </w:rPr>
      </w:pPr>
    </w:p>
    <w:p>
      <w:pPr>
        <w:ind w:right="260" w:firstLine="64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0" w:type="dxa"/>
            <w:vAlign w:val="bottom"/>
          </w:tcPr>
          <w:p>
            <w:pPr>
              <w:spacing w:after="0"/>
              <w:rPr>
                <w:sz w:val="20"/>
                <w:szCs w:val="20"/>
                <w:color w:val="auto"/>
              </w:rPr>
            </w:pPr>
          </w:p>
        </w:tc>
        <w:tc>
          <w:tcPr>
            <w:tcW w:w="426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60" w:type="dxa"/>
            <w:vAlign w:val="bottom"/>
          </w:tcPr>
          <w:p>
            <w:pPr>
              <w:spacing w:after="0"/>
              <w:rPr>
                <w:sz w:val="20"/>
                <w:szCs w:val="20"/>
                <w:color w:val="auto"/>
              </w:rPr>
            </w:pPr>
          </w:p>
        </w:tc>
        <w:tc>
          <w:tcPr>
            <w:tcW w:w="560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6"/>
        </w:trPr>
        <w:tc>
          <w:tcPr>
            <w:tcW w:w="12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501"/>
        </w:trPr>
        <w:tc>
          <w:tcPr>
            <w:tcW w:w="120" w:type="dxa"/>
            <w:vAlign w:val="bottom"/>
          </w:tcPr>
          <w:p>
            <w:pPr>
              <w:spacing w:after="0"/>
              <w:rPr>
                <w:sz w:val="24"/>
                <w:szCs w:val="24"/>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Comora</w:t>
            </w:r>
          </w:p>
        </w:tc>
        <w:tc>
          <w:tcPr>
            <w:tcW w:w="1260" w:type="dxa"/>
            <w:vAlign w:val="bottom"/>
            <w:tcBorders>
              <w:bottom w:val="single" w:sz="8" w:color="auto"/>
            </w:tcBorders>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226"/>
        </w:trPr>
        <w:tc>
          <w:tcPr>
            <w:tcW w:w="1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Comora</w:t>
            </w:r>
          </w:p>
        </w:tc>
        <w:tc>
          <w:tcPr>
            <w:tcW w:w="12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12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2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07"/>
        </w:trPr>
        <w:tc>
          <w:tcPr>
            <w:tcW w:w="120" w:type="dxa"/>
            <w:vAlign w:val="bottom"/>
          </w:tcPr>
          <w:p>
            <w:pPr>
              <w:spacing w:after="0"/>
              <w:rPr>
                <w:sz w:val="24"/>
                <w:szCs w:val="24"/>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Betsy L. Battle</w:t>
            </w:r>
          </w:p>
        </w:tc>
        <w:tc>
          <w:tcPr>
            <w:tcW w:w="1260" w:type="dxa"/>
            <w:vAlign w:val="bottom"/>
            <w:tcBorders>
              <w:bottom w:val="single" w:sz="8" w:color="auto"/>
            </w:tcBorders>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1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Betsy L. Battle</w:t>
            </w:r>
          </w:p>
        </w:tc>
        <w:tc>
          <w:tcPr>
            <w:tcW w:w="12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12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2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20"/>
        </w:trPr>
        <w:tc>
          <w:tcPr>
            <w:tcW w:w="120" w:type="dxa"/>
            <w:vAlign w:val="bottom"/>
          </w:tcPr>
          <w:p>
            <w:pPr>
              <w:spacing w:after="0"/>
              <w:rPr>
                <w:sz w:val="24"/>
                <w:szCs w:val="24"/>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Dols</w:t>
            </w:r>
          </w:p>
        </w:tc>
        <w:tc>
          <w:tcPr>
            <w:tcW w:w="1260" w:type="dxa"/>
            <w:vAlign w:val="bottom"/>
            <w:tcBorders>
              <w:bottom w:val="single" w:sz="8" w:color="auto"/>
            </w:tcBorders>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1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Dols</w:t>
            </w:r>
          </w:p>
        </w:tc>
        <w:tc>
          <w:tcPr>
            <w:tcW w:w="12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12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2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20"/>
        </w:trPr>
        <w:tc>
          <w:tcPr>
            <w:tcW w:w="120" w:type="dxa"/>
            <w:vAlign w:val="bottom"/>
          </w:tcPr>
          <w:p>
            <w:pPr>
              <w:spacing w:after="0"/>
              <w:rPr>
                <w:sz w:val="24"/>
                <w:szCs w:val="24"/>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Martell</w:t>
            </w:r>
          </w:p>
        </w:tc>
        <w:tc>
          <w:tcPr>
            <w:tcW w:w="1260" w:type="dxa"/>
            <w:vAlign w:val="bottom"/>
            <w:tcBorders>
              <w:bottom w:val="single" w:sz="8" w:color="auto"/>
            </w:tcBorders>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1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Martell</w:t>
            </w:r>
          </w:p>
        </w:tc>
        <w:tc>
          <w:tcPr>
            <w:tcW w:w="12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12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2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20"/>
        </w:trPr>
        <w:tc>
          <w:tcPr>
            <w:tcW w:w="120" w:type="dxa"/>
            <w:vAlign w:val="bottom"/>
          </w:tcPr>
          <w:p>
            <w:pPr>
              <w:spacing w:after="0"/>
              <w:rPr>
                <w:sz w:val="24"/>
                <w:szCs w:val="24"/>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Lance Moll</w:t>
            </w:r>
          </w:p>
        </w:tc>
        <w:tc>
          <w:tcPr>
            <w:tcW w:w="1260" w:type="dxa"/>
            <w:vAlign w:val="bottom"/>
            <w:tcBorders>
              <w:bottom w:val="single" w:sz="8" w:color="auto"/>
            </w:tcBorders>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1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Lance Moll</w:t>
            </w:r>
          </w:p>
        </w:tc>
        <w:tc>
          <w:tcPr>
            <w:tcW w:w="12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12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2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20"/>
        </w:trPr>
        <w:tc>
          <w:tcPr>
            <w:tcW w:w="120" w:type="dxa"/>
            <w:vAlign w:val="bottom"/>
          </w:tcPr>
          <w:p>
            <w:pPr>
              <w:spacing w:after="0"/>
              <w:rPr>
                <w:sz w:val="24"/>
                <w:szCs w:val="24"/>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Nadeem Nisar</w:t>
            </w:r>
          </w:p>
        </w:tc>
        <w:tc>
          <w:tcPr>
            <w:tcW w:w="1260" w:type="dxa"/>
            <w:vAlign w:val="bottom"/>
            <w:tcBorders>
              <w:bottom w:val="single" w:sz="8" w:color="auto"/>
            </w:tcBorders>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889"/>
        </w:trPr>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760" w:type="dxa"/>
            <w:vAlign w:val="bottom"/>
            <w:gridSpan w:val="2"/>
          </w:tcPr>
          <w:p>
            <w:pPr>
              <w:jc w:val="right"/>
              <w:ind w:right="533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r>
      <w:tr>
        <w:trPr>
          <w:trHeight w:val="100"/>
        </w:trPr>
        <w:tc>
          <w:tcPr>
            <w:tcW w:w="12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5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283845</wp:posOffset>
            </wp:positionH>
            <wp:positionV relativeFrom="page">
              <wp:posOffset>614680</wp:posOffset>
            </wp:positionV>
            <wp:extent cx="34950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3495040" cy="8255"/>
                    </a:xfrm>
                    <a:prstGeom prst="rect">
                      <a:avLst/>
                    </a:prstGeom>
                    <a:noFill/>
                  </pic:spPr>
                </pic:pic>
              </a:graphicData>
            </a:graphic>
          </wp:anchor>
        </w:drawing>
        <w:t>Nadeem Nisar</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Sutton</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Sutton</w:t>
            </w:r>
          </w:p>
        </w:tc>
        <w:tc>
          <w:tcPr>
            <w:tcW w:w="1980" w:type="dxa"/>
            <w:vAlign w:val="bottom"/>
          </w:tcPr>
          <w:p>
            <w:pPr>
              <w:spacing w:after="0"/>
              <w:rPr>
                <w:sz w:val="19"/>
                <w:szCs w:val="19"/>
                <w:color w:val="auto"/>
              </w:rPr>
            </w:pPr>
          </w:p>
        </w:tc>
      </w:tr>
      <w:tr>
        <w:trPr>
          <w:trHeight w:val="24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980" w:type="dxa"/>
            <w:vAlign w:val="bottom"/>
          </w:tcPr>
          <w:p>
            <w:pPr>
              <w:spacing w:after="0"/>
              <w:rPr>
                <w:sz w:val="21"/>
                <w:szCs w:val="21"/>
                <w:color w:val="auto"/>
              </w:rPr>
            </w:pPr>
          </w:p>
        </w:tc>
      </w:tr>
      <w:tr>
        <w:trPr>
          <w:trHeight w:val="49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Ashok Vemuri</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1980" w:type="dxa"/>
            <w:vAlign w:val="bottom"/>
          </w:tcPr>
          <w:p>
            <w:pPr>
              <w:spacing w:after="0"/>
              <w:rPr>
                <w:sz w:val="19"/>
                <w:szCs w:val="19"/>
                <w:color w:val="auto"/>
              </w:rPr>
            </w:pPr>
          </w:p>
        </w:tc>
      </w:tr>
      <w:tr>
        <w:trPr>
          <w:trHeight w:val="24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980" w:type="dxa"/>
            <w:vAlign w:val="bottom"/>
          </w:tcPr>
          <w:p>
            <w:pPr>
              <w:spacing w:after="0"/>
              <w:rPr>
                <w:sz w:val="21"/>
                <w:szCs w:val="21"/>
                <w:color w:val="auto"/>
              </w:rPr>
            </w:pPr>
          </w:p>
        </w:tc>
      </w:tr>
      <w:tr>
        <w:trPr>
          <w:trHeight w:val="49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Adam Comora</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w w:val="98"/>
              </w:rPr>
              <w:t>Co-Chief Executive Officer</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Comora</w:t>
            </w:r>
          </w:p>
        </w:tc>
        <w:tc>
          <w:tcPr>
            <w:tcW w:w="1980" w:type="dxa"/>
            <w:vAlign w:val="bottom"/>
          </w:tcPr>
          <w:p>
            <w:pPr>
              <w:spacing w:after="0"/>
              <w:rPr>
                <w:sz w:val="19"/>
                <w:szCs w:val="19"/>
                <w:color w:val="auto"/>
              </w:rPr>
            </w:pPr>
          </w:p>
        </w:tc>
      </w:tr>
      <w:tr>
        <w:trPr>
          <w:trHeight w:val="24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980" w:type="dxa"/>
            <w:vAlign w:val="bottom"/>
          </w:tcPr>
          <w:p>
            <w:pPr>
              <w:spacing w:after="0"/>
              <w:rPr>
                <w:sz w:val="21"/>
                <w:szCs w:val="21"/>
                <w:color w:val="auto"/>
              </w:rPr>
            </w:pPr>
          </w:p>
        </w:tc>
      </w:tr>
      <w:tr>
        <w:trPr>
          <w:trHeight w:val="49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Maurer</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w w:val="98"/>
              </w:rPr>
              <w:t>Co-Chief Executive Officer</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Maurer</w:t>
            </w:r>
          </w:p>
        </w:tc>
        <w:tc>
          <w:tcPr>
            <w:tcW w:w="1980" w:type="dxa"/>
            <w:vAlign w:val="bottom"/>
          </w:tcPr>
          <w:p>
            <w:pPr>
              <w:spacing w:after="0"/>
              <w:rPr>
                <w:sz w:val="19"/>
                <w:szCs w:val="19"/>
                <w:color w:val="auto"/>
              </w:rPr>
            </w:pPr>
          </w:p>
        </w:tc>
      </w:tr>
      <w:tr>
        <w:trPr>
          <w:trHeight w:val="24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980" w:type="dxa"/>
            <w:vAlign w:val="bottom"/>
          </w:tcPr>
          <w:p>
            <w:pPr>
              <w:spacing w:after="0"/>
              <w:rPr>
                <w:sz w:val="21"/>
                <w:szCs w:val="21"/>
                <w:color w:val="auto"/>
              </w:rPr>
            </w:pPr>
          </w:p>
        </w:tc>
      </w:tr>
      <w:tr>
        <w:trPr>
          <w:trHeight w:val="49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Kazi Hasan</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Kazi Hasan</w:t>
            </w:r>
          </w:p>
        </w:tc>
        <w:tc>
          <w:tcPr>
            <w:tcW w:w="1980" w:type="dxa"/>
            <w:vAlign w:val="bottom"/>
          </w:tcPr>
          <w:p>
            <w:pPr>
              <w:spacing w:after="0"/>
              <w:rPr>
                <w:sz w:val="19"/>
                <w:szCs w:val="19"/>
                <w:color w:val="auto"/>
              </w:rPr>
            </w:pPr>
          </w:p>
        </w:tc>
      </w:tr>
      <w:tr>
        <w:trPr>
          <w:trHeight w:val="24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16, 2026</w:t>
            </w:r>
          </w:p>
        </w:tc>
        <w:tc>
          <w:tcPr>
            <w:tcW w:w="19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71120</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019"/>
          </w:cols>
          <w:pgMar w:left="440" w:top="976" w:right="1440"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(BDO USA, P.C.; Melville, NY; PCAOB ID No.</w:t>
            </w:r>
            <w:r>
              <w:rPr>
                <w:rFonts w:ascii="Times New Roman" w:cs="Times New Roman" w:eastAsia="Times New Roman" w:hAnsi="Times New Roman"/>
                <w:sz w:val="18"/>
                <w:szCs w:val="18"/>
                <w:color w:val="000000"/>
              </w:rPr>
              <w:t>243</w:t>
            </w:r>
            <w:r>
              <w:rPr>
                <w:rFonts w:ascii="Times New Roman" w:cs="Times New Roman" w:eastAsia="Times New Roman" w:hAnsi="Times New Roman"/>
                <w:sz w:val="18"/>
                <w:szCs w:val="18"/>
                <w:u w:val="single" w:color="auto"/>
                <w:color w:val="0000FF"/>
              </w:rPr>
              <w:t>)</w:t>
            </w: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F-1</w:t>
            </w:r>
          </w:p>
        </w:tc>
      </w:tr>
      <w:tr>
        <w:trPr>
          <w:trHeight w:val="267"/>
        </w:trPr>
        <w:tc>
          <w:tcPr>
            <w:tcW w:w="312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47"/>
        </w:trPr>
        <w:tc>
          <w:tcPr>
            <w:tcW w:w="9640" w:type="dxa"/>
            <w:vAlign w:val="bottom"/>
            <w:gridSpan w:val="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820" w:type="dxa"/>
            <w:vAlign w:val="bottom"/>
            <w:gridSpan w:val="3"/>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0000FF"/>
              </w:rPr>
              <w:t>F-2</w:t>
            </w:r>
          </w:p>
        </w:tc>
      </w:tr>
      <w:tr>
        <w:trPr>
          <w:trHeight w:val="267"/>
        </w:trPr>
        <w:tc>
          <w:tcPr>
            <w:tcW w:w="312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47"/>
        </w:trPr>
        <w:tc>
          <w:tcPr>
            <w:tcW w:w="9640" w:type="dxa"/>
            <w:vAlign w:val="bottom"/>
            <w:gridSpan w:val="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and 2024</w:t>
            </w:r>
          </w:p>
        </w:tc>
        <w:tc>
          <w:tcPr>
            <w:tcW w:w="820" w:type="dxa"/>
            <w:vAlign w:val="bottom"/>
            <w:gridSpan w:val="3"/>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0000FF"/>
              </w:rPr>
              <w:t>F-4</w:t>
            </w:r>
          </w:p>
        </w:tc>
      </w:tr>
      <w:tr>
        <w:trPr>
          <w:trHeight w:val="267"/>
        </w:trPr>
        <w:tc>
          <w:tcPr>
            <w:tcW w:w="312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47"/>
        </w:trPr>
        <w:tc>
          <w:tcPr>
            <w:tcW w:w="9640" w:type="dxa"/>
            <w:vAlign w:val="bottom"/>
            <w:gridSpan w:val="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and 2024</w:t>
            </w:r>
          </w:p>
        </w:tc>
        <w:tc>
          <w:tcPr>
            <w:tcW w:w="820" w:type="dxa"/>
            <w:vAlign w:val="bottom"/>
            <w:gridSpan w:val="3"/>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0000FF"/>
              </w:rPr>
              <w:t>F-5</w:t>
            </w:r>
          </w:p>
        </w:tc>
      </w:tr>
      <w:tr>
        <w:trPr>
          <w:trHeight w:val="267"/>
        </w:trPr>
        <w:tc>
          <w:tcPr>
            <w:tcW w:w="312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00"/>
        </w:trPr>
        <w:tc>
          <w:tcPr>
            <w:tcW w:w="9640" w:type="dxa"/>
            <w:vAlign w:val="bottom"/>
            <w:gridSpan w:val="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 Redeemable Preferred Non-controlling Interest and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41"/>
        </w:trPr>
        <w:tc>
          <w:tcPr>
            <w:tcW w:w="9240" w:type="dxa"/>
            <w:vAlign w:val="bottom"/>
            <w:tcBorders>
              <w:top w:val="single" w:sz="8" w:color="0000FF"/>
            </w:tcBorders>
            <w:gridSpan w:val="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Stockholders' Deficit for the years ended December 31, 2025 and 2024</w:t>
            </w:r>
          </w:p>
        </w:tc>
        <w:tc>
          <w:tcPr>
            <w:tcW w:w="4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0000FF"/>
              </w:rPr>
              <w:t>F-6</w:t>
            </w:r>
          </w:p>
        </w:tc>
      </w:tr>
      <w:tr>
        <w:trPr>
          <w:trHeight w:val="267"/>
        </w:trPr>
        <w:tc>
          <w:tcPr>
            <w:tcW w:w="312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47"/>
        </w:trPr>
        <w:tc>
          <w:tcPr>
            <w:tcW w:w="9640" w:type="dxa"/>
            <w:vAlign w:val="bottom"/>
            <w:gridSpan w:val="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2024</w:t>
            </w:r>
          </w:p>
        </w:tc>
        <w:tc>
          <w:tcPr>
            <w:tcW w:w="820" w:type="dxa"/>
            <w:vAlign w:val="bottom"/>
            <w:gridSpan w:val="3"/>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0000FF"/>
              </w:rPr>
              <w:t>F-8</w:t>
            </w:r>
          </w:p>
        </w:tc>
      </w:tr>
      <w:tr>
        <w:trPr>
          <w:trHeight w:val="267"/>
        </w:trPr>
        <w:tc>
          <w:tcPr>
            <w:tcW w:w="312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00"/>
        </w:trPr>
        <w:tc>
          <w:tcPr>
            <w:tcW w:w="9640" w:type="dxa"/>
            <w:vAlign w:val="bottom"/>
            <w:gridSpan w:val="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20" w:type="dxa"/>
            <w:vAlign w:val="bottom"/>
            <w:gridSpan w:val="3"/>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0000FF"/>
              </w:rPr>
              <w:t>F-10</w:t>
            </w:r>
          </w:p>
        </w:tc>
      </w:tr>
      <w:tr>
        <w:trPr>
          <w:trHeight w:val="47"/>
        </w:trPr>
        <w:tc>
          <w:tcPr>
            <w:tcW w:w="3120" w:type="dxa"/>
            <w:vAlign w:val="bottom"/>
            <w:tcBorders>
              <w:top w:val="single" w:sz="8" w:color="0000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62865</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60"/>
          </w:cols>
          <w:pgMar w:left="720" w:top="1399" w:right="7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OPAL Fuels Inc. (the “Company”) as of December 31, 2025 and 2024, the related consolidated statements of operations, comprehensive income, changes in redeemable non-controlling interest, redeemable preferred non-controlling interest and stockholders'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9. Related Parties</w:t>
      </w:r>
      <w:r>
        <w:rPr>
          <w:rFonts w:ascii="Times New Roman" w:cs="Times New Roman" w:eastAsia="Times New Roman" w:hAnsi="Times New Roman"/>
          <w:sz w:val="18"/>
          <w:szCs w:val="18"/>
          <w:color w:val="auto"/>
        </w:rPr>
        <w:t xml:space="preserve"> to the consolidated financial statements, the Company has entered into significant transactions with NextEra Energy Marketing, LLC (“NextEra”) and Fortistar LLC (“Fortistar”), which are related parties. Our opinion is not modified with respect to this matter.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3"/>
        </w:trPr>
        <w:tc>
          <w:tcPr>
            <w:tcW w:w="8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76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24,408</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24,310</w:t>
            </w:r>
          </w:p>
        </w:tc>
        <w:tc>
          <w:tcPr>
            <w:tcW w:w="0" w:type="dxa"/>
            <w:vAlign w:val="bottom"/>
          </w:tcPr>
          <w:p>
            <w:pPr>
              <w:spacing w:after="0"/>
              <w:rPr>
                <w:sz w:val="1"/>
                <w:szCs w:val="1"/>
                <w:color w:val="auto"/>
              </w:rPr>
            </w:pPr>
          </w:p>
        </w:tc>
      </w:tr>
      <w:tr>
        <w:trPr>
          <w:trHeight w:val="214"/>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Accounts receivable, net of allowance of $469 and $—, respectively </w:t>
            </w:r>
            <w:r>
              <w:rPr>
                <w:rFonts w:ascii="Times New Roman" w:cs="Times New Roman" w:eastAsia="Times New Roman" w:hAnsi="Times New Roman"/>
                <w:sz w:val="18"/>
                <w:szCs w:val="18"/>
                <w:color w:val="auto"/>
                <w:vertAlign w:val="superscript"/>
              </w:rPr>
              <w:t>(2)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61,806</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46,535</w:t>
            </w:r>
          </w:p>
        </w:tc>
        <w:tc>
          <w:tcPr>
            <w:tcW w:w="0" w:type="dxa"/>
            <w:vAlign w:val="bottom"/>
          </w:tcPr>
          <w:p>
            <w:pPr>
              <w:spacing w:after="0"/>
              <w:rPr>
                <w:sz w:val="1"/>
                <w:szCs w:val="1"/>
                <w:color w:val="auto"/>
              </w:rPr>
            </w:pPr>
          </w:p>
        </w:tc>
      </w:tr>
      <w:tr>
        <w:trPr>
          <w:trHeight w:val="19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cash - current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89"/>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Contract assets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11,075</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Parts inventory</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0" w:type="dxa"/>
            <w:vAlign w:val="bottom"/>
          </w:tcPr>
          <w:p>
            <w:pPr>
              <w:spacing w:after="0"/>
              <w:rPr>
                <w:sz w:val="1"/>
                <w:szCs w:val="1"/>
                <w:color w:val="auto"/>
              </w:rPr>
            </w:pPr>
          </w:p>
        </w:tc>
      </w:tr>
      <w:tr>
        <w:trPr>
          <w:trHeight w:val="189"/>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16,018</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23,583</w:t>
            </w:r>
          </w:p>
        </w:tc>
        <w:tc>
          <w:tcPr>
            <w:tcW w:w="0" w:type="dxa"/>
            <w:vAlign w:val="bottom"/>
          </w:tcPr>
          <w:p>
            <w:pPr>
              <w:spacing w:after="0"/>
              <w:rPr>
                <w:sz w:val="1"/>
                <w:szCs w:val="1"/>
                <w:color w:val="auto"/>
              </w:rPr>
            </w:pPr>
          </w:p>
        </w:tc>
      </w:tr>
      <w:tr>
        <w:trPr>
          <w:trHeight w:val="25"/>
        </w:trPr>
        <w:tc>
          <w:tcPr>
            <w:tcW w:w="8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122,682</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116,769</w:t>
            </w:r>
          </w:p>
        </w:tc>
        <w:tc>
          <w:tcPr>
            <w:tcW w:w="0" w:type="dxa"/>
            <w:vAlign w:val="bottom"/>
          </w:tcPr>
          <w:p>
            <w:pPr>
              <w:spacing w:after="0"/>
              <w:rPr>
                <w:sz w:val="1"/>
                <w:szCs w:val="1"/>
                <w:color w:val="auto"/>
              </w:rPr>
            </w:pPr>
          </w:p>
        </w:tc>
      </w:tr>
      <w:tr>
        <w:trPr>
          <w:trHeight w:val="182"/>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495,634</w:t>
            </w: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458,258</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Investments in other entities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231,223</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223,594</w:t>
            </w:r>
          </w:p>
        </w:tc>
        <w:tc>
          <w:tcPr>
            <w:tcW w:w="0" w:type="dxa"/>
            <w:vAlign w:val="bottom"/>
          </w:tcPr>
          <w:p>
            <w:pPr>
              <w:spacing w:after="0"/>
              <w:rPr>
                <w:sz w:val="1"/>
                <w:szCs w:val="1"/>
                <w:color w:val="auto"/>
              </w:rPr>
            </w:pPr>
          </w:p>
        </w:tc>
      </w:tr>
      <w:tr>
        <w:trPr>
          <w:trHeight w:val="189"/>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investment in sales-type lease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cash - non-current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0" w:type="dxa"/>
            <w:vAlign w:val="bottom"/>
          </w:tcPr>
          <w:p>
            <w:pPr>
              <w:spacing w:after="0"/>
              <w:rPr>
                <w:sz w:val="1"/>
                <w:szCs w:val="1"/>
                <w:color w:val="auto"/>
              </w:rPr>
            </w:pPr>
          </w:p>
        </w:tc>
      </w:tr>
      <w:tr>
        <w:trPr>
          <w:trHeight w:val="189"/>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assets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44,398</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25,550</w:t>
            </w:r>
          </w:p>
        </w:tc>
        <w:tc>
          <w:tcPr>
            <w:tcW w:w="0" w:type="dxa"/>
            <w:vAlign w:val="bottom"/>
          </w:tcPr>
          <w:p>
            <w:pPr>
              <w:spacing w:after="0"/>
              <w:rPr>
                <w:sz w:val="1"/>
                <w:szCs w:val="1"/>
                <w:color w:val="auto"/>
              </w:rPr>
            </w:pPr>
          </w:p>
        </w:tc>
      </w:tr>
      <w:tr>
        <w:trPr>
          <w:trHeight w:val="207"/>
        </w:trPr>
        <w:tc>
          <w:tcPr>
            <w:tcW w:w="8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959,469</w:t>
            </w: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881,077</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Liabilities and Stockholders' Deficit </w:t>
            </w:r>
            <w:r>
              <w:rPr>
                <w:rFonts w:ascii="Times New Roman" w:cs="Times New Roman" w:eastAsia="Times New Roman" w:hAnsi="Times New Roman"/>
                <w:sz w:val="18"/>
                <w:szCs w:val="18"/>
                <w:b w:val="1"/>
                <w:bCs w:val="1"/>
                <w:color w:val="auto"/>
                <w:vertAlign w:val="superscript"/>
              </w:rPr>
              <w:t>(1)</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Accounts payable </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17,111</w:t>
            </w:r>
          </w:p>
        </w:tc>
        <w:tc>
          <w:tcPr>
            <w:tcW w:w="0" w:type="dxa"/>
            <w:vAlign w:val="bottom"/>
          </w:tcPr>
          <w:p>
            <w:pPr>
              <w:spacing w:after="0"/>
              <w:rPr>
                <w:sz w:val="1"/>
                <w:szCs w:val="1"/>
                <w:color w:val="auto"/>
              </w:rPr>
            </w:pPr>
          </w:p>
        </w:tc>
      </w:tr>
      <w:tr>
        <w:trPr>
          <w:trHeight w:val="189"/>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Contract liabilities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Loans, current portion</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15,062</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12,621</w:t>
            </w:r>
          </w:p>
        </w:tc>
        <w:tc>
          <w:tcPr>
            <w:tcW w:w="0" w:type="dxa"/>
            <w:vAlign w:val="bottom"/>
          </w:tcPr>
          <w:p>
            <w:pPr>
              <w:spacing w:after="0"/>
              <w:rPr>
                <w:sz w:val="1"/>
                <w:szCs w:val="1"/>
                <w:color w:val="auto"/>
              </w:rPr>
            </w:pPr>
          </w:p>
        </w:tc>
      </w:tr>
      <w:tr>
        <w:trPr>
          <w:trHeight w:val="189"/>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63,857</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64,588</w:t>
            </w:r>
          </w:p>
        </w:tc>
        <w:tc>
          <w:tcPr>
            <w:tcW w:w="0" w:type="dxa"/>
            <w:vAlign w:val="bottom"/>
          </w:tcPr>
          <w:p>
            <w:pPr>
              <w:spacing w:after="0"/>
              <w:rPr>
                <w:sz w:val="1"/>
                <w:szCs w:val="1"/>
                <w:color w:val="auto"/>
              </w:rPr>
            </w:pPr>
          </w:p>
        </w:tc>
      </w:tr>
      <w:tr>
        <w:trPr>
          <w:trHeight w:val="25"/>
        </w:trPr>
        <w:tc>
          <w:tcPr>
            <w:tcW w:w="8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104,219</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103,596</w:t>
            </w:r>
          </w:p>
        </w:tc>
        <w:tc>
          <w:tcPr>
            <w:tcW w:w="0" w:type="dxa"/>
            <w:vAlign w:val="bottom"/>
          </w:tcPr>
          <w:p>
            <w:pPr>
              <w:spacing w:after="0"/>
              <w:rPr>
                <w:sz w:val="1"/>
                <w:szCs w:val="1"/>
                <w:color w:val="auto"/>
              </w:rPr>
            </w:pPr>
          </w:p>
        </w:tc>
      </w:tr>
      <w:tr>
        <w:trPr>
          <w:trHeight w:val="182"/>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Loans, net of debt issuance costs</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337,063</w:t>
            </w: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285,003</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27,446</w:t>
            </w:r>
          </w:p>
        </w:tc>
        <w:tc>
          <w:tcPr>
            <w:tcW w:w="0" w:type="dxa"/>
            <w:vAlign w:val="bottom"/>
          </w:tcPr>
          <w:p>
            <w:pPr>
              <w:spacing w:after="0"/>
              <w:rPr>
                <w:sz w:val="1"/>
                <w:szCs w:val="1"/>
                <w:color w:val="auto"/>
              </w:rPr>
            </w:pPr>
          </w:p>
        </w:tc>
      </w:tr>
      <w:tr>
        <w:trPr>
          <w:trHeight w:val="182"/>
        </w:trPr>
        <w:tc>
          <w:tcPr>
            <w:tcW w:w="8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461,712</w:t>
            </w: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416,045</w:t>
            </w:r>
          </w:p>
        </w:tc>
        <w:tc>
          <w:tcPr>
            <w:tcW w:w="0" w:type="dxa"/>
            <w:vAlign w:val="bottom"/>
          </w:tcPr>
          <w:p>
            <w:pPr>
              <w:spacing w:after="0"/>
              <w:rPr>
                <w:sz w:val="1"/>
                <w:szCs w:val="1"/>
                <w:color w:val="auto"/>
              </w:rPr>
            </w:pPr>
          </w:p>
        </w:tc>
      </w:tr>
      <w:tr>
        <w:trPr>
          <w:trHeight w:val="25"/>
        </w:trPr>
        <w:tc>
          <w:tcPr>
            <w:tcW w:w="8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4"/>
                <w:szCs w:val="14"/>
                <w:i w:val="1"/>
                <w:iCs w:val="1"/>
                <w:color w:val="auto"/>
              </w:rPr>
              <w:t>Note 15</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Redeemable preferred non-controlling interests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377,898</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482,863</w:t>
            </w:r>
          </w:p>
        </w:tc>
        <w:tc>
          <w:tcPr>
            <w:tcW w:w="0" w:type="dxa"/>
            <w:vAlign w:val="bottom"/>
          </w:tcPr>
          <w:p>
            <w:pPr>
              <w:spacing w:after="0"/>
              <w:rPr>
                <w:sz w:val="1"/>
                <w:szCs w:val="1"/>
                <w:color w:val="auto"/>
              </w:rPr>
            </w:pPr>
          </w:p>
        </w:tc>
      </w:tr>
      <w:tr>
        <w:trPr>
          <w:trHeight w:val="189"/>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 stock, $0.0001 par value; shares issued: 30,633,161 and 30,065,260 at December 31, 2025 and 2024, respectively; shares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28,997,378 and 28,429,477 at December 31, 2025 and 2024, respectively</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4"/>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B common stock, $0.0001 par value; 121,500,000 issued and outstanding as of December 31, 2025 and 71,500,000 issued and outstanding as of</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December 31, 2024</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C common stock, $0.0001 par value; none issued and outstanding as of December 31, 2025 and 2024</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D common stock, $0.0001 par value; 22,899,037 shares issued and outstanding as of December 31, 2025 and 72,899,037 issued and outstanding</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 of December 31, 2024</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(137,004)</w:t>
            </w:r>
          </w:p>
        </w:tc>
        <w:tc>
          <w:tcPr>
            <w:tcW w:w="0" w:type="dxa"/>
            <w:vAlign w:val="bottom"/>
          </w:tcPr>
          <w:p>
            <w:pPr>
              <w:spacing w:after="0"/>
              <w:rPr>
                <w:sz w:val="1"/>
                <w:szCs w:val="1"/>
                <w:color w:val="auto"/>
              </w:rPr>
            </w:pPr>
          </w:p>
        </w:tc>
      </w:tr>
      <w:tr>
        <w:trPr>
          <w:trHeight w:val="189"/>
        </w:trPr>
        <w:tc>
          <w:tcPr>
            <w:tcW w:w="8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 stock in treasury, at cost; 1,635,783 shares as of December 31, 2025 and 2024</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0" w:type="dxa"/>
            <w:vAlign w:val="bottom"/>
          </w:tcPr>
          <w:p>
            <w:pPr>
              <w:spacing w:after="0"/>
              <w:rPr>
                <w:sz w:val="1"/>
                <w:szCs w:val="1"/>
                <w:color w:val="auto"/>
              </w:rPr>
            </w:pPr>
          </w:p>
        </w:tc>
      </w:tr>
      <w:tr>
        <w:trPr>
          <w:trHeight w:val="182"/>
        </w:trPr>
        <w:tc>
          <w:tcPr>
            <w:tcW w:w="8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stockholders' deficit attributable to the Company</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(12,930)</w:t>
            </w: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(148,449)</w:t>
            </w:r>
          </w:p>
        </w:tc>
        <w:tc>
          <w:tcPr>
            <w:tcW w:w="0" w:type="dxa"/>
            <w:vAlign w:val="bottom"/>
          </w:tcPr>
          <w:p>
            <w:pPr>
              <w:spacing w:after="0"/>
              <w:rPr>
                <w:sz w:val="1"/>
                <w:szCs w:val="1"/>
                <w:color w:val="auto"/>
              </w:rPr>
            </w:pPr>
          </w:p>
        </w:tc>
      </w:tr>
      <w:tr>
        <w:trPr>
          <w:trHeight w:val="25"/>
        </w:trPr>
        <w:tc>
          <w:tcPr>
            <w:tcW w:w="8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82"/>
        </w:trPr>
        <w:tc>
          <w:tcPr>
            <w:tcW w:w="8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(147,831)</w:t>
            </w:r>
          </w:p>
        </w:tc>
        <w:tc>
          <w:tcPr>
            <w:tcW w:w="0" w:type="dxa"/>
            <w:vAlign w:val="bottom"/>
          </w:tcPr>
          <w:p>
            <w:pPr>
              <w:spacing w:after="0"/>
              <w:rPr>
                <w:sz w:val="1"/>
                <w:szCs w:val="1"/>
                <w:color w:val="auto"/>
              </w:rPr>
            </w:pPr>
          </w:p>
        </w:tc>
      </w:tr>
      <w:tr>
        <w:trPr>
          <w:trHeight w:val="25"/>
        </w:trPr>
        <w:tc>
          <w:tcPr>
            <w:tcW w:w="8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 redeemable preferred, redeemable non-controlling interests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959,469</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881,077</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60" w:hanging="153"/>
        <w:spacing w:after="0"/>
        <w:tabs>
          <w:tab w:leader="none" w:pos="1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amounts related to consolidated VIEs, which are presented separately in the table below.</w:t>
      </w:r>
    </w:p>
    <w:p>
      <w:pPr>
        <w:ind w:left="160" w:hanging="153"/>
        <w:spacing w:after="0" w:line="161" w:lineRule="exact"/>
        <w:tabs>
          <w:tab w:leader="none" w:pos="16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related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amounts of $13,318 and $14,522 as of December 31, 2025 and 2024, respectively.</w:t>
      </w:r>
    </w:p>
    <w:p>
      <w:pPr>
        <w:spacing w:after="0" w:line="12" w:lineRule="exact"/>
        <w:rPr>
          <w:rFonts w:ascii="Times New Roman" w:cs="Times New Roman" w:eastAsia="Times New Roman" w:hAnsi="Times New Roman"/>
          <w:sz w:val="9"/>
          <w:szCs w:val="9"/>
          <w:color w:val="auto"/>
        </w:rPr>
      </w:pPr>
    </w:p>
    <w:p>
      <w:pPr>
        <w:ind w:left="160" w:hanging="153"/>
        <w:spacing w:after="0" w:line="161" w:lineRule="exact"/>
        <w:tabs>
          <w:tab w:leader="none" w:pos="16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related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amounts of $8,951 and $7,932 as of December 31, 2025 and 2024,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aggregated assets and liabilities of consolidated VIEs, which are included in the consolidated balance sheets above.</w:t>
      </w:r>
    </w:p>
    <w:p>
      <w:pPr>
        <w:sectPr>
          <w:pgSz w:w="11900" w:h="16838" w:orient="portrait"/>
          <w:cols w:equalWidth="0" w:num="1">
            <w:col w:w="11220"/>
          </w:cols>
          <w:pgMar w:left="320" w:top="9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19" w:right="359" w:bottom="1440" w:gutter="0" w:footer="0" w:header="0"/>
          <w:type w:val="continuous"/>
        </w:sectPr>
      </w:pPr>
    </w:p>
    <w:bookmarkStart w:id="83" w:name="page84"/>
    <w:bookmarkEnd w:id="83"/>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224790</wp:posOffset>
            </wp:positionH>
            <wp:positionV relativeFrom="page">
              <wp:posOffset>826770</wp:posOffset>
            </wp:positionV>
            <wp:extent cx="7108190" cy="135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08190" cy="135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Restricted cash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08190" cy="135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Prepaid expense and other current assets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08190" cy="135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Restricted cash - non-current</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assets of 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08190" cy="135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08190" cy="135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Accounts payable, related party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Loan,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08190" cy="135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Loan,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08190" cy="135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long-term liabilities</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liabilities of consolidated VIEs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3"/>
        </w:trPr>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42,603</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25,428</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0" w:type="dxa"/>
            <w:vAlign w:val="bottom"/>
          </w:tcPr>
          <w:p>
            <w:pPr>
              <w:spacing w:after="0"/>
              <w:rPr>
                <w:sz w:val="1"/>
                <w:szCs w:val="1"/>
                <w:color w:val="auto"/>
              </w:rPr>
            </w:pPr>
          </w:p>
        </w:tc>
      </w:tr>
      <w:tr>
        <w:trPr>
          <w:trHeight w:val="25"/>
        </w:trPr>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46,809</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29,681</w:t>
            </w:r>
          </w:p>
        </w:tc>
        <w:tc>
          <w:tcPr>
            <w:tcW w:w="0" w:type="dxa"/>
            <w:vAlign w:val="bottom"/>
          </w:tcPr>
          <w:p>
            <w:pPr>
              <w:spacing w:after="0"/>
              <w:rPr>
                <w:sz w:val="1"/>
                <w:szCs w:val="1"/>
                <w:color w:val="auto"/>
              </w:rPr>
            </w:pPr>
          </w:p>
        </w:tc>
      </w:tr>
      <w:tr>
        <w:trPr>
          <w:trHeight w:val="25"/>
        </w:trPr>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9"/>
        </w:trPr>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12,431</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16,618</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18,373</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25"/>
        </w:trPr>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32,705</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24,091</w:t>
            </w:r>
          </w:p>
        </w:tc>
        <w:tc>
          <w:tcPr>
            <w:tcW w:w="0" w:type="dxa"/>
            <w:vAlign w:val="bottom"/>
          </w:tcPr>
          <w:p>
            <w:pPr>
              <w:spacing w:after="0"/>
              <w:rPr>
                <w:sz w:val="1"/>
                <w:szCs w:val="1"/>
                <w:color w:val="auto"/>
              </w:rPr>
            </w:pPr>
          </w:p>
        </w:tc>
      </w:tr>
      <w:tr>
        <w:trPr>
          <w:trHeight w:val="25"/>
        </w:trPr>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2">
            <w:col w:w="8080" w:space="680"/>
            <w:col w:w="2420"/>
          </w:cols>
          <w:pgMar w:left="360" w:top="942" w:right="35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49"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32385</wp:posOffset>
            </wp:positionV>
            <wp:extent cx="15436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1543685" cy="8255"/>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4"/>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89"/>
        </w:trPr>
        <w:tc>
          <w:tcPr>
            <w:tcW w:w="8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RNG fuel </w:t>
            </w:r>
            <w:r>
              <w:rPr>
                <w:rFonts w:ascii="Times New Roman" w:cs="Times New Roman" w:eastAsia="Times New Roman" w:hAnsi="Times New Roman"/>
                <w:sz w:val="9"/>
                <w:szCs w:val="9"/>
                <w:color w:val="auto"/>
              </w:rPr>
              <w:t>(1)</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101,656</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88,420</w:t>
            </w: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8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Fuel Station Services </w:t>
            </w:r>
            <w:r>
              <w:rPr>
                <w:rFonts w:ascii="Times New Roman" w:cs="Times New Roman" w:eastAsia="Times New Roman" w:hAnsi="Times New Roman"/>
                <w:sz w:val="9"/>
                <w:szCs w:val="9"/>
                <w:color w:val="auto"/>
              </w:rPr>
              <w:t>(2)</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214,551</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166,875</w:t>
            </w:r>
          </w:p>
        </w:tc>
      </w:tr>
      <w:tr>
        <w:trPr>
          <w:trHeight w:val="189"/>
        </w:trPr>
        <w:tc>
          <w:tcPr>
            <w:tcW w:w="8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Renewable Power </w:t>
            </w:r>
            <w:r>
              <w:rPr>
                <w:rFonts w:ascii="Times New Roman" w:cs="Times New Roman" w:eastAsia="Times New Roman" w:hAnsi="Times New Roman"/>
                <w:sz w:val="9"/>
                <w:szCs w:val="9"/>
                <w:color w:val="auto"/>
              </w:rPr>
              <w:t>(3)</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32,768</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44,677</w:t>
            </w:r>
          </w:p>
        </w:tc>
      </w:tr>
      <w:tr>
        <w:trPr>
          <w:trHeight w:val="25"/>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7"/>
        </w:trPr>
        <w:tc>
          <w:tcPr>
            <w:tcW w:w="8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348,975</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299,972</w:t>
            </w:r>
          </w:p>
        </w:tc>
      </w:tr>
      <w:tr>
        <w:trPr>
          <w:trHeight w:val="169"/>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8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sales - RNG fuel</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49,282</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38,552</w:t>
            </w:r>
          </w:p>
        </w:tc>
      </w:tr>
      <w:tr>
        <w:trPr>
          <w:trHeight w:val="189"/>
        </w:trPr>
        <w:tc>
          <w:tcPr>
            <w:tcW w:w="8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 - Fuel Station Services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166,778</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128,804</w:t>
            </w: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8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sales - Renewable Power</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26,734</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32,495</w:t>
            </w:r>
          </w:p>
        </w:tc>
      </w:tr>
      <w:tr>
        <w:trPr>
          <w:trHeight w:val="189"/>
        </w:trPr>
        <w:tc>
          <w:tcPr>
            <w:tcW w:w="8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Project development and start up costs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14,942</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19,109</w:t>
            </w: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8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63,982</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53,124</w:t>
            </w:r>
          </w:p>
        </w:tc>
      </w:tr>
      <w:tr>
        <w:trPr>
          <w:trHeight w:val="189"/>
        </w:trPr>
        <w:tc>
          <w:tcPr>
            <w:tcW w:w="8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17,885</w:t>
            </w: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8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loss</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89"/>
        </w:trPr>
        <w:tc>
          <w:tcPr>
            <w:tcW w:w="8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(13,235)</w:t>
            </w:r>
          </w:p>
        </w:tc>
      </w:tr>
      <w:tr>
        <w:trPr>
          <w:trHeight w:val="25"/>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7"/>
        </w:trPr>
        <w:tc>
          <w:tcPr>
            <w:tcW w:w="8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341,561</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278,750</w:t>
            </w:r>
          </w:p>
        </w:tc>
      </w:tr>
      <w:tr>
        <w:trPr>
          <w:trHeight w:val="182"/>
        </w:trPr>
        <w:tc>
          <w:tcPr>
            <w:tcW w:w="8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7,414</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21,222</w:t>
            </w:r>
          </w:p>
        </w:tc>
      </w:tr>
      <w:tr>
        <w:trPr>
          <w:trHeight w:val="25"/>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4"/>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89"/>
        </w:trPr>
        <w:tc>
          <w:tcPr>
            <w:tcW w:w="8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and financing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(21,531)</w:t>
            </w: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8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r>
      <w:tr>
        <w:trPr>
          <w:trHeight w:val="189"/>
        </w:trPr>
        <w:tc>
          <w:tcPr>
            <w:tcW w:w="8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w:t>
            </w:r>
          </w:p>
        </w:tc>
      </w:tr>
      <w:tr>
        <w:trPr>
          <w:trHeight w:val="25"/>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7"/>
        </w:trPr>
        <w:tc>
          <w:tcPr>
            <w:tcW w:w="8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other expenses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(23,749)</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(15,803)</w:t>
            </w:r>
          </w:p>
        </w:tc>
      </w:tr>
      <w:tr>
        <w:trPr>
          <w:trHeight w:val="182"/>
        </w:trPr>
        <w:tc>
          <w:tcPr>
            <w:tcW w:w="8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(loss) income before income tax benefit</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(16,335)</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5,419</w:t>
            </w:r>
          </w:p>
        </w:tc>
      </w:tr>
      <w:tr>
        <w:trPr>
          <w:trHeight w:val="25"/>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7"/>
        </w:trPr>
        <w:tc>
          <w:tcPr>
            <w:tcW w:w="8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 benefit</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52,746</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w:t>
            </w:r>
          </w:p>
        </w:tc>
      </w:tr>
      <w:tr>
        <w:trPr>
          <w:trHeight w:val="182"/>
        </w:trPr>
        <w:tc>
          <w:tcPr>
            <w:tcW w:w="8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36,411</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14,325</w:t>
            </w:r>
          </w:p>
        </w:tc>
      </w:tr>
      <w:tr>
        <w:trPr>
          <w:trHeight w:val="25"/>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8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21,329</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189"/>
        </w:trPr>
        <w:tc>
          <w:tcPr>
            <w:tcW w:w="8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income attributable to non-redeemable non-controlling interest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4"/>
        </w:trPr>
        <w:tc>
          <w:tcPr>
            <w:tcW w:w="8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Dividends on redeemable preferred non-controlling interests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10,469</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10,470</w:t>
            </w:r>
          </w:p>
        </w:tc>
      </w:tr>
      <w:tr>
        <w:trPr>
          <w:trHeight w:val="207"/>
        </w:trPr>
        <w:tc>
          <w:tcPr>
            <w:tcW w:w="8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income attributable to Class A common stockholders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4"/>
        </w:trPr>
        <w:tc>
          <w:tcPr>
            <w:tcW w:w="8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89"/>
        </w:trPr>
        <w:tc>
          <w:tcPr>
            <w:tcW w:w="8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Weighted average shares outstanding of Class A common stock:</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8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28,138,140</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27,617,335</w:t>
            </w:r>
          </w:p>
        </w:tc>
      </w:tr>
      <w:tr>
        <w:trPr>
          <w:trHeight w:val="189"/>
        </w:trPr>
        <w:tc>
          <w:tcPr>
            <w:tcW w:w="8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29,252,330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27,694,650</w:t>
            </w: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8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Per share amounts:</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89"/>
        </w:trPr>
        <w:tc>
          <w:tcPr>
            <w:tcW w:w="8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25"/>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8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25"/>
        </w:trPr>
        <w:tc>
          <w:tcPr>
            <w:tcW w:w="8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Includes revenues from related parties of $68,039 and $68,416 for the years ended December 31, 2025 and 2024, respectively</w:t>
      </w:r>
    </w:p>
    <w:p>
      <w:pPr>
        <w:spacing w:after="0" w:line="219" w:lineRule="auto"/>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Includes revenues from related parties of $51,679 and $45,808 for the years ended December 31, 2025 and 2024, respectively</w:t>
      </w:r>
    </w:p>
    <w:p>
      <w:pPr>
        <w:spacing w:after="0"/>
        <w:rPr>
          <w:sz w:val="20"/>
          <w:szCs w:val="20"/>
          <w:color w:val="auto"/>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Includes revenues from related parties of $6,822 and $6,912 for the years ended December 31, 2025 and 2024, respectively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19" w:right="35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20" w:type="dxa"/>
            <w:vAlign w:val="bottom"/>
            <w:shd w:val="clear" w:color="auto" w:fill="CCEEFF"/>
          </w:tcPr>
          <w:p>
            <w:pPr>
              <w:spacing w:after="0"/>
              <w:rPr>
                <w:sz w:val="17"/>
                <w:szCs w:val="17"/>
                <w:color w:val="auto"/>
              </w:rPr>
            </w:pPr>
          </w:p>
        </w:tc>
        <w:tc>
          <w:tcPr>
            <w:tcW w:w="2440" w:type="dxa"/>
            <w:vAlign w:val="bottom"/>
            <w:tcBorders>
              <w:bottom w:val="single" w:sz="8" w:color="auto"/>
            </w:tcBorders>
            <w:gridSpan w:val="4"/>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7"/>
        </w:trPr>
        <w:tc>
          <w:tcPr>
            <w:tcW w:w="76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36,411</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14,325</w:t>
            </w:r>
          </w:p>
        </w:tc>
      </w:tr>
      <w:tr>
        <w:trPr>
          <w:trHeight w:val="193"/>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8"/>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unrealized (loss) gain on cash flow hedges</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r>
      <w:tr>
        <w:trPr>
          <w:trHeight w:val="187"/>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35,245</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15,342</w:t>
            </w:r>
          </w:p>
        </w:tc>
      </w:tr>
      <w:tr>
        <w:trPr>
          <w:trHeight w:val="200"/>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income attributable to redeemable non-controlling interests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20,358</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w:t>
            </w:r>
          </w:p>
        </w:tc>
      </w:tr>
      <w:tr>
        <w:trPr>
          <w:trHeight w:val="193"/>
        </w:trPr>
        <w:tc>
          <w:tcPr>
            <w:tcW w:w="7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 attributable to non-redeemable non-controlling interests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201"/>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on redeemable preferred non-controlling interests</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10,469</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10,470</w:t>
            </w:r>
          </w:p>
        </w:tc>
      </w:tr>
      <w:tr>
        <w:trPr>
          <w:trHeight w:val="200"/>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Comprehensive income attributable to Class A common stockholders</w:t>
            </w:r>
          </w:p>
        </w:tc>
        <w:tc>
          <w:tcPr>
            <w:tcW w:w="7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20"/>
        </w:trPr>
        <w:tc>
          <w:tcPr>
            <w:tcW w:w="7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71120</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060"/>
          </w:cols>
          <w:pgMar w:left="920" w:top="919" w:right="9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REDEEMABLE NON-CONTROLLING INTEREST, REDEEMABLE PREFERRED NON-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CONTROLLING INTEREST AND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ectPr>
          <w:pgSz w:w="11900" w:h="16838" w:orient="portrait"/>
          <w:cols w:equalWidth="0" w:num="1">
            <w:col w:w="11200"/>
          </w:cols>
          <w:pgMar w:left="340" w:top="919" w:right="3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6"/>
        </w:trPr>
        <w:tc>
          <w:tcPr>
            <w:tcW w:w="9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3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3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Class D Common</w:t>
            </w: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620" w:type="dxa"/>
            <w:vAlign w:val="bottom"/>
            <w:tcBorders>
              <w:right w:val="single" w:sz="8" w:color="auto"/>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tcBorders>
              <w:bottom w:val="single" w:sz="8" w:color="CCEEFF"/>
            </w:tcBorders>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tcBorders>
              <w:bottom w:val="single" w:sz="8" w:color="CCEEFF"/>
            </w:tcBorders>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stock in treasury</w:t>
            </w:r>
          </w:p>
        </w:tc>
        <w:tc>
          <w:tcPr>
            <w:tcW w:w="620" w:type="dxa"/>
            <w:vAlign w:val="bottom"/>
            <w:tcBorders>
              <w:bottom w:val="single" w:sz="8" w:color="CCEEFF"/>
              <w:right w:val="single" w:sz="8" w:color="auto"/>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Non-</w:t>
            </w:r>
          </w:p>
        </w:tc>
        <w:tc>
          <w:tcPr>
            <w:tcW w:w="7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Redeemable</w:t>
            </w: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color w:val="auto"/>
              </w:rPr>
              <w:t>Accumulated</w:t>
            </w: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Additional</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non-</w:t>
            </w: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auto"/>
              </w:rPr>
              <w:t>preferred</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4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4"/>
                <w:szCs w:val="14"/>
                <w:color w:val="auto"/>
              </w:rPr>
              <w:t>non-</w:t>
            </w:r>
          </w:p>
        </w:tc>
        <w:tc>
          <w:tcPr>
            <w:tcW w:w="74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4"/>
                <w:szCs w:val="14"/>
                <w:color w:val="auto"/>
              </w:rPr>
              <w:t>non-</w:t>
            </w:r>
          </w:p>
        </w:tc>
        <w:tc>
          <w:tcPr>
            <w:tcW w:w="0" w:type="dxa"/>
            <w:vAlign w:val="bottom"/>
          </w:tcPr>
          <w:p>
            <w:pPr>
              <w:spacing w:after="0"/>
              <w:rPr>
                <w:sz w:val="1"/>
                <w:szCs w:val="1"/>
                <w:color w:val="auto"/>
              </w:rPr>
            </w:pPr>
          </w:p>
        </w:tc>
      </w:tr>
      <w:tr>
        <w:trPr>
          <w:trHeight w:val="49"/>
        </w:trPr>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Paid-in</w:t>
            </w:r>
          </w:p>
        </w:tc>
        <w:tc>
          <w:tcPr>
            <w:tcW w:w="2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Accumulated comprehensive controlling</w:t>
            </w: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Borders>
              <w:right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7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8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Shares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8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660" w:type="dxa"/>
            <w:vAlign w:val="bottom"/>
            <w:vMerge w:val="continue"/>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620" w:type="dxa"/>
            <w:vAlign w:val="bottom"/>
            <w:tcBorders>
              <w:right w:val="single" w:sz="8" w:color="auto"/>
            </w:tcBorders>
            <w:vMerge w:val="continue"/>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controlling</w:t>
            </w:r>
          </w:p>
        </w:tc>
        <w:tc>
          <w:tcPr>
            <w:tcW w:w="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95"/>
        </w:trPr>
        <w:tc>
          <w:tcPr>
            <w:tcW w:w="9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capital</w:t>
            </w:r>
          </w:p>
        </w:tc>
        <w:tc>
          <w:tcPr>
            <w:tcW w:w="8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deficit</w:t>
            </w: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income</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interests</w:t>
            </w:r>
          </w:p>
        </w:tc>
        <w:tc>
          <w:tcPr>
            <w:tcW w:w="7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Deficit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interests</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interests</w:t>
            </w: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29,701,146</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144,399,037</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(467,195)</w:t>
            </w:r>
          </w:p>
        </w:tc>
        <w:tc>
          <w:tcPr>
            <w:tcW w:w="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88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(1,635,783) (11,614) (477,852)</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132,617</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802,720</w:t>
            </w:r>
          </w:p>
        </w:tc>
        <w:tc>
          <w:tcPr>
            <w:tcW w:w="0" w:type="dxa"/>
            <w:vAlign w:val="bottom"/>
          </w:tcPr>
          <w:p>
            <w:pPr>
              <w:spacing w:after="0"/>
              <w:rPr>
                <w:sz w:val="1"/>
                <w:szCs w:val="1"/>
                <w:color w:val="auto"/>
              </w:rPr>
            </w:pPr>
          </w:p>
        </w:tc>
      </w:tr>
      <w:tr>
        <w:trPr>
          <w:trHeight w:val="198"/>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880" w:type="dxa"/>
            <w:vAlign w:val="bottom"/>
            <w:tcBorders>
              <w:right w:val="single" w:sz="8" w:color="auto"/>
            </w:tcBorders>
            <w:gridSpan w:val="3"/>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7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2,727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0" w:type="dxa"/>
            <w:vAlign w:val="bottom"/>
          </w:tcPr>
          <w:p>
            <w:pPr>
              <w:spacing w:after="0"/>
              <w:rPr>
                <w:sz w:val="1"/>
                <w:szCs w:val="1"/>
                <w:color w:val="auto"/>
              </w:rPr>
            </w:pPr>
          </w:p>
        </w:tc>
      </w:tr>
      <w:tr>
        <w:trPr>
          <w:trHeight w:val="145"/>
        </w:trPr>
        <w:tc>
          <w:tcPr>
            <w:tcW w:w="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6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167</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7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under the At-</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the-Market</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"ATM"</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36,353</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170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9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for vesting of</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equity awards</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net of tax</w:t>
            </w: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withholdings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327,761</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$116</w:t>
            </w:r>
          </w:p>
        </w:tc>
        <w:tc>
          <w:tcPr>
            <w:tcW w:w="7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71,500,000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(71,500,000)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w:t>
            </w: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1,061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0" w:type="dxa"/>
            <w:vAlign w:val="bottom"/>
          </w:tcPr>
          <w:p>
            <w:pPr>
              <w:spacing w:after="0"/>
              <w:rPr>
                <w:sz w:val="1"/>
                <w:szCs w:val="1"/>
                <w:color w:val="auto"/>
              </w:rPr>
            </w:pPr>
          </w:p>
        </w:tc>
      </w:tr>
      <w:tr>
        <w:trPr>
          <w:trHeight w:val="19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non-</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Dividends on</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preferred non-</w:t>
            </w: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10,470</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(8,748)</w:t>
            </w:r>
          </w:p>
        </w:tc>
        <w:tc>
          <w:tcPr>
            <w:tcW w:w="0" w:type="dxa"/>
            <w:vAlign w:val="bottom"/>
          </w:tcPr>
          <w:p>
            <w:pPr>
              <w:spacing w:after="0"/>
              <w:rPr>
                <w:sz w:val="1"/>
                <w:szCs w:val="1"/>
                <w:color w:val="auto"/>
              </w:rPr>
            </w:pPr>
          </w:p>
        </w:tc>
      </w:tr>
      <w:tr>
        <w:trPr>
          <w:trHeight w:val="19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Change in</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redemption</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329,629</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328,948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(328,948)</w:t>
            </w:r>
          </w:p>
        </w:tc>
        <w:tc>
          <w:tcPr>
            <w:tcW w:w="0" w:type="dxa"/>
            <w:vAlign w:val="bottom"/>
          </w:tcPr>
          <w:p>
            <w:pPr>
              <w:spacing w:after="0"/>
              <w:rPr>
                <w:sz w:val="1"/>
                <w:szCs w:val="1"/>
                <w:color w:val="auto"/>
              </w:rPr>
            </w:pPr>
          </w:p>
        </w:tc>
      </w:tr>
      <w:tr>
        <w:trPr>
          <w:trHeight w:val="193"/>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Payment of</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preferred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(13,087)</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w:t>
            </w: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96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30,065,260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71,500,000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72,899,037</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(137,004)</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880" w:type="dxa"/>
            <w:vAlign w:val="bottom"/>
            <w:tcBorders>
              <w:right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(1,635,783) (11,614) (147,831)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482,863</w:t>
            </w:r>
          </w:p>
        </w:tc>
        <w:tc>
          <w:tcPr>
            <w:tcW w:w="0" w:type="dxa"/>
            <w:vAlign w:val="bottom"/>
          </w:tcPr>
          <w:p>
            <w:pPr>
              <w:spacing w:after="0"/>
              <w:rPr>
                <w:sz w:val="1"/>
                <w:szCs w:val="1"/>
                <w:color w:val="auto"/>
              </w:rPr>
            </w:pPr>
          </w:p>
        </w:tc>
      </w:tr>
      <w:tr>
        <w:trPr>
          <w:trHeight w:val="17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80" w:type="dxa"/>
            <w:vAlign w:val="bottom"/>
            <w:tcBorders>
              <w:bottom w:val="single" w:sz="8" w:color="auto"/>
              <w:right w:val="single" w:sz="8" w:color="auto"/>
            </w:tcBorders>
            <w:gridSpan w:val="3"/>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6,034</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6,364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30,047</w:t>
            </w: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93"/>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for vesting of</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equity awards</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net of tax</w:t>
            </w: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withholdings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550,797</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$197</w:t>
            </w:r>
          </w:p>
        </w:tc>
        <w:tc>
          <w:tcPr>
            <w:tcW w:w="7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under the ATM</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17,104</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1,087</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0" w:type="dxa"/>
            <w:vAlign w:val="bottom"/>
          </w:tcPr>
          <w:p>
            <w:pPr>
              <w:spacing w:after="0"/>
              <w:rPr>
                <w:sz w:val="1"/>
                <w:szCs w:val="1"/>
                <w:color w:val="auto"/>
              </w:rPr>
            </w:pPr>
          </w:p>
        </w:tc>
      </w:tr>
      <w:tr>
        <w:trPr>
          <w:trHeight w:val="19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non-</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Capital</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contribution</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from non-</w:t>
            </w: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1,991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Dividends on</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preferred non-</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10,469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0" w:type="dxa"/>
            <w:vAlign w:val="bottom"/>
          </w:tcPr>
          <w:p>
            <w:pPr>
              <w:spacing w:after="0"/>
              <w:rPr>
                <w:sz w:val="1"/>
                <w:szCs w:val="1"/>
                <w:color w:val="auto"/>
              </w:rPr>
            </w:pPr>
          </w:p>
        </w:tc>
      </w:tr>
      <w:tr>
        <w:trPr>
          <w:trHeight w:val="19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Change in</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redemption</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131,414</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130,718</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(130,718)</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w:t>
            </w: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Payment of</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preferred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(10,469)</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w:t>
            </w: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96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30,633,161</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121,500,000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22,899,037</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(1,635,783) (11,614)</w:t>
            </w: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377,898</w:t>
            </w:r>
          </w:p>
        </w:tc>
        <w:tc>
          <w:tcPr>
            <w:tcW w:w="0" w:type="dxa"/>
            <w:vAlign w:val="bottom"/>
          </w:tcPr>
          <w:p>
            <w:pPr>
              <w:spacing w:after="0"/>
              <w:rPr>
                <w:sz w:val="1"/>
                <w:szCs w:val="1"/>
                <w:color w:val="auto"/>
              </w:rPr>
            </w:pPr>
          </w:p>
        </w:tc>
      </w:tr>
      <w:tr>
        <w:trPr>
          <w:trHeight w:val="17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66" w:right="339" w:bottom="117"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9019"/>
          </w:cols>
          <w:pgMar w:left="1440" w:top="3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78105</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019"/>
          </w:cols>
          <w:pgMar w:left="1440" w:top="357" w:right="1440" w:bottom="1440" w:gutter="0" w:footer="0" w:header="0"/>
          <w:type w:val="continuous"/>
        </w:sectPr>
      </w:pPr>
    </w:p>
    <w:bookmarkStart w:id="89" w:name="page90"/>
    <w:bookmarkEnd w:id="89"/>
    <w:p>
      <w:pPr>
        <w:jc w:val="center"/>
        <w:ind w:right="-332"/>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0"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2"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-94615</wp:posOffset>
            </wp:positionV>
            <wp:extent cx="6684010" cy="2120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6684010" cy="212090"/>
                    </a:xfrm>
                    <a:prstGeom prst="rect">
                      <a:avLst/>
                    </a:prstGeom>
                    <a:noFill/>
                  </pic:spPr>
                </pic:pic>
              </a:graphicData>
            </a:graphic>
          </wp:anchor>
        </w:drawing>
      </w: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4750435</wp:posOffset>
            </wp:positionH>
            <wp:positionV relativeFrom="paragraph">
              <wp:posOffset>12065</wp:posOffset>
            </wp:positionV>
            <wp:extent cx="21628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15" w:lineRule="exact"/>
        <w:rPr>
          <w:sz w:val="20"/>
          <w:szCs w:val="20"/>
          <w:color w:val="auto"/>
        </w:rPr>
      </w:pPr>
    </w:p>
    <w:tbl>
      <w:tblPr>
        <w:tblLayout w:type="fixed"/>
        <w:tblInd w:w="353" w:type="dxa"/>
        <w:tblCellMar>
          <w:top w:w="0" w:type="dxa"/>
          <w:left w:w="0" w:type="dxa"/>
          <w:bottom w:w="0" w:type="dxa"/>
          <w:right w:w="0" w:type="dxa"/>
        </w:tblCellMar>
      </w:tblPr>
      <w:tr>
        <w:trPr>
          <w:trHeight w:val="187"/>
        </w:trPr>
        <w:tc>
          <w:tcPr>
            <w:tcW w:w="712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7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89"/>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36,411</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14,325</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22,470</w:t>
            </w:r>
          </w:p>
        </w:tc>
        <w:tc>
          <w:tcPr>
            <w:tcW w:w="4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17,885</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6,452</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accounts receivable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4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Assets' impairment</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2,016</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Reduction of carrying amount of operating lease right-of-use assets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4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679</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investments in other entities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(13,235)</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from return on investments in other entities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5,649</w:t>
            </w:r>
          </w:p>
        </w:tc>
        <w:tc>
          <w:tcPr>
            <w:tcW w:w="4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14,336</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(16,456)</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4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1,094</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dispositions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Paid-in-kind interest income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derivative financial instruments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189"/>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4"/>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Accounts receivable </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(19,815)</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Parts inventory</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and long-term assets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11,261</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(18,594)</w:t>
            </w:r>
          </w:p>
        </w:tc>
      </w:tr>
      <w:tr>
        <w:trPr>
          <w:trHeight w:val="214"/>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Accounts payable </w:t>
            </w:r>
            <w:r>
              <w:rPr>
                <w:rFonts w:ascii="Times New Roman" w:cs="Times New Roman" w:eastAsia="Times New Roman" w:hAnsi="Times New Roman"/>
                <w:sz w:val="18"/>
                <w:szCs w:val="18"/>
                <w:color w:val="auto"/>
                <w:vertAlign w:val="superscript"/>
              </w:rPr>
              <w:t>(2)</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40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3,427</w:t>
            </w:r>
          </w:p>
        </w:tc>
      </w:tr>
      <w:tr>
        <w:trPr>
          <w:trHeight w:val="21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and non-current liabilities</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4,739</w:t>
            </w:r>
          </w:p>
        </w:tc>
      </w:tr>
      <w:tr>
        <w:trPr>
          <w:trHeight w:val="18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36,498</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31,385</w:t>
            </w:r>
          </w:p>
        </w:tc>
      </w:tr>
      <w:tr>
        <w:trPr>
          <w:trHeight w:val="25"/>
        </w:trPr>
        <w:tc>
          <w:tcPr>
            <w:tcW w:w="7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(70,739)</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(127,239)</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9,875</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from return of investments in other entities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11,396</w:t>
            </w:r>
          </w:p>
        </w:tc>
        <w:tc>
          <w:tcPr>
            <w:tcW w:w="4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4,305</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related to investments in other entities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(22,354)</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(21,570)</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received from (paid for) note receivable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828</w:t>
            </w:r>
          </w:p>
        </w:tc>
      </w:tr>
      <w:tr>
        <w:trPr>
          <w:trHeight w:val="18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(77,320)</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(134,551)</w:t>
            </w:r>
          </w:p>
        </w:tc>
      </w:tr>
      <w:tr>
        <w:trPr>
          <w:trHeight w:val="25"/>
        </w:trPr>
        <w:tc>
          <w:tcPr>
            <w:tcW w:w="7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loans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4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100,000</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loans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(16,957)</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costs paid to other third parties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shares of Class A common stock under the ATM program, net</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170</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principal portion of finance lease liabilities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4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preferred dividends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(10,469)</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(13,086)</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 to non-redeemable non-controlling interest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r>
      <w:tr>
        <w:trPr>
          <w:trHeight w:val="25"/>
        </w:trPr>
        <w:tc>
          <w:tcPr>
            <w:tcW w:w="7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income taxes related to net share settlement of equity awards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contribution from non-redeemable non-controlling interests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4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7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7"/>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41,560</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83,504</w:t>
            </w:r>
          </w:p>
        </w:tc>
      </w:tr>
      <w:tr>
        <w:trPr>
          <w:trHeight w:val="18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restricted cash, and cash equivalents</w:t>
            </w:r>
          </w:p>
        </w:tc>
        <w:tc>
          <w:tcPr>
            <w:tcW w:w="10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(19,662)</w:t>
            </w:r>
          </w:p>
        </w:tc>
      </w:tr>
      <w:tr>
        <w:trPr>
          <w:trHeight w:val="25"/>
        </w:trPr>
        <w:tc>
          <w:tcPr>
            <w:tcW w:w="7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7"/>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beginning of period</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27,580</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47,242</w:t>
            </w:r>
          </w:p>
        </w:tc>
      </w:tr>
      <w:tr>
        <w:trPr>
          <w:trHeight w:val="207"/>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end of period</w:t>
            </w:r>
          </w:p>
        </w:tc>
        <w:tc>
          <w:tcPr>
            <w:tcW w:w="108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28,318</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27,580</w:t>
            </w:r>
          </w:p>
        </w:tc>
      </w:tr>
      <w:tr>
        <w:trPr>
          <w:trHeight w:val="20"/>
        </w:trPr>
        <w:tc>
          <w:tcPr>
            <w:tcW w:w="7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53" w:hanging="153"/>
        <w:spacing w:after="0"/>
        <w:tabs>
          <w:tab w:leader="none" w:pos="153"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decrease from related parties of $1,204 and $4,174 for the years ended December 31, 2025 and 2024, respectively</w:t>
      </w:r>
    </w:p>
    <w:p>
      <w:pPr>
        <w:spacing w:after="0" w:line="4" w:lineRule="exact"/>
        <w:rPr>
          <w:rFonts w:ascii="Times New Roman" w:cs="Times New Roman" w:eastAsia="Times New Roman" w:hAnsi="Times New Roman"/>
          <w:sz w:val="19"/>
          <w:szCs w:val="19"/>
          <w:color w:val="auto"/>
          <w:vertAlign w:val="superscript"/>
        </w:rPr>
      </w:pPr>
    </w:p>
    <w:p>
      <w:pPr>
        <w:ind w:left="153" w:hanging="153"/>
        <w:spacing w:after="0" w:line="185" w:lineRule="auto"/>
        <w:tabs>
          <w:tab w:leader="none" w:pos="153"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increase from related parties of $1,019 and $908 for the years ended December 31, 2025 and 2024, respectively</w:t>
      </w:r>
    </w:p>
    <w:p>
      <w:pPr>
        <w:spacing w:after="0" w:line="200" w:lineRule="exact"/>
        <w:rPr>
          <w:sz w:val="20"/>
          <w:szCs w:val="20"/>
          <w:color w:val="auto"/>
        </w:rPr>
      </w:pPr>
    </w:p>
    <w:p>
      <w:pPr>
        <w:spacing w:after="0" w:line="368"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93"/>
          </w:cols>
          <w:pgMar w:left="327" w:top="918" w:right="6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net of $2,531 and $3,212 capitalized, respectively</w:t>
            </w:r>
          </w:p>
        </w:tc>
        <w:tc>
          <w:tcPr>
            <w:tcW w:w="13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27,800</w:t>
            </w: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22,907</w:t>
            </w:r>
          </w:p>
        </w:tc>
      </w:tr>
      <w:tr>
        <w:trPr>
          <w:trHeight w:val="25"/>
        </w:trPr>
        <w:tc>
          <w:tcPr>
            <w:tcW w:w="6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3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8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arising from obtaining right-of-use assets</w:t>
            </w:r>
          </w:p>
        </w:tc>
        <w:tc>
          <w:tcPr>
            <w:tcW w:w="1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6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2,403</w:t>
            </w:r>
          </w:p>
        </w:tc>
      </w:tr>
      <w:tr>
        <w:trPr>
          <w:trHeight w:val="25"/>
        </w:trPr>
        <w:tc>
          <w:tcPr>
            <w:tcW w:w="6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plant and equipment included in accrued expenses and other current liabilities</w:t>
            </w:r>
          </w:p>
        </w:tc>
        <w:tc>
          <w:tcPr>
            <w:tcW w:w="13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24,629</w:t>
            </w: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23,238</w:t>
            </w:r>
          </w:p>
        </w:tc>
      </w:tr>
      <w:tr>
        <w:trPr>
          <w:trHeight w:val="25"/>
        </w:trPr>
        <w:tc>
          <w:tcPr>
            <w:tcW w:w="6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71120</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540"/>
          </w:cols>
          <w:pgMar w:left="680" w:top="968" w:right="679" w:bottom="1440" w:gutter="0" w:footer="0" w:header="0"/>
        </w:sectPr>
      </w:pPr>
    </w:p>
    <w:bookmarkStart w:id="91" w:name="page92"/>
    <w:bookmarkEnd w:id="91"/>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OPAL Fuels Inc. (including its subsidiaries, the “Company”, “OPAL,” “we,” “us” or “our”) is a renewable energy company specializing in the capture and conversion of biogas for the (i) production of Renewable Natural Gas (“RNG”) for use as a vehicle fuel for heavy and medium-duty trucking fleets, (ii) generation of electricity from renewable sources ("Renewable Power") for sale to utilities, (iii) generation and sale of Environmental Attributes associated with RNG and Renewable Power, and (iv) sales of RNG as pipeline quality natural gas. The term “Environmental Attributes” refers to federal, state and local government incentives in the United States, provided in the form of Renewable Identification Numbers “RINs”, Renewable Energy Credits “RECs”, Low Carbon Fuel Standard credits “LCFS”, rebates, tax credits and other incentives to end users, distributors, system integrators and manufacturers of renewable energy projects.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are pursuing opportunities to diversify our sources of biogas to other waste streams.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RNG Fuel, Fuel Station Services and Renewable Power.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these footnotes are presented in thousands of dollars except share and per share data and commodity quantities.</w:t>
      </w:r>
    </w:p>
    <w:p>
      <w:pPr>
        <w:spacing w:after="0" w:line="176" w:lineRule="exact"/>
        <w:rPr>
          <w:sz w:val="20"/>
          <w:szCs w:val="20"/>
          <w:color w:val="auto"/>
        </w:rPr>
      </w:pPr>
    </w:p>
    <w:p>
      <w:pPr>
        <w:ind w:right="6420" w:firstLine="7"/>
        <w:spacing w:after="0" w:line="486" w:lineRule="auto"/>
        <w:tabs>
          <w:tab w:leader="none" w:pos="178"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Presentation and Principles of Consolidation</w:t>
      </w:r>
    </w:p>
    <w:p>
      <w:pPr>
        <w:jc w:val="both"/>
        <w:spacing w:after="0" w:line="262"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generally accepted accounting principles in the United States ("U.S. GAAP"). The Company’s audited consolidated financial statements include the assets and liabilities of these subsidiaries. All intercompany transactions and balances have been eliminated in consolidation.</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consolidates all entities in which it holds a majority voting interest, as well as variable interest entities ("VIEs") for which it is determined to be the primary beneficiary. Our variable interests in each of our VIEs arise primarily from our ownership of membership interests, construction commitments, our provision of operating and maintenance services, and our provision of environmental credit processing services to VIEs. The Company reassesses its primary beneficiary status on an ongoing basis.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Noncontrolling interests related to the Company’s VIEs are presented separately from stockholders' deficit on the consolidated balance sheets and are reported as non-redeemable non-controlling interests within the consolidated statements of changes in redeemable non-controlling interest, redeemable preferred non-controlling interest and stockholders' deficit.</w:t>
      </w:r>
    </w:p>
    <w:p>
      <w:pPr>
        <w:spacing w:after="0" w:line="96"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color w:val="auto"/>
        </w:rPr>
        <w:t>Certain amounts in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financial statements have been reclassified to conform to the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presentation. These reclassifications had no impact on previously reported total assets, total liabilities, stockholders' deficit, net income, or consolidated statements of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significant estimates and assumptions of the Company include the residual value of the useful lives of our property, plant and equipment, the fair value of long-lived assets, asset retirement obligations, percentage completion for revenue recognition, incremental borrowing rate for calculating the right-of-use assets and lease liabilities, and the fair value of the reporting units of goodwill.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Adopted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2023, the FASB issued Accounting Standards Update No. 2023-05, </w:t>
      </w:r>
      <w:r>
        <w:rPr>
          <w:rFonts w:ascii="Times New Roman" w:cs="Times New Roman" w:eastAsia="Times New Roman" w:hAnsi="Times New Roman"/>
          <w:sz w:val="18"/>
          <w:szCs w:val="18"/>
          <w:i w:val="1"/>
          <w:iCs w:val="1"/>
          <w:color w:val="auto"/>
        </w:rPr>
        <w:t>Business Combinations- Joint Venture Formations</w:t>
      </w:r>
      <w:r>
        <w:rPr>
          <w:rFonts w:ascii="Times New Roman" w:cs="Times New Roman" w:eastAsia="Times New Roman" w:hAnsi="Times New Roman"/>
          <w:sz w:val="18"/>
          <w:szCs w:val="18"/>
          <w:color w:val="auto"/>
        </w:rPr>
        <w:t xml:space="preserve"> (Subtopic 805-60) ("ASU 2023-05"). The update requires all joint ventures formed after January 1, 2025, upon formation, to apply a new basis of accounting and initially measure its assets and liabilities at fair value. The Company adopted this standard effective January 1, 2025. During the year ended December 31, 2025, the Company formed a joint venture that was excluded from this guidance due to the scope exception applicable to combinations between entities, businesses, or nonprofit activities under common control. The adoption did not have a material effect on the Company’s financial position, results of operations, cash flows or disclosures.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Improvement to Income Tax Disclosures. The amendments further enhance income tax disclosures, primarily through standardization and disaggregation of rate reconciliation categories and income taxes paid by jurisdiction. The amendments require disclosure of specific categories in the rate reconciliation and provide additional information for reconciling items that meet a quantitative threshold and further disaggregation of income taxes paid for individually significant jurisdictions. The Company adopted this standard effective January 1, 2025 on a retrospective basis. The adoption did not have a material effect on the Company’s consolidated financial statements other than adding new disclosures, which are included in </w:t>
      </w:r>
      <w:r>
        <w:rPr>
          <w:rFonts w:ascii="Times New Roman" w:cs="Times New Roman" w:eastAsia="Times New Roman" w:hAnsi="Times New Roman"/>
          <w:sz w:val="18"/>
          <w:szCs w:val="18"/>
          <w:i w:val="1"/>
          <w:iCs w:val="1"/>
          <w:color w:val="auto"/>
        </w:rPr>
        <w:t>Note 13. Income Taxes.</w:t>
      </w:r>
    </w:p>
    <w:p>
      <w:pPr>
        <w:spacing w:after="0" w:line="103"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July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Measurement of Credit Losses for Accounts Receivable and Contract Assets. The amendments provide a practical expedient applicable to all entities for estimating expected credit losses on current accounts receivable and current contract assets that arise under ASC Topic 606, </w:t>
      </w:r>
      <w:r>
        <w:rPr>
          <w:rFonts w:ascii="Times New Roman" w:cs="Times New Roman" w:eastAsia="Times New Roman" w:hAnsi="Times New Roman"/>
          <w:sz w:val="18"/>
          <w:szCs w:val="18"/>
          <w:i w:val="1"/>
          <w:iCs w:val="1"/>
          <w:color w:val="auto"/>
        </w:rPr>
        <w:t>Revenue from Contracts with Customers ("ASC 606")</w:t>
      </w:r>
      <w:r>
        <w:rPr>
          <w:rFonts w:ascii="Times New Roman" w:cs="Times New Roman" w:eastAsia="Times New Roman" w:hAnsi="Times New Roman"/>
          <w:sz w:val="18"/>
          <w:szCs w:val="18"/>
          <w:color w:val="auto"/>
        </w:rPr>
        <w:t>, permitting the assumption that existing conditions at the balance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sheet date will remain unchanged over the remaining life of such assets. The Company adopted this standard effective January 1, 2025. The adoption did not have a material effect on our consolidated financial statements.</w:t>
      </w:r>
    </w:p>
    <w:p>
      <w:pPr>
        <w:spacing w:after="0" w:line="117"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In September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(Topic 350):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 Targeted Improvements to the Accounting for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The amendments modernize the guidance for capitalizing costs of internally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developed software by removing references to defined development stages and instead focusing on two principal criteria: (1) management has authorized and committed to funding the project, and (2) it is probable that the project will be completed and the software will be used to perform the intended function. This ASU also provides new guidance regarding how to evaluate whether “probable-to-complete” criteria has been met. The ASU is effective for fiscal years beginning after December 15, 2027, including interim periods within those years, with early adoption permitted. The Company adopted this standard effective January 1, 2025 prospectively. The adoption did not have a material effect on the Company’s financial position, results of operations, cash flows or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 xml:space="preserve"> Adopted</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 Disaggregation of Income Statement Expenses, which requires additional, disaggregated disclosure about certain income statement expense line items. The ASU is effective for annual periods beginning after December 15, 2026, and interim periods beginning after December 15, 2027. The amendments are to be applied prospectively with the option for retrospective application. The Company is currently evaluating the impact that this guidance will have on the disclosures within our consolidated financial statements.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Accounting for Government Grants Received by Business Entities</w:t>
      </w:r>
      <w:r>
        <w:rPr>
          <w:rFonts w:ascii="Times New Roman" w:cs="Times New Roman" w:eastAsia="Times New Roman" w:hAnsi="Times New Roman"/>
          <w:sz w:val="18"/>
          <w:szCs w:val="18"/>
          <w:color w:val="auto"/>
        </w:rPr>
        <w:t xml:space="preserve"> (Topic 832). This ASU establishes a unified accounting model for business entities when recognizing, measuring, and presenting government grants. The ASU categorizes grants as either related to an asset or related to income. A grant related to income is recognized in earnings in a systematic and rational manner over the periods in which the entity recognizes the related expenses for which the grant is intended to compensate. Presentation of the grant on the income statement can be either as a component of other income or as a deduction from the related expenses. The standard is effective for annual periods beginning after December 15, 2028 and interim periods within those annual periods. However, the ASU permits early adoption. The Company is considering early adopting the provisions of ASU 2025-10 and is still assessing the impact on its financial statements, including the presentation of its Section 45Z production tax credits.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Additionally, the JOBS Act has allowed us the option to delay adoption of new or revised financial accounting standards until private companies are required to comply with new or revised financial accounting standards.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considers bank money market accounts that are readily available for use to be cash equivalents. Restricted cash consists of amounts held as collateral to satisfy requirements under the Company’s debt facilities. Restricted cash is classified as current when the related restrictions are expected to be released within the next 12 months.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as of December 31, 2025 and 2024:</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4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24,408</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24,310</w:t>
            </w:r>
          </w:p>
        </w:tc>
      </w:tr>
      <w:tr>
        <w:trPr>
          <w:trHeight w:val="26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4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 - current</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5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27,580</w:t>
            </w: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84"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Accounts receivable represent amounts due from the sale of products and services for which the Company has an unconditional right to payment. Accounts receivable are stated at net realizable value, net of an allowance for credit losses. The Company assesses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considers historical collectability including past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due status and made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Amounts become billable in accordance with contract terms, generally based on progress toward completion and the achievement of contractual milestones. Cost and estimated earnings in excess of billings amounted to $6,489 and $8,547 as of December 31, 2025 and 2024.</w:t>
      </w:r>
    </w:p>
    <w:p>
      <w:pPr>
        <w:spacing w:after="0" w:line="1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Contract liabilities consist of billings in excess of costs and estimated earnings and other deferred construction revenue. Billings in excess of costs and estimated earnings represent amounts billed to or collected from customers in advance of the satisfaction of the related performance obligations. These amounts are recognized as revenue as the Company satisfies its performance obligations over the remaining contract term.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recognized revenue of $6,274 that was included in contract liabilities at December 31, 2024.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recognized revenue of $3,746 that was included in contract liabilities at December 31,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Parts Inventory</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Parts inventory, also referred to as supplies inventory, consists of shop spare parts inventory and construction site parts inventory. Parts inventory is stated at historical cost, which is determined using the average cost method, and is recorded at the lower of cost or net realizable value. An annual review of inventory is performed to identify obsolete items.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 and Other Current Assets</w:t>
      </w:r>
    </w:p>
    <w:p>
      <w:pPr>
        <w:spacing w:after="0" w:line="18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Prepaid expenses and other current assets consist primarily of prepaid insurance, environmental credits held for sale, non-monetary asset and other miscellaneous current assets expected to be realized within one year.</w:t>
      </w:r>
    </w:p>
    <w:p>
      <w:pPr>
        <w:spacing w:after="0" w:line="7" w:lineRule="exact"/>
        <w:rPr>
          <w:sz w:val="20"/>
          <w:szCs w:val="20"/>
          <w:color w:val="auto"/>
        </w:rPr>
      </w:pPr>
    </w:p>
    <w:tbl>
      <w:tblPr>
        <w:tblLayout w:type="fixed"/>
        <w:tblInd w:w="1740" w:type="dxa"/>
        <w:tblCellMar>
          <w:top w:w="0" w:type="dxa"/>
          <w:left w:w="0" w:type="dxa"/>
          <w:bottom w:w="0" w:type="dxa"/>
          <w:right w:w="0" w:type="dxa"/>
        </w:tblCellMar>
      </w:tblPr>
      <w:tr>
        <w:trPr>
          <w:trHeight w:val="227"/>
        </w:trPr>
        <w:tc>
          <w:tcPr>
            <w:tcW w:w="4440" w:type="dxa"/>
            <w:vAlign w:val="bottom"/>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shd w:val="clear" w:color="auto" w:fill="CCEEFF"/>
          </w:tcPr>
          <w:p>
            <w:pPr>
              <w:spacing w:after="0"/>
              <w:rPr>
                <w:sz w:val="19"/>
                <w:szCs w:val="19"/>
                <w:color w:val="auto"/>
              </w:rPr>
            </w:pPr>
          </w:p>
        </w:tc>
      </w:tr>
      <w:tr>
        <w:trPr>
          <w:trHeight w:val="220"/>
        </w:trPr>
        <w:tc>
          <w:tcPr>
            <w:tcW w:w="44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4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104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10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4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6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r>
      <w:tr>
        <w:trPr>
          <w:trHeight w:val="247"/>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w:t>
            </w:r>
          </w:p>
        </w:tc>
      </w:tr>
      <w:tr>
        <w:trPr>
          <w:trHeight w:val="279"/>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w:t>
            </w:r>
          </w:p>
        </w:tc>
        <w:tc>
          <w:tcPr>
            <w:tcW w:w="110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23,583</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Company receives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consideration in the form of RINs and LCFS credits in exchange for dispensing and credit monetization services. Environmental credits held for sale are recognized within current assets. The Company's accounting policy election is to account for environmental credits received as inventory as they are held for sale and not retained for use. The environmental credits received are initially measured at their estimated fair value at contract inception. For internally generated environmental credits, the credits are accounted for as government incentives rather than outputs and, accordingly, no associated value is recorded. These credits are subsequently measured at the lower of cost and net realizable value at each balance sheet date. For the years ended December 31, 2025 and 2024, the Company recorded $17,828 and $10,365 as part of cost of sales - fuel station services in its consolidated statements of operations to adjust environmental credits held for sale to lower of cost and net realizable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Property, plant, and equipment are recorded at historical cost, except for amounts attributable to asset retirement obligations, which are recorded at their estimated fair value when the obligation is incurred. Direct costs associated with the construction of assets, as well as renewals and betterments that materially improve or extend the useful lives of the assets, are capitalized.</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capitalizes costs related to the development and construction of new projects when management determines that there is a significant likelihood that the project will be completed and placed in service for its intended use. This determination is based on the achievement of key milestones, including, but not limited to, the receipt of required permits and the execution of major contracts, such as gas rights agreements, gas transportation arrangements, and engineering, procurement, and construction contracts. Costs incurred prior to the achievement of these milestones are expensed as incurred. Replacements, routine maintenance, and repairs that do not materially improve or extend the useful lives of the respective assets are expensed as incurred. Major maintenance is a component of maintenance expense and encompasses overhauls of internal combustion engines, gas compressors and electrical generators. Major maintenance is expensed as incurred.</w:t>
      </w:r>
    </w:p>
    <w:p>
      <w:pPr>
        <w:spacing w:after="0" w:line="14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capitalizes interest incurred on its general borrowings during the construction period until the related assets are substantially complete and ready for their intended use.</w:t>
      </w:r>
    </w:p>
    <w:p>
      <w:pPr>
        <w:spacing w:after="0" w:line="8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Depreciation is computed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383" w:lineRule="exact"/>
        <w:rPr>
          <w:sz w:val="20"/>
          <w:szCs w:val="20"/>
          <w:color w:val="auto"/>
        </w:rPr>
      </w:pPr>
    </w:p>
    <w:tbl>
      <w:tblPr>
        <w:tblLayout w:type="fixed"/>
        <w:tblInd w:w="2040" w:type="dxa"/>
        <w:tblCellMar>
          <w:top w:w="0" w:type="dxa"/>
          <w:left w:w="0" w:type="dxa"/>
          <w:bottom w:w="0" w:type="dxa"/>
          <w:right w:w="0" w:type="dxa"/>
        </w:tblCellMar>
      </w:tblPr>
      <w:tr>
        <w:trPr>
          <w:trHeight w:val="22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5 - 30 years</w:t>
            </w: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CNG/RNG Fueling Stations</w:t>
            </w:r>
          </w:p>
        </w:tc>
        <w:tc>
          <w:tcPr>
            <w:tcW w:w="4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10 - 20 years</w:t>
            </w:r>
          </w:p>
        </w:tc>
      </w:tr>
      <w:tr>
        <w:trPr>
          <w:trHeight w:val="22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40 years</w:t>
            </w:r>
          </w:p>
        </w:tc>
      </w:tr>
      <w:tr>
        <w:trPr>
          <w:trHeight w:val="22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equipment</w:t>
            </w:r>
          </w:p>
        </w:tc>
        <w:tc>
          <w:tcPr>
            <w:tcW w:w="4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5 - 10 years</w:t>
            </w:r>
          </w:p>
        </w:tc>
      </w:tr>
      <w:tr>
        <w:trPr>
          <w:trHeight w:val="22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 years</w:t>
            </w:r>
          </w:p>
        </w:tc>
      </w:tr>
      <w:tr>
        <w:trPr>
          <w:trHeight w:val="22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5 - 7 years</w:t>
            </w: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4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 years</w:t>
            </w:r>
          </w:p>
        </w:tc>
      </w:tr>
      <w:tr>
        <w:trPr>
          <w:trHeight w:val="22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lease - finance lease</w:t>
            </w:r>
          </w:p>
        </w:tc>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term</w:t>
            </w: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 - finance lease</w:t>
            </w:r>
          </w:p>
        </w:tc>
        <w:tc>
          <w:tcPr>
            <w:tcW w:w="4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22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08" w:lineRule="exact"/>
        <w:rPr>
          <w:sz w:val="20"/>
          <w:szCs w:val="20"/>
          <w:color w:val="auto"/>
        </w:rPr>
      </w:pPr>
    </w:p>
    <w:p>
      <w:pPr>
        <w:jc w:val="both"/>
        <w:ind w:right="20"/>
        <w:spacing w:after="0" w:line="244" w:lineRule="exact"/>
        <w:rPr>
          <w:sz w:val="20"/>
          <w:szCs w:val="20"/>
          <w:color w:val="auto"/>
        </w:rPr>
      </w:pPr>
      <w:r>
        <w:rPr>
          <w:rFonts w:ascii="Times New Roman" w:cs="Times New Roman" w:eastAsia="Times New Roman" w:hAnsi="Times New Roman"/>
          <w:sz w:val="18"/>
          <w:szCs w:val="18"/>
          <w:color w:val="auto"/>
        </w:rPr>
        <w:t>Construction in progress represents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that are under development and not yet placed into service. Construction in progress is not depreciated until the underlying assets are substantially complete and available for their intended use.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included in other long-term assets, recorded at historical cost and expensed when placed into service as part of a routine maintenance project or capitalized when part of a plant improvement project.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 Company recorded $— and $2,016 impairment expense for the years ended December 31, 2025 and 2024.</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Fair value is generally determined by considering (i) internally developed discounted cash flows for the asset group, (ii) information available regarding the current market value for such assets and/or (iii) estimates of the costs to replace an asset.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Other Entities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sheets at cost. The amounts initially recognized are subsequently adjusted for the impacts of impairment, capitalized interest and Company’s share of earnings (losses) which are recognized as income from equity method investments in the consolidated statements of operations after adjustment for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effects of any basis differences. Investments are also increased for contributions made to the investee and decreased by distributions from the investee and classified in the statement of cash flows using the cumulative earnings approach.</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2025 and 2024, the Company did not identify any impairments on its investment in other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of an acquisition over the fair value of net assets acquired in a business combination subject to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The Company performs its annual test on December 31.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Accrued expenses and other current liabilities consist primarily of accrued capital expenditures, accrued payroll and related benefits, accrued environmental credit rebates, and other miscellaneous accrued operating expenses. Accrued environmental credit rebates represent the Company's liabilities for dispensing services provided by third-party vendors.</w:t>
      </w:r>
    </w:p>
    <w:p>
      <w:pPr>
        <w:spacing w:after="0" w:line="200" w:lineRule="exact"/>
        <w:rPr>
          <w:sz w:val="20"/>
          <w:szCs w:val="20"/>
          <w:color w:val="auto"/>
        </w:rPr>
      </w:pPr>
    </w:p>
    <w:p>
      <w:pPr>
        <w:spacing w:after="0" w:line="223" w:lineRule="exact"/>
        <w:rPr>
          <w:sz w:val="20"/>
          <w:szCs w:val="20"/>
          <w:color w:val="auto"/>
        </w:rPr>
      </w:pPr>
    </w:p>
    <w:tbl>
      <w:tblPr>
        <w:tblLayout w:type="fixed"/>
        <w:tblInd w:w="1440" w:type="dxa"/>
        <w:tblCellMar>
          <w:top w:w="0" w:type="dxa"/>
          <w:left w:w="0" w:type="dxa"/>
          <w:bottom w:w="0" w:type="dxa"/>
          <w:right w:w="0" w:type="dxa"/>
        </w:tblCellMar>
      </w:tblPr>
      <w:tr>
        <w:trPr>
          <w:trHeight w:val="227"/>
        </w:trPr>
        <w:tc>
          <w:tcPr>
            <w:tcW w:w="5040" w:type="dxa"/>
            <w:vAlign w:val="bottom"/>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shd w:val="clear" w:color="auto" w:fill="CCEEFF"/>
          </w:tcPr>
          <w:p>
            <w:pPr>
              <w:spacing w:after="0"/>
              <w:rPr>
                <w:sz w:val="19"/>
                <w:szCs w:val="19"/>
                <w:color w:val="auto"/>
              </w:rPr>
            </w:pPr>
          </w:p>
        </w:tc>
      </w:tr>
      <w:tr>
        <w:trPr>
          <w:trHeight w:val="220"/>
        </w:trPr>
        <w:tc>
          <w:tcPr>
            <w:tcW w:w="50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4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6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24,629</w:t>
            </w:r>
          </w:p>
        </w:tc>
        <w:tc>
          <w:tcPr>
            <w:tcW w:w="10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w:t>
            </w:r>
          </w:p>
        </w:tc>
      </w:tr>
      <w:tr>
        <w:trPr>
          <w:trHeight w:val="24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environmental credit rebates</w:t>
            </w:r>
          </w:p>
        </w:tc>
        <w:tc>
          <w:tcPr>
            <w:tcW w:w="10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0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r>
      <w:tr>
        <w:trPr>
          <w:trHeight w:val="24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26,516</w:t>
            </w: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26,379</w:t>
            </w:r>
          </w:p>
        </w:tc>
      </w:tr>
      <w:tr>
        <w:trPr>
          <w:trHeight w:val="279"/>
        </w:trPr>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6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63,857</w:t>
            </w:r>
          </w:p>
        </w:tc>
        <w:tc>
          <w:tcPr>
            <w:tcW w:w="108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144"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The Company records asset retirement obligations when a legal obligation associated with the retirement of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is incurred and the fair value of the obligation can be reasonably estimated. Asset retirement obligations are initially measured at fair value and recorded as a liability, with a corresponding increase to the carrying amount of the related asset. The capitalized asset retirement costs are depreciated over the useful life of the related asset, and the liability is accreted over time. Periodic accretion of discount of the estimated liability is recorded as a part of depreciation, amortization, and accretion expense.</w:t>
      </w:r>
    </w:p>
    <w:p>
      <w:pPr>
        <w:spacing w:after="0" w:line="171"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Asset retirement obligations are classified as Level 3 fair value measurements due to the use of significant unobservable inputs. The Company estimates the fair value of asset retirement obligations using a discounted cash flow approach, which requires assumptions regarding the timing and amount of future cash outflows, inflation rates, and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adjusted discount rates.</w:t>
      </w:r>
    </w:p>
    <w:p>
      <w:pPr>
        <w:spacing w:after="0" w:line="1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Asset retirement obligations are classified as current when settlement is expected within one year and as non-current when settlement is expected to occur beyond one year. The current portion is reflected in accrued expenses and other current liabilities, while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portion is reflected 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asset retirement obligations were as follows as of December 31, 2025:</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0"/>
        </w:trPr>
        <w:tc>
          <w:tcPr>
            <w:tcW w:w="2140" w:type="dxa"/>
            <w:vAlign w:val="bottom"/>
          </w:tcPr>
          <w:p>
            <w:pPr>
              <w:spacing w:after="0"/>
              <w:rPr>
                <w:sz w:val="17"/>
                <w:szCs w:val="17"/>
                <w:color w:val="auto"/>
              </w:rPr>
            </w:pPr>
          </w:p>
        </w:tc>
        <w:tc>
          <w:tcPr>
            <w:tcW w:w="52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47"/>
        </w:trPr>
        <w:tc>
          <w:tcPr>
            <w:tcW w:w="214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2024 - current</w:t>
            </w:r>
          </w:p>
        </w:tc>
        <w:tc>
          <w:tcPr>
            <w:tcW w:w="68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r>
      <w:tr>
        <w:trPr>
          <w:trHeight w:val="247"/>
        </w:trPr>
        <w:tc>
          <w:tcPr>
            <w:tcW w:w="2140" w:type="dxa"/>
            <w:vAlign w:val="bottom"/>
          </w:tcPr>
          <w:p>
            <w:pPr>
              <w:spacing w:after="0"/>
              <w:rPr>
                <w:sz w:val="21"/>
                <w:szCs w:val="21"/>
                <w:color w:val="auto"/>
              </w:rPr>
            </w:pPr>
          </w:p>
        </w:tc>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31, 2024 - non-current</w:t>
            </w:r>
          </w:p>
        </w:tc>
        <w:tc>
          <w:tcPr>
            <w:tcW w:w="6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w:t>
            </w:r>
          </w:p>
        </w:tc>
      </w:tr>
      <w:tr>
        <w:trPr>
          <w:trHeight w:val="254"/>
        </w:trPr>
        <w:tc>
          <w:tcPr>
            <w:tcW w:w="2140" w:type="dxa"/>
            <w:vAlign w:val="bottom"/>
          </w:tcPr>
          <w:p>
            <w:pPr>
              <w:spacing w:after="0"/>
              <w:rPr>
                <w:sz w:val="22"/>
                <w:szCs w:val="22"/>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asset retirement obligations acquired/incurred</w:t>
            </w: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7"/>
        </w:trPr>
        <w:tc>
          <w:tcPr>
            <w:tcW w:w="21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60"/>
        </w:trPr>
        <w:tc>
          <w:tcPr>
            <w:tcW w:w="2140" w:type="dxa"/>
            <w:vAlign w:val="bottom"/>
          </w:tcPr>
          <w:p>
            <w:pPr>
              <w:spacing w:after="0"/>
              <w:rPr>
                <w:sz w:val="22"/>
                <w:szCs w:val="22"/>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7"/>
        </w:trPr>
        <w:tc>
          <w:tcPr>
            <w:tcW w:w="2140" w:type="dxa"/>
            <w:vAlign w:val="bottom"/>
          </w:tcPr>
          <w:p>
            <w:pPr>
              <w:spacing w:after="0"/>
              <w:rPr>
                <w:sz w:val="21"/>
                <w:szCs w:val="21"/>
                <w:color w:val="auto"/>
              </w:rPr>
            </w:pPr>
          </w:p>
        </w:tc>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estimate</w:t>
            </w:r>
          </w:p>
        </w:tc>
        <w:tc>
          <w:tcPr>
            <w:tcW w:w="6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47"/>
        </w:trPr>
        <w:tc>
          <w:tcPr>
            <w:tcW w:w="214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2025 - current and non-current</w:t>
            </w:r>
          </w:p>
        </w:tc>
        <w:tc>
          <w:tcPr>
            <w:tcW w:w="6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r>
      <w:tr>
        <w:trPr>
          <w:trHeight w:val="247"/>
        </w:trPr>
        <w:tc>
          <w:tcPr>
            <w:tcW w:w="2140" w:type="dxa"/>
            <w:vAlign w:val="bottom"/>
          </w:tcPr>
          <w:p>
            <w:pPr>
              <w:spacing w:after="0"/>
              <w:rPr>
                <w:sz w:val="21"/>
                <w:szCs w:val="21"/>
                <w:color w:val="auto"/>
              </w:rPr>
            </w:pPr>
          </w:p>
        </w:tc>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79"/>
        </w:trPr>
        <w:tc>
          <w:tcPr>
            <w:tcW w:w="214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0"/>
        </w:trPr>
        <w:tc>
          <w:tcPr>
            <w:tcW w:w="214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estimated the fair value of its asset retirement obligations based on discount rates ranging from 5.8% to 12.0%.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long-term liabilities primarily consist of asset retirement obligations and operating lease liabilities. See </w:t>
      </w:r>
      <w:r>
        <w:rPr>
          <w:rFonts w:ascii="Times New Roman" w:cs="Times New Roman" w:eastAsia="Times New Roman" w:hAnsi="Times New Roman"/>
          <w:sz w:val="18"/>
          <w:szCs w:val="18"/>
          <w:i w:val="1"/>
          <w:iCs w:val="1"/>
          <w:color w:val="auto"/>
        </w:rPr>
        <w:t>Note 7. Leases</w:t>
      </w:r>
      <w:r>
        <w:rPr>
          <w:rFonts w:ascii="Times New Roman" w:cs="Times New Roman" w:eastAsia="Times New Roman" w:hAnsi="Times New Roman"/>
          <w:sz w:val="18"/>
          <w:szCs w:val="18"/>
          <w:color w:val="auto"/>
        </w:rPr>
        <w:t xml:space="preserve"> for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Fees incurred for obtaining new loans or debt restructuring are deferred and amortized to interest expense over the life of the related debt using effective interest method. Unamortized financing costs are written off when the related debt is extinguished. Deferred debt issuance costs are reported as a reduction of the carrying value of the long-term debt in the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Company’s leases consist primarily of operating leases for site leases on landfills and dairy farms, office facilities, and finance leases for a site lease associated with fuel station and vehicles.</w:t>
      </w:r>
    </w:p>
    <w:p>
      <w:pPr>
        <w:spacing w:after="0" w:line="81"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color w:val="auto"/>
        </w:rPr>
        <w:t>The Company accounts for lease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lease components as a single lease component and does not recognize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or lease liabilities for leases with a term of 12 months or less.</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Lease payments consist primarily of fixed payments under the arrangement, net of any lease incentives. Variable lease payments in our leases and are not based on an index or rate are not included in the lease liability and are recognized as expense as incurred.</w:t>
      </w:r>
    </w:p>
    <w:p>
      <w:pPr>
        <w:spacing w:after="0" w:line="137"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The Company estimates its incremental borrowing rate based on the rate of interest it would have to pay to borrow on a collateralized basis with an equal lease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amount, over a similar term, and in a similar economic environment.</w:t>
      </w:r>
    </w:p>
    <w:p>
      <w:pPr>
        <w:spacing w:after="0" w:line="1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lease term may include periods covered by options to extend or terminate the lease when it is reasonably certain that the Company will exercise such options. The Company has excluded renewal periods from the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and lease liabilities for existing leases because it is not reasonably certain that it will exercise those renewal options. Operating lease costs are recorded within project development and start up costs or cost of sales - RNG fuel for site leases, and within selling, general and administrative for office leases, based on the nature of the underlying activity.</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Lease modifications or extensions are assessed to determine whether they represent a separate contract or a change to an existing lease. When a modification does not create a separate lease, the Company remeasures the lease liability using an updated discount rate and adjusts the Right-of-Use ("ROU") asset accordingly.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84" w:lineRule="exact"/>
        <w:rPr>
          <w:sz w:val="20"/>
          <w:szCs w:val="20"/>
          <w:color w:val="auto"/>
        </w:rPr>
      </w:pPr>
    </w:p>
    <w:p>
      <w:pPr>
        <w:jc w:val="both"/>
        <w:ind w:right="20"/>
        <w:spacing w:after="0" w:line="244" w:lineRule="exact"/>
        <w:rPr>
          <w:sz w:val="20"/>
          <w:szCs w:val="20"/>
          <w:color w:val="auto"/>
        </w:rPr>
      </w:pPr>
      <w:r>
        <w:rPr>
          <w:rFonts w:ascii="Times New Roman" w:cs="Times New Roman" w:eastAsia="Times New Roman" w:hAnsi="Times New Roman"/>
          <w:sz w:val="18"/>
          <w:szCs w:val="18"/>
          <w:color w:val="auto"/>
        </w:rPr>
        <w:t>The Company evaluates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for impairment whenever events or changes in circumstances indicate that the carrying amount of the asset may not be recoverable. Impairment losses, if any, are recognized in the period identified.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inception of a new lease arrangement for which the Company is the lessor, including new leases that arise from amendments, the Company assesses the terms and conditions to determine the proper lease classification. When the terms of a lease effectively transfer control of the underlying asset, the lease is classified as a sales-type lease. All other leases are classified as operating leases. Upon commencement of the sales-type lease, the book value of the leased asset is removed from the balance sheet and a net investment in sales-type lease is recognized based on the present value of fixed payments under the contract and the residual value of the underlying asset.</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Fuel provider agreements ("FPAs") are for the sale of brown gas, service and maintenance of sites. The Company is contracted to design and build a Fueling Station on the customer's property in exchange for the Company providing compressed natural gas ("CNG")/RNG to the customer for a determined number of years. The contractual term of these arrangements may include options to extend or terminate the agreement upon the occurrence of certain actions by a government authority or regulatory agency or terminate the agreement and purchase the underlying station for fair market value.</w:t>
      </w:r>
    </w:p>
    <w:p>
      <w:pPr>
        <w:spacing w:after="0" w:line="1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FPAs contain a lease component for the use of the Fueling Station in addition to the non-lease components related to providing CNG/RNG as well as providing all-inclusive maintenance and warranty services.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lease components of the FPAs are considered to be operating leases with variable consideration. The adjustments to payments are based on a variety of factors including changes in an index or rate (such as the market price of natural gas and utilities), the amount of fuel dispensed from the station, annual escalators, volume discounts and discounts for tax and environmental credits retained by the Company. The Company excludes taxes assessed by a government authority that are imposed on and concurrent with the FPA transaction collected by the Company from the customer. The Company allocates the contract consideration between the lease component and non-lease components on a relative standalone selling price basis. As per ASC 842, the revenue is recognized in the period earned.</w:t>
      </w:r>
    </w:p>
    <w:p>
      <w:pPr>
        <w:spacing w:after="0" w:line="1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FPAs generally do not include any residual value guarantees and Company typically expects the underlying asset to have no residual value following the end of the lease term.</w:t>
      </w:r>
    </w:p>
    <w:p>
      <w:pPr>
        <w:spacing w:after="0" w:line="12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Judgment is required in evaluating whether an arrangement contains a lease, including assessing whether an identified asset exists and whether the Company has the right to control the use of that asset throughout the period of use. This evaluation involves consideration of factors such as the supplier’s substantive substitution rights, the Company’s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rights over the use of the asset, and whether the Company obtains substantially all of the economic benefits from use of the asset. The Company determines whether an arrangement contains a lease at inception.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are classified and disclosed in one of the following categories: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SOFR rates.</w:t>
      </w:r>
    </w:p>
    <w:p>
      <w:pPr>
        <w:spacing w:after="0" w:line="1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curves are derived based on the quotes provided by New York Mercantile Exchange, Amerex Energy Services and Tradition Energy.</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 determines the Level 3 fair value measurements using a discounted cash flow model in which cash outflows estimated to retire the asset are discounted to their present value using an expected discount rate.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long-term debt approximates the fair value because the interest rates are variable and reflective of market conditions.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debt is estimated using Level 2 inputs.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estimates the fair value of its derivative instruments using available market information in accordance with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("ASC 820"). Derivative instruments are measured at their fair value and recorded as either assets or liabilities unless they qualify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 from derivative accounting measurement such as normal purchases and normal sales. All changes in the fair value of recognized derivatives are recognized currently in earnings, unless the derivative is designated in a qualifying hedging relationship. Changes in the fair value of derivative instruments that do not result in cash receipts or payments in the period of change are presented as reconciling items in the reconciliation of net income to net cash flows from operating activities.</w:t>
      </w:r>
    </w:p>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uses interest rate swaps to manage exposure to variability in cash flows associated with changes in interest rates. The Company designates these interest rate swaps as cash flow hedges and applies hedge accounting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Hedge effectiveness is assessed at inception and on an ongoing basis to determine whether the hedging relationship is expected to be and has been highly effective. The effective portion of changes in fair value is recorded in Accumulated other comprehensive (loss) income and subsequently reclassified into earnings in the same period or periods during which the hedged forecasted transactions affect earnings. Any ineffective portion of the changes in fair value of the derivatives is recognized in earnings. The Company’s interest rate swap derivative instruments do not contain an other-than-insignificant financing element. Cash receipts and payments related to interest rate swaps are classified in the consolidated statements of cash flows, consistent with the classification of cash flows related to the economically hedged interest costs. Interest rate swaps were immaterial for the years ended December 31, 2025 and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January 23, 2023, pursuant to the terms of the Forward Purchase Agreement, the Company repurchased 1,635,783 shares of its Class A common stock from certain investors. The repurchased shares were recorded as treasury stock and are carried at cost of $11,614.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Redeemable non-controlling interests represent the portion of subsidiaries of OPAL Fuels that the Company controls and consolidates but does not own. The Redeemable non-controlling interest represents 144,399,037 Class B Units issued by OPAL Fuels LLC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statements of operations.</w:t>
      </w:r>
    </w:p>
    <w:p>
      <w:pPr>
        <w:spacing w:after="0" w:line="15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At each balance sheet date, the mezzanine equity-classified redeemable preferred non-controlling interests are adjusted down to their maximum redemption value if necessary, with an offset in stockholders' deficit.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revenue arrangements generally consist of a single performance obligation to transfer goods or services. Payment terms are consistent with standard market practices in the markets the Company serves and do not include a significant financing component. The transaction price is determined based on the consideration to which the Company will be entitled in exchange for transferring goods or services to the customer. All revenue is recognized when, or as the Company satisfies its performance obligations under the contract (either implicit or explicit) by transferring the promised product or service to its customer either when, or as its customer obtains control of the product or service. A performance obligation is a promise in a contract to transfer a distinct product or service to a customer. A contract’s transaction price is allocated to each distinct performance obligation. The Company allocates the contract’s transaction price to each performance obligation using the product’s observable market standalone selling price for each distinct product in the contract.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Credits</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Sales of Environmental Attributes such as RINs, RTCs, RECs and LCFS are generally recorded as revenue when the certificates related to them are delivered to a buyer.</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2020, the Company entered into an agreement with a counterparty to sell LCFSs at one of our RNG facilities for a period of 7 years at a fixed contract price which has a certain predetermined floor and ceiling price per LCFS. The counterparty has the right to apply any excess payment made calculated as the difference between the adjusted Oil Price Information Service price and the floor price per the contract, against future sales of LCFSs during the contract term. Therefore, it includes a variable consideration that is constrained and is incorporated into the contract price only to the extent that it is probable that a significant reversal of the cumulative revenue recognized under the contract will not occur in a future period.</w:t>
      </w:r>
    </w:p>
    <w:p>
      <w:pPr>
        <w:spacing w:after="0" w:line="143"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The Company may enter into periodic transaction confirmations with Nextera for the sale of RNG generated by its RNG Fuels business, and NextEra may elect to engage the Company to market such RNG in order to generate RINs on its behalf. The Company has concluded that production services and dispensing services represent separate performance obligations within these arrangements. Control of 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RINs transfers either at the point of gas generation or upon delivery of the RINs, and revenue is recognized at the time control is transferred. Consideration allocated to dispensing services is recognized as revenue when the Company satisfies its performance obligation, which occurs upon completion of the required documentation and pairing activities associated with dispensing.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Electricity and Natural Gas Sales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the sale of RNG and electricity is recognized based on the actual output delivered to customers at the contractually agreed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Fueling Station Services</w:t>
      </w:r>
    </w:p>
    <w:p>
      <w:pPr>
        <w:spacing w:after="0" w:line="155"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color w:val="auto"/>
        </w:rPr>
        <w:t>OPAL provides operating and maintenance services for both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and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fueling stations. Revenue from service agreements is recognized over time as the related services are performed.</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OPAL is considered the principal in transactions involving the supply of CNG to customers. Although OPAL sources natural gas from third parties, the Company’s equipment converts that gas into CNG—a distinct product—prior to delivery. Revenue from CNG supply is recognized over time as OPAL fulfills its obligation to provide CNG throughout the contract term.</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certain public CNG fueling stations where no contractual arrangement exists with the customer, the Company recognizes revenue at the point in time when the customer takes control of the fuel.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Monetization Services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24" w:lineRule="exact"/>
        <w:rPr>
          <w:sz w:val="20"/>
          <w:szCs w:val="20"/>
          <w:color w:val="auto"/>
        </w:rPr>
      </w:pPr>
    </w:p>
    <w:p>
      <w:pPr>
        <w:ind w:right="1140"/>
        <w:spacing w:after="0" w:line="433" w:lineRule="auto"/>
        <w:rPr>
          <w:sz w:val="20"/>
          <w:szCs w:val="20"/>
          <w:color w:val="auto"/>
        </w:rPr>
      </w:pPr>
      <w:r>
        <w:rPr>
          <w:rFonts w:ascii="Times New Roman" w:cs="Times New Roman" w:eastAsia="Times New Roman" w:hAnsi="Times New Roman"/>
          <w:sz w:val="18"/>
          <w:szCs w:val="18"/>
          <w:color w:val="auto"/>
        </w:rPr>
        <w:t xml:space="preserve">the non-cash consideration in prepaid expenses and other current assets based on the fair value of RINs or LCFSs at contract commencement. </w:t>
      </w:r>
      <w:r>
        <w:rPr>
          <w:rFonts w:ascii="Times New Roman" w:cs="Times New Roman" w:eastAsia="Times New Roman" w:hAnsi="Times New Roman"/>
          <w:sz w:val="18"/>
          <w:szCs w:val="18"/>
          <w:i w:val="1"/>
          <w:iCs w:val="1"/>
          <w:color w:val="auto"/>
        </w:rPr>
        <w:t>Renewable Biomethane Environmental Attributes</w:t>
      </w:r>
    </w:p>
    <w:p>
      <w:pPr>
        <w:spacing w:after="0" w:line="1"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During 2022, three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subsidiaries in the Renewable Power portfolio entered into agreements with an Environmental Attribute marketing firm to sell Environmental Attributes associated with renewable biomethane (“ISCC Carbon Credits”) and to purchase brown gas at fixed prices per MMBtu. Regulatory changes adopted by the European Commission, effective November 21, 2024, disqualified biomethane produced outside the European Union from eligibility under the EU Renewable Energy Directive. As a result, all of the Company’s ISCC Carbon Credit agreements were terminated on that date. For the years ended December 31, 2025 and 2024, the Company earned net revenues of $— and $16,286, respectively under this contract which were recorded as part of renewable power revenues in the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Construction Contracts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the years ended December 31, 2025 and 2024, the third-party construction revenue was recognized over time, and the remainder was for products and services transferred at a point in time.</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provides all third-party construction contracts with a warranty, typically for a period of one year after substantial completion of the construction project. Based on the guidance and indicative factors provided by ASC 606, the Company concluded that it offers assurance-type warranties as it does not provide a service to the customer beyond fixing defects that existed at the time of completion. Therefore, these warranties are accounted for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and not as a separate performance obligation.</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Generally, the Company estimates warranty costs based on historical claims experience, and other factors. Actual warranty claims may differ from the estimates, and adjustments to the liability are made as necessary. The Company accrued $483 and $171 of warranty reserves under accrued expenses and other current liabilities as of December 31, 2025, and 2024, respectively.</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remaining performance obligations represent the unrecognized revenue value of its contract commitments. The Company's remaining performance obligations may significantly vary each reporting period based on the timing of major new contract commitments. As of December 31, 2025, the Company had a remaining performance obligation of $40,889 of which $34,994 is expected to be recognized within the next 12 months.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Owned Stations Revenue</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output method. For some public stations where there is no contract with the customer, the Company recognizes revenue at the point-in-time that the customer takes control of the fuel.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disaggregation of revenue please see </w:t>
      </w:r>
      <w:r>
        <w:rPr>
          <w:rFonts w:ascii="Times New Roman" w:cs="Times New Roman" w:eastAsia="Times New Roman" w:hAnsi="Times New Roman"/>
          <w:sz w:val="18"/>
          <w:szCs w:val="18"/>
          <w:i w:val="1"/>
          <w:iCs w:val="1"/>
          <w:color w:val="auto"/>
        </w:rPr>
        <w:t>Note 10. Reportable Segments and Geographic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Development and Start Up Costs</w:t>
      </w:r>
    </w:p>
    <w:p>
      <w:pPr>
        <w:spacing w:after="0" w:line="18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Project development and startup costs include development costs for RNG projects under construction and startup costs incurred during the initial operating phase of new RNG projects, including legal, leasing, virtual pipeline costs and other ramp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expenses. These costs are temporary and non-recurring over the project lifetime. Virtual pipeline costs, which represent temporary transportation costs incurred until completion of a permanent pipeline, totaled $13,003 and $14,769 in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issues stock-based compensation utilizing stock options, performance units and restricted stock units. In accordance with ASC Topic 718,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("ASC 718"), stock-based compensation is measured at the fair value of the award at the date of grant and recognized over the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vesting on a straight-line basis using the graded vesting method. The grant-date fair value of stock options is estimated using the Black-Scholes option pricing model. Expense for stock-based compensation awards that include performance conditions are initially calculated and subsequently remeasured based on the outcome deemed probable of occurring, and recognized over the vesting period, with the ultimate amount of expense recognized based on the actual performance outcome. Forfeitures are recognized as they occur. Please see </w:t>
      </w:r>
      <w:r>
        <w:rPr>
          <w:rFonts w:ascii="Times New Roman" w:cs="Times New Roman" w:eastAsia="Times New Roman" w:hAnsi="Times New Roman"/>
          <w:sz w:val="18"/>
          <w:szCs w:val="18"/>
          <w:i w:val="1"/>
          <w:iCs w:val="1"/>
          <w:color w:val="auto"/>
        </w:rPr>
        <w:t>Note 14. Stock-based Compensation</w:t>
      </w:r>
      <w:r>
        <w:rPr>
          <w:rFonts w:ascii="Times New Roman" w:cs="Times New Roman" w:eastAsia="Times New Roman" w:hAnsi="Times New Roman"/>
          <w:sz w:val="18"/>
          <w:szCs w:val="18"/>
          <w:color w:val="auto"/>
        </w:rPr>
        <w:t>, for additional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basic income per share of Class A common stock is computed by dividing the net income attributable to Class A common stockholders by the weighted average number of Class A common stock outstanding during the period.</w:t>
      </w:r>
    </w:p>
    <w:p>
      <w:pPr>
        <w:spacing w:after="0" w:line="137"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The Class B common stock and D common stock do not participate in the earnings or losses of the Company and are therefore not considered participating securities. Accordingly,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has not been applied.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Tr</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nsferrable Tax credits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(“ASC 740”), which requires the recognition of tax benefits or expenses on temporary differences between the financial reporting and tax bases of its assets and liabilities by applying the enacted tax rates in effect for the year in which the differences are expected to reverse. Deferred tax assets are included in other long-term assets and are reduced by a valuation allowance when the Company believes that it is more-likely-than-not that some portion or all of the deferred tax assets will not be realized.</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on the interest expense line and other expense line, respectively, in the accompanying consolidated statement of operations. Accrued interest and penalties are included on the related liability lines in the consolidated balance sheet. As of December 31, 2025 and 2024, the Company does not have any amounts recorded in connection to uncertain tax positions.</w:t>
      </w:r>
    </w:p>
    <w:p>
      <w:pPr>
        <w:spacing w:after="0" w:line="137" w:lineRule="exact"/>
        <w:rPr>
          <w:sz w:val="20"/>
          <w:szCs w:val="20"/>
          <w:color w:val="auto"/>
        </w:rPr>
      </w:pPr>
    </w:p>
    <w:p>
      <w:pPr>
        <w:jc w:val="both"/>
        <w:ind w:firstLine="70"/>
        <w:spacing w:after="0" w:line="226" w:lineRule="exact"/>
        <w:rPr>
          <w:sz w:val="20"/>
          <w:szCs w:val="20"/>
          <w:color w:val="auto"/>
        </w:rPr>
      </w:pPr>
      <w:r>
        <w:rPr>
          <w:rFonts w:ascii="Times New Roman" w:cs="Times New Roman" w:eastAsia="Times New Roman" w:hAnsi="Times New Roman"/>
          <w:sz w:val="18"/>
          <w:szCs w:val="18"/>
          <w:color w:val="auto"/>
        </w:rPr>
        <w:t>The Company sells to third-party purchasers certain transferable Investment Tax Credits ("ITCs") that have been generated by the Company from its investments in the Renewable Natural Gas segment. The Company considers expected transfers of the ITC credits in assessing their realizability as part of the valuation allowance analysis. Changes in estimated proceeds from expected credit transfers are recognized as adjustments to the valuation allowance. The Company accounts for ITCs under ASC 740 and has elected the flow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method, recognizing the ITC benefit in the period the credit arises.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determined that it qualifies for clean fuel production tax credits ("PTCs","45z") under the Inflation Reduction Act of 2022 (“IRA”) and the One Big Beautiful Bill Act (“OBBBA”). The PTC credits are recognized as a tax benefit in the period in which production occurs, and the product is sold in a qualifying manner. The tax benefit recognized is determined based on the company's low carbon intensity ("CI") score to date and the expected sales price of the credits.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credits are recorded within income tax benefit on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Vulnerability due to Certain Concentrations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cash equivalents, restricted cash,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Vendors and Concentration of Credit Risk</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December 31, 2025, four customers accounted for 63% of accounts receivable. At December 31, 2024, two customers accounted for 50% of accounts receivable. As of December 31, 2025, there were no concentrations in the volume of business transacted with any individual vendor. As of December 31, 2024, there was one supplier that accounted for approximately 13.9% of the Company’s total purchases.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FN 10. Reportable Segments and Geographic Information</w:t>
      </w:r>
      <w:r>
        <w:rPr>
          <w:rFonts w:ascii="Times New Roman" w:cs="Times New Roman" w:eastAsia="Times New Roman" w:hAnsi="Times New Roman"/>
          <w:sz w:val="18"/>
          <w:szCs w:val="18"/>
          <w:color w:val="auto"/>
        </w:rPr>
        <w:t xml:space="preserve"> for details on revenue concentration.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IN OTHER ENTITIES AND VARIABLE INTEREST ENTITIES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VIEs consist of landfill or dairy manure RNG facilities that are either under construction or in operation. OPAL’s share of design capacity for these facilities ranges from approximately 43,750 MMBtu to 1,327,140 MMBtu per year. These entities are financed through the Opal Term Loan, the Sunoma Loan, or the Paragon Loan. The Paragon Loan was obtained directly by the joint venture and is not consolidated.</w:t>
      </w:r>
    </w:p>
    <w:p>
      <w:pPr>
        <w:spacing w:after="0" w:line="1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VIEs for which the Company is not the primary beneficiary are accounted for under the equity method. As of December 31, 2025, Sunoma, Central Valley and CMS were consolidated VIEs.</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May 9, 2025, the Company acquired a variable interest in CMS, a joint venture formed with a third party to develop, construct, own, and operate a renewable natural gas facility. The Company holds a 70% membership interest in CMS, and the remaining 30% is held by the third-party partner. Based on an evaluation under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management determined that CMS is a VIE and that the Company is the primary beneficiary. As a result, CMS has been consolidated in the Company’s financial statements beginning in the second quarter of 2025. At the time of formation of CMS, the Company and the third-party partner made net capital contributions of $4,646 and $1,991, respectively utilized for the purchase of equipment. The carrying value of CMS at formation approximated the aggregate fair value of those assets. A noncontrolling interest ("NCI") of $1,991 was recognized for the portion of CMS not owned by the Company.</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consolidated balance sheets summarize the major consolidated balance sheet items for consolidated VIEs as of December 31, 2025 and 2024. The information is presented on an aggregate basis based on similar risk and reward characteristics and the nature of our involvement with the VIEs. All VIEs are RNG facilities reported under the RNG Fuel Supply segment, and the Company’s interests are primarily equity-based.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ownership interests and carrying values of Investment in Other Entities: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30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Pine Bend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Noble Road</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GREP</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Land2Gas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Paragon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Total</w:t>
            </w:r>
          </w:p>
        </w:tc>
      </w:tr>
      <w:tr>
        <w:trPr>
          <w:trHeight w:val="22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Percentage of ownership</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21,097</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16,384</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164,817</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223,594</w:t>
            </w:r>
          </w:p>
        </w:tc>
      </w:tr>
      <w:tr>
        <w:trPr>
          <w:trHeight w:val="23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19,864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20,755</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36,554</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153,456</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231,223</w:t>
            </w:r>
          </w:p>
        </w:tc>
      </w:tr>
    </w:tbl>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and 2024, the carrying value of the Company’s equity method investments exceeded its proportionate share of the underlying net assets of its investees by $122,165 and $129,060, respectively. This basis difference primarily relates to the gain recognized upon the deconsolidation of certain RNG project entities, which increased the Company’s investment basis. The Company determined that this basis difference is attributable to construction in progress and will be amortized over the related assets’ estimated useful life of 20 years beginning when the assets are placed in service. The amortization of this basis difference, which reduces equity in earnings, was $6,895 and $5,835 and reflected in Income from equity method investments in the consolidated statements of operations for the year ended December 31, 2025 and 2024,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income from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6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9" w:lineRule="exact"/>
        <w:rPr>
          <w:sz w:val="20"/>
          <w:szCs w:val="20"/>
          <w:color w:val="auto"/>
        </w:rPr>
      </w:pPr>
    </w:p>
    <w:tbl>
      <w:tblPr>
        <w:tblLayout w:type="fixed"/>
        <w:tblInd w:w="3320" w:type="dxa"/>
        <w:tblCellMar>
          <w:top w:w="0" w:type="dxa"/>
          <w:left w:w="0" w:type="dxa"/>
          <w:bottom w:w="0" w:type="dxa"/>
          <w:right w:w="0" w:type="dxa"/>
        </w:tblCellMar>
      </w:tblPr>
      <w:tr>
        <w:trPr>
          <w:trHeight w:val="220"/>
        </w:trPr>
        <w:tc>
          <w:tcPr>
            <w:tcW w:w="11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112,917</w:t>
            </w:r>
          </w:p>
        </w:tc>
        <w:tc>
          <w:tcPr>
            <w:tcW w:w="4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111,296</w:t>
            </w:r>
          </w:p>
        </w:tc>
      </w:tr>
      <w:tr>
        <w:trPr>
          <w:trHeight w:val="227"/>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45,803</w:t>
            </w:r>
          </w:p>
        </w:tc>
      </w:tr>
      <w:tr>
        <w:trPr>
          <w:trHeight w:val="25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4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for the assets and liabilities in equity method investees in the aggregate is as follows:</w:t>
      </w:r>
    </w:p>
    <w:p>
      <w:pPr>
        <w:spacing w:after="0" w:line="216" w:lineRule="exact"/>
        <w:rPr>
          <w:sz w:val="20"/>
          <w:szCs w:val="20"/>
          <w:color w:val="auto"/>
        </w:rPr>
      </w:pPr>
    </w:p>
    <w:tbl>
      <w:tblPr>
        <w:tblLayout w:type="fixed"/>
        <w:tblInd w:w="2900" w:type="dxa"/>
        <w:tblCellMar>
          <w:top w:w="0" w:type="dxa"/>
          <w:left w:w="0" w:type="dxa"/>
          <w:bottom w:w="0" w:type="dxa"/>
          <w:right w:w="0" w:type="dxa"/>
        </w:tblCellMar>
      </w:tblPr>
      <w:tr>
        <w:trPr>
          <w:trHeight w:val="236"/>
        </w:trPr>
        <w:tc>
          <w:tcPr>
            <w:tcW w:w="2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4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r>
      <w:tr>
        <w:trPr>
          <w:trHeight w:val="24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305,900</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121,934</w:t>
            </w:r>
          </w:p>
        </w:tc>
      </w:tr>
      <w:tr>
        <w:trPr>
          <w:trHeight w:val="279"/>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333,466</w:t>
            </w:r>
          </w:p>
        </w:tc>
        <w:tc>
          <w:tcPr>
            <w:tcW w:w="1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132,488</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2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w:t>
            </w:r>
          </w:p>
        </w:tc>
      </w:tr>
      <w:tr>
        <w:trPr>
          <w:trHeight w:val="25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81,288</w:t>
            </w:r>
          </w:p>
        </w:tc>
        <w:tc>
          <w:tcPr>
            <w:tcW w:w="1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24,612</w:t>
            </w:r>
          </w:p>
        </w:tc>
      </w:tr>
      <w:tr>
        <w:trPr>
          <w:trHeight w:val="25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40,605</w:t>
            </w:r>
          </w:p>
        </w:tc>
      </w:tr>
      <w:tr>
        <w:trPr>
          <w:trHeight w:val="20"/>
        </w:trPr>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maximum exposure to loss is limited to its equity investment in the unconsolidated entities.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as of December 31, 2025 and 2024:</w:t>
      </w: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6"/>
                <w:szCs w:val="16"/>
                <w:color w:val="auto"/>
              </w:rPr>
            </w:pPr>
          </w:p>
        </w:tc>
        <w:tc>
          <w:tcPr>
            <w:tcW w:w="14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322,123</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317,926</w:t>
            </w:r>
          </w:p>
        </w:tc>
      </w:tr>
      <w:tr>
        <w:trPr>
          <w:trHeight w:val="24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203,312</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169,571</w:t>
            </w:r>
          </w:p>
        </w:tc>
      </w:tr>
      <w:tr>
        <w:trPr>
          <w:trHeight w:val="260"/>
        </w:trPr>
        <w:tc>
          <w:tcPr>
            <w:tcW w:w="3260" w:type="dxa"/>
            <w:vAlign w:val="bottom"/>
            <w:shd w:val="clear" w:color="auto" w:fill="CCEEFF"/>
          </w:tcPr>
          <w:p>
            <w:pPr>
              <w:ind w:left="20"/>
              <w:spacing w:after="0" w:line="261" w:lineRule="exact"/>
              <w:rPr>
                <w:sz w:val="20"/>
                <w:szCs w:val="20"/>
                <w:color w:val="auto"/>
              </w:rPr>
            </w:pPr>
            <w:r>
              <w:rPr>
                <w:rFonts w:ascii="Times New Roman" w:cs="Times New Roman" w:eastAsia="Times New Roman" w:hAnsi="Times New Roman"/>
                <w:sz w:val="18"/>
                <w:szCs w:val="18"/>
                <w:color w:val="auto"/>
              </w:rPr>
              <w:t xml:space="preserve">CNG/RNG fueling stations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90,453</w:t>
            </w: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68,899</w:t>
            </w:r>
          </w:p>
        </w:tc>
      </w:tr>
      <w:tr>
        <w:trPr>
          <w:trHeight w:val="24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w:t>
            </w:r>
          </w:p>
        </w:tc>
      </w:tr>
      <w:tr>
        <w:trPr>
          <w:trHeight w:val="25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2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47"/>
        </w:trPr>
        <w:tc>
          <w:tcPr>
            <w:tcW w:w="3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628,677</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575,634</w:t>
            </w:r>
          </w:p>
        </w:tc>
      </w:tr>
      <w:tr>
        <w:trPr>
          <w:trHeight w:val="254"/>
        </w:trPr>
        <w:tc>
          <w:tcPr>
            <w:tcW w:w="3260" w:type="dxa"/>
            <w:vAlign w:val="bottom"/>
            <w:shd w:val="clear" w:color="auto" w:fill="CCEEFF"/>
          </w:tcPr>
          <w:p>
            <w:pPr>
              <w:ind w:left="20"/>
              <w:spacing w:after="0" w:line="254" w:lineRule="exact"/>
              <w:rPr>
                <w:sz w:val="20"/>
                <w:szCs w:val="20"/>
                <w:color w:val="auto"/>
              </w:rPr>
            </w:pPr>
            <w:r>
              <w:rPr>
                <w:rFonts w:ascii="Times New Roman" w:cs="Times New Roman" w:eastAsia="Times New Roman" w:hAnsi="Times New Roman"/>
                <w:sz w:val="18"/>
                <w:szCs w:val="18"/>
                <w:color w:val="auto"/>
              </w:rPr>
              <w:t xml:space="preserve">Less: accumulated depreciation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(133,043)</w:t>
            </w:r>
          </w:p>
        </w:tc>
        <w:tc>
          <w:tcPr>
            <w:tcW w:w="2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(117,376)</w:t>
            </w:r>
          </w:p>
        </w:tc>
      </w:tr>
      <w:tr>
        <w:trPr>
          <w:trHeight w:val="24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495,634</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458,258</w:t>
            </w:r>
          </w:p>
        </w:tc>
      </w:tr>
      <w:tr>
        <w:trPr>
          <w:trHeight w:val="20"/>
        </w:trPr>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180" w:hanging="173"/>
        <w:spacing w:after="0"/>
        <w:tabs>
          <w:tab w:leader="none" w:pos="18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$87,888 and $68,899 lessor operating lease right of use assets as of December 31, 2025 and 2024, respectively.</w:t>
      </w:r>
    </w:p>
    <w:p>
      <w:pPr>
        <w:spacing w:after="0" w:line="147" w:lineRule="exact"/>
        <w:rPr>
          <w:rFonts w:ascii="Times New Roman" w:cs="Times New Roman" w:eastAsia="Times New Roman" w:hAnsi="Times New Roman"/>
          <w:sz w:val="22"/>
          <w:szCs w:val="22"/>
          <w:color w:val="auto"/>
          <w:vertAlign w:val="superscript"/>
        </w:rPr>
      </w:pPr>
    </w:p>
    <w:p>
      <w:pPr>
        <w:ind w:left="180" w:hanging="173"/>
        <w:spacing w:after="0"/>
        <w:tabs>
          <w:tab w:leader="none" w:pos="18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$18,399 and $14,569 lessor operating lease accumulated depreciation for the years ended December 31, 2025 and 2024, respectively.</w:t>
      </w:r>
    </w:p>
    <w:p>
      <w:pPr>
        <w:spacing w:after="0" w:line="15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As of December 31, 2025 and 2024, construction in progress primarily consisted of capital expenditures related to the development of RNG generation facilities as well as RNG dispensing facilities.</w:t>
      </w:r>
    </w:p>
    <w:p>
      <w:pPr>
        <w:spacing w:after="0" w:line="12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Depreciation expense on property, plant, and equipment for the years ended December 31, 2025 and 2024 was $21,582 and $17,176, including lessor operating lease depreciation of $4,225 and $3,515,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goodwill, if any, by reporting segment from the beginning of the period to the end of the period: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4" w:lineRule="exact"/>
        <w:rPr>
          <w:sz w:val="20"/>
          <w:szCs w:val="20"/>
          <w:color w:val="auto"/>
        </w:rPr>
      </w:pPr>
    </w:p>
    <w:tbl>
      <w:tblPr>
        <w:tblLayout w:type="fixed"/>
        <w:tblInd w:w="1740" w:type="dxa"/>
        <w:tblCellMar>
          <w:top w:w="0" w:type="dxa"/>
          <w:left w:w="0" w:type="dxa"/>
          <w:bottom w:w="0" w:type="dxa"/>
          <w:right w:w="0" w:type="dxa"/>
        </w:tblCellMar>
      </w:tblPr>
      <w:tr>
        <w:trPr>
          <w:trHeight w:val="249"/>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9"/>
              </w:rPr>
              <w:t>RNG Fuel Supply</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Fuel Station Services</w:t>
            </w:r>
          </w:p>
        </w:tc>
        <w:tc>
          <w:tcPr>
            <w:tcW w:w="400" w:type="dxa"/>
            <w:vAlign w:val="bottom"/>
          </w:tcPr>
          <w:p>
            <w:pPr>
              <w:spacing w:after="0"/>
              <w:rPr>
                <w:sz w:val="21"/>
                <w:szCs w:val="21"/>
                <w:color w:val="auto"/>
              </w:rPr>
            </w:pPr>
          </w:p>
        </w:tc>
        <w:tc>
          <w:tcPr>
            <w:tcW w:w="136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70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w:t>
            </w:r>
          </w:p>
        </w:tc>
      </w:tr>
      <w:tr>
        <w:trPr>
          <w:trHeight w:val="24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7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54,608</w:t>
            </w: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results of the qualitative assessment indicated that the fair value of the Company’s reporting units exceeded their carrying amounts as of the measurement date, resulting in no impairment loss as of December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loan facilities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36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Effective interest rate</w:t>
            </w:r>
          </w:p>
        </w:tc>
        <w:tc>
          <w:tcPr>
            <w:tcW w:w="150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50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 Term Loan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8.8 %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321,618</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271,617</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Sunoma Loan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Loan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0" w:type="dxa"/>
            <w:vAlign w:val="bottom"/>
          </w:tcPr>
          <w:p>
            <w:pPr>
              <w:spacing w:after="0"/>
              <w:rPr>
                <w:sz w:val="1"/>
                <w:szCs w:val="1"/>
                <w:color w:val="auto"/>
              </w:rPr>
            </w:pPr>
          </w:p>
        </w:tc>
      </w:tr>
      <w:tr>
        <w:trPr>
          <w:trHeight w:val="25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loans</w:t>
            </w:r>
          </w:p>
        </w:tc>
        <w:tc>
          <w:tcPr>
            <w:tcW w:w="18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47"/>
        </w:trPr>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long-term loan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337,063</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285,003</w:t>
            </w: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principal maturities of debt are expected as follows, excluding any undrawn debt facilities:</w:t>
      </w:r>
    </w:p>
    <w:p>
      <w:pPr>
        <w:spacing w:after="0" w:line="247" w:lineRule="exact"/>
        <w:rPr>
          <w:sz w:val="20"/>
          <w:szCs w:val="20"/>
          <w:color w:val="auto"/>
        </w:rPr>
      </w:pPr>
    </w:p>
    <w:tbl>
      <w:tblPr>
        <w:tblLayout w:type="fixed"/>
        <w:tblInd w:w="4020" w:type="dxa"/>
        <w:tblCellMar>
          <w:top w:w="0" w:type="dxa"/>
          <w:left w:w="0" w:type="dxa"/>
          <w:bottom w:w="0" w:type="dxa"/>
          <w:right w:w="0" w:type="dxa"/>
        </w:tblCellMar>
      </w:tblPr>
      <w:tr>
        <w:trPr>
          <w:trHeight w:val="239"/>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r>
      <w:tr>
        <w:trPr>
          <w:trHeight w:val="24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15,087</w:t>
            </w:r>
          </w:p>
        </w:tc>
      </w:tr>
      <w:tr>
        <w:trPr>
          <w:trHeight w:val="26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318,191</w:t>
            </w:r>
          </w:p>
        </w:tc>
      </w:tr>
      <w:tr>
        <w:trPr>
          <w:trHeight w:val="24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6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47"/>
        </w:trPr>
        <w:tc>
          <w:tcPr>
            <w:tcW w:w="1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w:t>
            </w:r>
          </w:p>
        </w:tc>
      </w:tr>
      <w:tr>
        <w:trPr>
          <w:trHeight w:val="272"/>
        </w:trPr>
        <w:tc>
          <w:tcPr>
            <w:tcW w:w="15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361,267</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1, 2023, the Company restructured its existing credit agreement and entered into a new senior secured credit facility (the "Credit Agreement") with OPAL Fuels Intermediate Holding Company LLC (“OPAL Intermediate Holdco”) as the borrower ("Borrower"), direct and indirect subsidiaries of the Borrower as guarantors (the “Guarantors”), group of banks as lenders and Bank of America, N.A., as administrative agent. The Credit Agreement provides for up to $450,000 of initial and delayed draw term loans (with such delayed draw term loans available for up to 18 months after closing) and $50,000 of revolving loans. The amounts outstanding under the Credit Agreement are secured by the assets of the indirect subsidiaries of OPAL Intermediate Holdco. The outstanding loans under the Credit Agreement initially bear interest at an annual rate of Term SOFR plus margin. The margin increases over time: 3.5% for years 0–3, 3.75% for years 3–4, and 4.0% thereafter. Commitment fee accrues on the daily unused amount at 0.75% per annum. Commencing March 31, 2025, the outstanding principal amount of the term loans was scheduled to amortize at a rate of 1% per quarter and the Borrower is obligated to pay a leverage based cash sweep ranging from 25% to 100% of distributable cash of Borrower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Guarantors, and subject to certain other mandatory prepayment requirements. The term and revolving loans mature on September 1, 2028.</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Credit Agreement requires the Borrower to maintain a consolidated debt service coverage ratio of not less than 1.2 to 1.0, as tested on a trailing four quarters basis as of the last day of each fiscal quarter during the term commencing with the quarter ended December 31, 2023, and to maintain a consolidated debt to cash flow ratio of not greater than 4.5 to 1.0 during the delayed draw availability period, and not greater than 4.0 to 1.0 thereafter.</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Additionally, the OPAL Term Loan contains restrictions on distributions and additional indebtedness. On March 3, 2025, the Company entered into the first amendment of the Credit Agreement (the “Credit Agreement Amendment”). The Credit Agreement Amendment changes certain covenants, extends the availability period for delay draw term loans under the Credit Agreement through March 5, 2026, and extends the commencement of repayment of such term loans until March 31, 2026. The Credit Agreement Amendment was accounted for as a modification during the year ended December 31, 2025.</w:t>
      </w:r>
    </w:p>
    <w:p>
      <w:pPr>
        <w:spacing w:after="0" w:line="14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As of December 31, 2025, the Company had utilized $14,577 of availability under the revolver loan to provide for the issuance of letters of credit to support the operations of the Borrower and the Guarantors.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July 19, 2022, Sunoma, an indirect wholly-owned subsidiary of the Company, completed the conversion of the construction loan into a permanent loan with aggregate principal amount of $23,000. The maturity date is July 19, 2033. The outstanding loans under the Sunoma Loan Agreement bear interest at annual fixed rates of 7.8%, and 8.2% per annum during the term. The amounts outstanding under the Sunoma Loan are secured by the assets of Sunoma.</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also utilized $927 for the issuance of letters of credit to support the operations. The amounts outstanding under the Sunoma Loan are secured by the assets of Sunoma.</w:t>
      </w:r>
    </w:p>
    <w:p>
      <w:pPr>
        <w:spacing w:after="0" w:line="1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also entered into three equipment loans to finance the purchase of certain machinery. These loans are secured by the underlying machinery and have maturities ranging from 2026 to 2028.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20" w:lineRule="exact"/>
        <w:rPr>
          <w:sz w:val="20"/>
          <w:szCs w:val="20"/>
          <w:color w:val="auto"/>
        </w:rPr>
      </w:pPr>
    </w:p>
    <w:p>
      <w:pPr>
        <w:ind w:right="9940" w:firstLine="7"/>
        <w:spacing w:after="0" w:line="485" w:lineRule="auto"/>
        <w:tabs>
          <w:tab w:leader="none" w:pos="178"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 Lessor Contracts</w:t>
      </w:r>
    </w:p>
    <w:p>
      <w:pPr>
        <w:spacing w:after="0"/>
        <w:rPr>
          <w:sz w:val="20"/>
          <w:szCs w:val="20"/>
          <w:color w:val="auto"/>
        </w:rPr>
      </w:pPr>
      <w:r>
        <w:rPr>
          <w:rFonts w:ascii="Times New Roman" w:cs="Times New Roman" w:eastAsia="Times New Roman" w:hAnsi="Times New Roman"/>
          <w:sz w:val="18"/>
          <w:szCs w:val="18"/>
          <w:i w:val="1"/>
          <w:iCs w:val="1"/>
          <w:color w:val="auto"/>
        </w:rPr>
        <w:t>Power Purchase Agreements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Power purchase agreements ("PPAs") are for the sale of electricity generated at our Renewable Power facilities. All of our Renewable Power facilities operate under fixed pricing or indexed pricing based on market prices. Two of our Renewable Power facilities provide the purchaser with the right to use the power plant during the contract term and are classified as operating leases.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Provider Agreements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Fuel provider agreements ("FPAs") are for the sale of brown gas, service and maintenance of sites. The Company is contracted to design and build a Fueling Station on the customer's property in exchange for the Company providing CNG/RNG and related services to the customer for a determined number of years. The majority of our FPAs include a lease component that provides the customer with the right to use the Fueling Stations and these arrangements are classified as operating leases.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26, 2025, the Company amended its agreement with a customer to extend the lease term through October 31, 2031, with automatic annual renewals unless either party provides notice. The customer holds a purchase option to acquire the underlying CNG equipment for $1, which the Company is reasonably certain will be exercised. The arrangement includes variable lease payments based on CNG volumes dispensed that are not based on an index or rate. As part of the lease modification, the Company reclassified $2,050 of previously accrued lease receivables as a deferred lease incentive, which will be recognized as a reduction of lease income over the amended lease term. The modification did not change the lease’s classification as an operating lease.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Sales-Type Leases</w:t>
      </w:r>
    </w:p>
    <w:p>
      <w:pPr>
        <w:spacing w:after="0" w:line="155"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In 2025, the Company entered into FPAs with customer in Canada and determined that these arrangements meet the criteria for classification as 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type leases. At lease commencement, the underlying assets were derecognized and a lease receivable was recorded at the present value of future lease payments, discounted using the rate implicit in the lease. At that time, $7,734 was recognized within fuel station services revenues and $6,363 was recorded in cost of sales - fuel station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 maturity analysis of lease receivables reflecting undiscounted cash flows to be received on an annual basis are as follows:</w:t>
      </w:r>
    </w:p>
    <w:p>
      <w:pPr>
        <w:spacing w:after="0" w:line="225" w:lineRule="exact"/>
        <w:rPr>
          <w:sz w:val="20"/>
          <w:szCs w:val="20"/>
          <w:color w:val="auto"/>
        </w:rPr>
      </w:pPr>
    </w:p>
    <w:tbl>
      <w:tblPr>
        <w:tblLayout w:type="fixed"/>
        <w:tblInd w:w="2660" w:type="dxa"/>
        <w:tblCellMar>
          <w:top w:w="0" w:type="dxa"/>
          <w:left w:w="0" w:type="dxa"/>
          <w:bottom w:w="0" w:type="dxa"/>
          <w:right w:w="0" w:type="dxa"/>
        </w:tblCellMar>
      </w:tblPr>
      <w:tr>
        <w:trPr>
          <w:trHeight w:val="22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w:t>
            </w: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r>
      <w:tr>
        <w:trPr>
          <w:trHeight w:val="22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17,446</w:t>
            </w: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 based on implicit rate</w:t>
            </w: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w:t>
            </w: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Unguaranteed residual asset</w:t>
            </w: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sales-type lease</w:t>
            </w:r>
          </w:p>
        </w:tc>
        <w:tc>
          <w:tcPr>
            <w:tcW w:w="9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8,224</w:t>
            </w:r>
          </w:p>
        </w:tc>
      </w:tr>
      <w:tr>
        <w:trPr>
          <w:trHeight w:val="20"/>
        </w:trPr>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Contracts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Site Leases</w:t>
      </w:r>
    </w:p>
    <w:p>
      <w:pPr>
        <w:spacing w:after="0" w:line="14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The Company, through its indirectly owned subsidiaries, enters into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site leases on landfills and dairy farms for the construction and operation of its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RNG generation facilities. While most site leases require immaterial lease payments, the Company has three material operating lease arrangements within 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Valley project: one site at the MD Digester (“MD”) and two sites at the VS Digester (“VS1” and “VS2”).</w:t>
      </w:r>
    </w:p>
    <w:p>
      <w:pPr>
        <w:spacing w:after="0" w:line="121"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color w:val="auto"/>
        </w:rPr>
        <w:t>The MD and VS1 site leases became effective in March 2021 and extend through the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anniversary of the respective Commercial Operation Date (“COD”). Rent payments are fixed over the lease term commencing on the Effective date.</w:t>
      </w:r>
    </w:p>
    <w:p>
      <w:pPr>
        <w:spacing w:after="0" w:line="128"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18"/>
          <w:szCs w:val="18"/>
          <w:color w:val="auto"/>
        </w:rPr>
        <w:t>The VS2 site lease became effective in July 2023 and continues through the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anniversary of COD. Rent payments include fixed 5% escalations beginning on the fifth anniversary of COD and every fifth anniversary thereafter. Rent does not commence until the calendar quarter in which COD occurs, resulting in a 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period between the Effective Date and COD.</w:t>
      </w:r>
    </w:p>
    <w:p>
      <w:pPr>
        <w:spacing w:after="0" w:line="88"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These three leases automatically renew for successive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periods, up to a maximum total lease term of 34 years and 11 months from the respective Effective Date. Either party may elect not to renew by providing written notice before the end of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term and each lease includes termination rights if COD is not achieved within a reasonable period.</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2024, the Company revised the commercial operation date for its leases for MD, VS1 and VS2 which changed the lease term for those leases. The Company treated this as a lease modification and increased its right-of-use asset and corresponding lease liability by $1,109 on its consolidated balance sheets as of December 31, 2024, using the incremental borrowing rate from 7.28% to 7.53%.</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also has one site lease associated with one of its FPAs, which it classified as a finance lease based on the terms of the arrangement. During the year ended December 31, 2025, the Company derecognized the ROU asset and corresponding lease liability associated with this lease following a formal release from all future lease obligations by the vendor under the current agreement. The ROU asset had a carrying value of approximately $5,397 at the time of termination. The derecognition resulted in a $600 gain recognized in Other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Lease</w:t>
      </w:r>
    </w:p>
    <w:p>
      <w:pPr>
        <w:spacing w:after="0" w:line="18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Company leases office and warehouse space under an operating lease that originally commenced on January 16, 2015. The expiration date of the lease is January 31, 2028 the Company has a single 36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renewal option, exercisable through written notice. The lease includes scheduled base rent escalations of 4% annually.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Leases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leases vehicles primarily used to perform service and maintenance activities for Fueling Stations operated by OPAL Fuels Station Services, as well as for facility maintenance within its Renewable Power and RNG subsidiaries. The total lease payments represent substantially all of the fair value of the underlying assets and therefore they are recorded as finance leases.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Lease liabilities as of December 31, 2025 and 2024 are as follows: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shd w:val="clear" w:color="auto" w:fill="CCEEFF"/>
          </w:tcPr>
          <w:p>
            <w:pPr>
              <w:spacing w:after="0"/>
              <w:rPr>
                <w:sz w:val="17"/>
                <w:szCs w:val="17"/>
                <w:color w:val="auto"/>
              </w:rPr>
            </w:pPr>
          </w:p>
        </w:tc>
        <w:tc>
          <w:tcPr>
            <w:tcW w:w="5060" w:type="dxa"/>
            <w:vAlign w:val="bottom"/>
            <w:vMerge w:val="restart"/>
            <w:shd w:val="clear" w:color="auto" w:fill="CCEEFF"/>
          </w:tcPr>
          <w:p>
            <w:pPr>
              <w:ind w:left="1760"/>
              <w:spacing w:after="0"/>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0"/>
        </w:trPr>
        <w:tc>
          <w:tcPr>
            <w:tcW w:w="2620" w:type="dxa"/>
            <w:vAlign w:val="bottom"/>
            <w:shd w:val="clear" w:color="auto" w:fill="CCEEFF"/>
          </w:tcPr>
          <w:p>
            <w:pPr>
              <w:spacing w:after="0"/>
              <w:rPr>
                <w:sz w:val="20"/>
                <w:szCs w:val="20"/>
                <w:color w:val="auto"/>
              </w:rPr>
            </w:pPr>
          </w:p>
        </w:tc>
        <w:tc>
          <w:tcPr>
            <w:tcW w:w="5060" w:type="dxa"/>
            <w:vAlign w:val="bottom"/>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0" w:type="dxa"/>
            <w:vAlign w:val="bottom"/>
          </w:tcPr>
          <w:p>
            <w:pPr>
              <w:spacing w:after="0"/>
              <w:rPr>
                <w:sz w:val="1"/>
                <w:szCs w:val="1"/>
                <w:color w:val="auto"/>
              </w:rPr>
            </w:pPr>
          </w:p>
        </w:tc>
      </w:tr>
      <w:tr>
        <w:trPr>
          <w:trHeight w:val="227"/>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5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0" w:type="dxa"/>
            <w:vAlign w:val="bottom"/>
          </w:tcPr>
          <w:p>
            <w:pPr>
              <w:spacing w:after="0"/>
              <w:rPr>
                <w:sz w:val="1"/>
                <w:szCs w:val="1"/>
                <w:color w:val="auto"/>
              </w:rPr>
            </w:pPr>
          </w:p>
        </w:tc>
      </w:tr>
      <w:tr>
        <w:trPr>
          <w:trHeight w:val="245"/>
        </w:trPr>
        <w:tc>
          <w:tcPr>
            <w:tcW w:w="2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5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6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operating leases</w:t>
            </w:r>
          </w:p>
        </w:tc>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leases</w:t>
            </w:r>
          </w:p>
        </w:tc>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leases</w:t>
            </w:r>
          </w:p>
        </w:tc>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0" w:type="dxa"/>
            <w:vAlign w:val="bottom"/>
          </w:tcPr>
          <w:p>
            <w:pPr>
              <w:spacing w:after="0"/>
              <w:rPr>
                <w:sz w:val="1"/>
                <w:szCs w:val="1"/>
                <w:color w:val="auto"/>
              </w:rPr>
            </w:pPr>
          </w:p>
        </w:tc>
      </w:tr>
      <w:tr>
        <w:trPr>
          <w:trHeight w:val="22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finance leases</w:t>
            </w:r>
          </w:p>
        </w:tc>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6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components of the Company's lease expense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142875</wp:posOffset>
            </wp:positionV>
            <wp:extent cx="5700395" cy="305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4">
                      <a:extLst>
                        <a:ext uri="{28A0092B-C50C-407E-A947-70E740481C1C}"/>
                      </a:extLst>
                    </a:blip>
                    <a:srcRect/>
                    <a:stretch>
                      <a:fillRect/>
                    </a:stretch>
                  </pic:blipFill>
                  <pic:spPr bwMode="auto">
                    <a:xfrm>
                      <a:off x="0" y="0"/>
                      <a:ext cx="5700395" cy="3054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6" w:lineRule="exact"/>
        <w:rPr>
          <w:sz w:val="20"/>
          <w:szCs w:val="20"/>
          <w:color w:val="auto"/>
        </w:rPr>
      </w:pPr>
    </w:p>
    <w:p>
      <w:pPr>
        <w:ind w:left="1160" w:right="860"/>
        <w:spacing w:after="0" w:line="299" w:lineRule="auto"/>
        <w:rPr>
          <w:sz w:val="20"/>
          <w:szCs w:val="20"/>
          <w:color w:val="auto"/>
        </w:rPr>
      </w:pPr>
      <w:r>
        <w:rPr>
          <w:rFonts w:ascii="Times New Roman" w:cs="Times New Roman" w:eastAsia="Times New Roman" w:hAnsi="Times New Roman"/>
          <w:sz w:val="17"/>
          <w:szCs w:val="17"/>
          <w:color w:val="auto"/>
        </w:rPr>
        <w:t>Amortization of right-of-use assets - finance leases Interest expense on lease liabilities - finance leases</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5"/>
        </w:trPr>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27"/>
        </w:trPr>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32"/>
        </w:trPr>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0"/>
        </w:trPr>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-627380</wp:posOffset>
            </wp:positionV>
            <wp:extent cx="5700395" cy="152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5">
                      <a:extLst>
                        <a:ext uri="{28A0092B-C50C-407E-A947-70E740481C1C}"/>
                      </a:extLst>
                    </a:blip>
                    <a:srcRect/>
                    <a:stretch>
                      <a:fillRect/>
                    </a:stretch>
                  </pic:blipFill>
                  <pic:spPr bwMode="auto">
                    <a:xfrm>
                      <a:off x="0" y="0"/>
                      <a:ext cx="5700395" cy="15240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-330200</wp:posOffset>
            </wp:positionV>
            <wp:extent cx="5700395" cy="144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6">
                      <a:extLst>
                        <a:ext uri="{28A0092B-C50C-407E-A947-70E740481C1C}"/>
                      </a:extLst>
                    </a:blip>
                    <a:srcRect/>
                    <a:stretch>
                      <a:fillRect/>
                    </a:stretch>
                  </pic:blipFill>
                  <pic:spPr bwMode="auto">
                    <a:xfrm>
                      <a:off x="0" y="0"/>
                      <a:ext cx="5700395"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80"/>
          </w:cols>
          <w:pgMar w:left="320" w:top="1440" w:right="339" w:bottom="1440" w:gutter="0" w:footer="0" w:header="0"/>
          <w:type w:val="continuous"/>
        </w:sectPr>
      </w:pPr>
    </w:p>
    <w:p>
      <w:pPr>
        <w:spacing w:after="0" w:line="8"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18"/>
          <w:szCs w:val="18"/>
          <w:color w:val="auto"/>
        </w:rPr>
        <w:t>During the years ended December 31, 2025 and 2024, the Company’s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remaining lease terms and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discount rates were as follows: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514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0"/>
        </w:trPr>
        <w:tc>
          <w:tcPr>
            <w:tcW w:w="5140" w:type="dxa"/>
            <w:vAlign w:val="bottom"/>
            <w:shd w:val="clear" w:color="auto" w:fill="CCEEFF"/>
          </w:tcPr>
          <w:p>
            <w:pPr>
              <w:spacing w:after="0"/>
              <w:rPr>
                <w:sz w:val="20"/>
                <w:szCs w:val="20"/>
                <w:color w:val="auto"/>
              </w:rPr>
            </w:pPr>
          </w:p>
        </w:tc>
        <w:tc>
          <w:tcPr>
            <w:tcW w:w="2320" w:type="dxa"/>
            <w:vAlign w:val="bottom"/>
            <w:tcBorders>
              <w:bottom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23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19.4 years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years</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3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2.5 years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years</w:t>
            </w:r>
          </w:p>
        </w:tc>
      </w:tr>
      <w:tr>
        <w:trPr>
          <w:trHeight w:val="22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3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7.4 %</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7.5 %</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total amount of lease payments on an undiscounted basis on our lease contracts as of December 31,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0" w:name="page111"/>
    <w:bookmarkEnd w:id="110"/>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5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7"/>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27"/>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27"/>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27"/>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7"/>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27"/>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2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undiscounted cashflows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28,158</w:t>
            </w:r>
          </w:p>
        </w:tc>
      </w:tr>
      <w:tr>
        <w:trPr>
          <w:trHeight w:val="220"/>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Discount based on incremental borrowing rate</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45"/>
        </w:trPr>
        <w:tc>
          <w:tcPr>
            <w:tcW w:w="5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 expense was immaterial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11" w:name="page112"/>
    <w:bookmarkEnd w:id="111"/>
    <w:p>
      <w:pPr>
        <w:ind w:right="4440" w:firstLine="7"/>
        <w:spacing w:after="0" w:line="459" w:lineRule="auto"/>
        <w:tabs>
          <w:tab w:leader="none" w:pos="17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 AND FAIR VALUE MEASUREMENTS Commodity Swap Contracts</w:t>
      </w: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and natural gas. The Company does not apply hedge accounting to these contracts. These contracts are considered to be Level 2 instruments in the fair value hierarchy.</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entered into an International Swaps and Derivatives Association (“ISDA”) agreement with NextEra, a related party in November 2022. Pursuant to the agreement, in December 2024 the Company entered in 15-month pay variable, receive fixed cash settled electricity commodity swap with NextEra. The Company will receive Fixed Price $56.15 per MWh and pay Floating Price. Total notional quantity of the contract is 10,919 MWh. The Company applies fair value accounting under ASC 815 for this transaction.</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multiple ISDA agreements with various banks for pay-variable, receive-fixed, cash-settled natural gas commodity swaps with fixed prices ranging from $3.88 to $4.53 per MMBTU and total notional quantity of 7,200,000 MMBTUs. The Company applies fair value accounting under ASC 815 for these transactions.</w:t>
      </w:r>
    </w:p>
    <w:p>
      <w:pPr>
        <w:spacing w:after="0" w:line="15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effect of commodity swaps on the consolidated statements of operations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106680</wp:posOffset>
            </wp:positionV>
            <wp:extent cx="6802755" cy="169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9">
                      <a:extLst>
                        <a:ext uri="{28A0092B-C50C-407E-A947-70E740481C1C}"/>
                      </a:extLst>
                    </a:blip>
                    <a:srcRect/>
                    <a:stretch>
                      <a:fillRect/>
                    </a:stretch>
                  </pic:blipFill>
                  <pic:spPr bwMode="auto">
                    <a:xfrm>
                      <a:off x="0" y="0"/>
                      <a:ext cx="6802755" cy="169545"/>
                    </a:xfrm>
                    <a:prstGeom prst="rect">
                      <a:avLst/>
                    </a:prstGeom>
                    <a:noFill/>
                  </pic:spPr>
                </pic:pic>
              </a:graphicData>
            </a:graphic>
          </wp:anchor>
        </w:drawing>
      </w:r>
    </w:p>
    <w:p>
      <w:pPr>
        <w:spacing w:after="0" w:line="15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6" w:lineRule="exact"/>
        <w:rPr>
          <w:sz w:val="20"/>
          <w:szCs w:val="20"/>
          <w:color w:val="auto"/>
        </w:rPr>
      </w:pPr>
    </w:p>
    <w:tbl>
      <w:tblPr>
        <w:tblLayout w:type="fixed"/>
        <w:tblInd w:w="280" w:type="dxa"/>
        <w:tblCellMar>
          <w:top w:w="0" w:type="dxa"/>
          <w:left w:w="0" w:type="dxa"/>
          <w:bottom w:w="0" w:type="dxa"/>
          <w:right w:w="0" w:type="dxa"/>
        </w:tblCellMar>
      </w:tblPr>
      <w:tr>
        <w:trPr>
          <w:trHeight w:val="174"/>
        </w:trPr>
        <w:tc>
          <w:tcPr>
            <w:tcW w:w="33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39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Location of gain (loss) recognized</w:t>
            </w: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vMerge w:val="restart"/>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0"/>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398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swaps - realized (loss) gain</w:t>
            </w:r>
          </w:p>
        </w:tc>
        <w:tc>
          <w:tcPr>
            <w:tcW w:w="3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Commodity swaps - unrealized (loss) gain</w:t>
            </w: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swaps - realized gain</w:t>
            </w:r>
          </w:p>
        </w:tc>
        <w:tc>
          <w:tcPr>
            <w:tcW w:w="3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Revenues - RNG Fuel</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Commodity swaps - unrealized gain</w:t>
            </w:r>
          </w:p>
        </w:tc>
        <w:tc>
          <w:tcPr>
            <w:tcW w:w="3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Revenues - RNG Fuel</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and unrealized gain</w:t>
            </w:r>
          </w:p>
        </w:tc>
        <w:tc>
          <w:tcPr>
            <w:tcW w:w="39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derivative assets and liabilities related to commodity swaps as of December 31, 2025 and 2024:</w:t>
      </w: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236"/>
        </w:trPr>
        <w:tc>
          <w:tcPr>
            <w:tcW w:w="4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Location of Fair value recognized</w:t>
            </w:r>
          </w:p>
        </w:tc>
        <w:tc>
          <w:tcPr>
            <w:tcW w:w="0" w:type="dxa"/>
            <w:vAlign w:val="bottom"/>
          </w:tcPr>
          <w:p>
            <w:pPr>
              <w:spacing w:after="0"/>
              <w:rPr>
                <w:sz w:val="1"/>
                <w:szCs w:val="1"/>
                <w:color w:val="auto"/>
              </w:rPr>
            </w:pPr>
          </w:p>
        </w:tc>
      </w:tr>
      <w:tr>
        <w:trPr>
          <w:trHeight w:val="158"/>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0" w:type="dxa"/>
            <w:vAlign w:val="bottom"/>
          </w:tcPr>
          <w:p>
            <w:pPr>
              <w:spacing w:after="0"/>
              <w:rPr>
                <w:sz w:val="13"/>
                <w:szCs w:val="13"/>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26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in Balance Sheet</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Prepaid expense and other current</w:t>
            </w:r>
          </w:p>
        </w:tc>
        <w:tc>
          <w:tcPr>
            <w:tcW w:w="0" w:type="dxa"/>
            <w:vAlign w:val="bottom"/>
          </w:tcPr>
          <w:p>
            <w:pPr>
              <w:spacing w:after="0"/>
              <w:rPr>
                <w:sz w:val="1"/>
                <w:szCs w:val="1"/>
                <w:color w:val="auto"/>
              </w:rPr>
            </w:pPr>
          </w:p>
        </w:tc>
      </w:tr>
      <w:tr>
        <w:trPr>
          <w:trHeight w:val="232"/>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unrealized gain commodity swaps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82"/>
        </w:trPr>
        <w:tc>
          <w:tcPr>
            <w:tcW w:w="4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6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0" w:type="dxa"/>
            <w:vAlign w:val="bottom"/>
          </w:tcPr>
          <w:p>
            <w:pPr>
              <w:spacing w:after="0"/>
              <w:rPr>
                <w:sz w:val="1"/>
                <w:szCs w:val="1"/>
                <w:color w:val="auto"/>
              </w:rPr>
            </w:pPr>
          </w:p>
        </w:tc>
      </w:tr>
      <w:tr>
        <w:trPr>
          <w:trHeight w:val="23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unrealized loss commodity swaps</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20"/>
                <w:szCs w:val="20"/>
                <w:color w:val="auto"/>
              </w:rPr>
            </w:pPr>
          </w:p>
        </w:tc>
        <w:tc>
          <w:tcPr>
            <w:tcW w:w="42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(9) liabilities</w:t>
            </w:r>
          </w:p>
        </w:tc>
        <w:tc>
          <w:tcPr>
            <w:tcW w:w="0" w:type="dxa"/>
            <w:vAlign w:val="bottom"/>
          </w:tcPr>
          <w:p>
            <w:pPr>
              <w:spacing w:after="0"/>
              <w:rPr>
                <w:sz w:val="1"/>
                <w:szCs w:val="1"/>
                <w:color w:val="auto"/>
              </w:rPr>
            </w:pPr>
          </w:p>
        </w:tc>
      </w:tr>
      <w:tr>
        <w:trPr>
          <w:trHeight w:val="25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 - current portion of unrealized gain commodity swaps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2"/>
                <w:szCs w:val="22"/>
                <w:color w:val="auto"/>
              </w:rPr>
            </w:pPr>
          </w:p>
        </w:tc>
        <w:tc>
          <w:tcPr>
            <w:tcW w:w="160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 current portion of unrealized loss commodity swaps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ind w:left="1151"/>
              <w:spacing w:after="0"/>
              <w:rPr>
                <w:sz w:val="20"/>
                <w:szCs w:val="20"/>
                <w:color w:val="auto"/>
              </w:rPr>
            </w:pPr>
            <w:r>
              <w:rPr>
                <w:rFonts w:ascii="Times New Roman" w:cs="Times New Roman" w:eastAsia="Times New Roman" w:hAnsi="Times New Roman"/>
                <w:sz w:val="18"/>
                <w:szCs w:val="18"/>
                <w:color w:val="auto"/>
                <w:w w:val="93"/>
              </w:rPr>
              <w:t>(63)</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22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commodity swaps - unrealized gain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center"/>
              <w:ind w:left="1151"/>
              <w:spacing w:after="0"/>
              <w:rPr>
                <w:sz w:val="20"/>
                <w:szCs w:val="20"/>
                <w:color w:val="auto"/>
              </w:rPr>
            </w:pPr>
            <w:r>
              <w:rPr>
                <w:rFonts w:ascii="Times New Roman" w:cs="Times New Roman" w:eastAsia="Times New Roman" w:hAnsi="Times New Roman"/>
                <w:sz w:val="18"/>
                <w:szCs w:val="18"/>
                <w:color w:val="auto"/>
                <w:w w:val="93"/>
              </w:rPr>
              <w:t>(72)</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There were no amounts offset in the consolidated balance sheets as of the period-end dates. In addition, there were no collateral balances with counterparties outstanding as of the period-end dates.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Convertible Note Receivable</w:t>
      </w:r>
    </w:p>
    <w:p>
      <w:pPr>
        <w:spacing w:after="0" w:line="144"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July 2024, the Company purchased a $750 convertible note with a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term, which is classified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measured at fair value with changes recognized in earnings. The note was a Level 3 financial instrument, and its fair value was presented as a separate line item in the consolidated balance sheets. As of December 31, 2024, the note’s fair value was $760, with changes in fair value (including interest income) recorded in other income. In the third quarter of 2025, the investee underwent an exit event, the note has been paid and the Company received $1,377 in cash proceeds, with an additional $198 held in escrow and recorded in prepaid expenses and other current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December 31, 2025 and 2024.</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December 31, 2025 and 2024, set forth by level, within the fair value hierarchy:</w:t>
      </w:r>
    </w:p>
    <w:p>
      <w:pPr>
        <w:spacing w:after="0" w:line="186"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b w:val="1"/>
          <w:bCs w:val="1"/>
          <w:color w:val="auto"/>
        </w:rPr>
        <w:t>Fair value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26670</wp:posOffset>
            </wp:positionV>
            <wp:extent cx="43427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1">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40" w:lineRule="exact"/>
        <w:rPr>
          <w:sz w:val="20"/>
          <w:szCs w:val="20"/>
          <w:color w:val="auto"/>
        </w:rPr>
      </w:pPr>
    </w:p>
    <w:p>
      <w:pPr>
        <w:ind w:left="4160"/>
        <w:spacing w:after="0"/>
        <w:tabs>
          <w:tab w:leader="none" w:pos="5840" w:val="left"/>
          <w:tab w:leader="none" w:pos="7560" w:val="left"/>
          <w:tab w:leader="none" w:pos="934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26670</wp:posOffset>
            </wp:positionV>
            <wp:extent cx="6082030" cy="161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2">
                      <a:extLst>
                        <a:ext uri="{28A0092B-C50C-407E-A947-70E740481C1C}"/>
                      </a:extLst>
                    </a:blip>
                    <a:srcRect/>
                    <a:stretch>
                      <a:fillRect/>
                    </a:stretch>
                  </pic:blipFill>
                  <pic:spPr bwMode="auto">
                    <a:xfrm>
                      <a:off x="0" y="0"/>
                      <a:ext cx="6082030" cy="161290"/>
                    </a:xfrm>
                    <a:prstGeom prst="rect">
                      <a:avLst/>
                    </a:prstGeom>
                    <a:noFill/>
                  </pic:spPr>
                </pic:pic>
              </a:graphicData>
            </a:graphic>
          </wp:anchor>
        </w:drawing>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Assets:</w:t>
      </w:r>
    </w:p>
    <w:p>
      <w:pPr>
        <w:spacing w:after="0" w:line="47" w:lineRule="exact"/>
        <w:rPr>
          <w:sz w:val="20"/>
          <w:szCs w:val="20"/>
          <w:color w:val="auto"/>
        </w:rPr>
      </w:pPr>
    </w:p>
    <w:tbl>
      <w:tblPr>
        <w:tblLayout w:type="fixed"/>
        <w:tblInd w:w="840" w:type="dxa"/>
        <w:tblCellMar>
          <w:top w:w="0" w:type="dxa"/>
          <w:left w:w="0" w:type="dxa"/>
          <w:bottom w:w="0" w:type="dxa"/>
          <w:right w:w="0" w:type="dxa"/>
        </w:tblCellMar>
      </w:tblPr>
      <w:tr>
        <w:trPr>
          <w:trHeight w:val="239"/>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17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320" w:type="dxa"/>
            <w:vAlign w:val="bottom"/>
          </w:tcPr>
          <w:p>
            <w:pPr>
              <w:spacing w:after="0"/>
              <w:rPr>
                <w:sz w:val="20"/>
                <w:szCs w:val="20"/>
                <w:color w:val="auto"/>
              </w:rPr>
            </w:pPr>
          </w:p>
        </w:tc>
      </w:tr>
      <w:tr>
        <w:trPr>
          <w:trHeight w:val="260"/>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swap contracts</w:t>
            </w:r>
          </w:p>
        </w:tc>
        <w:tc>
          <w:tcPr>
            <w:tcW w:w="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20" w:type="dxa"/>
            <w:vAlign w:val="bottom"/>
          </w:tcPr>
          <w:p>
            <w:pPr>
              <w:spacing w:after="0"/>
              <w:rPr>
                <w:sz w:val="22"/>
                <w:szCs w:val="22"/>
                <w:color w:val="auto"/>
              </w:rPr>
            </w:pPr>
          </w:p>
        </w:tc>
      </w:tr>
      <w:tr>
        <w:trPr>
          <w:trHeight w:val="541"/>
        </w:trPr>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47"/>
        </w:trPr>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0"/>
        </w:trPr>
        <w:tc>
          <w:tcPr>
            <w:tcW w:w="300" w:type="dxa"/>
            <w:vAlign w:val="bottom"/>
          </w:tcPr>
          <w:p>
            <w:pPr>
              <w:spacing w:after="0"/>
              <w:rPr>
                <w:sz w:val="22"/>
                <w:szCs w:val="22"/>
                <w:color w:val="auto"/>
              </w:rPr>
            </w:pPr>
          </w:p>
        </w:tc>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47"/>
        </w:trPr>
        <w:tc>
          <w:tcPr>
            <w:tcW w:w="300" w:type="dxa"/>
            <w:vAlign w:val="bottom"/>
          </w:tcPr>
          <w:p>
            <w:pPr>
              <w:spacing w:after="0"/>
              <w:rPr>
                <w:sz w:val="21"/>
                <w:szCs w:val="21"/>
                <w:color w:val="auto"/>
              </w:rPr>
            </w:pP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72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19,786</w:t>
            </w:r>
          </w:p>
        </w:tc>
      </w:tr>
      <w:tr>
        <w:trPr>
          <w:trHeight w:val="260"/>
        </w:trPr>
        <w:tc>
          <w:tcPr>
            <w:tcW w:w="300" w:type="dxa"/>
            <w:vAlign w:val="bottom"/>
          </w:tcPr>
          <w:p>
            <w:pPr>
              <w:spacing w:after="0"/>
              <w:rPr>
                <w:sz w:val="22"/>
                <w:szCs w:val="22"/>
                <w:color w:val="auto"/>
              </w:rPr>
            </w:pPr>
          </w:p>
        </w:tc>
        <w:tc>
          <w:tcPr>
            <w:tcW w:w="2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Convertible note receivable</w:t>
            </w:r>
          </w:p>
        </w:tc>
        <w:tc>
          <w:tcPr>
            <w:tcW w:w="4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760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w:t>
            </w:r>
          </w:p>
        </w:tc>
      </w:tr>
      <w:tr>
        <w:trPr>
          <w:trHeight w:val="247"/>
        </w:trPr>
        <w:tc>
          <w:tcPr>
            <w:tcW w:w="30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0"/>
        </w:trPr>
        <w:tc>
          <w:tcPr>
            <w:tcW w:w="300" w:type="dxa"/>
            <w:vAlign w:val="bottom"/>
          </w:tcPr>
          <w:p>
            <w:pPr>
              <w:spacing w:after="0"/>
              <w:rPr>
                <w:sz w:val="22"/>
                <w:szCs w:val="22"/>
                <w:color w:val="auto"/>
              </w:rPr>
            </w:pPr>
          </w:p>
        </w:tc>
        <w:tc>
          <w:tcPr>
            <w:tcW w:w="2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Commodity swap contracts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3" w:name="page114"/>
    <w:bookmarkEnd w:id="113"/>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parties are represented by Fortistar LLC ("Fortistar") and other affiliates, subsidiaries and entities under common control with Fortistar or NextEra.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Preferred Non-controlling Interests</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Upon completion of the transaction contemplated by the Business Combination Agreement dated December 2, 2021, by and among ArcLight, OPAL Fuels LLC, and OPAL HoldCo ("Business Combination"), the Company assumed Series A preferred units issued to Nextera. Series A preferred units became issued and outstanding at OPAL Fuels and were recorded as redeemable preferred non-controlling interests. The holder’s redemption option became exercisable on November 29, 2025, and NextEra provided written notice of its intent to exercise the redemption option during the fourth quarter of 2025. See </w:t>
      </w:r>
      <w:r>
        <w:rPr>
          <w:rFonts w:ascii="Times New Roman" w:cs="Times New Roman" w:eastAsia="Times New Roman" w:hAnsi="Times New Roman"/>
          <w:sz w:val="18"/>
          <w:szCs w:val="18"/>
          <w:i w:val="1"/>
          <w:iCs w:val="1"/>
          <w:color w:val="auto"/>
        </w:rPr>
        <w:t>Note 11. Redeemable Non-controlling Interest, Redeemable Preferred Non-controlling Interest and Stockholders' Deficit</w:t>
      </w:r>
      <w:r>
        <w:rPr>
          <w:rFonts w:ascii="Times New Roman" w:cs="Times New Roman" w:eastAsia="Times New Roman" w:hAnsi="Times New Roman"/>
          <w:sz w:val="18"/>
          <w:szCs w:val="18"/>
          <w:color w:val="auto"/>
        </w:rPr>
        <w:t>, for additional information.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there was no accrued preferred dividends payable.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Sale Agreement for Environmental Attributes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is party to a purchase and sale agreement with NextEra under which it sells a minimum of 90% of environmental attributes generated by the RNG Fuels business. Proceeds are based on agreed pricing net of a specified discount, and certain quarterly volumes incur an additional fee per attribute.</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March 26, 2025, the Company entered into a North American Energy Standards Board (“NAESB”) Base Contract with NextEra for the sale of RNG ("Green Gas Contract"). Transaction confirmations were executed in March, June, and September and December 2025.</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this contract, the Company could enter into transaction confirmations on a periodic basis for the sale of RNG generated by the RNG Fuels business and NextEra could elect to utilize the Company to market such RNG to generate RINs for NextEra.The Company concluded that production and dispensing services represent separate performance obligations. Control over K-1 RINs transfers at the time of gas generation or upon delivery of the RINs. Revenue is recognized at the time control is transferred. The consideration associated with dispensing services is recognized into revenue by the Company when it satisfies its performance obligation by pairing the paperwork associated with the dispensing.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 Contracts under ISDA and REC Sales Contracts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entered into an ISDA agreement with NextEra in November 2019. Pursuant to the agreement, the Company entered into commodity swap contracts on a periodic basis. Please see </w:t>
      </w:r>
      <w:r>
        <w:rPr>
          <w:rFonts w:ascii="Times New Roman" w:cs="Times New Roman" w:eastAsia="Times New Roman" w:hAnsi="Times New Roman"/>
          <w:sz w:val="18"/>
          <w:szCs w:val="18"/>
          <w:i w:val="1"/>
          <w:iCs w:val="1"/>
          <w:color w:val="auto"/>
        </w:rPr>
        <w:t>Note 8. Derivative Financial Instruments and Fair Value Measurements</w:t>
      </w:r>
      <w:r>
        <w:rPr>
          <w:rFonts w:ascii="Times New Roman" w:cs="Times New Roman" w:eastAsia="Times New Roman" w:hAnsi="Times New Roman"/>
          <w:sz w:val="18"/>
          <w:szCs w:val="18"/>
          <w:color w:val="auto"/>
        </w:rPr>
        <w:t xml:space="preserve"> for additional information. Additionally, the Company has contracts to sell RECs and capacity to NextEra on multiple Renewable Power facilities at market price. The Company records the realized and unrealized gain (loss) on these commodity swap contracts as well as RECs and capacity sales as part of renewable power revenues.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Contracts with Equity Method Investment Entities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Company's wholly owned subsidiary, OPAL Fuel Station Services contracted with Pine Bend RNG LLC ("Pine Bend"), Noble Road RNG LLC ("Noble Road"), Emerald RNG LLC ("Emerald"), Sapphire RNG LLC ("Sapphire"), Atlantic RNG LLC ("Atlantic") and GREP BTB Holdings LLC ("GREP") to dispense RNG and to generate and market resulting RINs. The Company receives non-cash consideration in the form of RINs or LCFSs for providing these services and recognizes the RINs and LCFSs received in prepaid expenses and other current assets based on their estimated fair value at contract inception. Additionally, OPAL Fuel Station Services provides the same services to all wholly-owned subsidiaries of the Company. The revenues earned from the wholly-owned entities are fully eliminated in the consolidated financial statements. The term of these contracts each runs for a term of 10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has service arrangements with Fortistar LLC and its affiliate Costar Partners LLC (“Costar”), which are related parties due to common ownership and control.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Fortistar provides services to the Company under a management, operations, and maintenance services agreement (“Administrative Services Agreement”). Fees are based on actual time incurred at contractually agreed rates and include a fixed annual payment of $580, adjusted annually for inflation. The Company also receives credits for any services provided by its employees to Fortistar.</w:t>
      </w:r>
    </w:p>
    <w:p>
      <w:pPr>
        <w:spacing w:after="0" w:line="137"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Costar provides information technology (“IT”) support services, software licensing, and infrastructure management. Fees are based on actual costs incurred and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licensing charges.</w:t>
      </w:r>
    </w:p>
    <w:p>
      <w:pPr>
        <w:spacing w:after="0" w:line="1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2025, the Company amended its Administrative Services Agreement to provide operational and project support services to Wasatch RNG, an affiliate of Fortistar, in exchange for service fees and expense reimbursements.</w:t>
      </w:r>
    </w:p>
    <w:p>
      <w:pPr>
        <w:spacing w:after="0" w:line="1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first quarter of 2025, the CFO of Fortistar, served as Interim CFO of the Company. Pursuant to the Interim Services Agreement, the Company paid Fortistar an agreed hourly rate, such that the monthly fee did not exceed $50, on a cumulative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recorded from related parties:</w:t>
      </w: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2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gridSpan w:val="4"/>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7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gridSpan w:val="4"/>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7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200" w:type="dxa"/>
            <w:vAlign w:val="bottom"/>
          </w:tcPr>
          <w:p>
            <w:pPr>
              <w:spacing w:after="0"/>
              <w:rPr>
                <w:sz w:val="14"/>
                <w:szCs w:val="14"/>
                <w:color w:val="auto"/>
              </w:rPr>
            </w:pPr>
          </w:p>
        </w:tc>
        <w:tc>
          <w:tcPr>
            <w:tcW w:w="1220" w:type="dxa"/>
            <w:vAlign w:val="bottom"/>
          </w:tcPr>
          <w:p>
            <w:pPr>
              <w:jc w:val="center"/>
              <w:ind w:right="51"/>
              <w:spacing w:after="0" w:line="167" w:lineRule="exact"/>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Renewable Power</w:t>
            </w:r>
          </w:p>
        </w:tc>
        <w:tc>
          <w:tcPr>
            <w:tcW w:w="240" w:type="dxa"/>
            <w:vAlign w:val="bottom"/>
          </w:tcPr>
          <w:p>
            <w:pPr>
              <w:spacing w:after="0"/>
              <w:rPr>
                <w:sz w:val="14"/>
                <w:szCs w:val="14"/>
                <w:color w:val="auto"/>
              </w:rPr>
            </w:pPr>
          </w:p>
        </w:tc>
        <w:tc>
          <w:tcPr>
            <w:tcW w:w="118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200" w:type="dxa"/>
            <w:vAlign w:val="bottom"/>
          </w:tcPr>
          <w:p>
            <w:pPr>
              <w:spacing w:after="0"/>
              <w:rPr>
                <w:sz w:val="14"/>
                <w:szCs w:val="14"/>
                <w:color w:val="auto"/>
              </w:rPr>
            </w:pPr>
          </w:p>
        </w:tc>
        <w:tc>
          <w:tcPr>
            <w:tcW w:w="1220" w:type="dxa"/>
            <w:vAlign w:val="bottom"/>
          </w:tcPr>
          <w:p>
            <w:pPr>
              <w:jc w:val="center"/>
              <w:ind w:right="51"/>
              <w:spacing w:after="0" w:line="167" w:lineRule="exact"/>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Renewable Power</w:t>
            </w:r>
          </w:p>
        </w:tc>
        <w:tc>
          <w:tcPr>
            <w:tcW w:w="0" w:type="dxa"/>
            <w:vAlign w:val="bottom"/>
          </w:tcPr>
          <w:p>
            <w:pPr>
              <w:spacing w:after="0"/>
              <w:rPr>
                <w:sz w:val="1"/>
                <w:szCs w:val="1"/>
                <w:color w:val="auto"/>
              </w:rPr>
            </w:pPr>
          </w:p>
        </w:tc>
      </w:tr>
      <w:tr>
        <w:trPr>
          <w:trHeight w:val="240"/>
        </w:trPr>
        <w:tc>
          <w:tcPr>
            <w:tcW w:w="2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4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4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42,874</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36,131</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2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Commodity swaps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27"/>
        </w:trPr>
        <w:tc>
          <w:tcPr>
            <w:tcW w:w="22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Environmental processing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220" w:type="dxa"/>
            <w:vAlign w:val="bottom"/>
            <w:tcBorders>
              <w:bottom w:val="single" w:sz="8" w:color="CCEEFF"/>
            </w:tcBorders>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Service agreements </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45,808</w:t>
            </w:r>
          </w:p>
        </w:tc>
        <w:tc>
          <w:tcPr>
            <w:tcW w:w="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firstLine="7"/>
        <w:spacing w:after="0" w:line="282" w:lineRule="auto"/>
        <w:tabs>
          <w:tab w:leader="none" w:pos="164" w:val="left"/>
        </w:tabs>
        <w:numPr>
          <w:ilvl w:val="0"/>
          <w:numId w:val="4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RIN and LCFS sales to NextEra. Includes revenues of $21,220 and $— recognized under the Green Gas Contract, which were recorded within RNG fuel revenues for the years ended December 31, 2025 and 2024, respectively.</w:t>
      </w:r>
    </w:p>
    <w:p>
      <w:pPr>
        <w:spacing w:after="0" w:line="94" w:lineRule="exact"/>
        <w:rPr>
          <w:rFonts w:ascii="Times New Roman" w:cs="Times New Roman" w:eastAsia="Times New Roman" w:hAnsi="Times New Roman"/>
          <w:sz w:val="20"/>
          <w:szCs w:val="20"/>
          <w:color w:val="auto"/>
          <w:vertAlign w:val="superscript"/>
        </w:rPr>
      </w:pPr>
    </w:p>
    <w:p>
      <w:pPr>
        <w:ind w:left="180" w:hanging="173"/>
        <w:spacing w:after="0"/>
        <w:tabs>
          <w:tab w:leader="none" w:pos="18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revenue earned under ISDA, REC and capacity sales agreements with NextEra</w:t>
      </w:r>
    </w:p>
    <w:p>
      <w:pPr>
        <w:spacing w:after="0" w:line="154" w:lineRule="exact"/>
        <w:rPr>
          <w:rFonts w:ascii="Times New Roman" w:cs="Times New Roman" w:eastAsia="Times New Roman" w:hAnsi="Times New Roman"/>
          <w:sz w:val="22"/>
          <w:szCs w:val="22"/>
          <w:color w:val="auto"/>
          <w:vertAlign w:val="superscript"/>
        </w:rPr>
      </w:pPr>
    </w:p>
    <w:p>
      <w:pPr>
        <w:ind w:firstLine="7"/>
        <w:spacing w:after="0"/>
        <w:tabs>
          <w:tab w:leader="none" w:pos="164" w:val="left"/>
        </w:tabs>
        <w:numPr>
          <w:ilvl w:val="0"/>
          <w:numId w:val="4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environmental processing fees earned under agreements with equity method investments, related to the generation and marketing of RINs and LCFS.</w:t>
      </w:r>
    </w:p>
    <w:p>
      <w:pPr>
        <w:spacing w:after="0" w:line="364" w:lineRule="exact"/>
        <w:rPr>
          <w:rFonts w:ascii="Times New Roman" w:cs="Times New Roman" w:eastAsia="Times New Roman" w:hAnsi="Times New Roman"/>
          <w:sz w:val="20"/>
          <w:szCs w:val="20"/>
          <w:color w:val="auto"/>
          <w:vertAlign w:val="superscript"/>
        </w:rPr>
      </w:pPr>
    </w:p>
    <w:p>
      <w:pPr>
        <w:ind w:left="180" w:hanging="173"/>
        <w:spacing w:after="0"/>
        <w:tabs>
          <w:tab w:leader="none" w:pos="18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management fees earned under an agreement with Fortistar.</w:t>
      </w:r>
    </w:p>
    <w:p>
      <w:pPr>
        <w:spacing w:after="0" w:line="15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selling, general and administrative expenses:</w:t>
      </w:r>
    </w:p>
    <w:p>
      <w:pPr>
        <w:spacing w:after="0" w:line="168" w:lineRule="exact"/>
        <w:rPr>
          <w:sz w:val="20"/>
          <w:szCs w:val="20"/>
          <w:color w:val="auto"/>
        </w:rPr>
      </w:pPr>
    </w:p>
    <w:tbl>
      <w:tblPr>
        <w:tblLayout w:type="fixed"/>
        <w:tblInd w:w="2140" w:type="dxa"/>
        <w:tblCellMar>
          <w:top w:w="0" w:type="dxa"/>
          <w:left w:w="0" w:type="dxa"/>
          <w:bottom w:w="0" w:type="dxa"/>
          <w:right w:w="0" w:type="dxa"/>
        </w:tblCellMar>
      </w:tblPr>
      <w:tr>
        <w:trPr>
          <w:trHeight w:val="227"/>
        </w:trPr>
        <w:tc>
          <w:tcPr>
            <w:tcW w:w="3520" w:type="dxa"/>
            <w:vAlign w:val="bottom"/>
            <w:shd w:val="clear" w:color="auto" w:fill="CCEEFF"/>
          </w:tcPr>
          <w:p>
            <w:pPr>
              <w:spacing w:after="0"/>
              <w:rPr>
                <w:sz w:val="19"/>
                <w:szCs w:val="19"/>
                <w:color w:val="auto"/>
              </w:rPr>
            </w:pPr>
          </w:p>
        </w:tc>
        <w:tc>
          <w:tcPr>
            <w:tcW w:w="2880" w:type="dxa"/>
            <w:vAlign w:val="bottom"/>
            <w:tcBorders>
              <w:bottom w:val="single" w:sz="8" w:color="auto"/>
            </w:tcBorders>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shd w:val="clear" w:color="auto" w:fill="CCEEFF"/>
          </w:tcPr>
          <w:p>
            <w:pPr>
              <w:spacing w:after="0"/>
              <w:rPr>
                <w:sz w:val="19"/>
                <w:szCs w:val="19"/>
                <w:color w:val="auto"/>
              </w:rPr>
            </w:pPr>
          </w:p>
        </w:tc>
      </w:tr>
      <w:tr>
        <w:trPr>
          <w:trHeight w:val="220"/>
        </w:trPr>
        <w:tc>
          <w:tcPr>
            <w:tcW w:w="35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r>
      <w:tr>
        <w:trPr>
          <w:trHeight w:val="22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114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180" w:type="dxa"/>
            <w:vAlign w:val="bottom"/>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2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Rent - fixed compensation</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services</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2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180" w:type="dxa"/>
            <w:vAlign w:val="bottom"/>
            <w:tcBorders>
              <w:bottom w:val="single" w:sz="8" w:color="auto"/>
            </w:tcBorders>
          </w:tcPr>
          <w:p>
            <w:pPr>
              <w:jc w:val="right"/>
              <w:ind w:right="9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w:t>
            </w:r>
          </w:p>
        </w:tc>
      </w:tr>
      <w:tr>
        <w:trPr>
          <w:trHeight w:val="20"/>
        </w:trPr>
        <w:tc>
          <w:tcPr>
            <w:tcW w:w="3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various balances for related parties included in our consolidated balance sheets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shd w:val="clear" w:color="auto" w:fill="CCEEFF"/>
          </w:tcPr>
          <w:p>
            <w:pPr>
              <w:spacing w:after="0"/>
              <w:rPr>
                <w:sz w:val="19"/>
                <w:szCs w:val="19"/>
                <w:color w:val="auto"/>
              </w:rPr>
            </w:pPr>
          </w:p>
        </w:tc>
        <w:tc>
          <w:tcPr>
            <w:tcW w:w="38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0" w:type="dxa"/>
            <w:vAlign w:val="bottom"/>
          </w:tcPr>
          <w:p>
            <w:pPr>
              <w:spacing w:after="0"/>
              <w:rPr>
                <w:sz w:val="1"/>
                <w:szCs w:val="1"/>
                <w:color w:val="auto"/>
              </w:rPr>
            </w:pP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AR - NextEra</w:t>
            </w: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0" w:type="dxa"/>
            <w:vAlign w:val="bottom"/>
          </w:tcPr>
          <w:p>
            <w:pPr>
              <w:spacing w:after="0"/>
              <w:rPr>
                <w:sz w:val="1"/>
                <w:szCs w:val="1"/>
                <w:color w:val="auto"/>
              </w:rPr>
            </w:pPr>
          </w:p>
        </w:tc>
      </w:tr>
      <w:tr>
        <w:trPr>
          <w:trHeight w:val="22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 related party</w:t>
            </w:r>
          </w:p>
        </w:tc>
        <w:tc>
          <w:tcPr>
            <w:tcW w:w="3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60" w:type="dxa"/>
            <w:vAlign w:val="bottom"/>
            <w:vMerge w:val="continue"/>
          </w:tcPr>
          <w:p>
            <w:pPr>
              <w:spacing w:after="0"/>
              <w:rPr>
                <w:sz w:val="15"/>
                <w:szCs w:val="15"/>
                <w:color w:val="auto"/>
              </w:rPr>
            </w:pPr>
          </w:p>
        </w:tc>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to equity method investment entities</w:t>
            </w: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0" w:type="dxa"/>
            <w:vAlign w:val="bottom"/>
          </w:tcPr>
          <w:p>
            <w:pPr>
              <w:spacing w:after="0"/>
              <w:rPr>
                <w:sz w:val="1"/>
                <w:szCs w:val="1"/>
                <w:color w:val="auto"/>
              </w:rPr>
            </w:pPr>
          </w:p>
        </w:tc>
      </w:tr>
      <w:tr>
        <w:trPr>
          <w:trHeight w:val="22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5"/>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 related party</w:t>
            </w:r>
          </w:p>
        </w:tc>
        <w:tc>
          <w:tcPr>
            <w:tcW w:w="3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71120</wp:posOffset>
            </wp:positionV>
            <wp:extent cx="71589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680"/>
          </w:cols>
          <w:pgMar w:left="820" w:top="1440"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10. REPORTABLE SEGMENTS AND GEOGRAPHIC INFORMATION</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is organized into three operating segments based on the characteristics of its renewable power generation, dispensing portfolio, production and sale of renewable gas, and nature of other products and services.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reportable segments disclosure is aligned with the information and internal reporting provided to our Chief Operating Decision Makers (“CODM”). Our Co-CEOs jointly fulfill the role of the CODM. The CODM evaluates performance based on segment net income. For all of the segments, the CODM uses segment net income in the annual budgeting and monthly forecasting process. The CODM considers budget-to-current forecast and prior forecast-to-current forecast variances for segment net income on a monthly basis for evaluating performance of each segment and making decisions about allocating capital and other resources to each segment.</w:t>
      </w:r>
    </w:p>
    <w:p>
      <w:pPr>
        <w:spacing w:after="0" w:line="1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three operating segments are RNG Fuel, Fuel Station Services and Renewable Power. The Company has determined that each of the three operating segments meets the characteristics of a reportable segment under U.S. GAAP.</w:t>
      </w:r>
    </w:p>
    <w:p>
      <w:pPr>
        <w:spacing w:after="0" w:line="119" w:lineRule="exact"/>
        <w:rPr>
          <w:sz w:val="20"/>
          <w:szCs w:val="20"/>
          <w:color w:val="auto"/>
        </w:rPr>
      </w:pPr>
    </w:p>
    <w:p>
      <w:pPr>
        <w:ind w:left="640" w:hanging="313"/>
        <w:spacing w:after="0" w:line="282"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The RNG Fuel segment relates to all RNG supply directly related to the generation and sale of brown gas and environmental credits,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consists of:</w:t>
      </w:r>
    </w:p>
    <w:p>
      <w:pPr>
        <w:spacing w:after="0" w:line="132" w:lineRule="exact"/>
        <w:rPr>
          <w:rFonts w:ascii="Times New Roman" w:cs="Times New Roman" w:eastAsia="Times New Roman" w:hAnsi="Times New Roman"/>
          <w:sz w:val="18"/>
          <w:szCs w:val="18"/>
          <w:color w:val="auto"/>
        </w:rPr>
      </w:pPr>
    </w:p>
    <w:p>
      <w:pPr>
        <w:ind w:left="1280" w:hanging="311"/>
        <w:spacing w:after="0" w:line="277"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supply operating facilities – This includes the generation, extraction, and sale of RNG - plus associated RINs and LCFSs from landfills.</w:t>
      </w:r>
    </w:p>
    <w:p>
      <w:pPr>
        <w:spacing w:after="0" w:line="123" w:lineRule="exact"/>
        <w:rPr>
          <w:rFonts w:ascii="Times New Roman" w:cs="Times New Roman" w:eastAsia="Times New Roman" w:hAnsi="Times New Roman"/>
          <w:sz w:val="18"/>
          <w:szCs w:val="18"/>
          <w:color w:val="auto"/>
        </w:rPr>
      </w:pPr>
    </w:p>
    <w:p>
      <w:pPr>
        <w:ind w:left="1280" w:hanging="311"/>
        <w:spacing w:after="0" w:line="277" w:lineRule="auto"/>
        <w:tabs>
          <w:tab w:leader="none" w:pos="12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construction – RNG facilities in which long term gas right contracts have been, or are in the process of being ratified and the construction of RNG generation facilities.</w:t>
      </w:r>
    </w:p>
    <w:p>
      <w:pPr>
        <w:spacing w:after="0" w:line="119" w:lineRule="exact"/>
        <w:rPr>
          <w:rFonts w:ascii="Times New Roman" w:cs="Times New Roman" w:eastAsia="Times New Roman" w:hAnsi="Times New Roman"/>
          <w:sz w:val="18"/>
          <w:szCs w:val="18"/>
          <w:color w:val="auto"/>
        </w:rPr>
      </w:pPr>
    </w:p>
    <w:p>
      <w:pPr>
        <w:jc w:val="both"/>
        <w:ind w:left="640" w:hanging="313"/>
        <w:spacing w:after="0" w:line="265"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Fuel Station Services</w:t>
      </w:r>
      <w:r>
        <w:rPr>
          <w:rFonts w:ascii="Times New Roman" w:cs="Times New Roman" w:eastAsia="Times New Roman" w:hAnsi="Times New Roman"/>
          <w:sz w:val="18"/>
          <w:szCs w:val="18"/>
          <w:color w:val="auto"/>
        </w:rPr>
        <w:t>. Through its Fuel Station Services segment, the Company provides construction and maintenance services to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vehicle Fueling Stations and performs fuel dispensing activities including generation and minting of environmental credits. This segment includes:</w:t>
      </w:r>
    </w:p>
    <w:p>
      <w:pPr>
        <w:spacing w:after="0" w:line="146" w:lineRule="exact"/>
        <w:rPr>
          <w:rFonts w:ascii="Times New Roman" w:cs="Times New Roman" w:eastAsia="Times New Roman" w:hAnsi="Times New Roman"/>
          <w:sz w:val="18"/>
          <w:szCs w:val="18"/>
          <w:color w:val="auto"/>
        </w:rPr>
      </w:pPr>
    </w:p>
    <w:p>
      <w:pPr>
        <w:ind w:left="1440" w:hanging="471"/>
        <w:spacing w:after="0" w:line="277" w:lineRule="auto"/>
        <w:tabs>
          <w:tab w:leader="none" w:pos="14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contracts for RNG/CNG fueling sites and a manufacturing division that builds Compact Fueling Systems and Defueling systems.</w:t>
      </w:r>
    </w:p>
    <w:p>
      <w:pPr>
        <w:spacing w:after="0" w:line="123" w:lineRule="exact"/>
        <w:rPr>
          <w:rFonts w:ascii="Times New Roman" w:cs="Times New Roman" w:eastAsia="Times New Roman" w:hAnsi="Times New Roman"/>
          <w:sz w:val="18"/>
          <w:szCs w:val="18"/>
          <w:color w:val="auto"/>
        </w:rPr>
      </w:pPr>
    </w:p>
    <w:p>
      <w:pPr>
        <w:ind w:left="1440" w:hanging="471"/>
        <w:spacing w:after="0" w:line="277" w:lineRule="auto"/>
        <w:tabs>
          <w:tab w:leader="none" w:pos="14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CNG construction of fueling stations - design/build and serve as general contractor for typically guaranteed maximum price or fixed priced contracts for customers usually lasting less than one year.</w:t>
      </w:r>
    </w:p>
    <w:p>
      <w:pPr>
        <w:spacing w:after="0" w:line="123" w:lineRule="exact"/>
        <w:rPr>
          <w:rFonts w:ascii="Times New Roman" w:cs="Times New Roman" w:eastAsia="Times New Roman" w:hAnsi="Times New Roman"/>
          <w:sz w:val="18"/>
          <w:szCs w:val="18"/>
          <w:color w:val="auto"/>
        </w:rPr>
      </w:pPr>
    </w:p>
    <w:p>
      <w:pPr>
        <w:jc w:val="both"/>
        <w:ind w:left="1440" w:hanging="471"/>
        <w:spacing w:after="0" w:line="262" w:lineRule="auto"/>
        <w:tabs>
          <w:tab w:leader="none" w:pos="14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and CNG fuel dispensing stations for vehicle fleets - This includes both the dispensing and sale of brown gas and the environmental credit generation and monetization. The Company operates Fueling Stations that dispense gas for vehicles. This also includes the development and construction of these facilities.</w:t>
      </w:r>
    </w:p>
    <w:p>
      <w:pPr>
        <w:spacing w:after="0" w:line="146" w:lineRule="exact"/>
        <w:rPr>
          <w:rFonts w:ascii="Times New Roman" w:cs="Times New Roman" w:eastAsia="Times New Roman" w:hAnsi="Times New Roman"/>
          <w:sz w:val="18"/>
          <w:szCs w:val="18"/>
          <w:color w:val="auto"/>
        </w:rPr>
      </w:pPr>
    </w:p>
    <w:p>
      <w:pPr>
        <w:ind w:left="640" w:hanging="313"/>
        <w:spacing w:after="0" w:line="312" w:lineRule="auto"/>
        <w:tabs>
          <w:tab w:leader="none" w:pos="63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Renewable Power</w:t>
      </w:r>
      <w:r>
        <w:rPr>
          <w:rFonts w:ascii="Times New Roman" w:cs="Times New Roman" w:eastAsia="Times New Roman" w:hAnsi="Times New Roman"/>
          <w:sz w:val="17"/>
          <w:szCs w:val="17"/>
          <w:color w:val="auto"/>
        </w:rPr>
        <w:t>. The Renewable Power segment generates renewable power and associated environmental credits through methane-rich landfills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is then sold to public utilities throughout the United States. The Renewable Power portfolio operates primarily in Southern California.</w:t>
      </w:r>
    </w:p>
    <w:p>
      <w:pPr>
        <w:spacing w:after="0" w:line="92" w:lineRule="exact"/>
        <w:rPr>
          <w:rFonts w:ascii="Times New Roman" w:cs="Times New Roman" w:eastAsia="Times New Roman" w:hAnsi="Times New Roman"/>
          <w:sz w:val="17"/>
          <w:szCs w:val="17"/>
          <w:color w:val="auto"/>
        </w:rPr>
      </w:pPr>
    </w:p>
    <w:p>
      <w:pPr>
        <w:jc w:val="both"/>
        <w:ind w:left="640" w:hanging="313"/>
        <w:spacing w:after="0" w:line="259"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w:t>
      </w:r>
      <w:r>
        <w:rPr>
          <w:rFonts w:ascii="Times New Roman" w:cs="Times New Roman" w:eastAsia="Times New Roman" w:hAnsi="Times New Roman"/>
          <w:sz w:val="18"/>
          <w:szCs w:val="18"/>
          <w:color w:val="auto"/>
        </w:rPr>
        <w:t>Corporate consists of activities managed and maintained at the Company’s corporate level that are not attributable to, nor allocated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Company’s reportable segments. These costs primarily consist of executive, accounting, finance, and sales support activities, as well as stock-based compensation. Corporate expenses are presented separately as they do not reflect the operating performance of the Company’s reportable segments.</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fourth quarter of 2025, the Company changed the presentation of information reviewed by the CODM to allocate certain Corporate general and administrative costs, including consulting, insurance, and payroll expenses, to the related reportable segments. Segment information has been retrospectively revised to reflect this change. For the year ended December 31, 2024, amounts reallocated from Corporate to RNG Fuel, Fuel Station Services, and Renewable Power were $10,737, $1,831, and $4,165, respectively.</w:t>
      </w:r>
    </w:p>
    <w:p>
      <w:pPr>
        <w:spacing w:after="0" w:line="115"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For the year ended December 31, 2024, substantially all of the Company’s assets and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 were domiciled in the United States, except for ISCC Carbon Credit agreements. All of the Company’s ISCC Carbon Credit agreements were terminated during 2024. During the year ended December 31, 2025, Fuel Station Services entered into a 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type lease in Canada (see Note 7. Leases for additional details). All other assets and revenue-generating activities were domiciled in the United States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7" w:name="page118"/>
    <w:bookmarkEnd w:id="117"/>
    <w:p>
      <w:pPr>
        <w:spacing w:after="0" w:line="244" w:lineRule="exact"/>
        <w:rPr>
          <w:sz w:val="20"/>
          <w:szCs w:val="20"/>
          <w:color w:val="auto"/>
        </w:rPr>
      </w:pPr>
      <w:r>
        <w:rPr>
          <w:rFonts w:ascii="Times New Roman" w:cs="Times New Roman" w:eastAsia="Times New Roman" w:hAnsi="Times New Roman"/>
          <w:sz w:val="18"/>
          <w:szCs w:val="18"/>
          <w:color w:val="auto"/>
        </w:rPr>
        <w:t>Transactions between reportable segments are accounted for using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pricing. Intersegment revenues and expenses are eliminated in consolidation.</w:t>
      </w:r>
    </w:p>
    <w:p>
      <w:pPr>
        <w:spacing w:after="0" w:line="15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reflects the financial data used to calculate each reportable segment’s income (loss) and includes reconciliations to Opal’s consolidated revenue and consolidated net income for the year ended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63"/>
        </w:trPr>
        <w:tc>
          <w:tcPr>
            <w:tcW w:w="3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980" w:type="dxa"/>
            <w:vAlign w:val="bottom"/>
            <w:tcBorders>
              <w:bottom w:val="single" w:sz="8" w:color="CCEEFF"/>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214,551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3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348,975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348,975</w:t>
            </w:r>
          </w:p>
        </w:tc>
      </w:tr>
      <w:tr>
        <w:trPr>
          <w:trHeight w:val="25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w:t>
            </w:r>
          </w:p>
        </w:tc>
      </w:tr>
      <w:tr>
        <w:trPr>
          <w:trHeight w:val="220"/>
        </w:trPr>
        <w:tc>
          <w:tcPr>
            <w:tcW w:w="3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234,771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369,748</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369,748</w:t>
            </w:r>
          </w:p>
        </w:tc>
      </w:tr>
      <w:tr>
        <w:trPr>
          <w:trHeight w:val="23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4"/>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(20,773)</w:t>
            </w:r>
          </w:p>
        </w:tc>
      </w:tr>
      <w:tr>
        <w:trPr>
          <w:trHeight w:val="241"/>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101,656</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214,551</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348,975</w:t>
            </w: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348,975</w:t>
            </w:r>
          </w:p>
        </w:tc>
      </w:tr>
      <w:tr>
        <w:trPr>
          <w:trHeight w:val="254"/>
        </w:trPr>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4"/>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Segment and Corporate Expenses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4"/>
        </w:trPr>
        <w:tc>
          <w:tcPr>
            <w:tcW w:w="3220" w:type="dxa"/>
            <w:vAlign w:val="bottom"/>
          </w:tcPr>
          <w:p>
            <w:pPr>
              <w:ind w:left="40"/>
              <w:spacing w:after="0" w:line="254" w:lineRule="exact"/>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49,282</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166,778</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242,794</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242,794</w:t>
            </w:r>
          </w:p>
        </w:tc>
      </w:tr>
      <w:tr>
        <w:trPr>
          <w:trHeight w:val="25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80" w:type="dxa"/>
            <w:vAlign w:val="bottom"/>
          </w:tcPr>
          <w:p>
            <w:pPr>
              <w:spacing w:after="0"/>
              <w:rPr>
                <w:sz w:val="22"/>
                <w:szCs w:val="22"/>
                <w:color w:val="auto"/>
              </w:rPr>
            </w:pPr>
          </w:p>
        </w:tc>
        <w:tc>
          <w:tcPr>
            <w:tcW w:w="13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r>
      <w:tr>
        <w:trPr>
          <w:trHeight w:val="25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26,316</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26,274</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26,274</w:t>
            </w:r>
          </w:p>
        </w:tc>
      </w:tr>
      <w:tr>
        <w:trPr>
          <w:trHeight w:val="25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development and startup costs</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80" w:type="dxa"/>
            <w:vAlign w:val="bottom"/>
          </w:tcPr>
          <w:p>
            <w:pPr>
              <w:spacing w:after="0"/>
              <w:rPr>
                <w:sz w:val="22"/>
                <w:szCs w:val="22"/>
                <w:color w:val="auto"/>
              </w:rPr>
            </w:pPr>
          </w:p>
        </w:tc>
        <w:tc>
          <w:tcPr>
            <w:tcW w:w="13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r>
      <w:tr>
        <w:trPr>
          <w:trHeight w:val="25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22,470</w:t>
            </w:r>
          </w:p>
        </w:tc>
      </w:tr>
      <w:tr>
        <w:trPr>
          <w:trHeight w:val="25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38,226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38,226</w:t>
            </w:r>
          </w:p>
        </w:tc>
      </w:tr>
      <w:tr>
        <w:trPr>
          <w:trHeight w:val="25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6,499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254"/>
        </w:trPr>
        <w:tc>
          <w:tcPr>
            <w:tcW w:w="3220" w:type="dxa"/>
            <w:vAlign w:val="bottom"/>
            <w:tcBorders>
              <w:bottom w:val="single" w:sz="8" w:color="CCEEFF"/>
            </w:tcBorders>
          </w:tcPr>
          <w:p>
            <w:pPr>
              <w:ind w:left="40"/>
              <w:spacing w:after="0" w:line="254"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w:t>
            </w:r>
          </w:p>
        </w:tc>
      </w:tr>
      <w:tr>
        <w:trPr>
          <w:trHeight w:val="234"/>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Segment (loss) income</w:t>
            </w: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38,297</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28,390</w:t>
            </w: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(44,725)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6870700" cy="288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8">
                      <a:extLst>
                        <a:ext uri="{28A0092B-C50C-407E-A947-70E740481C1C}"/>
                      </a:extLst>
                    </a:blip>
                    <a:srcRect/>
                    <a:stretch>
                      <a:fillRect/>
                    </a:stretch>
                  </pic:blipFill>
                  <pic:spPr bwMode="auto">
                    <a:xfrm>
                      <a:off x="0" y="0"/>
                      <a:ext cx="6870700" cy="2882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profit or loss (segment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income / (loss))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6870700" cy="186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9">
                      <a:extLst>
                        <a:ext uri="{28A0092B-C50C-407E-A947-70E740481C1C}"/>
                      </a:extLst>
                    </a:blip>
                    <a:srcRect/>
                    <a:stretch>
                      <a:fillRect/>
                    </a:stretch>
                  </pic:blipFill>
                  <pic:spPr bwMode="auto">
                    <a:xfrm>
                      <a:off x="0" y="0"/>
                      <a:ext cx="6870700" cy="186690"/>
                    </a:xfrm>
                    <a:prstGeom prst="rect">
                      <a:avLst/>
                    </a:prstGeom>
                    <a:noFill/>
                  </pic:spPr>
                </pic:pic>
              </a:graphicData>
            </a:graphic>
          </wp:anchor>
        </w:drawing>
      </w:r>
    </w:p>
    <w:p>
      <w:pPr>
        <w:spacing w:after="0" w:line="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52,746</w:t>
      </w:r>
    </w:p>
    <w:p>
      <w:pPr>
        <w:spacing w:after="0" w:line="47" w:lineRule="exact"/>
        <w:rPr>
          <w:sz w:val="20"/>
          <w:szCs w:val="20"/>
          <w:color w:val="auto"/>
        </w:rPr>
      </w:pPr>
    </w:p>
    <w:p>
      <w:pPr>
        <w:ind w:left="704" w:hanging="704"/>
        <w:spacing w:after="0"/>
        <w:tabs>
          <w:tab w:leader="none" w:pos="70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57150</wp:posOffset>
            </wp:positionV>
            <wp:extent cx="8058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0">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856" w:space="720"/>
            <w:col w:w="1664"/>
          </w:cols>
          <w:pgMar w:left="320" w:top="882" w:right="339" w:bottom="1440" w:gutter="0" w:footer="0" w:header="0"/>
          <w:type w:val="continuous"/>
        </w:sectPr>
      </w:pPr>
    </w:p>
    <w:p>
      <w:pPr>
        <w:spacing w:after="0" w:line="114" w:lineRule="exact"/>
        <w:rPr>
          <w:sz w:val="20"/>
          <w:szCs w:val="20"/>
          <w:color w:val="auto"/>
        </w:rPr>
      </w:pPr>
    </w:p>
    <w:p>
      <w:pPr>
        <w:ind w:firstLine="7"/>
        <w:spacing w:after="0" w:line="227" w:lineRule="auto"/>
        <w:tabs>
          <w:tab w:leader="none" w:pos="186"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 Intersegment expenses are included within the amounts shown in the line Cost of sales and no intersegment profit was recognized</w:t>
      </w:r>
    </w:p>
    <w:p>
      <w:pPr>
        <w:spacing w:after="0" w:line="134" w:lineRule="exact"/>
        <w:rPr>
          <w:rFonts w:ascii="Times New Roman" w:cs="Times New Roman" w:eastAsia="Times New Roman" w:hAnsi="Times New Roman"/>
          <w:sz w:val="23"/>
          <w:szCs w:val="23"/>
          <w:color w:val="auto"/>
          <w:vertAlign w:val="superscript"/>
        </w:rPr>
      </w:pPr>
    </w:p>
    <w:p>
      <w:pPr>
        <w:ind w:left="180" w:hanging="173"/>
        <w:spacing w:after="0"/>
        <w:tabs>
          <w:tab w:leader="none" w:pos="18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for each reportable segment include:</w:t>
      </w:r>
    </w:p>
    <w:p>
      <w:pPr>
        <w:spacing w:after="0" w:line="154" w:lineRule="exact"/>
        <w:rPr>
          <w:rFonts w:ascii="Times New Roman" w:cs="Times New Roman" w:eastAsia="Times New Roman" w:hAnsi="Times New Roman"/>
          <w:sz w:val="22"/>
          <w:szCs w:val="22"/>
          <w:color w:val="auto"/>
          <w:vertAlign w:val="superscript"/>
        </w:rPr>
      </w:pPr>
    </w:p>
    <w:p>
      <w:pPr>
        <w:ind w:left="640" w:hanging="313"/>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 payroll, consulting, insurance and other expenses</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Station Services - gain on RNG dispensing and payroll</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Power - payroll, consulting, insurance and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following table reflects certain other financial data for the reportable segments as of December 31, 2025:</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63"/>
        </w:trPr>
        <w:tc>
          <w:tcPr>
            <w:tcW w:w="2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6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231,223</w:t>
            </w:r>
          </w:p>
        </w:tc>
      </w:tr>
      <w:tr>
        <w:trPr>
          <w:trHeight w:val="25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28,740</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57,888</w:t>
            </w:r>
          </w:p>
        </w:tc>
        <w:tc>
          <w:tcPr>
            <w:tcW w:w="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959,469</w:t>
            </w:r>
          </w:p>
        </w:tc>
      </w:tr>
    </w:tbl>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the year ended December 31, 2025, the Company made the following cash payments for capital expenditures:</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18"/>
        </w:trPr>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63"/>
        </w:trPr>
        <w:tc>
          <w:tcPr>
            <w:tcW w:w="3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980" w:type="dxa"/>
            <w:vAlign w:val="bottom"/>
            <w:tcBorders>
              <w:bottom w:val="single" w:sz="8" w:color="CCEEFF"/>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9"/>
        </w:trPr>
        <w:tc>
          <w:tcPr>
            <w:tcW w:w="30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Cash paid for purchases of property, plant</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4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70,739</w:t>
            </w:r>
          </w:p>
        </w:tc>
      </w:tr>
    </w:tbl>
    <w:p>
      <w:pPr>
        <w:spacing w:after="0" w:line="24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reflects the financial data used to calculate each reportable segment’s income (loss) and includes reconciliations to Opal’s consolidated revenue and consolidated net income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8"/>
        </w:trPr>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63"/>
        </w:trPr>
        <w:tc>
          <w:tcPr>
            <w:tcW w:w="3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Segments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980" w:type="dxa"/>
            <w:vAlign w:val="bottom"/>
            <w:tcBorders>
              <w:bottom w:val="single" w:sz="8" w:color="CCEE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166,875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44,677</w:t>
            </w:r>
          </w:p>
        </w:tc>
        <w:tc>
          <w:tcPr>
            <w:tcW w:w="3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299,972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299,972</w:t>
            </w:r>
          </w:p>
        </w:tc>
      </w:tr>
      <w:tr>
        <w:trPr>
          <w:trHeight w:val="25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19,466</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19,466</w:t>
            </w:r>
          </w:p>
        </w:tc>
      </w:tr>
      <w:tr>
        <w:trPr>
          <w:trHeight w:val="220"/>
        </w:trPr>
        <w:tc>
          <w:tcPr>
            <w:tcW w:w="3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88,938</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185,823</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319,438</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319,438</w:t>
            </w:r>
          </w:p>
        </w:tc>
      </w:tr>
      <w:tr>
        <w:trPr>
          <w:trHeight w:val="23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4"/>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(19,466)</w:t>
            </w:r>
          </w:p>
        </w:tc>
      </w:tr>
      <w:tr>
        <w:trPr>
          <w:trHeight w:val="241"/>
        </w:trPr>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88,420</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166,875</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44,677</w:t>
            </w: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299,972</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299,972</w:t>
            </w:r>
          </w:p>
        </w:tc>
      </w:tr>
      <w:tr>
        <w:trPr>
          <w:trHeight w:val="254"/>
        </w:trPr>
        <w:tc>
          <w:tcPr>
            <w:tcW w:w="3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4"/>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Segment and Corporate Expenses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4"/>
        </w:trPr>
        <w:tc>
          <w:tcPr>
            <w:tcW w:w="3320" w:type="dxa"/>
            <w:vAlign w:val="bottom"/>
          </w:tcPr>
          <w:p>
            <w:pPr>
              <w:ind w:left="40"/>
              <w:spacing w:after="0" w:line="254" w:lineRule="exact"/>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23"/>
                <w:szCs w:val="23"/>
                <w:i w:val="1"/>
                <w:iCs w:val="1"/>
                <w:color w:val="auto"/>
                <w:vertAlign w:val="superscript"/>
              </w:rPr>
              <w:t>(1)</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128,804</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32,495</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199,851</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199,851</w:t>
            </w:r>
          </w:p>
        </w:tc>
      </w:tr>
      <w:tr>
        <w:trPr>
          <w:trHeight w:val="25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160" w:type="dxa"/>
            <w:vAlign w:val="bottom"/>
          </w:tcPr>
          <w:p>
            <w:pPr>
              <w:spacing w:after="0"/>
              <w:rPr>
                <w:sz w:val="22"/>
                <w:szCs w:val="22"/>
                <w:color w:val="auto"/>
              </w:rPr>
            </w:pPr>
          </w:p>
        </w:tc>
        <w:tc>
          <w:tcPr>
            <w:tcW w:w="13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w:t>
            </w:r>
          </w:p>
        </w:tc>
      </w:tr>
      <w:tr>
        <w:trPr>
          <w:trHeight w:val="25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5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development and start up costs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160" w:type="dxa"/>
            <w:vAlign w:val="bottom"/>
          </w:tcPr>
          <w:p>
            <w:pPr>
              <w:spacing w:after="0"/>
              <w:rPr>
                <w:sz w:val="22"/>
                <w:szCs w:val="22"/>
                <w:color w:val="auto"/>
              </w:rPr>
            </w:pPr>
          </w:p>
        </w:tc>
        <w:tc>
          <w:tcPr>
            <w:tcW w:w="13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w:t>
            </w:r>
          </w:p>
        </w:tc>
      </w:tr>
      <w:tr>
        <w:trPr>
          <w:trHeight w:val="25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w:t>
            </w:r>
          </w:p>
        </w:tc>
      </w:tr>
      <w:tr>
        <w:trPr>
          <w:trHeight w:val="25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28,137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28,137</w:t>
            </w:r>
          </w:p>
        </w:tc>
      </w:tr>
      <w:tr>
        <w:trPr>
          <w:trHeight w:val="25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6,452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254"/>
        </w:trPr>
        <w:tc>
          <w:tcPr>
            <w:tcW w:w="3320" w:type="dxa"/>
            <w:vAlign w:val="bottom"/>
            <w:tcBorders>
              <w:bottom w:val="single" w:sz="8" w:color="CCEEFF"/>
            </w:tcBorders>
          </w:tcPr>
          <w:p>
            <w:pPr>
              <w:ind w:left="40"/>
              <w:spacing w:after="0" w:line="254"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16,744</w:t>
            </w:r>
          </w:p>
        </w:tc>
      </w:tr>
      <w:tr>
        <w:trPr>
          <w:trHeight w:val="234"/>
        </w:trPr>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Segment income (loss)</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31,677</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(34,589)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6870700" cy="288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3">
                      <a:extLst>
                        <a:ext uri="{28A0092B-C50C-407E-A947-70E740481C1C}"/>
                      </a:extLst>
                    </a:blip>
                    <a:srcRect/>
                    <a:stretch>
                      <a:fillRect/>
                    </a:stretch>
                  </pic:blipFill>
                  <pic:spPr bwMode="auto">
                    <a:xfrm>
                      <a:off x="0" y="0"/>
                      <a:ext cx="6870700" cy="2882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profit or loss (segment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income / (loss))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6870700" cy="169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4">
                      <a:extLst>
                        <a:ext uri="{28A0092B-C50C-407E-A947-70E740481C1C}"/>
                      </a:extLst>
                    </a:blip>
                    <a:srcRect/>
                    <a:stretch>
                      <a:fillRect/>
                    </a:stretch>
                  </pic:blipFill>
                  <pic:spPr bwMode="auto">
                    <a:xfrm>
                      <a:off x="0" y="0"/>
                      <a:ext cx="6870700" cy="169545"/>
                    </a:xfrm>
                    <a:prstGeom prst="rect">
                      <a:avLst/>
                    </a:prstGeom>
                    <a:noFill/>
                  </pic:spPr>
                </pic:pic>
              </a:graphicData>
            </a:graphic>
          </wp:anchor>
        </w:drawing>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8,906</w:t>
      </w:r>
    </w:p>
    <w:p>
      <w:pPr>
        <w:spacing w:after="0" w:line="33" w:lineRule="exact"/>
        <w:rPr>
          <w:sz w:val="20"/>
          <w:szCs w:val="20"/>
          <w:color w:val="auto"/>
        </w:rPr>
      </w:pPr>
    </w:p>
    <w:p>
      <w:pPr>
        <w:ind w:left="680" w:hanging="67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975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5">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860" w:space="720"/>
            <w:col w:w="1660"/>
          </w:cols>
          <w:pgMar w:left="320" w:top="968" w:right="339" w:bottom="1440" w:gutter="0" w:footer="0" w:header="0"/>
          <w:type w:val="continuous"/>
        </w:sectPr>
      </w:pPr>
    </w:p>
    <w:p>
      <w:pPr>
        <w:spacing w:after="0" w:line="114" w:lineRule="exact"/>
        <w:rPr>
          <w:sz w:val="20"/>
          <w:szCs w:val="20"/>
          <w:color w:val="auto"/>
        </w:rPr>
      </w:pPr>
    </w:p>
    <w:p>
      <w:pPr>
        <w:ind w:firstLine="7"/>
        <w:spacing w:after="0" w:line="227" w:lineRule="auto"/>
        <w:tabs>
          <w:tab w:leader="none" w:pos="186"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 Intersegment expenses are included within the amounts shown in line Cost of sales and no intersegment profit was recognized</w:t>
      </w:r>
    </w:p>
    <w:p>
      <w:pPr>
        <w:spacing w:after="0" w:line="134" w:lineRule="exact"/>
        <w:rPr>
          <w:rFonts w:ascii="Times New Roman" w:cs="Times New Roman" w:eastAsia="Times New Roman" w:hAnsi="Times New Roman"/>
          <w:sz w:val="23"/>
          <w:szCs w:val="23"/>
          <w:color w:val="auto"/>
          <w:vertAlign w:val="superscript"/>
        </w:rPr>
      </w:pPr>
    </w:p>
    <w:p>
      <w:pPr>
        <w:ind w:left="180" w:hanging="173"/>
        <w:spacing w:after="0"/>
        <w:tabs>
          <w:tab w:leader="none" w:pos="18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for each reportable segment include:</w:t>
      </w:r>
    </w:p>
    <w:p>
      <w:pPr>
        <w:spacing w:after="0" w:line="168" w:lineRule="exact"/>
        <w:rPr>
          <w:rFonts w:ascii="Times New Roman" w:cs="Times New Roman" w:eastAsia="Times New Roman" w:hAnsi="Times New Roman"/>
          <w:sz w:val="22"/>
          <w:szCs w:val="22"/>
          <w:color w:val="auto"/>
          <w:vertAlign w:val="superscript"/>
        </w:rPr>
      </w:pPr>
    </w:p>
    <w:p>
      <w:pPr>
        <w:ind w:left="640" w:hanging="313"/>
        <w:spacing w:after="0"/>
        <w:tabs>
          <w:tab w:leader="none" w:pos="6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 payroll, consulting, insurance and other expenses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Station Services - payroll expenses, gain on RNG dispensing and asset impairment</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Power - payroll, consulting, insurance and other expenses, and asset impairment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certain other financial data for the reportable segments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120" w:name="page121"/>
    <w:bookmarkEnd w:id="120"/>
    <w:tbl>
      <w:tblPr>
        <w:tblLayout w:type="fixed"/>
        <w:tblInd w:w="640" w:type="dxa"/>
        <w:tblCellMar>
          <w:top w:w="0" w:type="dxa"/>
          <w:left w:w="0" w:type="dxa"/>
          <w:bottom w:w="0" w:type="dxa"/>
          <w:right w:w="0" w:type="dxa"/>
        </w:tblCellMar>
      </w:tblPr>
      <w:tr>
        <w:trPr>
          <w:trHeight w:val="218"/>
        </w:trPr>
        <w:tc>
          <w:tcPr>
            <w:tcW w:w="3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Renewable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63"/>
        </w:trPr>
        <w:tc>
          <w:tcPr>
            <w:tcW w:w="39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RNG Fuel</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2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6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$223,594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$223,594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$223,594</w:t>
            </w:r>
          </w:p>
        </w:tc>
      </w:tr>
      <w:tr>
        <w:trPr>
          <w:trHeight w:val="25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$635,927</w:t>
            </w:r>
          </w:p>
        </w:tc>
        <w:tc>
          <w:tcPr>
            <w:tcW w:w="12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$179,304</w:t>
            </w: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$30,517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$845,748</w:t>
            </w:r>
          </w:p>
        </w:tc>
        <w:tc>
          <w:tcPr>
            <w:tcW w:w="12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$35,329</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$881,077</w:t>
            </w:r>
          </w:p>
        </w:tc>
      </w:tr>
    </w:tbl>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 the year ended December 31, 2024, the Company made the following cash payments for capital expenditures: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1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33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Cash paid for purchases of property, plant</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108,825</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127,239</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0" w:type="dxa"/>
            <w:vAlign w:val="bottom"/>
          </w:tcPr>
          <w:p>
            <w:pPr>
              <w:spacing w:after="0"/>
              <w:rPr>
                <w:sz w:val="20"/>
                <w:szCs w:val="20"/>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equipment</w:t>
            </w:r>
          </w:p>
        </w:tc>
        <w:tc>
          <w:tcPr>
            <w:tcW w:w="1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127,239</w:t>
            </w:r>
          </w:p>
        </w:tc>
        <w:tc>
          <w:tcPr>
            <w:tcW w:w="0" w:type="dxa"/>
            <w:vAlign w:val="bottom"/>
          </w:tcPr>
          <w:p>
            <w:pPr>
              <w:spacing w:after="0"/>
              <w:rPr>
                <w:sz w:val="1"/>
                <w:szCs w:val="1"/>
                <w:color w:val="auto"/>
              </w:rPr>
            </w:pPr>
          </w:p>
        </w:tc>
      </w:tr>
      <w:tr>
        <w:trPr>
          <w:trHeight w:val="481"/>
        </w:trPr>
        <w:tc>
          <w:tcPr>
            <w:tcW w:w="7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The following table reflects revenues from external customers by type for the reportable segments: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gridSpan w:val="4"/>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580" w:type="dxa"/>
            <w:vAlign w:val="bottom"/>
            <w:tcBorders>
              <w:bottom w:val="single" w:sz="8" w:color="auto"/>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Brown gas sales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attributes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82,317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RNG Fuel</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101,656</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88,420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Fuel Station Services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OPAL owned stations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17,659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attributes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41,726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RNG marketing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34,593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Third party station service and maintenance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24,984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39,767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tcBorders>
              <w:bottom w:val="single" w:sz="8" w:color="CCEEFF"/>
            </w:tcBorders>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Lease revenues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Fuel Station Services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214,551</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 Power</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Electricity sales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22,713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17,484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Capacity</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Lease revenues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shd w:val="clear" w:color="auto" w:fill="CCEEFF"/>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Renewable Power</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44,677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348,975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299,972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290,856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lease arrangements</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968" w:right="239" w:bottom="1440" w:gutter="0" w:footer="0" w:header="0"/>
        </w:sectPr>
      </w:pPr>
    </w:p>
    <w:bookmarkStart w:id="121" w:name="page122"/>
    <w:bookmarkEnd w:id="121"/>
    <w:p>
      <w:pPr>
        <w:ind w:firstLine="7"/>
        <w:spacing w:after="0"/>
        <w:tabs>
          <w:tab w:leader="none" w:pos="164"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Revenues from RNG marketing in the Fuel Station Services segment relate to revenues earned from Environmental Attribute generation and monetization services.</w:t>
      </w:r>
    </w:p>
    <w:p>
      <w:pPr>
        <w:spacing w:after="0" w:line="371" w:lineRule="exact"/>
        <w:rPr>
          <w:rFonts w:ascii="Times New Roman" w:cs="Times New Roman" w:eastAsia="Times New Roman" w:hAnsi="Times New Roman"/>
          <w:sz w:val="20"/>
          <w:szCs w:val="20"/>
          <w:color w:val="auto"/>
          <w:vertAlign w:val="superscript"/>
        </w:rPr>
      </w:pPr>
    </w:p>
    <w:p>
      <w:pPr>
        <w:jc w:val="both"/>
        <w:ind w:firstLine="7"/>
        <w:spacing w:after="0" w:line="276" w:lineRule="auto"/>
        <w:tabs>
          <w:tab w:leader="none" w:pos="164"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Fuel Station Services lease revenue relates to revenue from fuel purchasing agreements where we determined that we transferred the right to control the use of the station to the purchaser. Includes sales-type lease revenues of $7,734 and $— respectively, for the years ended December 31, 2025 and 2024, from customers domiciled outside of United States. All remaining lease revenue relates to operating leases.</w:t>
      </w:r>
    </w:p>
    <w:p>
      <w:pPr>
        <w:spacing w:after="0" w:line="120" w:lineRule="exact"/>
        <w:rPr>
          <w:rFonts w:ascii="Times New Roman" w:cs="Times New Roman" w:eastAsia="Times New Roman" w:hAnsi="Times New Roman"/>
          <w:sz w:val="20"/>
          <w:szCs w:val="20"/>
          <w:color w:val="auto"/>
          <w:vertAlign w:val="superscript"/>
        </w:rPr>
      </w:pPr>
    </w:p>
    <w:p>
      <w:pPr>
        <w:ind w:left="180" w:hanging="173"/>
        <w:spacing w:after="0"/>
        <w:tabs>
          <w:tab w:leader="none" w:pos="18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of $— and $16,286 respectively, for the years ended December 31, 2025 and 2024, from customers domiciled outside of United States.</w:t>
      </w:r>
    </w:p>
    <w:p>
      <w:pPr>
        <w:spacing w:after="0" w:line="154" w:lineRule="exact"/>
        <w:rPr>
          <w:rFonts w:ascii="Times New Roman" w:cs="Times New Roman" w:eastAsia="Times New Roman" w:hAnsi="Times New Roman"/>
          <w:sz w:val="22"/>
          <w:szCs w:val="22"/>
          <w:color w:val="auto"/>
          <w:vertAlign w:val="superscript"/>
        </w:rPr>
      </w:pPr>
    </w:p>
    <w:p>
      <w:pPr>
        <w:ind w:right="20" w:firstLine="7"/>
        <w:spacing w:after="0" w:line="282" w:lineRule="auto"/>
        <w:tabs>
          <w:tab w:leader="none" w:pos="164"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Renewable Power operating lease revenue relates to revenue from power purchase agreements where we determined that we transferred the right to control the use of the power plant to the purchaser.</w:t>
      </w:r>
    </w:p>
    <w:p>
      <w:pPr>
        <w:spacing w:after="0" w:line="94" w:lineRule="exact"/>
        <w:rPr>
          <w:rFonts w:ascii="Times New Roman" w:cs="Times New Roman" w:eastAsia="Times New Roman" w:hAnsi="Times New Roman"/>
          <w:sz w:val="20"/>
          <w:szCs w:val="20"/>
          <w:color w:val="auto"/>
          <w:vertAlign w:val="superscript"/>
        </w:rPr>
      </w:pPr>
    </w:p>
    <w:p>
      <w:pPr>
        <w:ind w:left="180" w:hanging="173"/>
        <w:spacing w:after="0"/>
        <w:tabs>
          <w:tab w:leader="none" w:pos="18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management fee revenues earned from management of operations of equity method entities</w:t>
      </w:r>
    </w:p>
    <w:p>
      <w:pPr>
        <w:spacing w:after="0" w:line="16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tables below outline the revenue from customers that comprise 10% or more of our consolidated revenue, along with their respective percentages of revenue by each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106680</wp:posOffset>
            </wp:positionV>
            <wp:extent cx="6870700" cy="161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8">
                      <a:extLst>
                        <a:ext uri="{28A0092B-C50C-407E-A947-70E740481C1C}"/>
                      </a:extLst>
                    </a:blip>
                    <a:srcRect/>
                    <a:stretch>
                      <a:fillRect/>
                    </a:stretch>
                  </pic:blipFill>
                  <pic:spPr bwMode="auto">
                    <a:xfrm>
                      <a:off x="0" y="0"/>
                      <a:ext cx="6870700" cy="161290"/>
                    </a:xfrm>
                    <a:prstGeom prst="rect">
                      <a:avLst/>
                    </a:prstGeom>
                    <a:noFill/>
                  </pic:spPr>
                </pic:pic>
              </a:graphicData>
            </a:graphic>
          </wp:anchor>
        </w:drawing>
      </w:r>
    </w:p>
    <w:p>
      <w:pPr>
        <w:spacing w:after="0" w:line="15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0" w:lineRule="exact"/>
        <w:rPr>
          <w:sz w:val="20"/>
          <w:szCs w:val="20"/>
          <w:color w:val="auto"/>
        </w:rPr>
      </w:pPr>
    </w:p>
    <w:tbl>
      <w:tblPr>
        <w:tblLayout w:type="fixed"/>
        <w:tblInd w:w="220" w:type="dxa"/>
        <w:tblCellMar>
          <w:top w:w="0" w:type="dxa"/>
          <w:left w:w="0" w:type="dxa"/>
          <w:bottom w:w="0" w:type="dxa"/>
          <w:right w:w="0" w:type="dxa"/>
        </w:tblCellMar>
      </w:tblPr>
      <w:tr>
        <w:trPr>
          <w:trHeight w:val="233"/>
        </w:trPr>
        <w:tc>
          <w:tcPr>
            <w:tcW w:w="27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360" w:type="dxa"/>
            <w:vAlign w:val="bottom"/>
            <w:tcBorders>
              <w:top w:val="single" w:sz="8" w:color="auto"/>
              <w:bottom w:val="single" w:sz="8" w:color="auto"/>
            </w:tcBorders>
            <w:gridSpan w:val="3"/>
          </w:tcPr>
          <w:p>
            <w:pPr>
              <w:jc w:val="right"/>
              <w:ind w:right="1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67"/>
        </w:trPr>
        <w:tc>
          <w:tcPr>
            <w:tcW w:w="3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A</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2160" w:type="dxa"/>
            <w:vAlign w:val="bottom"/>
            <w:gridSpan w:val="2"/>
            <w:shd w:val="clear" w:color="auto" w:fill="CCEEFF"/>
          </w:tcPr>
          <w:p>
            <w:pPr>
              <w:jc w:val="center"/>
              <w:ind w:left="571"/>
              <w:spacing w:after="0" w:line="167" w:lineRule="exact"/>
              <w:rPr>
                <w:sz w:val="20"/>
                <w:szCs w:val="20"/>
                <w:color w:val="auto"/>
              </w:rPr>
            </w:pPr>
            <w:r>
              <w:rPr>
                <w:rFonts w:ascii="Times New Roman" w:cs="Times New Roman" w:eastAsia="Times New Roman" w:hAnsi="Times New Roman"/>
                <w:sz w:val="18"/>
                <w:szCs w:val="18"/>
                <w:b w:val="1"/>
                <w:bCs w:val="1"/>
                <w:color w:val="auto"/>
                <w:w w:val="98"/>
              </w:rPr>
              <w:t>Percentage of total</w:t>
            </w:r>
          </w:p>
        </w:tc>
        <w:tc>
          <w:tcPr>
            <w:tcW w:w="3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60" w:type="dxa"/>
            <w:vAlign w:val="bottom"/>
            <w:shd w:val="clear" w:color="auto" w:fill="CCEEFF"/>
          </w:tcPr>
          <w:p>
            <w:pPr>
              <w:jc w:val="right"/>
              <w:ind w:right="131"/>
              <w:spacing w:after="0" w:line="167" w:lineRule="exact"/>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240"/>
        </w:trPr>
        <w:tc>
          <w:tcPr>
            <w:tcW w:w="3840" w:type="dxa"/>
            <w:vAlign w:val="bottom"/>
            <w:gridSpan w:val="2"/>
            <w:vMerge w:val="continue"/>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gridSpan w:val="2"/>
            <w:vMerge w:val="continue"/>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4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RNG Fuel</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67,643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19.4 % $</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68,416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6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Station Services</w:t>
            </w: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42,874</w:t>
            </w:r>
          </w:p>
        </w:tc>
        <w:tc>
          <w:tcPr>
            <w:tcW w:w="13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12.3 %</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36,131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67"/>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3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w w:val="98"/>
              </w:rPr>
              <w:t>6,822</w:t>
            </w:r>
          </w:p>
        </w:tc>
        <w:tc>
          <w:tcPr>
            <w:tcW w:w="138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2.0 %</w:t>
            </w:r>
          </w:p>
        </w:tc>
        <w:tc>
          <w:tcPr>
            <w:tcW w:w="16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6,912</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5"/>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gridSpan w:val="2"/>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117,339</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 $</w:t>
            </w:r>
          </w:p>
        </w:tc>
        <w:tc>
          <w:tcPr>
            <w:tcW w:w="16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111,459</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16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780" w:type="dxa"/>
            <w:vAlign w:val="bottom"/>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3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780" w:type="dxa"/>
            <w:vAlign w:val="bottom"/>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left="31"/>
              <w:spacing w:after="0" w:line="167" w:lineRule="exact"/>
              <w:rPr>
                <w:sz w:val="20"/>
                <w:szCs w:val="20"/>
                <w:color w:val="auto"/>
              </w:rPr>
            </w:pPr>
            <w:r>
              <w:rPr>
                <w:rFonts w:ascii="Times New Roman" w:cs="Times New Roman" w:eastAsia="Times New Roman" w:hAnsi="Times New Roman"/>
                <w:sz w:val="18"/>
                <w:szCs w:val="18"/>
                <w:b w:val="1"/>
                <w:bCs w:val="1"/>
                <w:color w:val="auto"/>
                <w:w w:val="99"/>
              </w:rPr>
              <w:t>Percentages</w:t>
            </w:r>
          </w:p>
        </w:tc>
        <w:tc>
          <w:tcPr>
            <w:tcW w:w="1960" w:type="dxa"/>
            <w:vAlign w:val="bottom"/>
            <w:gridSpan w:val="3"/>
            <w:shd w:val="clear" w:color="auto" w:fill="CCEEFF"/>
          </w:tcPr>
          <w:p>
            <w:pPr>
              <w:jc w:val="center"/>
              <w:ind w:left="831"/>
              <w:spacing w:after="0" w:line="167"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780" w:type="dxa"/>
            <w:vAlign w:val="bottom"/>
          </w:tcPr>
          <w:p>
            <w:pPr>
              <w:spacing w:after="0"/>
              <w:rPr>
                <w:sz w:val="15"/>
                <w:szCs w:val="15"/>
                <w:color w:val="auto"/>
              </w:rPr>
            </w:pPr>
          </w:p>
        </w:tc>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B</w:t>
            </w:r>
          </w:p>
        </w:tc>
        <w:tc>
          <w:tcPr>
            <w:tcW w:w="3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shd w:val="clear" w:color="auto" w:fill="CCEEFF"/>
          </w:tcPr>
          <w:p>
            <w:pPr>
              <w:jc w:val="center"/>
              <w:ind w:left="11"/>
              <w:spacing w:after="0" w:line="178" w:lineRule="exact"/>
              <w:rPr>
                <w:sz w:val="20"/>
                <w:szCs w:val="20"/>
                <w:color w:val="auto"/>
              </w:rPr>
            </w:pPr>
            <w:r>
              <w:rPr>
                <w:rFonts w:ascii="Times New Roman" w:cs="Times New Roman" w:eastAsia="Times New Roman" w:hAnsi="Times New Roman"/>
                <w:sz w:val="18"/>
                <w:szCs w:val="18"/>
                <w:b w:val="1"/>
                <w:bCs w:val="1"/>
                <w:color w:val="auto"/>
                <w:w w:val="99"/>
              </w:rPr>
              <w:t>of total</w:t>
            </w:r>
          </w:p>
        </w:tc>
        <w:tc>
          <w:tcPr>
            <w:tcW w:w="10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gridSpan w:val="2"/>
            <w:shd w:val="clear" w:color="auto" w:fill="CCEEFF"/>
          </w:tcPr>
          <w:p>
            <w:pPr>
              <w:jc w:val="center"/>
              <w:ind w:right="91"/>
              <w:spacing w:after="0" w:line="178" w:lineRule="exact"/>
              <w:rPr>
                <w:sz w:val="20"/>
                <w:szCs w:val="20"/>
                <w:color w:val="auto"/>
              </w:rPr>
            </w:pPr>
            <w:r>
              <w:rPr>
                <w:rFonts w:ascii="Times New Roman" w:cs="Times New Roman" w:eastAsia="Times New Roman" w:hAnsi="Times New Roman"/>
                <w:sz w:val="18"/>
                <w:szCs w:val="18"/>
                <w:b w:val="1"/>
                <w:bCs w:val="1"/>
                <w:color w:val="auto"/>
                <w:w w:val="99"/>
              </w:rPr>
              <w:t>of total</w:t>
            </w:r>
          </w:p>
        </w:tc>
        <w:tc>
          <w:tcPr>
            <w:tcW w:w="10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tcBorders>
              <w:bottom w:val="single" w:sz="8" w:color="auto"/>
            </w:tcBorders>
            <w:gridSpan w:val="2"/>
            <w:vMerge w:val="continue"/>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1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10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Fuel Station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78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 % $  42,028</w:t>
            </w: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22" w:name="page123"/>
    <w:bookmarkEnd w:id="122"/>
    <w:p>
      <w:pPr>
        <w:spacing w:after="0" w:line="120" w:lineRule="exact"/>
        <w:rPr>
          <w:sz w:val="20"/>
          <w:szCs w:val="20"/>
          <w:color w:val="auto"/>
        </w:rPr>
      </w:pPr>
    </w:p>
    <w:p>
      <w:pPr>
        <w:ind w:firstLine="7"/>
        <w:spacing w:after="0" w:line="282" w:lineRule="auto"/>
        <w:tabs>
          <w:tab w:leader="none" w:pos="40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 REDEEMABLE PREFERRED NON-CONTROLLING INTEREST AND STOCKHOLDERS' DEFICIT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December 31, 2025, the Company is authorized to issue 340,000,000 shares of Class A common stock, 160,000,000 shares of Class B common stock, 160,000,000 shares of Class C common stock, and 160,000,000 shares of Class D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B and Class D common stock do not have any economic value except voting rights as described below.</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23, 2025, our ultimate controlling stockholder, Fortistar, through its subsidiary OPAL Holdco LLC, exchanged 50,000,000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had no effect on the economic interest in the Company held by Fortistar.</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12, 2024, Fortistar, through its subsidiary OPAL Holdco LLC, converted 71,500,000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LLC. Fortistar converted such shares in order that the Company’s Class A common stock would become eligible for inclusion in certain stock market indices, on which many broad-based mutual funds and exchange-traded index funds are based.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Preferred Non-controlling Interests</w:t>
      </w:r>
    </w:p>
    <w:p>
      <w:pPr>
        <w:spacing w:after="0" w:line="144"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Upon completion of the Business Combination, the Company effectively assumed the Series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and Series A preferred units previously issued by OPAL Fuels LLC to Hillman and NextEra, respectively. Following the transaction, these preferred units were presented as redeemable preferred non-controlling interests in the Company’s consolidated financial statements.</w:t>
      </w:r>
    </w:p>
    <w:p>
      <w:pPr>
        <w:spacing w:after="0" w:line="17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changes in the redeemable preferred non-controlling interests which represent Series A and Series A-1 preferred units outstanding at OPAL Fuels level from December 31, 2024 to December 31, 2025:</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468"/>
        </w:trPr>
        <w:tc>
          <w:tcPr>
            <w:tcW w:w="3640" w:type="dxa"/>
            <w:vAlign w:val="bottom"/>
            <w:tcBorders>
              <w:bottom w:val="single" w:sz="8" w:color="CCEEFF"/>
            </w:tcBorders>
            <w:shd w:val="clear" w:color="auto" w:fill="CCEEFF"/>
          </w:tcPr>
          <w:p>
            <w:pPr>
              <w:spacing w:after="0"/>
              <w:rPr>
                <w:sz w:val="24"/>
                <w:szCs w:val="24"/>
                <w:color w:val="auto"/>
              </w:rPr>
            </w:pPr>
          </w:p>
        </w:tc>
        <w:tc>
          <w:tcPr>
            <w:tcW w:w="3100" w:type="dxa"/>
            <w:vAlign w:val="bottom"/>
            <w:tcBorders>
              <w:bottom w:val="single" w:sz="8" w:color="auto"/>
            </w:tcBorders>
            <w:gridSpan w:val="3"/>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Series A-1 preferred units</w:t>
            </w:r>
          </w:p>
        </w:tc>
        <w:tc>
          <w:tcPr>
            <w:tcW w:w="2640" w:type="dxa"/>
            <w:vAlign w:val="bottom"/>
            <w:tcBorders>
              <w:bottom w:val="single" w:sz="8" w:color="auto"/>
            </w:tcBorders>
            <w:gridSpan w:val="3"/>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Series A preferred units</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r>
      <w:tr>
        <w:trPr>
          <w:trHeight w:val="234"/>
        </w:trPr>
        <w:tc>
          <w:tcPr>
            <w:tcW w:w="364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r>
      <w:tr>
        <w:trPr>
          <w:trHeight w:val="174"/>
        </w:trPr>
        <w:tc>
          <w:tcPr>
            <w:tcW w:w="36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Preferred dividends attributable to redeemable</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2,012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r>
      <w:tr>
        <w:trPr>
          <w:trHeight w:val="174"/>
        </w:trPr>
        <w:tc>
          <w:tcPr>
            <w:tcW w:w="36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Preferred dividends attributable to Class A</w:t>
            </w: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stockholders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404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27"/>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of preferred dividends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(2,416)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w:t>
            </w:r>
          </w:p>
        </w:tc>
      </w:tr>
      <w:tr>
        <w:trPr>
          <w:trHeight w:val="24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Redeemable Preferred Units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and Series A-1 preferred units (together the “Preferred Units”) have substantially the same terms and features which are listed below:</w:t>
      </w:r>
    </w:p>
    <w:p>
      <w:pPr>
        <w:spacing w:after="0" w:line="19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Voting: The Series A-1 preferred units to Hillman do not have any voting rights. The Series A preferred units issued to NextEra have limited rights to prevent the Opal Fuels LLC from taking certain actions including (i) major issuances of new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debt or equity (ii) executing transactions with affiliates which are not on an arm's-length basis (iii) major dispositions of assets and (iv) major acquisitions of assets outside of the primary business.</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Liquidation preference: In the event of liquidation of the Company, each holder of Series A units and Series A-1 units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1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Redemption and conversion: At any time after issuance, the Company may redeem the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that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was November 29, 2025. NextEra provided such written notice during the fourth quarter of 2025, and the Company has 90 days from the date of notice to respond in accordance with the terms of the Series A preferred units. The Company must also redeem all NextEra Series A preferred units on which the redemption option has been exercised prior to redeeming any Hillman Series A-1 preferred units.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the Company does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Subsequent to December 31, 2025, the Company redeemed the Series A preferred units in connection with the sale of Series A preferred units to Preferred Fuels LLC. See </w:t>
      </w:r>
      <w:r>
        <w:rPr>
          <w:rFonts w:ascii="Times New Roman" w:cs="Times New Roman" w:eastAsia="Times New Roman" w:hAnsi="Times New Roman"/>
          <w:sz w:val="18"/>
          <w:szCs w:val="18"/>
          <w:i w:val="1"/>
          <w:iCs w:val="1"/>
          <w:color w:val="auto"/>
        </w:rPr>
        <w:t>Note 16. Subsequent Events</w:t>
      </w:r>
      <w:r>
        <w:rPr>
          <w:rFonts w:ascii="Times New Roman" w:cs="Times New Roman" w:eastAsia="Times New Roman" w:hAnsi="Times New Roman"/>
          <w:sz w:val="18"/>
          <w:szCs w:val="18"/>
          <w:color w:val="auto"/>
        </w:rPr>
        <w:t xml:space="preserve"> for additional details regarding these transactions. In connection with these transactions, on March 6, 2026, OPAL Fuels LLC approved and adopted an Amended and Restated Certificate of Designations of Series A Preferred Units (the "Amended Series A Certificate of Designations"). Among other things, the Amended Series A Certificate of Designations increased the dividend rates to 12% per annum (compounding quarterly) with a partial payment-in-kind option, revised the mandatory redemption provisions (including the addition of redemption triggers upon certain events or after the fifth anniversary of the issuance date), added enhanced protective covenants and transfer restrictions, and updated certain other terms and definitions to reflect the current transaction structure. Additionally, Preferred Fuels LLC has the right, but not the obligation, to appoint a single director to the Board of the Company if OPAL Fuels LLC fails to redeem any Series A preferred units within 90 days of the date on which Preferred Fuels LLC requests mandatory redemption of such Series A preferred units.</w:t>
      </w:r>
    </w:p>
    <w:p>
      <w:pPr>
        <w:spacing w:after="0" w:line="1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Redeemable preferred non-controlling interests have been presented as mezzanine equity in the consolidated statements of changes in redeemable non-controlling interest, redeemable preferred non-controlling interest and stockholders' deficit. The conversion feature does not represent a derivative.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Upon consummation of the Business Combination, OPAL Fuels and its members caused the existing limited liability company agreement to be amended and restated. In connection therewith, all of the common units of OPAL Fuels LLC issued and outstanding immediately prior to the Business Combination were re-classified into 144,399,037 Class B Units. Each Class B Unit is paired with a single share of Class B or Class D of common stock issued by the Company. Each share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of Class B common stock is exchangeable for one share of Class A common stock and each share of Class D common stock is exchangeable for one share of Class C common stock. Upon an exchange for Class A or Class C common stock, the Company has the option to redeem shares for cash at their market value.</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Redeemable non-controlling interests have been presented as mezzanine equity in the consolidated statements of changes in redeemable non-controlling interest, redeemable preferred non-controlling interest and stockholders' deficit. As of December 31, 2025, the Company recorded $130,718 to adjust the carrying value to their redemption value based on a five-day VWAP of $2.62 per share.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8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income per share:</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0"/>
        </w:trPr>
        <w:tc>
          <w:tcPr>
            <w:tcW w:w="40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3"/>
          </w:tcPr>
          <w:p>
            <w:pPr>
              <w:spacing w:after="0"/>
              <w:rPr>
                <w:sz w:val="17"/>
                <w:szCs w:val="17"/>
                <w:color w:val="auto"/>
              </w:rPr>
            </w:pPr>
          </w:p>
        </w:tc>
      </w:tr>
      <w:tr>
        <w:trPr>
          <w:trHeight w:val="227"/>
        </w:trPr>
        <w:tc>
          <w:tcPr>
            <w:tcW w:w="400" w:type="dxa"/>
            <w:vAlign w:val="bottom"/>
          </w:tcPr>
          <w:p>
            <w:pPr>
              <w:spacing w:after="0"/>
              <w:rPr>
                <w:sz w:val="19"/>
                <w:szCs w:val="19"/>
                <w:color w:val="auto"/>
              </w:rPr>
            </w:pPr>
          </w:p>
        </w:tc>
        <w:tc>
          <w:tcPr>
            <w:tcW w:w="70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gridSpan w:val="3"/>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0"/>
        </w:trPr>
        <w:tc>
          <w:tcPr>
            <w:tcW w:w="400" w:type="dxa"/>
            <w:vAlign w:val="bottom"/>
          </w:tcPr>
          <w:p>
            <w:pPr>
              <w:spacing w:after="0"/>
              <w:rPr>
                <w:sz w:val="19"/>
                <w:szCs w:val="19"/>
                <w:color w:val="auto"/>
              </w:rPr>
            </w:pPr>
          </w:p>
        </w:tc>
        <w:tc>
          <w:tcPr>
            <w:tcW w:w="70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400" w:type="dxa"/>
            <w:vAlign w:val="bottom"/>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Class A common stockholders basic and diluted</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4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47"/>
        </w:trPr>
        <w:tc>
          <w:tcPr>
            <w:tcW w:w="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7"/>
        </w:trPr>
        <w:tc>
          <w:tcPr>
            <w:tcW w:w="400" w:type="dxa"/>
            <w:vAlign w:val="bottom"/>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 basic</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28,138,140</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27,617,335</w:t>
            </w:r>
          </w:p>
        </w:tc>
      </w:tr>
      <w:tr>
        <w:trPr>
          <w:trHeight w:val="227"/>
        </w:trPr>
        <w:tc>
          <w:tcPr>
            <w:tcW w:w="400" w:type="dxa"/>
            <w:vAlign w:val="bottom"/>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dilutive RSUs and options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1,114,190</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77,315</w:t>
            </w:r>
          </w:p>
        </w:tc>
      </w:tr>
      <w:tr>
        <w:trPr>
          <w:trHeight w:val="245"/>
        </w:trPr>
        <w:tc>
          <w:tcPr>
            <w:tcW w:w="400" w:type="dxa"/>
            <w:vAlign w:val="bottom"/>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 diluted</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29,252,330</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27,694,650</w:t>
            </w:r>
          </w:p>
        </w:tc>
      </w:tr>
      <w:tr>
        <w:trPr>
          <w:trHeight w:val="20"/>
        </w:trPr>
        <w:tc>
          <w:tcPr>
            <w:tcW w:w="40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7"/>
        </w:trPr>
        <w:tc>
          <w:tcPr>
            <w:tcW w:w="400" w:type="dxa"/>
            <w:vAlign w:val="bottom"/>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of Class A common stock</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7"/>
        </w:trPr>
        <w:tc>
          <w:tcPr>
            <w:tcW w:w="4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7"/>
        </w:trPr>
        <w:tc>
          <w:tcPr>
            <w:tcW w:w="400" w:type="dxa"/>
            <w:vAlign w:val="bottom"/>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bl>
    <w:p>
      <w:pPr>
        <w:spacing w:after="0" w:line="2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basic income per share for the year ended December 31, 2025 does not include 1,635,783 shares in treasury and 716,650 shares that are issued and outstanding but are contingent on achieving earnout targets.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Additionally, the diluted income per share of Class A common stock for the years ended December 31, 2025 and 2024 does not include Redeemable preferred non-controlling interests because the substantive contingency for conversion has not been met as of December 31, 2025. It also excludes redeemable non-controlling interests for the years ended December 31, 2025 and 2024.</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the periods in which EPS is presented, the following securities were excluded from the computation of diluted EPS since their impact would have been antidilutive:</w:t>
      </w:r>
    </w:p>
    <w:p>
      <w:pPr>
        <w:spacing w:after="0" w:line="168" w:lineRule="exact"/>
        <w:rPr>
          <w:sz w:val="20"/>
          <w:szCs w:val="20"/>
          <w:color w:val="auto"/>
        </w:rPr>
      </w:pPr>
    </w:p>
    <w:tbl>
      <w:tblPr>
        <w:tblLayout w:type="fixed"/>
        <w:tblInd w:w="2500" w:type="dxa"/>
        <w:tblCellMar>
          <w:top w:w="0" w:type="dxa"/>
          <w:left w:w="0" w:type="dxa"/>
          <w:bottom w:w="0" w:type="dxa"/>
          <w:right w:w="0" w:type="dxa"/>
        </w:tblCellMar>
      </w:tblPr>
      <w:tr>
        <w:trPr>
          <w:trHeight w:val="227"/>
        </w:trPr>
        <w:tc>
          <w:tcPr>
            <w:tcW w:w="2860" w:type="dxa"/>
            <w:vAlign w:val="bottom"/>
            <w:shd w:val="clear" w:color="auto" w:fill="CCEEFF"/>
          </w:tcPr>
          <w:p>
            <w:pPr>
              <w:spacing w:after="0"/>
              <w:rPr>
                <w:sz w:val="19"/>
                <w:szCs w:val="19"/>
                <w:color w:val="auto"/>
              </w:rPr>
            </w:pPr>
          </w:p>
        </w:tc>
        <w:tc>
          <w:tcPr>
            <w:tcW w:w="3400" w:type="dxa"/>
            <w:vAlign w:val="bottom"/>
            <w:tcBorders>
              <w:bottom w:val="single" w:sz="8" w:color="auto"/>
            </w:tcBorders>
            <w:gridSpan w:val="2"/>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0"/>
        </w:trPr>
        <w:tc>
          <w:tcPr>
            <w:tcW w:w="286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483,502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498,661</w:t>
            </w:r>
          </w:p>
        </w:tc>
      </w:tr>
      <w:tr>
        <w:trPr>
          <w:trHeight w:val="22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20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1,936,307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716,650</w:t>
            </w:r>
          </w:p>
        </w:tc>
      </w:tr>
      <w:tr>
        <w:trPr>
          <w:trHeight w:val="227"/>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20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1,046,342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1,761,558</w:t>
            </w:r>
          </w:p>
        </w:tc>
      </w:tr>
      <w:tr>
        <w:trPr>
          <w:trHeight w:val="23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OPAL Fuels Class B Units</w:t>
            </w:r>
          </w:p>
        </w:tc>
        <w:tc>
          <w:tcPr>
            <w:tcW w:w="20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144,399,037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144,399,037</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Opal Fuels Inc.'s investment in Opal Fuels LLC are offset by a full valuation allowance. Prior to the Business Combinations, Opal Fuels LLC and its subsidiaries were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414655</wp:posOffset>
            </wp:positionV>
            <wp:extent cx="5377815" cy="152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3">
                      <a:extLst>
                        <a:ext uri="{28A0092B-C50C-407E-A947-70E740481C1C}"/>
                      </a:extLst>
                    </a:blip>
                    <a:srcRect/>
                    <a:stretch>
                      <a:fillRect/>
                    </a:stretch>
                  </pic:blipFill>
                  <pic:spPr bwMode="auto">
                    <a:xfrm>
                      <a:off x="0" y="0"/>
                      <a:ext cx="537781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18415</wp:posOffset>
            </wp:positionV>
            <wp:extent cx="2103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4">
                      <a:extLst>
                        <a:ext uri="{28A0092B-C50C-407E-A947-70E740481C1C}"/>
                      </a:extLst>
                    </a:blip>
                    <a:srcRect/>
                    <a:stretch>
                      <a:fillRect/>
                    </a:stretch>
                  </pic:blipFill>
                  <pic:spPr bwMode="auto">
                    <a:xfrm>
                      <a:off x="0" y="0"/>
                      <a:ext cx="2103755" cy="8255"/>
                    </a:xfrm>
                    <a:prstGeom prst="rect">
                      <a:avLst/>
                    </a:prstGeom>
                    <a:noFill/>
                  </pic:spPr>
                </pic:pic>
              </a:graphicData>
            </a:graphic>
          </wp:anchor>
        </w:drawing>
      </w:r>
    </w:p>
    <w:p>
      <w:pPr>
        <w:spacing w:after="0" w:line="13" w:lineRule="exact"/>
        <w:rPr>
          <w:sz w:val="20"/>
          <w:szCs w:val="20"/>
          <w:color w:val="auto"/>
        </w:rPr>
      </w:pPr>
    </w:p>
    <w:p>
      <w:pPr>
        <w:ind w:left="7240"/>
        <w:spacing w:after="0"/>
        <w:tabs>
          <w:tab w:leader="none" w:pos="88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18415</wp:posOffset>
            </wp:positionV>
            <wp:extent cx="5377815" cy="144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5">
                      <a:extLst>
                        <a:ext uri="{28A0092B-C50C-407E-A947-70E740481C1C}"/>
                      </a:extLst>
                    </a:blip>
                    <a:srcRect/>
                    <a:stretch>
                      <a:fillRect/>
                    </a:stretch>
                  </pic:blipFill>
                  <pic:spPr bwMode="auto">
                    <a:xfrm>
                      <a:off x="0" y="0"/>
                      <a:ext cx="5377815" cy="144145"/>
                    </a:xfrm>
                    <a:prstGeom prst="rect">
                      <a:avLst/>
                    </a:prstGeom>
                    <a:noFill/>
                  </pic:spPr>
                </pic:pic>
              </a:graphicData>
            </a:graphic>
          </wp:anchor>
        </w:drawing>
      </w:r>
    </w:p>
    <w:p>
      <w:pPr>
        <w:spacing w:after="0" w:line="10" w:lineRule="exact"/>
        <w:rPr>
          <w:sz w:val="20"/>
          <w:szCs w:val="20"/>
          <w:color w:val="auto"/>
        </w:rPr>
      </w:pPr>
    </w:p>
    <w:p>
      <w:pPr>
        <w:ind w:left="1400"/>
        <w:spacing w:after="0"/>
        <w:tabs>
          <w:tab w:leader="none" w:pos="6540" w:val="left"/>
          <w:tab w:leader="none" w:pos="7620" w:val="left"/>
          <w:tab w:leader="none" w:pos="9360" w:val="left"/>
        </w:tabs>
        <w:rPr>
          <w:sz w:val="20"/>
          <w:szCs w:val="20"/>
          <w:color w:val="auto"/>
        </w:rPr>
      </w:pPr>
      <w:r>
        <w:rPr>
          <w:rFonts w:ascii="Times New Roman" w:cs="Times New Roman" w:eastAsia="Times New Roman" w:hAnsi="Times New Roman"/>
          <w:sz w:val="18"/>
          <w:szCs w:val="18"/>
          <w:color w:val="auto"/>
        </w:rPr>
        <w:t>Domestic (loss) income before income taxes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(16,335) $</w:t>
      </w:r>
      <w:r>
        <w:rPr>
          <w:sz w:val="20"/>
          <w:szCs w:val="20"/>
          <w:color w:val="auto"/>
        </w:rPr>
        <w:tab/>
      </w:r>
      <w:r>
        <w:rPr>
          <w:rFonts w:ascii="Times New Roman" w:cs="Times New Roman" w:eastAsia="Times New Roman" w:hAnsi="Times New Roman"/>
          <w:sz w:val="17"/>
          <w:szCs w:val="17"/>
          <w:color w:val="auto"/>
        </w:rPr>
        <w:t>5,419</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142875</wp:posOffset>
            </wp:positionV>
            <wp:extent cx="5377815" cy="152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6">
                      <a:extLst>
                        <a:ext uri="{28A0092B-C50C-407E-A947-70E740481C1C}"/>
                      </a:extLst>
                    </a:blip>
                    <a:srcRect/>
                    <a:stretch>
                      <a:fillRect/>
                    </a:stretch>
                  </pic:blipFill>
                  <pic:spPr bwMode="auto">
                    <a:xfrm>
                      <a:off x="0" y="0"/>
                      <a:ext cx="5377815" cy="152400"/>
                    </a:xfrm>
                    <a:prstGeom prst="rect">
                      <a:avLst/>
                    </a:prstGeom>
                    <a:noFill/>
                  </pic:spPr>
                </pic:pic>
              </a:graphicData>
            </a:graphic>
          </wp:anchor>
        </w:drawing>
      </w:r>
    </w:p>
    <w:p>
      <w:pPr>
        <w:spacing w:after="0" w:line="21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9" w:lineRule="exact"/>
        <w:rPr>
          <w:sz w:val="20"/>
          <w:szCs w:val="20"/>
          <w:color w:val="auto"/>
        </w:rPr>
      </w:pPr>
    </w:p>
    <w:tbl>
      <w:tblPr>
        <w:tblLayout w:type="fixed"/>
        <w:tblInd w:w="1720" w:type="dxa"/>
        <w:tblCellMar>
          <w:top w:w="0" w:type="dxa"/>
          <w:left w:w="0" w:type="dxa"/>
          <w:bottom w:w="0" w:type="dxa"/>
          <w:right w:w="0" w:type="dxa"/>
        </w:tblCellMar>
      </w:tblPr>
      <w:tr>
        <w:trPr>
          <w:trHeight w:val="220"/>
        </w:trPr>
        <w:tc>
          <w:tcPr>
            <w:tcW w:w="5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benefit</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w:t>
            </w:r>
          </w:p>
        </w:tc>
      </w:tr>
      <w:tr>
        <w:trPr>
          <w:trHeight w:val="22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expense (benefit)</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year-to-date effective tax rate for the year ended December 31, 2025 and 2024 was 323% and (164)%, respectively. The Company recognized the tax benefit associated with the sales of investment tax credits to a counterparty. Per ASC 740-10-25-46, the Company uses the flow-through method to account for transferrable tax credits. Under the flow-through method, an entity immediately recognizes the cost savings from the tax credit. The transferrable tax credits are accounted for as a reduction in income tax expense in the year the asset is generated. Therefore, the Company recognized a total income tax benefit of $52,746 during the year ended December 31, 2025 and $8,906 for the year ended December 31, 2024.</w:t>
      </w:r>
    </w:p>
    <w:p>
      <w:pPr>
        <w:spacing w:after="0" w:line="1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table shows the principal reasons for the difference between the effective income tax rate and the statutory federal income tax rate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0" w:type="dxa"/>
            <w:vAlign w:val="bottom"/>
            <w:tcBorders>
              <w:right w:val="single" w:sz="8" w:color="CCEEFF"/>
            </w:tcBorders>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0"/>
        </w:trPr>
        <w:tc>
          <w:tcPr>
            <w:tcW w:w="1400" w:type="dxa"/>
            <w:vAlign w:val="bottom"/>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9"/>
                <w:szCs w:val="19"/>
                <w:color w:val="auto"/>
              </w:rPr>
            </w:pPr>
          </w:p>
        </w:tc>
      </w:tr>
      <w:tr>
        <w:trPr>
          <w:trHeight w:val="220"/>
        </w:trPr>
        <w:tc>
          <w:tcPr>
            <w:tcW w:w="1400" w:type="dxa"/>
            <w:vAlign w:val="bottom"/>
            <w:tcBorders>
              <w:right w:val="single" w:sz="8" w:color="CCEEFF"/>
            </w:tcBorders>
          </w:tcPr>
          <w:p>
            <w:pPr>
              <w:spacing w:after="0"/>
              <w:rPr>
                <w:sz w:val="19"/>
                <w:szCs w:val="19"/>
                <w:color w:val="auto"/>
              </w:rPr>
            </w:pPr>
          </w:p>
        </w:tc>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(3,430)</w:t>
            </w:r>
          </w:p>
        </w:tc>
        <w:tc>
          <w:tcPr>
            <w:tcW w:w="150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21 % $</w:t>
            </w:r>
          </w:p>
        </w:tc>
        <w:tc>
          <w:tcPr>
            <w:tcW w:w="118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1,138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67"/>
        </w:trPr>
        <w:tc>
          <w:tcPr>
            <w:tcW w:w="14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8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r>
      <w:tr>
        <w:trPr>
          <w:trHeight w:val="227"/>
        </w:trPr>
        <w:tc>
          <w:tcPr>
            <w:tcW w:w="1400" w:type="dxa"/>
            <w:vAlign w:val="bottom"/>
            <w:tcBorders>
              <w:right w:val="single" w:sz="8" w:color="CCEEFF"/>
            </w:tcBorders>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2,477</w:t>
            </w:r>
          </w:p>
        </w:tc>
        <w:tc>
          <w:tcPr>
            <w:tcW w:w="150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(1,373)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7"/>
        </w:trPr>
        <w:tc>
          <w:tcPr>
            <w:tcW w:w="14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600" w:type="dxa"/>
            <w:vAlign w:val="bottom"/>
          </w:tcPr>
          <w:p>
            <w:pPr>
              <w:spacing w:after="0"/>
              <w:rPr>
                <w:sz w:val="19"/>
                <w:szCs w:val="19"/>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(52,746)</w:t>
            </w:r>
          </w:p>
        </w:tc>
        <w:tc>
          <w:tcPr>
            <w:tcW w:w="150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323 %</w:t>
            </w:r>
          </w:p>
        </w:tc>
        <w:tc>
          <w:tcPr>
            <w:tcW w:w="118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(8,906)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7"/>
        </w:trPr>
        <w:tc>
          <w:tcPr>
            <w:tcW w:w="1400" w:type="dxa"/>
            <w:vAlign w:val="bottom"/>
            <w:tcBorders>
              <w:right w:val="single" w:sz="8" w:color="CCEEFF"/>
            </w:tcBorders>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939</w:t>
            </w:r>
          </w:p>
        </w:tc>
        <w:tc>
          <w:tcPr>
            <w:tcW w:w="150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158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7"/>
        </w:trPr>
        <w:tc>
          <w:tcPr>
            <w:tcW w:w="14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600" w:type="dxa"/>
            <w:vAlign w:val="bottom"/>
          </w:tcPr>
          <w:p>
            <w:pPr>
              <w:spacing w:after="0"/>
              <w:rPr>
                <w:sz w:val="19"/>
                <w:szCs w:val="19"/>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177</w:t>
            </w:r>
          </w:p>
        </w:tc>
        <w:tc>
          <w:tcPr>
            <w:tcW w:w="150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77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7"/>
        </w:trPr>
        <w:tc>
          <w:tcPr>
            <w:tcW w:w="1400" w:type="dxa"/>
            <w:vAlign w:val="bottom"/>
            <w:tcBorders>
              <w:right w:val="single" w:sz="8" w:color="CCEEFF"/>
            </w:tcBorders>
          </w:tcPr>
          <w:p>
            <w:pPr>
              <w:spacing w:after="0"/>
              <w:rPr>
                <w:sz w:val="19"/>
                <w:szCs w:val="19"/>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expense</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177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77</w:t>
            </w:r>
          </w:p>
        </w:tc>
        <w:tc>
          <w:tcPr>
            <w:tcW w:w="1060" w:type="dxa"/>
            <w:vAlign w:val="bottom"/>
            <w:shd w:val="clear" w:color="auto" w:fill="CCEEFF"/>
          </w:tcPr>
          <w:p>
            <w:pPr>
              <w:spacing w:after="0"/>
              <w:rPr>
                <w:sz w:val="19"/>
                <w:szCs w:val="19"/>
                <w:color w:val="auto"/>
              </w:rPr>
            </w:pPr>
          </w:p>
        </w:tc>
      </w:tr>
      <w:tr>
        <w:trPr>
          <w:trHeight w:val="227"/>
        </w:trPr>
        <w:tc>
          <w:tcPr>
            <w:tcW w:w="14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spacing w:after="0"/>
              <w:rPr>
                <w:sz w:val="19"/>
                <w:szCs w:val="19"/>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(163)</w:t>
            </w:r>
          </w:p>
        </w:tc>
        <w:tc>
          <w:tcPr>
            <w:tcW w:w="150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1 %</w:t>
            </w:r>
          </w:p>
        </w:tc>
        <w:tc>
          <w:tcPr>
            <w:tcW w:w="118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1400" w:type="dxa"/>
            <w:vAlign w:val="bottom"/>
            <w:tcBorders>
              <w:right w:val="single" w:sz="8" w:color="CCEEFF"/>
            </w:tcBorders>
          </w:tcPr>
          <w:p>
            <w:pPr>
              <w:spacing w:after="0"/>
              <w:rPr>
                <w:sz w:val="19"/>
                <w:szCs w:val="19"/>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to return</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(163)</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r>
      <w:tr>
        <w:trPr>
          <w:trHeight w:val="267"/>
        </w:trPr>
        <w:tc>
          <w:tcPr>
            <w:tcW w:w="1400" w:type="dxa"/>
            <w:vAlign w:val="bottom"/>
          </w:tcPr>
          <w:p>
            <w:pPr>
              <w:spacing w:after="0"/>
              <w:rPr>
                <w:sz w:val="23"/>
                <w:szCs w:val="23"/>
                <w:color w:val="auto"/>
              </w:rPr>
            </w:pPr>
          </w:p>
        </w:tc>
        <w:tc>
          <w:tcPr>
            <w:tcW w:w="314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45"/>
        </w:trPr>
        <w:tc>
          <w:tcPr>
            <w:tcW w:w="1400" w:type="dxa"/>
            <w:vAlign w:val="bottom"/>
            <w:tcBorders>
              <w:right w:val="single" w:sz="8" w:color="CCEEFF"/>
            </w:tcBorders>
          </w:tcPr>
          <w:p>
            <w:pPr>
              <w:spacing w:after="0"/>
              <w:rPr>
                <w:sz w:val="20"/>
                <w:szCs w:val="20"/>
                <w:color w:val="auto"/>
              </w:rPr>
            </w:pPr>
          </w:p>
        </w:tc>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tax benefit</w:t>
            </w: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(52,746)</w:t>
            </w:r>
          </w:p>
        </w:tc>
        <w:tc>
          <w:tcPr>
            <w:tcW w:w="1500" w:type="dxa"/>
            <w:vAlign w:val="bottom"/>
            <w:tcBorders>
              <w:bottom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323 % $</w:t>
            </w:r>
          </w:p>
        </w:tc>
        <w:tc>
          <w:tcPr>
            <w:tcW w:w="1180" w:type="dxa"/>
            <w:vAlign w:val="bottom"/>
            <w:tcBorders>
              <w:bottom w:val="single" w:sz="8" w:color="auto"/>
            </w:tcBorders>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(8,906)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140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55"/>
        </w:trPr>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The components of the deferred tax assets and liabilities are as follows:</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0"/>
        </w:trPr>
        <w:tc>
          <w:tcPr>
            <w:tcW w:w="1400" w:type="dxa"/>
            <w:vAlign w:val="bottom"/>
          </w:tcPr>
          <w:p>
            <w:pPr>
              <w:spacing w:after="0"/>
              <w:rPr>
                <w:sz w:val="17"/>
                <w:szCs w:val="17"/>
                <w:color w:val="auto"/>
              </w:rPr>
            </w:pPr>
          </w:p>
        </w:tc>
        <w:tc>
          <w:tcPr>
            <w:tcW w:w="31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3300" w:type="dxa"/>
            <w:vAlign w:val="bottom"/>
            <w:tcBorders>
              <w:bottom w:val="single" w:sz="8" w:color="auto"/>
            </w:tcBorders>
            <w:gridSpan w:val="4"/>
          </w:tcPr>
          <w:p>
            <w:pPr>
              <w:spacing w:after="0"/>
              <w:rPr>
                <w:sz w:val="17"/>
                <w:szCs w:val="17"/>
                <w:color w:val="auto"/>
              </w:rPr>
            </w:pPr>
          </w:p>
        </w:tc>
      </w:tr>
      <w:tr>
        <w:trPr>
          <w:trHeight w:val="220"/>
        </w:trPr>
        <w:tc>
          <w:tcPr>
            <w:tcW w:w="140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300" w:type="dxa"/>
            <w:vAlign w:val="bottom"/>
            <w:tcBorders>
              <w:bottom w:val="single" w:sz="8" w:color="auto"/>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0"/>
        </w:trPr>
        <w:tc>
          <w:tcPr>
            <w:tcW w:w="1400" w:type="dxa"/>
            <w:vAlign w:val="bottom"/>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14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14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partnership</w:t>
            </w: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gridSpan w:val="2"/>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w:t>
            </w:r>
          </w:p>
        </w:tc>
      </w:tr>
      <w:tr>
        <w:trPr>
          <w:trHeight w:val="227"/>
        </w:trPr>
        <w:tc>
          <w:tcPr>
            <w:tcW w:w="140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163j interest limitation</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7"/>
        </w:trPr>
        <w:tc>
          <w:tcPr>
            <w:tcW w:w="14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Federal NOL carryforward</w:t>
            </w: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27"/>
        </w:trPr>
        <w:tc>
          <w:tcPr>
            <w:tcW w:w="140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NOL carryforward</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7"/>
        </w:trPr>
        <w:tc>
          <w:tcPr>
            <w:tcW w:w="14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45z</w:t>
            </w: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140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ITC</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14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w:t>
            </w:r>
          </w:p>
        </w:tc>
      </w:tr>
      <w:tr>
        <w:trPr>
          <w:trHeight w:val="267"/>
        </w:trPr>
        <w:tc>
          <w:tcPr>
            <w:tcW w:w="1400" w:type="dxa"/>
            <w:vAlign w:val="bottom"/>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7"/>
        </w:trPr>
        <w:tc>
          <w:tcPr>
            <w:tcW w:w="1400" w:type="dxa"/>
            <w:vAlign w:val="bottom"/>
          </w:tcPr>
          <w:p>
            <w:pPr>
              <w:spacing w:after="0"/>
              <w:rPr>
                <w:sz w:val="19"/>
                <w:szCs w:val="19"/>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6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(26,980)</w:t>
            </w:r>
          </w:p>
        </w:tc>
      </w:tr>
      <w:tr>
        <w:trPr>
          <w:trHeight w:val="220"/>
        </w:trPr>
        <w:tc>
          <w:tcPr>
            <w:tcW w:w="1400" w:type="dxa"/>
            <w:vAlign w:val="bottom"/>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14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 asset or liability</w:t>
            </w: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2025, Opal Fuels, Inc. is in a net deferred tax asset position. Based on all available positive and negative evidence, including projections of future taxable income, the Company believes it is more likely than not that the deferred tax assets related to its investment in partnership, 163(j) interest limitation, and NOLs carryforwards will not be realized. As such, a full valuation allowance was recorded against these net deferred tax asset positions for federal and state purposes as of December 31, 2025. For purposes of determining pre-tax income/(loss) for the pre-IPO period, the Company relied on the historical financial statements of Opal Fuels, LLC as this is the best information to represent the historic pre-tax income/(loss) of Opal Fuels Inc. As of December 31, 2025, Opal Fuels, Inc. is in a three-year cumulative loss position, of approximately $13,706.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has gross state net operating loss carryforwards aggregating $54,398 as of December 31, 2025 representing state tax benefits, net of federal taxes, of approximately $2,250. These loss carryforwards are subject to ten,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fifteen, twenty-year, or indefinite carryforward periods, with $30,919 expiring between 2032-2045, and $23,478 with no expiration. The Company has provided valuation allowances of $2,250 and $1,436 as of December 31, 2025 and 2024, respectively, against the state tax loss carryforwards, representing the portion of carryforward losses that the Company believes are not likely to be realized.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material cash taxes paid.</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4, 2025, the OBBBA was signed into law in the U.S. and, among other provisions, reinstated the prior treatment of domestic research and experimental expenditures through newly enacted IRC §174A, permanently restored 100 percent bonus depreciation for qualifying assets placed in service after January 19, 2025, favorably modified the business interest limitation under IRC §163(j), and accelerated the timeline for certain renewable energy credits. However, the OBBBA does not have a material effect on our Consolidated financial statements.</w:t>
      </w:r>
    </w:p>
    <w:p>
      <w:pPr>
        <w:spacing w:after="0" w:line="1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Federal income tax purposes, the 2021 through 2024 tax years remain open for examination. For state tax purposes, the 2021 through 2024 tax years remain open for examination. There is no liability for unrecognized tax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adopted 2022 Omnibus Equity Incentive Plan (the "2022 Plan") in 2022 which was approved by our stockholders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generally vest over three years and expire ten years from the date of grant.</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fair value of the stock options granted in 2025 was estimated at $1.44 per option using the Black-Scholes model. The valuation was based on the following assumptions: share price of $2.04, exercise price of $1.53, expiration of 10 years, annual risk-free interest rate of 3.90% and expected volatility of 50%.</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fair value of the stock options granted in 2024 was estimated at $3.40 per option using the Black-Scholes model. The valuation was based on the following assumptions: share price of $4.96, exercise price of $5.02, expiration of 10 years, annual risk-free interest rate of 3.96%, and expected volatility of 55%.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during the year ended December 31, 2025, consisted of the following (in thousands, except for share and per share data):</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6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6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spacing w:after="0"/>
              <w:rPr>
                <w:sz w:val="20"/>
                <w:szCs w:val="20"/>
                <w:color w:val="auto"/>
              </w:rPr>
            </w:pPr>
          </w:p>
        </w:tc>
        <w:tc>
          <w:tcPr>
            <w:tcW w:w="1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1,166,670</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w:t>
            </w: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(63,771)</w:t>
            </w:r>
          </w:p>
        </w:tc>
        <w:tc>
          <w:tcPr>
            <w:tcW w:w="140" w:type="dxa"/>
            <w:vAlign w:val="bottom"/>
          </w:tcPr>
          <w:p>
            <w:pPr>
              <w:spacing w:after="0"/>
              <w:rPr>
                <w:sz w:val="19"/>
                <w:szCs w:val="19"/>
                <w:color w:val="auto"/>
              </w:rPr>
            </w:pPr>
          </w:p>
        </w:tc>
        <w:tc>
          <w:tcPr>
            <w:tcW w:w="1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2.43</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5.81</w:t>
            </w:r>
          </w:p>
        </w:tc>
        <w:tc>
          <w:tcPr>
            <w:tcW w:w="1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1,590,653</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2.76</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December 31,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2025 and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was $1.44 and $3.40 per share, respectively.</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aggregate intrinsic value of the outstanding stock options is $922 and zero as of December 31, 2025 and 2024, respectively. The aggregate intrinsic value of the vested and exercisable stock options is zero as of December 31, 2025 and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Units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Performance units are contingent upon the Company achieving specified Adjusted EBITDA and production targets. The grant date fair value of these awards was estimated based on the volume-weighted average price of the Company’s Class A common stock on the date of grant. Compensation expense related to these awards is recognized over the performance period based on the estimated probability of achieving the performance conditions as of the reporting date. The applicable performance period for the units granted in 2025 is from January 1, 2025 to December 31, 2027, with all such units scheduled to vest on March 31, 2028, subject to the achievement of certain performance criteria. The applicable performance period for the units granted in 2024 is from January 1, 2024 to December 31, 2026, with all such units scheduled to vest on March 31, 2027, subject to the achievement of certain performance criteria.</w:t>
      </w:r>
    </w:p>
    <w:p>
      <w:pPr>
        <w:spacing w:after="0" w:line="148"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33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17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240"/>
        <w:spacing w:after="0"/>
        <w:rPr>
          <w:sz w:val="20"/>
          <w:szCs w:val="20"/>
          <w:color w:val="auto"/>
        </w:rPr>
      </w:pPr>
      <w:r>
        <w:rPr>
          <w:rFonts w:ascii="Times New Roman" w:cs="Times New Roman" w:eastAsia="Times New Roman" w:hAnsi="Times New Roman"/>
          <w:sz w:val="17"/>
          <w:szCs w:val="17"/>
          <w:color w:val="auto"/>
        </w:rPr>
        <w:t>Unvested as of December 31, 2024</w:t>
      </w:r>
    </w:p>
    <w:p>
      <w:pPr>
        <w:spacing w:after="0" w:line="3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Forfeited</w:t>
      </w:r>
    </w:p>
    <w:p>
      <w:pPr>
        <w:spacing w:after="0" w:line="5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Unvested as of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643,591</w:t>
            </w:r>
          </w:p>
        </w:tc>
        <w:tc>
          <w:tcPr>
            <w:tcW w:w="7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5.66</w:t>
            </w:r>
          </w:p>
        </w:tc>
      </w:tr>
      <w:tr>
        <w:trPr>
          <w:trHeight w:val="227"/>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1,477,107</w:t>
            </w:r>
          </w:p>
        </w:tc>
        <w:tc>
          <w:tcPr>
            <w:tcW w:w="7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2.04</w:t>
            </w:r>
          </w:p>
        </w:tc>
      </w:tr>
      <w:tr>
        <w:trPr>
          <w:trHeight w:val="227"/>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7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6.12</w:t>
            </w:r>
          </w:p>
        </w:tc>
      </w:tr>
      <w:tr>
        <w:trPr>
          <w:trHeight w:val="232"/>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(179,993)</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3.37</w:t>
            </w:r>
          </w:p>
        </w:tc>
      </w:tr>
      <w:tr>
        <w:trPr>
          <w:trHeight w:val="220"/>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1,936,307</w:t>
            </w:r>
          </w:p>
        </w:tc>
        <w:tc>
          <w:tcPr>
            <w:tcW w:w="7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3.11</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-618490</wp:posOffset>
            </wp:positionV>
            <wp:extent cx="4326255" cy="144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0">
                      <a:extLst>
                        <a:ext uri="{28A0092B-C50C-407E-A947-70E740481C1C}"/>
                      </a:extLst>
                    </a:blip>
                    <a:srcRect/>
                    <a:stretch>
                      <a:fillRect/>
                    </a:stretch>
                  </pic:blipFill>
                  <pic:spPr bwMode="auto">
                    <a:xfrm>
                      <a:off x="0" y="0"/>
                      <a:ext cx="4326255" cy="14414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-330200</wp:posOffset>
            </wp:positionV>
            <wp:extent cx="4326255" cy="144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1">
                      <a:extLst>
                        <a:ext uri="{28A0092B-C50C-407E-A947-70E740481C1C}"/>
                      </a:extLst>
                    </a:blip>
                    <a:srcRect/>
                    <a:stretch>
                      <a:fillRect/>
                    </a:stretch>
                  </pic:blipFill>
                  <pic:spPr bwMode="auto">
                    <a:xfrm>
                      <a:off x="0" y="0"/>
                      <a:ext cx="4326255"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720"/>
            <w:col w:w="5640"/>
          </w:cols>
          <w:pgMar w:left="320" w:top="1440"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RSU based payment awards provide recipients with the right to receive shares of Class A common stock upon achievement of vesting conditions. At issuance, the value of the RSU is equal to the value of the per share Class A common stock value. These awards typically include time-based vesting conditions and generally vest over the service period of one to three years.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unvested shares as of December 31, 2025, and changes during the year ended December 31, 2025, is presented below.</w:t>
      </w:r>
    </w:p>
    <w:p>
      <w:pPr>
        <w:spacing w:after="0" w:line="197"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346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82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0" w:type="dxa"/>
            <w:vAlign w:val="bottom"/>
          </w:tcPr>
          <w:p>
            <w:pPr>
              <w:spacing w:after="0"/>
              <w:rPr>
                <w:sz w:val="1"/>
                <w:szCs w:val="1"/>
                <w:color w:val="auto"/>
              </w:rPr>
            </w:pPr>
          </w:p>
        </w:tc>
      </w:tr>
      <w:tr>
        <w:trPr>
          <w:trHeight w:val="22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1,886,825</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3,643,711</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(546,399)</w:t>
            </w:r>
          </w:p>
        </w:tc>
        <w:tc>
          <w:tcPr>
            <w:tcW w:w="200" w:type="dxa"/>
            <w:vAlign w:val="bottom"/>
          </w:tcPr>
          <w:p>
            <w:pPr>
              <w:spacing w:after="0"/>
              <w:rPr>
                <w:sz w:val="19"/>
                <w:szCs w:val="19"/>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Withheld for settlement of taxes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(197,358)</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7"/>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(483,937)</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5"/>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4,302,842</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shares vested during the years ended December 31, 2025 and 2024, was $4,241 and $3,095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Equity Awards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9" w:name="page130"/>
    <w:bookmarkEnd w:id="129"/>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residual equity interest grants during the years ended December 31, 2025 and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all of the Profit Interests issued vested. As of December 31, 2024, 96% of the Profit Interests issued vested.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forfeitures during the years ended December 31, 2025 and 2024.</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stock-based compensation expense for the above stock awards under the 2022 Plan as well as Parent Equity Awards is included in selling, general and administrative expenses:</w:t>
      </w:r>
    </w:p>
    <w:p>
      <w:pPr>
        <w:spacing w:after="0" w:line="163"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-119380</wp:posOffset>
            </wp:positionV>
            <wp:extent cx="3536950" cy="262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3">
                      <a:extLst>
                        <a:ext uri="{28A0092B-C50C-407E-A947-70E740481C1C}"/>
                      </a:extLst>
                    </a:blip>
                    <a:srcRect/>
                    <a:stretch>
                      <a:fillRect/>
                    </a:stretch>
                  </pic:blipFill>
                  <pic:spPr bwMode="auto">
                    <a:xfrm>
                      <a:off x="0" y="0"/>
                      <a:ext cx="3536950" cy="262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11430</wp:posOffset>
            </wp:positionV>
            <wp:extent cx="21882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4">
                      <a:extLst>
                        <a:ext uri="{28A0092B-C50C-407E-A947-70E740481C1C}"/>
                      </a:extLst>
                    </a:blip>
                    <a:srcRect/>
                    <a:stretch>
                      <a:fillRect/>
                    </a:stretch>
                  </pic:blipFill>
                  <pic:spPr bwMode="auto">
                    <a:xfrm>
                      <a:off x="0" y="0"/>
                      <a:ext cx="2188210" cy="8255"/>
                    </a:xfrm>
                    <a:prstGeom prst="rect">
                      <a:avLst/>
                    </a:prstGeom>
                    <a:noFill/>
                  </pic:spPr>
                </pic:pic>
              </a:graphicData>
            </a:graphic>
          </wp:anchor>
        </w:drawing>
      </w:r>
    </w:p>
    <w:p>
      <w:pPr>
        <w:spacing w:after="0" w:line="16" w:lineRule="exact"/>
        <w:rPr>
          <w:sz w:val="20"/>
          <w:szCs w:val="20"/>
          <w:color w:val="auto"/>
        </w:rPr>
      </w:pPr>
    </w:p>
    <w:tbl>
      <w:tblPr>
        <w:tblLayout w:type="fixed"/>
        <w:tblInd w:w="2840" w:type="dxa"/>
        <w:tblCellMar>
          <w:top w:w="0" w:type="dxa"/>
          <w:left w:w="0" w:type="dxa"/>
          <w:bottom w:w="0" w:type="dxa"/>
          <w:right w:w="0" w:type="dxa"/>
        </w:tblCellMar>
      </w:tblPr>
      <w:tr>
        <w:trPr>
          <w:trHeight w:val="243"/>
        </w:trPr>
        <w:tc>
          <w:tcPr>
            <w:tcW w:w="2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7"/>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Plan</w:t>
            </w:r>
          </w:p>
        </w:tc>
        <w:tc>
          <w:tcPr>
            <w:tcW w:w="114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4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r>
      <w:tr>
        <w:trPr>
          <w:trHeight w:val="227"/>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Parent equity awards</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45"/>
        </w:trPr>
        <w:tc>
          <w:tcPr>
            <w:tcW w:w="2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4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Stock-based compensation expense related to unvested awards yet to be recognized as of December 31, 2025 totaled $10,287 and is expected to be recognized, on a weighted average basis, over 1.79 years.</w:t>
      </w:r>
    </w:p>
    <w:p>
      <w:pPr>
        <w:spacing w:after="0" w:line="119" w:lineRule="exact"/>
        <w:rPr>
          <w:sz w:val="20"/>
          <w:szCs w:val="20"/>
          <w:color w:val="auto"/>
        </w:rPr>
      </w:pPr>
    </w:p>
    <w:p>
      <w:pPr>
        <w:ind w:right="7560" w:firstLine="7"/>
        <w:spacing w:after="0" w:line="459" w:lineRule="auto"/>
        <w:tabs>
          <w:tab w:leader="none" w:pos="26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Letters of Credit</w:t>
      </w:r>
    </w:p>
    <w:p>
      <w:pPr>
        <w:jc w:val="both"/>
        <w:spacing w:after="0" w:line="257" w:lineRule="auto"/>
        <w:rPr>
          <w:sz w:val="20"/>
          <w:szCs w:val="20"/>
          <w:color w:val="auto"/>
        </w:rPr>
      </w:pPr>
      <w:r>
        <w:rPr>
          <w:rFonts w:ascii="Times New Roman" w:cs="Times New Roman" w:eastAsia="Times New Roman" w:hAnsi="Times New Roman"/>
          <w:sz w:val="18"/>
          <w:szCs w:val="18"/>
          <w:color w:val="auto"/>
        </w:rPr>
        <w:t>As of December 31, 2025 and 2024, the Company was required to maintain standby letters of credit totaling $15,504 and $15,120,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Paragon</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September 13, 2024, OPAL Paragon entered into a tax credit purchasing agreement with Apollo Management Holdings, L.P., ("Buyer"), pursuant to which OPAL Paragon sold $11,096 investment tax credits to the buyer for net proceeds of $8,906. If the tax credits are disallowed or recaptured from the Buyer, OPAL Paragon will be required to return the purchase price and pay any taxes, interest or penalties incurred.</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March 28, 2025, OPAL Paragon entered into a tax credit purchase agreement with the Buyer, pursuant to which OPAL Paragon sold $9,801 of investment tax credits to the Buyer for net proceeds of $8,037. If the tax credits are disallowed or recaptured from the Buyer, OPAL Paragon will be required to return the purchase price and pay any taxes, interest or penalties incurred.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above transaction, all of the obligations of OPAL Paragon under such tax credit purchase agreement are guaranteed by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Fuels LLC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20, 2025, OPAL Fuels LLC entered into tax credit purchase agreements with the Buyer and EagleBank, pursuant to which OPAL Fuels LLC sold $16,740 of investment tax credits for net proceeds of $13,686. If the tax credits are disallowed or recaptured from the Buyer, OPAL Fuels LLC will be required to return the purchase price and pay any taxes, interest or penalties incurred.</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September 12, 2025, OPAL Fuels LLC entered into tax credit purchase agreements with the Buyer and Athene Annuity and Life Company, pursuant to which OPAL Fuels LLC sold $17,369 of investment tax credits for net proceeds of $14,567. If the tax credits are disallowed or recaptured from the Buyer, OPAL Fuels LLC will be required to return the purchase price and pay any taxes, interest or penalties incurred.</w:t>
      </w:r>
    </w:p>
    <w:p>
      <w:pPr>
        <w:spacing w:after="0" w:line="1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connection with the above transaction, all of the obligations of OPAL Fuels LLC under such tax credit purchase agreements are guaranteed by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Set forth below is information related to the Company’s material pending legal proceedings as of the date of this report, other than ordinary routine litigation incidental to the business. There have been no material changes to such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 Valley Project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Contractor Claims</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CEI has submitted a series of change order requests seeking to increase the EPC Contract Price by approximately $14,000,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American Arbitration Association ("AAA") Case No. 01-24-0000-0775. The Superior Court Action has been stayed, pending the conclusion of the arbitration. In the meantime, the AAA has empaneled three experienced arbitrators and has set the hearing date for the matter, currently scheduled in May 2026.</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EPC Agreement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notified CEI’s performance bond surety, Atlantic Specialty Insurance Company of the termination and demanded that it perform under the bond. Atlantic has denied the claim.</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Similarly, 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bond. The surety has denied the claim.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CEI has since recorded mechanic’s liens against each of the projects for $4,948 (MD) and $1,984 (VS), and recently filed actions with the Stanislaus and San Joaquin County Superior Courts, respectively, to enforce their liens. It is expected that these claims will be stayed and consolidated with the pending arbitration proceeding.</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AAA proceeding is scheduled for evidentiary hearing from May 4 through May 22, 2026. Based upon the deposition testimony and the expert reports that were exchanged on February 23, 2026, the Company reasonably believes that it will demonstrate that the terminations were justified and for cause. Issues related to damages, i.e., the cost to complete the projects, are evolving and it is premature to offer an opinion on the strength of this component of the case.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Subcontractor Lien Claims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to the above-referenced action and arbitration, several of CEI’s subcontractors have recorded mechanic’s liens against the MD and VS projects for $3,141, which the Company is obligated to defend and indemnify the dairy owners from and against. Several of liens were untimely and have been released voluntarily by the claimants, others were released through the recording of release bonds by Company.</w:t>
      </w:r>
    </w:p>
    <w:p>
      <w:pPr>
        <w:spacing w:after="0" w:line="1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NWP Industries, L.P. ("NWP") and Argo Sales ("Argo") claims have been settled and will be dismissed as to MD and VS when the settlement payments have been fully funded.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Development Partner/construction Manager</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defendants have recently filed an answer and certain cross claims, to which the Company has demurred. Discovery in the case is now underway.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6, 2026, OPAL Fuels LLC entered into a subscription agreement with Preferred Fuels LLC, (“Preferred Fuels”), an affiliate of Fortistar, pursuant to which Preferred Fuels committed to purchase up to $180,000 of Series A preferred units in multiple closings. At the initial closing on March 6, 2026, the investor purchased 1.2 million preferred units for aggregate proceeds of $120,000. OPAL Fuels may, in its sole discretion, require the investor to fund up to an additional $60,000 within one year of the initial closing, subject to the terms of the subscription agreement.</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Series A preferred units are entitled to preferred quarterly distributions at a rate of 12% per annum, compounding quarterly, and rank senior to all other classes of equity interests of OPAL Fuels LLC, except for certain existing preferred units to which they are pari passu. In connection with the initial closing, the Company also issued a warrant to the investor to purchase up to 3.0 million shares of the Company’s Class A common stock, subject to vesting, forfeiture, and other terms and conditions.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fourth quarter of 2025, Nextera provided notice of its right to require redemption of all outstanding Series A preferred units. The redemption period, originally scheduled to expire on March 3, 2026 was extended through March 31, 2026. On March 6, 2026, OPAL Fuels LLC redeemed all such preferred units for an aggregate redemption price of $100,000, funded with proceeds from the initial preferred unit issuance described above.</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subsequent to December 31, 2025, the Company drew approximately $128,400 under its term loan facility pursuant to its existing credit agreement. A portion of the proceeds from the borrowing was used to repay approximately $20,000 outstanding under the revolving loan facility.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Kazi Hasan Employment Proposal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80"/>
        <w:spacing w:after="0"/>
        <w:tabs>
          <w:tab w:leader="none" w:pos="1720" w:val="left"/>
          <w:tab w:leader="none" w:pos="5740" w:val="left"/>
        </w:tabs>
        <w:rPr>
          <w:sz w:val="20"/>
          <w:szCs w:val="20"/>
          <w:color w:val="auto"/>
        </w:rPr>
      </w:pPr>
      <w:r>
        <w:rPr>
          <w:rFonts w:ascii="Times New Roman" w:cs="Times New Roman" w:eastAsia="Times New Roman" w:hAnsi="Times New Roman"/>
          <w:sz w:val="21"/>
          <w:szCs w:val="21"/>
          <w:color w:val="auto"/>
        </w:rPr>
        <w:t>Position:</w:t>
        <w:tab/>
        <w:t>Chief Financial Officer Target Starting Date:</w:t>
      </w:r>
      <w:r>
        <w:rPr>
          <w:sz w:val="20"/>
          <w:szCs w:val="20"/>
          <w:color w:val="auto"/>
        </w:rPr>
        <w:tab/>
      </w:r>
      <w:r>
        <w:rPr>
          <w:rFonts w:ascii="Times New Roman" w:cs="Times New Roman" w:eastAsia="Times New Roman" w:hAnsi="Times New Roman"/>
          <w:sz w:val="20"/>
          <w:szCs w:val="20"/>
          <w:color w:val="auto"/>
        </w:rPr>
        <w:t>February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2025</w:t>
      </w:r>
    </w:p>
    <w:p>
      <w:pPr>
        <w:spacing w:after="0" w:line="212" w:lineRule="exact"/>
        <w:rPr>
          <w:sz w:val="20"/>
          <w:szCs w:val="20"/>
          <w:color w:val="auto"/>
        </w:rPr>
      </w:pPr>
    </w:p>
    <w:p>
      <w:pPr>
        <w:ind w:left="780"/>
        <w:spacing w:after="0"/>
        <w:tabs>
          <w:tab w:leader="none" w:pos="1780" w:val="left"/>
        </w:tabs>
        <w:rPr>
          <w:sz w:val="20"/>
          <w:szCs w:val="20"/>
          <w:color w:val="auto"/>
        </w:rPr>
      </w:pPr>
      <w:r>
        <w:rPr>
          <w:rFonts w:ascii="Times New Roman" w:cs="Times New Roman" w:eastAsia="Times New Roman" w:hAnsi="Times New Roman"/>
          <w:sz w:val="21"/>
          <w:szCs w:val="21"/>
          <w:color w:val="auto"/>
        </w:rPr>
        <w:t>Location:</w:t>
        <w:tab/>
        <w:t>White Plains, NY</w:t>
      </w:r>
    </w:p>
    <w:p>
      <w:pPr>
        <w:spacing w:after="0" w:line="133" w:lineRule="exact"/>
        <w:rPr>
          <w:sz w:val="20"/>
          <w:szCs w:val="20"/>
          <w:color w:val="auto"/>
        </w:rPr>
      </w:pPr>
    </w:p>
    <w:p>
      <w:pPr>
        <w:jc w:val="both"/>
        <w:ind w:left="2140" w:right="220" w:hanging="2127"/>
        <w:spacing w:after="0" w:line="280" w:lineRule="auto"/>
        <w:tabs>
          <w:tab w:leader="none" w:pos="2120" w:val="left"/>
        </w:tabs>
        <w:rPr>
          <w:sz w:val="20"/>
          <w:szCs w:val="20"/>
          <w:color w:val="auto"/>
        </w:rPr>
      </w:pPr>
      <w:r>
        <w:rPr>
          <w:rFonts w:ascii="Times New Roman" w:cs="Times New Roman" w:eastAsia="Times New Roman" w:hAnsi="Times New Roman"/>
          <w:sz w:val="21"/>
          <w:szCs w:val="21"/>
          <w:color w:val="auto"/>
        </w:rPr>
        <w:t>Base Salary:</w:t>
        <w:tab/>
        <w:t>$500,000 annually, paid bi-weekly every other Friday. This position is considered an exempt position for purposes of federal wage-hour law, which means that you will not be eligible for overtime pay.</w:t>
      </w:r>
    </w:p>
    <w:p>
      <w:pPr>
        <w:spacing w:after="0" w:line="200" w:lineRule="exact"/>
        <w:rPr>
          <w:sz w:val="20"/>
          <w:szCs w:val="20"/>
          <w:color w:val="auto"/>
        </w:rPr>
      </w:pPr>
    </w:p>
    <w:p>
      <w:pPr>
        <w:spacing w:after="0" w:line="252" w:lineRule="exact"/>
        <w:rPr>
          <w:sz w:val="20"/>
          <w:szCs w:val="20"/>
          <w:color w:val="auto"/>
        </w:rPr>
      </w:pPr>
    </w:p>
    <w:p>
      <w:pPr>
        <w:ind w:left="780"/>
        <w:spacing w:after="0"/>
        <w:tabs>
          <w:tab w:leader="none" w:pos="2820" w:val="left"/>
        </w:tabs>
        <w:rPr>
          <w:sz w:val="20"/>
          <w:szCs w:val="20"/>
          <w:color w:val="auto"/>
        </w:rPr>
      </w:pPr>
      <w:r>
        <w:rPr>
          <w:rFonts w:ascii="Times New Roman" w:cs="Times New Roman" w:eastAsia="Times New Roman" w:hAnsi="Times New Roman"/>
          <w:sz w:val="21"/>
          <w:szCs w:val="21"/>
          <w:color w:val="auto"/>
        </w:rPr>
        <w:t>Performance Review:</w:t>
      </w:r>
      <w:r>
        <w:rPr>
          <w:sz w:val="20"/>
          <w:szCs w:val="20"/>
          <w:color w:val="auto"/>
        </w:rPr>
        <w:tab/>
      </w:r>
      <w:r>
        <w:rPr>
          <w:rFonts w:ascii="Times New Roman" w:cs="Times New Roman" w:eastAsia="Times New Roman" w:hAnsi="Times New Roman"/>
          <w:sz w:val="20"/>
          <w:szCs w:val="20"/>
          <w:color w:val="auto"/>
        </w:rPr>
        <w:t>March 2026 and annually thereafter.</w:t>
      </w:r>
    </w:p>
    <w:p>
      <w:pPr>
        <w:spacing w:after="0" w:line="249" w:lineRule="exact"/>
        <w:rPr>
          <w:sz w:val="20"/>
          <w:szCs w:val="20"/>
          <w:color w:val="auto"/>
        </w:rPr>
      </w:pPr>
    </w:p>
    <w:p>
      <w:pPr>
        <w:jc w:val="both"/>
        <w:ind w:left="2920" w:right="220" w:hanging="2127"/>
        <w:spacing w:after="0" w:line="259" w:lineRule="auto"/>
        <w:rPr>
          <w:sz w:val="20"/>
          <w:szCs w:val="20"/>
          <w:color w:val="auto"/>
        </w:rPr>
      </w:pPr>
      <w:r>
        <w:rPr>
          <w:rFonts w:ascii="Times New Roman" w:cs="Times New Roman" w:eastAsia="Times New Roman" w:hAnsi="Times New Roman"/>
          <w:sz w:val="21"/>
          <w:szCs w:val="21"/>
          <w:color w:val="auto"/>
        </w:rPr>
        <w:t>Incentive Program: You will be eligible to participate in the OPAL Fuels’ Short-Term Incentive Plan (“</w:t>
      </w:r>
      <w:r>
        <w:rPr>
          <w:rFonts w:ascii="Times New Roman" w:cs="Times New Roman" w:eastAsia="Times New Roman" w:hAnsi="Times New Roman"/>
          <w:sz w:val="21"/>
          <w:szCs w:val="21"/>
          <w:b w:val="1"/>
          <w:bCs w:val="1"/>
          <w:color w:val="auto"/>
        </w:rPr>
        <w:t>STIP</w:t>
      </w:r>
      <w:r>
        <w:rPr>
          <w:rFonts w:ascii="Times New Roman" w:cs="Times New Roman" w:eastAsia="Times New Roman" w:hAnsi="Times New Roman"/>
          <w:sz w:val="21"/>
          <w:szCs w:val="21"/>
          <w:color w:val="auto"/>
        </w:rPr>
        <w:t>”), commensurate with your position level. The STIP governs the terms and conditions for your annual bonus opportunity, based on the achievement of certain individual and OPAL Fuels performance objectives to be approved annually by OPAL Fuels’ Compensation Committee. Your annual STIP target award for any calendar year will be 85% of your base salary (“</w:t>
      </w:r>
      <w:r>
        <w:rPr>
          <w:rFonts w:ascii="Times New Roman" w:cs="Times New Roman" w:eastAsia="Times New Roman" w:hAnsi="Times New Roman"/>
          <w:sz w:val="21"/>
          <w:szCs w:val="21"/>
          <w:b w:val="1"/>
          <w:bCs w:val="1"/>
          <w:color w:val="auto"/>
        </w:rPr>
        <w:t>Target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Bonus</w:t>
      </w:r>
      <w:r>
        <w:rPr>
          <w:rFonts w:ascii="Times New Roman" w:cs="Times New Roman" w:eastAsia="Times New Roman" w:hAnsi="Times New Roman"/>
          <w:sz w:val="21"/>
          <w:szCs w:val="21"/>
          <w:color w:val="auto"/>
        </w:rPr>
        <w:t>”). Based on your hire date you will be eligible to begin participating in the STIP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calendar year 2025. All terms of your award under the STIP (including but not limited to the individual and Company performance objectives, vesting, and payment of such Target Bonus) shall be governed by the STIP and any agreement evidencing your award under the STIP. To be eligible for STIP payout you must be an active employee when the STIP is paid.</w:t>
      </w:r>
    </w:p>
    <w:p>
      <w:pPr>
        <w:spacing w:after="0" w:line="23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1"/>
          <w:szCs w:val="21"/>
          <w:color w:val="auto"/>
        </w:rPr>
        <w:t>You will also be eligible to receive annual equity awards under OPAL Fuels’ long term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as in effect from time to time (“</w:t>
      </w:r>
      <w:r>
        <w:rPr>
          <w:rFonts w:ascii="Times New Roman" w:cs="Times New Roman" w:eastAsia="Times New Roman" w:hAnsi="Times New Roman"/>
          <w:sz w:val="21"/>
          <w:szCs w:val="21"/>
          <w:b w:val="1"/>
          <w:bCs w:val="1"/>
          <w:color w:val="auto"/>
        </w:rPr>
        <w:t>Equity Grants</w:t>
      </w:r>
      <w:r>
        <w:rPr>
          <w:rFonts w:ascii="Times New Roman" w:cs="Times New Roman" w:eastAsia="Times New Roman" w:hAnsi="Times New Roman"/>
          <w:sz w:val="21"/>
          <w:szCs w:val="21"/>
          <w:color w:val="auto"/>
        </w:rPr>
        <w:t>”). The amount, terms and type of Equity Grants that you may receive will be determined by OPAL Fuels Compensation Committee in its sole discretion. Your target</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289" w:lineRule="exact"/>
        <w:rPr>
          <w:sz w:val="20"/>
          <w:szCs w:val="20"/>
          <w:color w:val="auto"/>
        </w:rPr>
      </w:pPr>
    </w:p>
    <w:p>
      <w:pPr>
        <w:jc w:val="both"/>
        <w:ind w:left="2140"/>
        <w:spacing w:after="0" w:line="315" w:lineRule="auto"/>
        <w:rPr>
          <w:sz w:val="20"/>
          <w:szCs w:val="20"/>
          <w:color w:val="auto"/>
        </w:rPr>
      </w:pPr>
      <w:r>
        <w:rPr>
          <w:rFonts w:ascii="Times New Roman" w:cs="Times New Roman" w:eastAsia="Times New Roman" w:hAnsi="Times New Roman"/>
          <w:sz w:val="21"/>
          <w:szCs w:val="21"/>
          <w:color w:val="auto"/>
        </w:rPr>
        <w:t>LTIP award for 2025 that will be issued in March 2025 will be at least 175% of your base salary.</w:t>
      </w:r>
    </w:p>
    <w:p>
      <w:pPr>
        <w:spacing w:after="0" w:line="208" w:lineRule="exact"/>
        <w:rPr>
          <w:sz w:val="20"/>
          <w:szCs w:val="20"/>
          <w:color w:val="auto"/>
        </w:rPr>
      </w:pPr>
    </w:p>
    <w:p>
      <w:pPr>
        <w:jc w:val="both"/>
        <w:ind w:left="2140"/>
        <w:spacing w:after="0" w:line="281" w:lineRule="auto"/>
        <w:rPr>
          <w:sz w:val="20"/>
          <w:szCs w:val="20"/>
          <w:color w:val="auto"/>
        </w:rPr>
      </w:pPr>
      <w:r>
        <w:rPr>
          <w:rFonts w:ascii="Times New Roman" w:cs="Times New Roman" w:eastAsia="Times New Roman" w:hAnsi="Times New Roman"/>
          <w:sz w:val="21"/>
          <w:szCs w:val="21"/>
          <w:color w:val="auto"/>
        </w:rPr>
        <w:t>Notwithstanding the foregoing, as soon as practicable following the commencement of your employment with OPAL Fuels, and subject to approval by the Compensation Committee, OPAL Fuels will grant you an Initial Equity Grant valued at $1,200,000 (the “</w:t>
      </w:r>
      <w:r>
        <w:rPr>
          <w:rFonts w:ascii="Times New Roman" w:cs="Times New Roman" w:eastAsia="Times New Roman" w:hAnsi="Times New Roman"/>
          <w:sz w:val="21"/>
          <w:szCs w:val="21"/>
          <w:b w:val="1"/>
          <w:bCs w:val="1"/>
          <w:color w:val="auto"/>
        </w:rPr>
        <w:t>Initial Equity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Grant</w:t>
      </w:r>
      <w:r>
        <w:rPr>
          <w:rFonts w:ascii="Times New Roman" w:cs="Times New Roman" w:eastAsia="Times New Roman" w:hAnsi="Times New Roman"/>
          <w:sz w:val="21"/>
          <w:szCs w:val="21"/>
          <w:color w:val="auto"/>
        </w:rPr>
        <w:t>”), in the form of (i) restricted stock units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- 50% of the Initial Equity Grant),</w:t>
      </w:r>
    </w:p>
    <w:p>
      <w:pPr>
        <w:spacing w:after="0" w:line="2" w:lineRule="exact"/>
        <w:rPr>
          <w:sz w:val="20"/>
          <w:szCs w:val="20"/>
          <w:color w:val="auto"/>
        </w:rPr>
      </w:pPr>
    </w:p>
    <w:p>
      <w:pPr>
        <w:ind w:left="2140" w:hanging="10"/>
        <w:spacing w:after="0" w:line="317" w:lineRule="auto"/>
        <w:tabs>
          <w:tab w:leader="none" w:pos="247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restricted stock units (“</w:t>
      </w:r>
      <w:r>
        <w:rPr>
          <w:rFonts w:ascii="Times New Roman" w:cs="Times New Roman" w:eastAsia="Times New Roman" w:hAnsi="Times New Roman"/>
          <w:sz w:val="21"/>
          <w:szCs w:val="21"/>
          <w:b w:val="1"/>
          <w:bCs w:val="1"/>
          <w:color w:val="auto"/>
        </w:rPr>
        <w:t>PRSUs</w:t>
      </w:r>
      <w:r>
        <w:rPr>
          <w:rFonts w:ascii="Times New Roman" w:cs="Times New Roman" w:eastAsia="Times New Roman" w:hAnsi="Times New Roman"/>
          <w:sz w:val="21"/>
          <w:szCs w:val="21"/>
          <w:color w:val="auto"/>
        </w:rPr>
        <w:t>” - 30% of the Initial Equity Grant), and (iii) stock options (20% of the Initial Equity Grant).</w:t>
      </w:r>
    </w:p>
    <w:p>
      <w:pPr>
        <w:spacing w:after="0" w:line="206" w:lineRule="exact"/>
        <w:rPr>
          <w:sz w:val="20"/>
          <w:szCs w:val="20"/>
          <w:color w:val="auto"/>
        </w:rPr>
      </w:pPr>
    </w:p>
    <w:p>
      <w:pPr>
        <w:jc w:val="both"/>
        <w:ind w:left="2140"/>
        <w:spacing w:after="0" w:line="283" w:lineRule="auto"/>
        <w:rPr>
          <w:sz w:val="20"/>
          <w:szCs w:val="20"/>
          <w:color w:val="auto"/>
        </w:rPr>
      </w:pPr>
      <w:r>
        <w:rPr>
          <w:rFonts w:ascii="Times New Roman" w:cs="Times New Roman" w:eastAsia="Times New Roman" w:hAnsi="Times New Roman"/>
          <w:sz w:val="21"/>
          <w:szCs w:val="21"/>
          <w:color w:val="auto"/>
        </w:rPr>
        <w:t>The value of each Equity Grant will be converted to restricted units and options, respectively, representing underlying shares of Class A Common Stock based on the Fair Market Value (as such Term is defined in the Plan) of a share of OPAL Fuels Series A Common Stock on the date of grant (as determined by OPAL Fuels, which will be a function of your Start Date). The Initial Equity Grant will be governed by the terms of the Plan and related award agreements. The Initial Equity Grant will vest as follows:</w:t>
      </w:r>
    </w:p>
    <w:p>
      <w:pPr>
        <w:spacing w:after="0" w:line="1" w:lineRule="exact"/>
        <w:rPr>
          <w:sz w:val="20"/>
          <w:szCs w:val="20"/>
          <w:color w:val="auto"/>
        </w:rPr>
      </w:pPr>
    </w:p>
    <w:p>
      <w:pPr>
        <w:ind w:left="2780" w:right="20" w:hanging="329"/>
        <w:spacing w:after="0" w:line="278" w:lineRule="auto"/>
        <w:tabs>
          <w:tab w:leader="none" w:pos="277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RSUs and stock options will vest 50% at the end of April 2026 and 50% at the end of April 2027.</w:t>
      </w:r>
    </w:p>
    <w:p>
      <w:pPr>
        <w:spacing w:after="0" w:line="1" w:lineRule="exact"/>
        <w:rPr>
          <w:rFonts w:ascii="Times New Roman" w:cs="Times New Roman" w:eastAsia="Times New Roman" w:hAnsi="Times New Roman"/>
          <w:sz w:val="21"/>
          <w:szCs w:val="21"/>
          <w:color w:val="auto"/>
        </w:rPr>
      </w:pPr>
    </w:p>
    <w:p>
      <w:pPr>
        <w:ind w:left="2780" w:hanging="329"/>
        <w:spacing w:after="0" w:line="328" w:lineRule="auto"/>
        <w:tabs>
          <w:tab w:leader="none" w:pos="277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PRSUs will be subject to three-year cliff vesting and be based on the performance metrics set by the Board for the 2025 LTIP awards for the management team.</w:t>
      </w:r>
    </w:p>
    <w:p>
      <w:pPr>
        <w:spacing w:after="0" w:line="178" w:lineRule="exact"/>
        <w:rPr>
          <w:sz w:val="20"/>
          <w:szCs w:val="20"/>
          <w:color w:val="auto"/>
        </w:rPr>
      </w:pPr>
    </w:p>
    <w:p>
      <w:pPr>
        <w:jc w:val="both"/>
        <w:ind w:left="1580" w:hanging="2127"/>
        <w:spacing w:after="0" w:line="272" w:lineRule="auto"/>
        <w:tabs>
          <w:tab w:leader="none" w:pos="1560" w:val="left"/>
        </w:tabs>
        <w:rPr>
          <w:sz w:val="20"/>
          <w:szCs w:val="20"/>
          <w:color w:val="auto"/>
        </w:rPr>
      </w:pPr>
      <w:r>
        <w:rPr>
          <w:rFonts w:ascii="Times New Roman" w:cs="Times New Roman" w:eastAsia="Times New Roman" w:hAnsi="Times New Roman"/>
          <w:sz w:val="21"/>
          <w:szCs w:val="21"/>
          <w:color w:val="auto"/>
        </w:rPr>
        <w:t>Sign on Bonus:</w:t>
      </w:r>
      <w:r>
        <w:rPr>
          <w:sz w:val="20"/>
          <w:szCs w:val="20"/>
          <w:color w:val="auto"/>
        </w:rPr>
        <w:tab/>
      </w:r>
      <w:r>
        <w:rPr>
          <w:rFonts w:ascii="Times New Roman" w:cs="Times New Roman" w:eastAsia="Times New Roman" w:hAnsi="Times New Roman"/>
          <w:sz w:val="21"/>
          <w:szCs w:val="21"/>
          <w:b w:val="1"/>
          <w:bCs w:val="1"/>
          <w:color w:val="auto"/>
        </w:rPr>
        <w:t xml:space="preserve">You will be paid a sign-on bonus of </w:t>
      </w:r>
      <w:r>
        <w:rPr>
          <w:rFonts w:ascii="Times New Roman" w:cs="Times New Roman" w:eastAsia="Times New Roman" w:hAnsi="Times New Roman"/>
          <w:sz w:val="21"/>
          <w:szCs w:val="21"/>
          <w:color w:val="auto"/>
        </w:rPr>
        <w:t>$150,000 payable the end of March 2025. The sign-on bonus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 shall be subject to a claw back if you leave employment with Opal before the end of March 2026.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8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Relocation/Temporary Housing:</w:t>
            </w:r>
          </w:p>
        </w:tc>
        <w:tc>
          <w:tcPr>
            <w:tcW w:w="7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Up to $100,000 for relocation costs grossed up for taxes of 37%, payable during</w:t>
            </w:r>
          </w:p>
        </w:tc>
        <w:tc>
          <w:tcPr>
            <w:tcW w:w="0" w:type="dxa"/>
            <w:vAlign w:val="bottom"/>
          </w:tcPr>
          <w:p>
            <w:pPr>
              <w:spacing w:after="0"/>
              <w:rPr>
                <w:sz w:val="1"/>
                <w:szCs w:val="1"/>
                <w:color w:val="auto"/>
              </w:rPr>
            </w:pPr>
          </w:p>
        </w:tc>
      </w:tr>
      <w:tr>
        <w:trPr>
          <w:trHeight w:val="91"/>
        </w:trPr>
        <w:tc>
          <w:tcPr>
            <w:tcW w:w="2880" w:type="dxa"/>
            <w:vAlign w:val="bottom"/>
            <w:vMerge w:val="continue"/>
          </w:tcPr>
          <w:p>
            <w:pPr>
              <w:spacing w:after="0"/>
              <w:rPr>
                <w:sz w:val="7"/>
                <w:szCs w:val="7"/>
                <w:color w:val="auto"/>
              </w:rPr>
            </w:pPr>
          </w:p>
        </w:tc>
        <w:tc>
          <w:tcPr>
            <w:tcW w:w="7300" w:type="dxa"/>
            <w:vAlign w:val="bottom"/>
            <w:vMerge w:val="restart"/>
          </w:tcPr>
          <w:p>
            <w:pPr>
              <w:ind w:left="160"/>
              <w:spacing w:after="0"/>
              <w:rPr>
                <w:sz w:val="20"/>
                <w:szCs w:val="20"/>
                <w:color w:val="auto"/>
              </w:rPr>
            </w:pPr>
            <w:r>
              <w:rPr>
                <w:rFonts w:ascii="Times New Roman" w:cs="Times New Roman" w:eastAsia="Times New Roman" w:hAnsi="Times New Roman"/>
                <w:sz w:val="21"/>
                <w:szCs w:val="21"/>
                <w:color w:val="auto"/>
              </w:rPr>
              <w:t>2025 for reimbursement of documented moving expenses and housing costs</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7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880" w:type="dxa"/>
            <w:vAlign w:val="bottom"/>
          </w:tcPr>
          <w:p>
            <w:pPr>
              <w:spacing w:after="0"/>
              <w:rPr>
                <w:sz w:val="24"/>
                <w:szCs w:val="24"/>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(incurred within a 100-mile radius of White Plains, NY).</w:t>
            </w:r>
          </w:p>
        </w:tc>
        <w:tc>
          <w:tcPr>
            <w:tcW w:w="0" w:type="dxa"/>
            <w:vAlign w:val="bottom"/>
          </w:tcPr>
          <w:p>
            <w:pPr>
              <w:spacing w:after="0"/>
              <w:rPr>
                <w:sz w:val="1"/>
                <w:szCs w:val="1"/>
                <w:color w:val="auto"/>
              </w:rPr>
            </w:pPr>
          </w:p>
        </w:tc>
      </w:tr>
    </w:tbl>
    <w:p>
      <w:pPr>
        <w:sectPr>
          <w:pgSz w:w="11900" w:h="16838" w:orient="portrait"/>
          <w:cols w:equalWidth="0" w:num="1">
            <w:col w:w="10240"/>
          </w:cols>
          <w:pgMar w:left="1100" w:top="1440" w:right="559" w:bottom="1440" w:gutter="0" w:footer="0" w:header="0"/>
        </w:sectPr>
      </w:pPr>
    </w:p>
    <w:bookmarkStart w:id="134" w:name="page135"/>
    <w:bookmarkEnd w:id="134"/>
    <w:p>
      <w:pPr>
        <w:spacing w:after="0" w:line="155" w:lineRule="exact"/>
        <w:rPr>
          <w:sz w:val="20"/>
          <w:szCs w:val="20"/>
          <w:color w:val="auto"/>
        </w:rPr>
      </w:pPr>
    </w:p>
    <w:p>
      <w:pPr>
        <w:ind w:left="1780"/>
        <w:spacing w:after="0" w:line="302" w:lineRule="auto"/>
        <w:rPr>
          <w:sz w:val="20"/>
          <w:szCs w:val="20"/>
          <w:color w:val="auto"/>
        </w:rPr>
      </w:pPr>
      <w:r>
        <w:rPr>
          <w:rFonts w:ascii="Times New Roman" w:cs="Times New Roman" w:eastAsia="Times New Roman" w:hAnsi="Times New Roman"/>
          <w:sz w:val="21"/>
          <w:szCs w:val="21"/>
          <w:color w:val="auto"/>
        </w:rPr>
        <w:t>Severance: If your employment is terminated without cause, you shall receive a severance payment equal to 26 weeks of base salary</w:t>
      </w:r>
    </w:p>
    <w:p>
      <w:pPr>
        <w:sectPr>
          <w:pgSz w:w="11900" w:h="16838" w:orient="portrait"/>
          <w:cols w:equalWidth="0" w:num="1">
            <w:col w:w="9600"/>
          </w:cols>
          <w:pgMar w:left="1440" w:top="1440" w:right="859" w:bottom="1440" w:gutter="0" w:footer="0" w:header="0"/>
        </w:sectPr>
      </w:pPr>
    </w:p>
    <w:bookmarkStart w:id="135" w:name="page136"/>
    <w:bookmarkEnd w:id="135"/>
    <w:p>
      <w:pPr>
        <w:spacing w:after="0" w:line="200" w:lineRule="exact"/>
        <w:rPr>
          <w:sz w:val="20"/>
          <w:szCs w:val="20"/>
          <w:color w:val="auto"/>
        </w:rPr>
      </w:pPr>
    </w:p>
    <w:p>
      <w:pPr>
        <w:spacing w:after="0" w:line="276" w:lineRule="exact"/>
        <w:rPr>
          <w:sz w:val="20"/>
          <w:szCs w:val="20"/>
          <w:color w:val="auto"/>
        </w:rPr>
      </w:pPr>
    </w:p>
    <w:p>
      <w:pPr>
        <w:jc w:val="both"/>
        <w:ind w:left="2920" w:right="220"/>
        <w:spacing w:after="0" w:line="288" w:lineRule="auto"/>
        <w:rPr>
          <w:sz w:val="20"/>
          <w:szCs w:val="20"/>
          <w:color w:val="auto"/>
        </w:rPr>
      </w:pPr>
      <w:r>
        <w:rPr>
          <w:rFonts w:ascii="Times New Roman" w:cs="Times New Roman" w:eastAsia="Times New Roman" w:hAnsi="Times New Roman"/>
          <w:sz w:val="21"/>
          <w:szCs w:val="21"/>
          <w:color w:val="auto"/>
        </w:rPr>
        <w:t>plus 26 weeks of COBRA expense upon execution of a separation agreement that will provide for a six-month non-solicitation, mutual non-disparagement and confidentiality agreement.</w:t>
      </w:r>
    </w:p>
    <w:p>
      <w:pPr>
        <w:spacing w:after="0" w:line="169" w:lineRule="exact"/>
        <w:rPr>
          <w:sz w:val="20"/>
          <w:szCs w:val="20"/>
          <w:color w:val="auto"/>
        </w:rPr>
      </w:pPr>
    </w:p>
    <w:p>
      <w:pPr>
        <w:jc w:val="both"/>
        <w:ind w:left="2920" w:right="220"/>
        <w:spacing w:after="0" w:line="268" w:lineRule="auto"/>
        <w:rPr>
          <w:sz w:val="20"/>
          <w:szCs w:val="20"/>
          <w:color w:val="auto"/>
        </w:rPr>
      </w:pPr>
      <w:r>
        <w:rPr>
          <w:rFonts w:ascii="Times New Roman" w:cs="Times New Roman" w:eastAsia="Times New Roman" w:hAnsi="Times New Roman"/>
          <w:sz w:val="21"/>
          <w:szCs w:val="21"/>
          <w:color w:val="auto"/>
        </w:rPr>
        <w:t>In the event of your employment is terminated as part of a change of control transaction or within 12 months thereafter, you shall receive a severance payment equal to 52 weeks of base salary plus 52 weeks of COBRA expense plus your full target STIP payment for the year when termination occurs.</w:t>
      </w:r>
    </w:p>
    <w:p>
      <w:pPr>
        <w:spacing w:after="0" w:line="204" w:lineRule="exact"/>
        <w:rPr>
          <w:sz w:val="20"/>
          <w:szCs w:val="20"/>
          <w:color w:val="auto"/>
        </w:rPr>
      </w:pPr>
    </w:p>
    <w:p>
      <w:pPr>
        <w:jc w:val="both"/>
        <w:ind w:left="1560" w:right="240" w:hanging="2127"/>
        <w:spacing w:after="0" w:line="270" w:lineRule="auto"/>
        <w:tabs>
          <w:tab w:leader="none" w:pos="1540" w:val="left"/>
        </w:tabs>
        <w:rPr>
          <w:sz w:val="20"/>
          <w:szCs w:val="20"/>
          <w:color w:val="auto"/>
        </w:rPr>
      </w:pPr>
      <w:r>
        <w:rPr>
          <w:rFonts w:ascii="Times New Roman" w:cs="Times New Roman" w:eastAsia="Times New Roman" w:hAnsi="Times New Roman"/>
          <w:sz w:val="21"/>
          <w:szCs w:val="21"/>
          <w:color w:val="auto"/>
        </w:rPr>
        <w:t>PTO:</w:t>
        <w:tab/>
        <w:t>As a full-time employee you are eligible to accrue 16.66 hours of PTO the first of every month up to a maximum of 200 hours (25 Days) of PTO annually. You are eligible to begin utilizing your accrued PTO after three (3) full months of service.</w:t>
      </w:r>
    </w:p>
    <w:p>
      <w:pPr>
        <w:spacing w:after="0" w:line="200" w:lineRule="exact"/>
        <w:rPr>
          <w:sz w:val="20"/>
          <w:szCs w:val="20"/>
          <w:color w:val="auto"/>
        </w:rPr>
      </w:pPr>
    </w:p>
    <w:p>
      <w:pPr>
        <w:spacing w:after="0" w:line="241" w:lineRule="exact"/>
        <w:rPr>
          <w:sz w:val="20"/>
          <w:szCs w:val="20"/>
          <w:color w:val="auto"/>
        </w:rPr>
      </w:pPr>
    </w:p>
    <w:p>
      <w:pPr>
        <w:jc w:val="both"/>
        <w:ind w:left="1820" w:right="220" w:hanging="2127"/>
        <w:spacing w:after="0" w:line="261" w:lineRule="auto"/>
        <w:tabs>
          <w:tab w:leader="none" w:pos="1800" w:val="left"/>
        </w:tabs>
        <w:rPr>
          <w:sz w:val="20"/>
          <w:szCs w:val="20"/>
          <w:color w:val="auto"/>
        </w:rPr>
      </w:pPr>
      <w:r>
        <w:rPr>
          <w:rFonts w:ascii="Times New Roman" w:cs="Times New Roman" w:eastAsia="Times New Roman" w:hAnsi="Times New Roman"/>
          <w:sz w:val="21"/>
          <w:szCs w:val="21"/>
          <w:color w:val="auto"/>
        </w:rPr>
        <w:t>Benefits:</w:t>
        <w:tab/>
        <w:t>OPAL Fuels provides various benefit programs for its employees including medical, dental, vision, short term disability and life insurance. Eligibility is the first day of the month following 60 days of hire date for most benefits. Also, OPAL Fuels administers a 401(k)-employee savings plan through Fidelity which you are eligible for after you have completed 3 months of employment. See attached summary description of benefits. OPAL will reimburse the cost of medical insurance COBRA during the period from the Starting Date to the start of your eligibility for participation in OPAL’s benefit programs.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520" w:right="140" w:hanging="2190"/>
        <w:spacing w:after="0" w:line="280" w:lineRule="auto"/>
        <w:tabs>
          <w:tab w:leader="none" w:pos="1500" w:val="left"/>
        </w:tabs>
        <w:rPr>
          <w:sz w:val="20"/>
          <w:szCs w:val="20"/>
          <w:color w:val="auto"/>
        </w:rPr>
      </w:pPr>
      <w:r>
        <w:rPr>
          <w:rFonts w:ascii="Times New Roman" w:cs="Times New Roman" w:eastAsia="Times New Roman" w:hAnsi="Times New Roman"/>
          <w:sz w:val="21"/>
          <w:szCs w:val="21"/>
          <w:color w:val="auto"/>
        </w:rPr>
        <w:t>Other:</w:t>
        <w:tab/>
        <w:t>Appointment to the Chief Financial Officer can only be made by OPAL’s Board of Directors. The compensation package outlined herein is subject to approval by the Compensation Committee of OPAL’s Board.</w:t>
      </w:r>
    </w:p>
    <w:p>
      <w:pPr>
        <w:spacing w:after="0" w:line="200" w:lineRule="exact"/>
        <w:rPr>
          <w:sz w:val="20"/>
          <w:szCs w:val="20"/>
          <w:color w:val="auto"/>
        </w:rPr>
      </w:pPr>
    </w:p>
    <w:p>
      <w:pPr>
        <w:spacing w:after="0" w:line="2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Our offer to hire you is contingent upon your submission of satisfactory proof of your identity and legal authorization to work in the United States. If you fail to submit valid proof within three (3) days of hire, federal law prohibits us from continuing your employment. A list of acceptable documents is located on page 9 of the I-9 form. Our offer to hire you is also contingent on satisfactory completion of background and personal reference checks.</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276" w:lineRule="exact"/>
        <w:rPr>
          <w:sz w:val="20"/>
          <w:szCs w:val="20"/>
          <w:color w:val="auto"/>
        </w:rPr>
      </w:pPr>
    </w:p>
    <w:p>
      <w:pPr>
        <w:jc w:val="both"/>
        <w:ind w:left="1860"/>
        <w:spacing w:after="0" w:line="264" w:lineRule="auto"/>
        <w:rPr>
          <w:sz w:val="20"/>
          <w:szCs w:val="20"/>
          <w:color w:val="auto"/>
        </w:rPr>
      </w:pPr>
      <w:r>
        <w:rPr>
          <w:rFonts w:ascii="Times New Roman" w:cs="Times New Roman" w:eastAsia="Times New Roman" w:hAnsi="Times New Roman"/>
          <w:sz w:val="21"/>
          <w:szCs w:val="21"/>
          <w:color w:val="auto"/>
        </w:rPr>
        <w:t>Like all employees, you will be required as a condition to your employment to sign a Confidentiality Agreement. For all purposes of this Letter Agreement, the covenants contained in the Confidentiality Agreement are incorporated herein by reference as of such covenants were set forth herein full.</w:t>
      </w:r>
    </w:p>
    <w:p>
      <w:pPr>
        <w:spacing w:after="0" w:line="203" w:lineRule="exact"/>
        <w:rPr>
          <w:sz w:val="20"/>
          <w:szCs w:val="20"/>
          <w:color w:val="auto"/>
        </w:rPr>
      </w:pPr>
    </w:p>
    <w:p>
      <w:pPr>
        <w:jc w:val="both"/>
        <w:ind w:left="1860"/>
        <w:spacing w:after="0" w:line="272" w:lineRule="auto"/>
        <w:rPr>
          <w:sz w:val="20"/>
          <w:szCs w:val="20"/>
          <w:color w:val="auto"/>
        </w:rPr>
      </w:pPr>
      <w:r>
        <w:rPr>
          <w:rFonts w:ascii="Times New Roman" w:cs="Times New Roman" w:eastAsia="Times New Roman" w:hAnsi="Times New Roman"/>
          <w:sz w:val="21"/>
          <w:szCs w:val="21"/>
          <w:b w:val="1"/>
          <w:bCs w:val="1"/>
          <w:color w:val="auto"/>
        </w:rPr>
        <w:t>Please be advised that your employment with OPAL Fuels is considered “at will”, meaning that either OPAL Fuels or you may terminate this employment relationship at any time with or without cause or notice.</w:t>
      </w:r>
    </w:p>
    <w:p>
      <w:pPr>
        <w:spacing w:after="0" w:line="198" w:lineRule="exact"/>
        <w:rPr>
          <w:sz w:val="20"/>
          <w:szCs w:val="20"/>
          <w:color w:val="auto"/>
        </w:rPr>
      </w:pPr>
    </w:p>
    <w:p>
      <w:pPr>
        <w:jc w:val="both"/>
        <w:ind w:left="1860"/>
        <w:spacing w:after="0" w:line="288" w:lineRule="auto"/>
        <w:rPr>
          <w:sz w:val="20"/>
          <w:szCs w:val="20"/>
          <w:color w:val="auto"/>
        </w:rPr>
      </w:pPr>
      <w:r>
        <w:rPr>
          <w:rFonts w:ascii="Times New Roman" w:cs="Times New Roman" w:eastAsia="Times New Roman" w:hAnsi="Times New Roman"/>
          <w:sz w:val="21"/>
          <w:szCs w:val="21"/>
          <w:color w:val="auto"/>
        </w:rPr>
        <w:t>I hereby affirm that I have read and understand the terms of this Proposal, and I accept OPAL Fuels’ offer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Kazi Hasan</w:t>
      </w:r>
    </w:p>
    <w:p>
      <w:pPr>
        <w:spacing w:after="0" w:line="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/s/ Kazi Hasan</w:t>
      </w:r>
    </w:p>
    <w:p>
      <w:pPr>
        <w:ind w:left="5560"/>
        <w:spacing w:after="0"/>
        <w:rPr>
          <w:sz w:val="20"/>
          <w:szCs w:val="20"/>
          <w:color w:val="auto"/>
        </w:rPr>
      </w:pPr>
      <w:r>
        <w:rPr>
          <w:rFonts w:ascii="Times New Roman" w:cs="Times New Roman" w:eastAsia="Times New Roman" w:hAnsi="Times New Roman"/>
          <w:sz w:val="21"/>
          <w:szCs w:val="2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Opal Fuels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140" w:type="dxa"/>
            <w:vAlign w:val="bottom"/>
          </w:tcPr>
          <w:p>
            <w:pPr>
              <w:spacing w:after="0"/>
              <w:rPr>
                <w:sz w:val="22"/>
                <w:szCs w:val="22"/>
                <w:color w:val="auto"/>
              </w:rPr>
            </w:pPr>
          </w:p>
        </w:tc>
        <w:tc>
          <w:tcPr>
            <w:tcW w:w="6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21"/>
                <w:szCs w:val="21"/>
                <w:color w:val="auto"/>
              </w:rPr>
              <w:t>Jonathan Maurer</w:t>
            </w:r>
          </w:p>
        </w:tc>
        <w:tc>
          <w:tcPr>
            <w:tcW w:w="0" w:type="dxa"/>
            <w:vAlign w:val="bottom"/>
          </w:tcPr>
          <w:p>
            <w:pPr>
              <w:spacing w:after="0"/>
              <w:rPr>
                <w:sz w:val="1"/>
                <w:szCs w:val="1"/>
                <w:color w:val="auto"/>
              </w:rPr>
            </w:pPr>
          </w:p>
        </w:tc>
      </w:tr>
      <w:tr>
        <w:trPr>
          <w:trHeight w:val="278"/>
        </w:trPr>
        <w:tc>
          <w:tcPr>
            <w:tcW w:w="11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By:</w:t>
            </w:r>
          </w:p>
        </w:tc>
        <w:tc>
          <w:tcPr>
            <w:tcW w:w="6100" w:type="dxa"/>
            <w:vAlign w:val="bottom"/>
          </w:tcPr>
          <w:p>
            <w:pPr>
              <w:ind w:left="4440"/>
              <w:spacing w:after="0"/>
              <w:rPr>
                <w:sz w:val="20"/>
                <w:szCs w:val="20"/>
                <w:color w:val="auto"/>
              </w:rPr>
            </w:pPr>
            <w:r>
              <w:rPr>
                <w:rFonts w:ascii="Times New Roman" w:cs="Times New Roman" w:eastAsia="Times New Roman" w:hAnsi="Times New Roman"/>
                <w:sz w:val="21"/>
                <w:szCs w:val="21"/>
                <w:color w:val="auto"/>
                <w:w w:val="99"/>
              </w:rPr>
              <w:t>December 31, 2024</w:t>
            </w:r>
          </w:p>
        </w:tc>
        <w:tc>
          <w:tcPr>
            <w:tcW w:w="0" w:type="dxa"/>
            <w:vAlign w:val="bottom"/>
          </w:tcPr>
          <w:p>
            <w:pPr>
              <w:spacing w:after="0"/>
              <w:rPr>
                <w:sz w:val="1"/>
                <w:szCs w:val="1"/>
                <w:color w:val="auto"/>
              </w:rPr>
            </w:pPr>
          </w:p>
        </w:tc>
      </w:tr>
      <w:tr>
        <w:trPr>
          <w:trHeight w:val="107"/>
        </w:trPr>
        <w:tc>
          <w:tcPr>
            <w:tcW w:w="1140" w:type="dxa"/>
            <w:vAlign w:val="bottom"/>
            <w:vMerge w:val="continue"/>
          </w:tcPr>
          <w:p>
            <w:pPr>
              <w:spacing w:after="0"/>
              <w:rPr>
                <w:sz w:val="9"/>
                <w:szCs w:val="9"/>
                <w:color w:val="auto"/>
              </w:rPr>
            </w:pPr>
          </w:p>
        </w:tc>
        <w:tc>
          <w:tcPr>
            <w:tcW w:w="6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Jonathan Maurer</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Co-Chief Executive Officer</w:t>
      </w:r>
    </w:p>
    <w:p>
      <w:pPr>
        <w:sectPr>
          <w:pgSz w:w="11900" w:h="16838" w:orient="portrait"/>
          <w:cols w:equalWidth="0" w:num="1">
            <w:col w:w="9980"/>
          </w:cols>
          <w:pgMar w:left="1440" w:top="1440" w:right="47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120" w:right="1160"/>
        <w:spacing w:after="0" w:line="274" w:lineRule="auto"/>
        <w:rPr>
          <w:sz w:val="20"/>
          <w:szCs w:val="20"/>
          <w:color w:val="auto"/>
        </w:rPr>
      </w:pPr>
      <w:r>
        <w:rPr>
          <w:rFonts w:ascii="Times New Roman" w:cs="Times New Roman" w:eastAsia="Times New Roman" w:hAnsi="Times New Roman"/>
          <w:sz w:val="20"/>
          <w:szCs w:val="20"/>
          <w:b w:val="1"/>
          <w:bCs w:val="1"/>
          <w:color w:val="auto"/>
        </w:rPr>
        <w:t>PORTIONS OF INFORMATION CONTAINED IN THIS AGREEMENT HAVE BEEN EXCLUDED FROM THIS AGREEMENT BECAUSE THEY ARE BOTH NOT MATERIAL AND THE TYPE THAT THE REGISTRANT TREATS AS PRIVATE OR CONFIDENTIAL. EXCLUDED INFORMATION IS MARKED AS [***] BELOW</w:t>
      </w:r>
    </w:p>
    <w:p>
      <w:pPr>
        <w:spacing w:after="0" w:line="200" w:lineRule="exact"/>
        <w:rPr>
          <w:sz w:val="20"/>
          <w:szCs w:val="20"/>
          <w:color w:val="auto"/>
        </w:rPr>
      </w:pPr>
    </w:p>
    <w:p>
      <w:pPr>
        <w:spacing w:after="0" w:line="37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TAX CREDIT PURCHASE AGREEMENT</w:t>
      </w:r>
    </w:p>
    <w:p>
      <w:pPr>
        <w:spacing w:after="0" w:line="21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by and between</w:t>
      </w:r>
    </w:p>
    <w:p>
      <w:pPr>
        <w:spacing w:after="0" w:line="19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2024 TTC AGGREGATOR, L.P.</w:t>
      </w:r>
    </w:p>
    <w:p>
      <w:pPr>
        <w:spacing w:after="0" w:line="21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and</w:t>
      </w:r>
    </w:p>
    <w:p>
      <w:pPr>
        <w:spacing w:after="0" w:line="20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OPAL FUELS LLC</w:t>
      </w:r>
    </w:p>
    <w:p>
      <w:pPr>
        <w:spacing w:after="0" w:line="21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Dated as of June 20, 2025</w:t>
      </w:r>
    </w:p>
    <w:p>
      <w:pPr>
        <w:sectPr>
          <w:pgSz w:w="11900" w:h="16838" w:orient="portrait"/>
          <w:cols w:equalWidth="0" w:num="1">
            <w:col w:w="10060"/>
          </w:cols>
          <w:pgMar w:left="1440" w:top="1014" w:right="399" w:bottom="1440" w:gutter="0" w:footer="0" w:header="0"/>
        </w:sectPr>
      </w:pPr>
    </w:p>
    <w:bookmarkStart w:id="138" w:name="page139"/>
    <w:bookmarkEnd w:id="138"/>
    <w:p>
      <w:pPr>
        <w:ind w:left="160"/>
        <w:spacing w:after="0"/>
        <w:rPr>
          <w:sz w:val="20"/>
          <w:szCs w:val="20"/>
          <w:color w:val="auto"/>
        </w:rPr>
      </w:pPr>
      <w:r>
        <w:rPr>
          <w:rFonts w:ascii="Times New Roman" w:cs="Times New Roman" w:eastAsia="Times New Roman" w:hAnsi="Times New Roman"/>
          <w:sz w:val="18"/>
          <w:szCs w:val="18"/>
          <w:color w:val="auto"/>
        </w:rPr>
        <w:t>-1-</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412"/>
        </w:trPr>
        <w:tc>
          <w:tcPr>
            <w:tcW w:w="8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  DEFINED TERMS; TERMS GENERALLY.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1</w:t>
            </w:r>
          </w:p>
        </w:tc>
      </w:tr>
      <w:tr>
        <w:trPr>
          <w:trHeight w:val="361"/>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Defined Terms .......................................................................................................</w:t>
            </w:r>
          </w:p>
        </w:tc>
        <w:tc>
          <w:tcPr>
            <w:tcW w:w="306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rPr>
              <w:t>1</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Terms Generally.....................................................................................................</w:t>
            </w:r>
          </w:p>
        </w:tc>
        <w:tc>
          <w:tcPr>
            <w:tcW w:w="3060" w:type="dxa"/>
            <w:vAlign w:val="bottom"/>
          </w:tcPr>
          <w:p>
            <w:pPr>
              <w:jc w:val="right"/>
              <w:ind w:right="2733"/>
              <w:spacing w:after="0"/>
              <w:rPr>
                <w:sz w:val="20"/>
                <w:szCs w:val="20"/>
                <w:color w:val="auto"/>
              </w:rPr>
            </w:pPr>
            <w:r>
              <w:rPr>
                <w:rFonts w:ascii="Times New Roman" w:cs="Times New Roman" w:eastAsia="Times New Roman" w:hAnsi="Times New Roman"/>
                <w:sz w:val="21"/>
                <w:szCs w:val="21"/>
                <w:color w:val="auto"/>
              </w:rPr>
              <w:t>8</w:t>
            </w:r>
          </w:p>
        </w:tc>
      </w:tr>
      <w:tr>
        <w:trPr>
          <w:trHeight w:val="361"/>
        </w:trPr>
        <w:tc>
          <w:tcPr>
            <w:tcW w:w="8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2  PURCHASE AND SALE OF TAX CREDITS.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8</w:t>
            </w:r>
          </w:p>
        </w:tc>
      </w:tr>
      <w:tr>
        <w:trPr>
          <w:trHeight w:val="37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3</w:t>
            </w: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auto"/>
                <w:w w:val="99"/>
              </w:rPr>
              <w:t>CONDITIONS PRECEDENT.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9</w:t>
            </w:r>
          </w:p>
        </w:tc>
      </w:tr>
      <w:tr>
        <w:trPr>
          <w:trHeight w:val="361"/>
        </w:trPr>
        <w:tc>
          <w:tcPr>
            <w:tcW w:w="8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  REPRESENTATIONS AND WARRANTIES....................................................</w:t>
            </w:r>
          </w:p>
        </w:tc>
        <w:tc>
          <w:tcPr>
            <w:tcW w:w="3060" w:type="dxa"/>
            <w:vAlign w:val="bottom"/>
          </w:tcPr>
          <w:p>
            <w:pPr>
              <w:jc w:val="right"/>
              <w:ind w:right="2753"/>
              <w:spacing w:after="0"/>
              <w:rPr>
                <w:sz w:val="20"/>
                <w:szCs w:val="20"/>
                <w:color w:val="auto"/>
              </w:rPr>
            </w:pPr>
            <w:r>
              <w:rPr>
                <w:rFonts w:ascii="Times New Roman" w:cs="Times New Roman" w:eastAsia="Times New Roman" w:hAnsi="Times New Roman"/>
                <w:sz w:val="21"/>
                <w:szCs w:val="21"/>
                <w:color w:val="auto"/>
                <w:w w:val="85"/>
              </w:rPr>
              <w:t>10</w:t>
            </w:r>
          </w:p>
        </w:tc>
      </w:tr>
      <w:tr>
        <w:trPr>
          <w:trHeight w:val="374"/>
        </w:trPr>
        <w:tc>
          <w:tcPr>
            <w:tcW w:w="80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(a)Mutual Representations and Warranties of the Parties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10</w:t>
            </w:r>
          </w:p>
        </w:tc>
      </w:tr>
      <w:tr>
        <w:trPr>
          <w:trHeight w:val="361"/>
        </w:trPr>
        <w:tc>
          <w:tcPr>
            <w:tcW w:w="80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(b)    Representations and Warranties of the Buyer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11</w:t>
            </w:r>
          </w:p>
        </w:tc>
      </w:tr>
      <w:tr>
        <w:trPr>
          <w:trHeight w:val="374"/>
        </w:trPr>
        <w:tc>
          <w:tcPr>
            <w:tcW w:w="80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(c)Representations and Warranties of the Seller ......................................................</w:t>
            </w:r>
          </w:p>
        </w:tc>
        <w:tc>
          <w:tcPr>
            <w:tcW w:w="306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rPr>
              <w:t>11</w:t>
            </w:r>
          </w:p>
        </w:tc>
      </w:tr>
      <w:tr>
        <w:trPr>
          <w:trHeight w:val="361"/>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5</w:t>
            </w: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COVENANTS.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12</w:t>
            </w:r>
          </w:p>
        </w:tc>
      </w:tr>
      <w:tr>
        <w:trPr>
          <w:trHeight w:val="374"/>
        </w:trPr>
        <w:tc>
          <w:tcPr>
            <w:tcW w:w="80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(a)Covenants of the Buyer.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12</w:t>
            </w:r>
          </w:p>
        </w:tc>
      </w:tr>
      <w:tr>
        <w:trPr>
          <w:trHeight w:val="361"/>
        </w:trPr>
        <w:tc>
          <w:tcPr>
            <w:tcW w:w="80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(b)    Covenants of the Seller.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12</w:t>
            </w:r>
          </w:p>
        </w:tc>
      </w:tr>
      <w:tr>
        <w:trPr>
          <w:trHeight w:val="361"/>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Transfer Election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16</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Further Assurances...............................................................................................</w:t>
            </w:r>
          </w:p>
        </w:tc>
        <w:tc>
          <w:tcPr>
            <w:tcW w:w="306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rPr>
              <w:t>16</w:t>
            </w:r>
          </w:p>
        </w:tc>
      </w:tr>
      <w:tr>
        <w:trPr>
          <w:trHeight w:val="361"/>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6</w:t>
            </w: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SELLER INDEMNIFICATION.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17</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Seller Indemnification ..........................................................................................</w:t>
            </w:r>
          </w:p>
        </w:tc>
        <w:tc>
          <w:tcPr>
            <w:tcW w:w="3060" w:type="dxa"/>
            <w:vAlign w:val="bottom"/>
          </w:tcPr>
          <w:p>
            <w:pPr>
              <w:jc w:val="right"/>
              <w:ind w:right="2653"/>
              <w:spacing w:after="0"/>
              <w:rPr>
                <w:sz w:val="20"/>
                <w:szCs w:val="20"/>
                <w:color w:val="auto"/>
              </w:rPr>
            </w:pPr>
            <w:r>
              <w:rPr>
                <w:rFonts w:ascii="Times New Roman" w:cs="Times New Roman" w:eastAsia="Times New Roman" w:hAnsi="Times New Roman"/>
                <w:sz w:val="21"/>
                <w:szCs w:val="21"/>
                <w:color w:val="auto"/>
              </w:rPr>
              <w:t>17</w:t>
            </w:r>
          </w:p>
        </w:tc>
      </w:tr>
      <w:tr>
        <w:trPr>
          <w:trHeight w:val="361"/>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Limitations on Liability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17</w:t>
            </w:r>
          </w:p>
        </w:tc>
      </w:tr>
      <w:tr>
        <w:trPr>
          <w:trHeight w:val="361"/>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After-Tax Basis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18</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Tax Contests.........................................................................................................</w:t>
            </w:r>
          </w:p>
        </w:tc>
        <w:tc>
          <w:tcPr>
            <w:tcW w:w="3060" w:type="dxa"/>
            <w:vAlign w:val="bottom"/>
          </w:tcPr>
          <w:p>
            <w:pPr>
              <w:jc w:val="right"/>
              <w:ind w:right="2733"/>
              <w:spacing w:after="0"/>
              <w:rPr>
                <w:sz w:val="20"/>
                <w:szCs w:val="20"/>
                <w:color w:val="auto"/>
              </w:rPr>
            </w:pPr>
            <w:r>
              <w:rPr>
                <w:rFonts w:ascii="Times New Roman" w:cs="Times New Roman" w:eastAsia="Times New Roman" w:hAnsi="Times New Roman"/>
                <w:sz w:val="21"/>
                <w:szCs w:val="21"/>
                <w:color w:val="auto"/>
                <w:w w:val="95"/>
              </w:rPr>
              <w:t>18</w:t>
            </w:r>
          </w:p>
        </w:tc>
      </w:tr>
      <w:tr>
        <w:trPr>
          <w:trHeight w:val="361"/>
        </w:trPr>
        <w:tc>
          <w:tcPr>
            <w:tcW w:w="80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(e)Survival of Representations and Warranties of the Seller ...................................</w:t>
            </w:r>
          </w:p>
        </w:tc>
        <w:tc>
          <w:tcPr>
            <w:tcW w:w="306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rPr>
              <w:t>19</w:t>
            </w:r>
          </w:p>
        </w:tc>
      </w:tr>
      <w:tr>
        <w:trPr>
          <w:trHeight w:val="361"/>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(f)</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Survival of Representations and Warranties of the Buyer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19</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(g)</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Notice of Claims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19</w:t>
            </w:r>
          </w:p>
        </w:tc>
      </w:tr>
      <w:tr>
        <w:trPr>
          <w:trHeight w:val="361"/>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(h)</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Indemnity Payment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19</w:t>
            </w:r>
          </w:p>
        </w:tc>
      </w:tr>
      <w:tr>
        <w:trPr>
          <w:trHeight w:val="361"/>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7</w:t>
            </w: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MISCELLANEOUS. ...........................................................................................</w:t>
            </w:r>
          </w:p>
        </w:tc>
        <w:tc>
          <w:tcPr>
            <w:tcW w:w="3060" w:type="dxa"/>
            <w:vAlign w:val="bottom"/>
          </w:tcPr>
          <w:p>
            <w:pPr>
              <w:jc w:val="right"/>
              <w:ind w:right="2653"/>
              <w:spacing w:after="0"/>
              <w:rPr>
                <w:sz w:val="20"/>
                <w:szCs w:val="20"/>
                <w:color w:val="auto"/>
              </w:rPr>
            </w:pPr>
            <w:r>
              <w:rPr>
                <w:rFonts w:ascii="Times New Roman" w:cs="Times New Roman" w:eastAsia="Times New Roman" w:hAnsi="Times New Roman"/>
                <w:sz w:val="21"/>
                <w:szCs w:val="21"/>
                <w:color w:val="auto"/>
              </w:rPr>
              <w:t>19</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Amendments; Waivers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19</w:t>
            </w:r>
          </w:p>
        </w:tc>
      </w:tr>
      <w:tr>
        <w:trPr>
          <w:trHeight w:val="361"/>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Notices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20</w:t>
            </w:r>
          </w:p>
        </w:tc>
      </w:tr>
      <w:tr>
        <w:trPr>
          <w:trHeight w:val="374"/>
        </w:trPr>
        <w:tc>
          <w:tcPr>
            <w:tcW w:w="80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(c)Entire Agreement; No Other Representations .....................................................</w:t>
            </w:r>
          </w:p>
        </w:tc>
        <w:tc>
          <w:tcPr>
            <w:tcW w:w="306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20</w:t>
            </w:r>
          </w:p>
        </w:tc>
      </w:tr>
      <w:tr>
        <w:trPr>
          <w:trHeight w:val="361"/>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Counterparts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20</w:t>
            </w:r>
          </w:p>
        </w:tc>
      </w:tr>
      <w:tr>
        <w:trPr>
          <w:trHeight w:val="361"/>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(e)</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GOVERNING LAW ............................................................................................</w:t>
            </w:r>
          </w:p>
        </w:tc>
        <w:tc>
          <w:tcPr>
            <w:tcW w:w="306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20</w:t>
            </w:r>
          </w:p>
        </w:tc>
      </w:tr>
    </w:tbl>
    <w:p>
      <w:pPr>
        <w:sectPr>
          <w:pgSz w:w="11900" w:h="16838" w:orient="portrait"/>
          <w:cols w:equalWidth="0" w:num="1">
            <w:col w:w="11100"/>
          </w:cols>
          <w:pgMar w:left="320" w:top="1016" w:right="479" w:bottom="1440" w:gutter="0" w:footer="0" w:header="0"/>
        </w:sectPr>
      </w:pPr>
    </w:p>
    <w:bookmarkStart w:id="139" w:name="page140"/>
    <w:bookmarkEnd w:id="139"/>
    <w:p>
      <w:pPr>
        <w:ind w:left="500"/>
        <w:spacing w:after="0"/>
        <w:tabs>
          <w:tab w:leader="none" w:pos="1120" w:val="left"/>
          <w:tab w:leader="dot" w:pos="7920" w:val="left"/>
        </w:tabs>
        <w:rPr>
          <w:sz w:val="20"/>
          <w:szCs w:val="20"/>
          <w:color w:val="auto"/>
        </w:rPr>
      </w:pPr>
      <w:r>
        <w:rPr>
          <w:rFonts w:ascii="Times New Roman" w:cs="Times New Roman" w:eastAsia="Times New Roman" w:hAnsi="Times New Roman"/>
          <w:sz w:val="21"/>
          <w:szCs w:val="21"/>
          <w:color w:val="auto"/>
        </w:rPr>
        <w:t>(f)</w:t>
      </w:r>
      <w:r>
        <w:rPr>
          <w:sz w:val="20"/>
          <w:szCs w:val="20"/>
          <w:color w:val="auto"/>
        </w:rPr>
        <w:tab/>
      </w:r>
      <w:r>
        <w:rPr>
          <w:rFonts w:ascii="Times New Roman" w:cs="Times New Roman" w:eastAsia="Times New Roman" w:hAnsi="Times New Roman"/>
          <w:sz w:val="21"/>
          <w:szCs w:val="21"/>
          <w:color w:val="auto"/>
        </w:rPr>
        <w:t>WAIVER OF JURY TRIAL</w:t>
      </w:r>
      <w:r>
        <w:rPr>
          <w:sz w:val="20"/>
          <w:szCs w:val="20"/>
          <w:color w:val="auto"/>
        </w:rPr>
        <w:tab/>
      </w:r>
      <w:r>
        <w:rPr>
          <w:rFonts w:ascii="Times New Roman" w:cs="Times New Roman" w:eastAsia="Times New Roman" w:hAnsi="Times New Roman"/>
          <w:sz w:val="21"/>
          <w:szCs w:val="21"/>
          <w:color w:val="auto"/>
        </w:rPr>
        <w:t>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w:t>
      </w:r>
    </w:p>
    <w:p>
      <w:pPr>
        <w:spacing w:after="0" w:line="16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(continued)</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161" w:lineRule="exact"/>
        <w:rPr>
          <w:sz w:val="20"/>
          <w:szCs w:val="20"/>
          <w:color w:val="auto"/>
        </w:rPr>
      </w:pPr>
    </w:p>
    <w:p>
      <w:pPr>
        <w:ind w:left="500"/>
        <w:spacing w:after="0"/>
        <w:tabs>
          <w:tab w:leader="none" w:pos="1120" w:val="left"/>
          <w:tab w:leader="dot" w:pos="7940" w:val="left"/>
        </w:tabs>
        <w:rPr>
          <w:sz w:val="20"/>
          <w:szCs w:val="20"/>
          <w:color w:val="auto"/>
        </w:rPr>
      </w:pPr>
      <w:r>
        <w:rPr>
          <w:rFonts w:ascii="Times New Roman" w:cs="Times New Roman" w:eastAsia="Times New Roman" w:hAnsi="Times New Roman"/>
          <w:sz w:val="21"/>
          <w:szCs w:val="21"/>
          <w:color w:val="auto"/>
        </w:rPr>
        <w:t>(g)</w:t>
      </w:r>
      <w:r>
        <w:rPr>
          <w:sz w:val="20"/>
          <w:szCs w:val="20"/>
          <w:color w:val="auto"/>
        </w:rPr>
        <w:tab/>
      </w:r>
      <w:r>
        <w:rPr>
          <w:rFonts w:ascii="Times New Roman" w:cs="Times New Roman" w:eastAsia="Times New Roman" w:hAnsi="Times New Roman"/>
          <w:sz w:val="21"/>
          <w:szCs w:val="21"/>
          <w:color w:val="auto"/>
        </w:rPr>
        <w:t>SUBMISSION TO JURISDICTION</w:t>
      </w:r>
      <w:r>
        <w:rPr>
          <w:sz w:val="20"/>
          <w:szCs w:val="20"/>
          <w:color w:val="auto"/>
        </w:rPr>
        <w:tab/>
      </w:r>
      <w:r>
        <w:rPr>
          <w:rFonts w:ascii="Times New Roman" w:cs="Times New Roman" w:eastAsia="Times New Roman" w:hAnsi="Times New Roman"/>
          <w:sz w:val="21"/>
          <w:szCs w:val="21"/>
          <w:color w:val="auto"/>
        </w:rPr>
        <w:t>21</w:t>
      </w:r>
    </w:p>
    <w:p>
      <w:pPr>
        <w:spacing w:after="0" w:line="133" w:lineRule="exact"/>
        <w:rPr>
          <w:sz w:val="20"/>
          <w:szCs w:val="20"/>
          <w:color w:val="auto"/>
        </w:rPr>
      </w:pPr>
    </w:p>
    <w:p>
      <w:pPr>
        <w:ind w:left="500"/>
        <w:spacing w:after="0"/>
        <w:tabs>
          <w:tab w:leader="none" w:pos="1120" w:val="left"/>
          <w:tab w:leader="dot" w:pos="7920" w:val="left"/>
        </w:tabs>
        <w:rPr>
          <w:sz w:val="20"/>
          <w:szCs w:val="20"/>
          <w:color w:val="auto"/>
        </w:rPr>
      </w:pPr>
      <w:r>
        <w:rPr>
          <w:rFonts w:ascii="Times New Roman" w:cs="Times New Roman" w:eastAsia="Times New Roman" w:hAnsi="Times New Roman"/>
          <w:sz w:val="21"/>
          <w:szCs w:val="21"/>
          <w:color w:val="auto"/>
        </w:rPr>
        <w:t>(h)</w:t>
      </w:r>
      <w:r>
        <w:rPr>
          <w:sz w:val="20"/>
          <w:szCs w:val="20"/>
          <w:color w:val="auto"/>
        </w:rPr>
        <w:tab/>
      </w:r>
      <w:r>
        <w:rPr>
          <w:rFonts w:ascii="Times New Roman" w:cs="Times New Roman" w:eastAsia="Times New Roman" w:hAnsi="Times New Roman"/>
          <w:sz w:val="21"/>
          <w:szCs w:val="21"/>
          <w:color w:val="auto"/>
        </w:rPr>
        <w:t>Severability</w:t>
      </w:r>
      <w:r>
        <w:rPr>
          <w:sz w:val="20"/>
          <w:szCs w:val="20"/>
          <w:color w:val="auto"/>
        </w:rPr>
        <w:tab/>
      </w:r>
      <w:r>
        <w:rPr>
          <w:rFonts w:ascii="Times New Roman" w:cs="Times New Roman" w:eastAsia="Times New Roman" w:hAnsi="Times New Roman"/>
          <w:sz w:val="21"/>
          <w:szCs w:val="21"/>
          <w:color w:val="auto"/>
        </w:rPr>
        <w:t>21</w:t>
      </w:r>
    </w:p>
    <w:p>
      <w:pPr>
        <w:spacing w:after="0" w:line="119" w:lineRule="exact"/>
        <w:rPr>
          <w:sz w:val="20"/>
          <w:szCs w:val="20"/>
          <w:color w:val="auto"/>
        </w:rPr>
      </w:pPr>
    </w:p>
    <w:p>
      <w:pPr>
        <w:ind w:left="500"/>
        <w:spacing w:after="0"/>
        <w:tabs>
          <w:tab w:leader="none" w:pos="1120" w:val="left"/>
          <w:tab w:leader="dot" w:pos="794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color w:val="auto"/>
        </w:rPr>
        <w:t>Binding Effect; Assignment</w:t>
      </w:r>
      <w:r>
        <w:rPr>
          <w:sz w:val="20"/>
          <w:szCs w:val="20"/>
          <w:color w:val="auto"/>
        </w:rPr>
        <w:tab/>
      </w:r>
      <w:r>
        <w:rPr>
          <w:rFonts w:ascii="Times New Roman" w:cs="Times New Roman" w:eastAsia="Times New Roman" w:hAnsi="Times New Roman"/>
          <w:sz w:val="21"/>
          <w:szCs w:val="21"/>
          <w:color w:val="auto"/>
        </w:rPr>
        <w:t>21</w:t>
      </w:r>
    </w:p>
    <w:p>
      <w:pPr>
        <w:spacing w:after="0" w:line="119" w:lineRule="exact"/>
        <w:rPr>
          <w:sz w:val="20"/>
          <w:szCs w:val="20"/>
          <w:color w:val="auto"/>
        </w:rPr>
      </w:pPr>
    </w:p>
    <w:p>
      <w:pPr>
        <w:ind w:left="500"/>
        <w:spacing w:after="0"/>
        <w:tabs>
          <w:tab w:leader="none" w:pos="1120" w:val="left"/>
          <w:tab w:leader="dot" w:pos="7920" w:val="left"/>
        </w:tabs>
        <w:rPr>
          <w:sz w:val="20"/>
          <w:szCs w:val="20"/>
          <w:color w:val="auto"/>
        </w:rPr>
      </w:pPr>
      <w:r>
        <w:rPr>
          <w:rFonts w:ascii="Times New Roman" w:cs="Times New Roman" w:eastAsia="Times New Roman" w:hAnsi="Times New Roman"/>
          <w:sz w:val="21"/>
          <w:szCs w:val="21"/>
          <w:color w:val="auto"/>
        </w:rPr>
        <w:t>(j)</w:t>
      </w:r>
      <w:r>
        <w:rPr>
          <w:sz w:val="20"/>
          <w:szCs w:val="20"/>
          <w:color w:val="auto"/>
        </w:rPr>
        <w:tab/>
      </w:r>
      <w:r>
        <w:rPr>
          <w:rFonts w:ascii="Times New Roman" w:cs="Times New Roman" w:eastAsia="Times New Roman" w:hAnsi="Times New Roman"/>
          <w:sz w:val="21"/>
          <w:szCs w:val="21"/>
          <w:color w:val="auto"/>
        </w:rPr>
        <w:t>Public Announcements</w:t>
      </w:r>
      <w:r>
        <w:rPr>
          <w:sz w:val="20"/>
          <w:szCs w:val="20"/>
          <w:color w:val="auto"/>
        </w:rPr>
        <w:tab/>
      </w:r>
      <w:r>
        <w:rPr>
          <w:rFonts w:ascii="Times New Roman" w:cs="Times New Roman" w:eastAsia="Times New Roman" w:hAnsi="Times New Roman"/>
          <w:sz w:val="20"/>
          <w:szCs w:val="20"/>
          <w:color w:val="auto"/>
        </w:rPr>
        <w:t>21</w:t>
      </w:r>
    </w:p>
    <w:p>
      <w:pPr>
        <w:spacing w:after="0" w:line="119" w:lineRule="exact"/>
        <w:rPr>
          <w:sz w:val="20"/>
          <w:szCs w:val="20"/>
          <w:color w:val="auto"/>
        </w:rPr>
      </w:pPr>
    </w:p>
    <w:p>
      <w:pPr>
        <w:ind w:left="500"/>
        <w:spacing w:after="0"/>
        <w:tabs>
          <w:tab w:leader="none" w:pos="1120" w:val="left"/>
          <w:tab w:leader="dot" w:pos="7900" w:val="left"/>
        </w:tabs>
        <w:rPr>
          <w:sz w:val="20"/>
          <w:szCs w:val="20"/>
          <w:color w:val="auto"/>
        </w:rPr>
      </w:pPr>
      <w:r>
        <w:rPr>
          <w:rFonts w:ascii="Times New Roman" w:cs="Times New Roman" w:eastAsia="Times New Roman" w:hAnsi="Times New Roman"/>
          <w:sz w:val="21"/>
          <w:szCs w:val="21"/>
          <w:color w:val="auto"/>
        </w:rPr>
        <w:t>(k)</w:t>
      </w:r>
      <w:r>
        <w:rPr>
          <w:sz w:val="20"/>
          <w:szCs w:val="20"/>
          <w:color w:val="auto"/>
        </w:rPr>
        <w:tab/>
      </w:r>
      <w:r>
        <w:rPr>
          <w:rFonts w:ascii="Times New Roman" w:cs="Times New Roman" w:eastAsia="Times New Roman" w:hAnsi="Times New Roman"/>
          <w:sz w:val="21"/>
          <w:szCs w:val="21"/>
          <w:color w:val="auto"/>
        </w:rPr>
        <w:t>Confidentiality.</w:t>
      </w:r>
      <w:r>
        <w:rPr>
          <w:sz w:val="20"/>
          <w:szCs w:val="20"/>
          <w:color w:val="auto"/>
        </w:rPr>
        <w:tab/>
      </w:r>
      <w:r>
        <w:rPr>
          <w:rFonts w:ascii="Times New Roman" w:cs="Times New Roman" w:eastAsia="Times New Roman" w:hAnsi="Times New Roman"/>
          <w:sz w:val="21"/>
          <w:szCs w:val="21"/>
          <w:color w:val="auto"/>
        </w:rPr>
        <w:t>21</w:t>
      </w:r>
    </w:p>
    <w:p>
      <w:pPr>
        <w:spacing w:after="0" w:line="133" w:lineRule="exact"/>
        <w:rPr>
          <w:sz w:val="20"/>
          <w:szCs w:val="20"/>
          <w:color w:val="auto"/>
        </w:rPr>
      </w:pPr>
    </w:p>
    <w:p>
      <w:pPr>
        <w:ind w:left="500"/>
        <w:spacing w:after="0"/>
        <w:tabs>
          <w:tab w:leader="none" w:pos="1120" w:val="left"/>
          <w:tab w:leader="dot" w:pos="7940" w:val="left"/>
        </w:tabs>
        <w:rPr>
          <w:sz w:val="20"/>
          <w:szCs w:val="20"/>
          <w:color w:val="auto"/>
        </w:rPr>
      </w:pPr>
      <w:r>
        <w:rPr>
          <w:rFonts w:ascii="Times New Roman" w:cs="Times New Roman" w:eastAsia="Times New Roman" w:hAnsi="Times New Roman"/>
          <w:sz w:val="21"/>
          <w:szCs w:val="21"/>
          <w:color w:val="auto"/>
        </w:rPr>
        <w:t>(l)</w:t>
      </w:r>
      <w:r>
        <w:rPr>
          <w:sz w:val="20"/>
          <w:szCs w:val="20"/>
          <w:color w:val="auto"/>
        </w:rPr>
        <w:tab/>
      </w:r>
      <w:r>
        <w:rPr>
          <w:rFonts w:ascii="Times New Roman" w:cs="Times New Roman" w:eastAsia="Times New Roman" w:hAnsi="Times New Roman"/>
          <w:sz w:val="21"/>
          <w:szCs w:val="21"/>
          <w:color w:val="auto"/>
        </w:rPr>
        <w:t>Specific Performance</w:t>
      </w:r>
      <w:r>
        <w:rPr>
          <w:sz w:val="20"/>
          <w:szCs w:val="20"/>
          <w:color w:val="auto"/>
        </w:rPr>
        <w:tab/>
      </w:r>
      <w:r>
        <w:rPr>
          <w:rFonts w:ascii="Times New Roman" w:cs="Times New Roman" w:eastAsia="Times New Roman" w:hAnsi="Times New Roman"/>
          <w:sz w:val="20"/>
          <w:szCs w:val="20"/>
          <w:color w:val="auto"/>
        </w:rPr>
        <w:t>23</w:t>
      </w:r>
    </w:p>
    <w:p>
      <w:pPr>
        <w:spacing w:after="0" w:line="119" w:lineRule="exact"/>
        <w:rPr>
          <w:sz w:val="20"/>
          <w:szCs w:val="20"/>
          <w:color w:val="auto"/>
        </w:rPr>
      </w:pPr>
    </w:p>
    <w:p>
      <w:pPr>
        <w:ind w:left="500"/>
        <w:spacing w:after="0"/>
        <w:tabs>
          <w:tab w:leader="none" w:pos="1120" w:val="left"/>
          <w:tab w:leader="dot" w:pos="7900" w:val="left"/>
        </w:tabs>
        <w:rPr>
          <w:sz w:val="20"/>
          <w:szCs w:val="20"/>
          <w:color w:val="auto"/>
        </w:rPr>
      </w:pPr>
      <w:r>
        <w:rPr>
          <w:rFonts w:ascii="Times New Roman" w:cs="Times New Roman" w:eastAsia="Times New Roman" w:hAnsi="Times New Roman"/>
          <w:sz w:val="21"/>
          <w:szCs w:val="21"/>
          <w:color w:val="auto"/>
        </w:rPr>
        <w:t>(m)</w:t>
        <w:tab/>
        <w:t>Protection of Title; Transfers Intended as Sale; Security Interest.</w:t>
      </w:r>
      <w:r>
        <w:rPr>
          <w:sz w:val="20"/>
          <w:szCs w:val="20"/>
          <w:color w:val="auto"/>
        </w:rPr>
        <w:tab/>
      </w:r>
      <w:r>
        <w:rPr>
          <w:rFonts w:ascii="Times New Roman" w:cs="Times New Roman" w:eastAsia="Times New Roman" w:hAnsi="Times New Roman"/>
          <w:sz w:val="21"/>
          <w:szCs w:val="21"/>
          <w:color w:val="auto"/>
        </w:rPr>
        <w:t>23</w:t>
      </w:r>
    </w:p>
    <w:p>
      <w:pPr>
        <w:sectPr>
          <w:pgSz w:w="11900" w:h="16838" w:orient="portrait"/>
          <w:cols w:equalWidth="0" w:num="1">
            <w:col w:w="10960"/>
          </w:cols>
          <w:pgMar w:left="460" w:top="1020" w:right="479" w:bottom="1440" w:gutter="0" w:footer="0" w:header="0"/>
        </w:sectPr>
      </w:pPr>
    </w:p>
    <w:bookmarkStart w:id="140" w:name="page141"/>
    <w:bookmarkEnd w:id="140"/>
    <w:p>
      <w:pPr>
        <w:ind w:left="140"/>
        <w:spacing w:after="0"/>
        <w:rPr>
          <w:sz w:val="20"/>
          <w:szCs w:val="20"/>
          <w:color w:val="auto"/>
        </w:rPr>
      </w:pPr>
      <w:r>
        <w:rPr>
          <w:rFonts w:ascii="Times New Roman" w:cs="Times New Roman" w:eastAsia="Times New Roman" w:hAnsi="Times New Roman"/>
          <w:sz w:val="21"/>
          <w:szCs w:val="21"/>
          <w:color w:val="auto"/>
        </w:rPr>
        <w:t>-ii-</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Schedules and Exhibits</w:t>
            </w:r>
          </w:p>
        </w:tc>
        <w:tc>
          <w:tcPr>
            <w:tcW w:w="4840" w:type="dxa"/>
            <w:vAlign w:val="bottom"/>
          </w:tcPr>
          <w:p>
            <w:pPr>
              <w:spacing w:after="0"/>
              <w:rPr>
                <w:sz w:val="19"/>
                <w:szCs w:val="19"/>
                <w:color w:val="auto"/>
              </w:rPr>
            </w:pPr>
          </w:p>
        </w:tc>
      </w:tr>
      <w:tr>
        <w:trPr>
          <w:trHeight w:val="332"/>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1</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Seller Account</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2</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Seller Deliverables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3</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Buyer Deliverables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4</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Buyer Representations and Warranties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5</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Seller Representations and Warranties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6</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Notice Information for the Parties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7</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Real Property</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8</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Insurance</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9</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Existing Indebtedness and Liens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10</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Material Project Documents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Exhibit 1</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Form of Transfer Election Statement</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Exhibit 2</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Form of Continuous Operation Certificate</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Exhibit 3</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w w:val="97"/>
              </w:rPr>
              <w:t>Form of Interparty (Forbearance) Agreement</w:t>
            </w:r>
          </w:p>
        </w:tc>
      </w:tr>
      <w:tr>
        <w:trPr>
          <w:trHeight w:val="784"/>
        </w:trPr>
        <w:tc>
          <w:tcPr>
            <w:tcW w:w="1840" w:type="dxa"/>
            <w:vAlign w:val="bottom"/>
          </w:tcPr>
          <w:p>
            <w:pPr>
              <w:spacing w:after="0"/>
              <w:rPr>
                <w:sz w:val="24"/>
                <w:szCs w:val="24"/>
                <w:color w:val="auto"/>
              </w:rPr>
            </w:pPr>
          </w:p>
        </w:tc>
        <w:tc>
          <w:tcPr>
            <w:tcW w:w="48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0139"/>
          </w:cols>
          <w:pgMar w:left="320" w:top="1020" w:right="1440"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TAX CREDIT PURCHASE AGREEMENT</w:t>
      </w:r>
    </w:p>
    <w:p>
      <w:pPr>
        <w:spacing w:after="0" w:line="197"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TAX CREDIT PURCHASE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June 20,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xml:space="preserve">”), is entered into by and between </w:t>
      </w:r>
      <w:r>
        <w:rPr>
          <w:rFonts w:ascii="Times New Roman" w:cs="Times New Roman" w:eastAsia="Times New Roman" w:hAnsi="Times New Roman"/>
          <w:sz w:val="20"/>
          <w:szCs w:val="20"/>
          <w:b w:val="1"/>
          <w:bCs w:val="1"/>
          <w:color w:val="auto"/>
        </w:rPr>
        <w:t>2024 TTC AGGREGATOR, L.P.</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OPAL FUELS LLC</w:t>
      </w:r>
      <w:r>
        <w:rPr>
          <w:rFonts w:ascii="Times New Roman" w:cs="Times New Roman" w:eastAsia="Times New Roman" w:hAnsi="Times New Roman"/>
          <w:sz w:val="20"/>
          <w:szCs w:val="20"/>
          <w:color w:val="auto"/>
        </w:rPr>
        <w:t>, a Delaware limited liability company (the “</w:t>
      </w:r>
      <w:r>
        <w:rPr>
          <w:rFonts w:ascii="Times New Roman" w:cs="Times New Roman" w:eastAsia="Times New Roman" w:hAnsi="Times New Roman"/>
          <w:sz w:val="20"/>
          <w:szCs w:val="20"/>
          <w:b w:val="1"/>
          <w:bCs w:val="1"/>
          <w:i w:val="1"/>
          <w:iCs w:val="1"/>
          <w:color w:val="auto"/>
        </w:rPr>
        <w:t>Seller</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RECITALS</w:t>
      </w:r>
    </w:p>
    <w:p>
      <w:pPr>
        <w:spacing w:after="0" w:line="184"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20"/>
          <w:szCs w:val="20"/>
          <w:color w:val="auto"/>
        </w:rPr>
        <w:t>WHEREAS, Seller owns indirectly 100% of the membership interests in Prince William RNG LLC, a Delaware limited liability company (the “</w:t>
      </w:r>
      <w:r>
        <w:rPr>
          <w:rFonts w:ascii="Times New Roman" w:cs="Times New Roman" w:eastAsia="Times New Roman" w:hAnsi="Times New Roman"/>
          <w:sz w:val="20"/>
          <w:szCs w:val="20"/>
          <w:b w:val="1"/>
          <w:bCs w:val="1"/>
          <w:i w:val="1"/>
          <w:iCs w:val="1"/>
          <w:color w:val="auto"/>
        </w:rPr>
        <w:t>Project Company</w:t>
      </w:r>
      <w:r>
        <w:rPr>
          <w:rFonts w:ascii="Times New Roman" w:cs="Times New Roman" w:eastAsia="Times New Roman" w:hAnsi="Times New Roman"/>
          <w:sz w:val="20"/>
          <w:szCs w:val="20"/>
          <w:color w:val="auto"/>
        </w:rPr>
        <w:t>” and, together with the Seller, collectively, the “</w:t>
      </w:r>
      <w:r>
        <w:rPr>
          <w:rFonts w:ascii="Times New Roman" w:cs="Times New Roman" w:eastAsia="Times New Roman" w:hAnsi="Times New Roman"/>
          <w:sz w:val="20"/>
          <w:szCs w:val="20"/>
          <w:b w:val="1"/>
          <w:bCs w:val="1"/>
          <w:i w:val="1"/>
          <w:iCs w:val="1"/>
          <w:color w:val="auto"/>
        </w:rPr>
        <w:t>Seller Parties</w:t>
      </w:r>
      <w:r>
        <w:rPr>
          <w:rFonts w:ascii="Times New Roman" w:cs="Times New Roman" w:eastAsia="Times New Roman" w:hAnsi="Times New Roman"/>
          <w:sz w:val="20"/>
          <w:szCs w:val="20"/>
          <w:color w:val="auto"/>
        </w:rPr>
        <w:t>”), which owns and operates the landfill renewable natural gas (“</w:t>
      </w:r>
      <w:r>
        <w:rPr>
          <w:rFonts w:ascii="Times New Roman" w:cs="Times New Roman" w:eastAsia="Times New Roman" w:hAnsi="Times New Roman"/>
          <w:sz w:val="20"/>
          <w:szCs w:val="20"/>
          <w:b w:val="1"/>
          <w:bCs w:val="1"/>
          <w:i w:val="1"/>
          <w:iCs w:val="1"/>
          <w:color w:val="auto"/>
        </w:rPr>
        <w:t>RNG</w:t>
      </w:r>
      <w:r>
        <w:rPr>
          <w:rFonts w:ascii="Times New Roman" w:cs="Times New Roman" w:eastAsia="Times New Roman" w:hAnsi="Times New Roman"/>
          <w:sz w:val="20"/>
          <w:szCs w:val="20"/>
          <w:color w:val="auto"/>
        </w:rPr>
        <w:t>”) development project with a designed capacity of approximately 6,500 standard cubic feet per minute located in Manassas County, Virginia more commonly referred to as the Prince William RNG Project (the “</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WHEREAS, Section 48(a) of the Code provides for investment tax credits (“</w:t>
      </w:r>
      <w:r>
        <w:rPr>
          <w:rFonts w:ascii="Times New Roman" w:cs="Times New Roman" w:eastAsia="Times New Roman" w:hAnsi="Times New Roman"/>
          <w:sz w:val="20"/>
          <w:szCs w:val="20"/>
          <w:b w:val="1"/>
          <w:bCs w:val="1"/>
          <w:i w:val="1"/>
          <w:iCs w:val="1"/>
          <w:color w:val="auto"/>
        </w:rPr>
        <w:t>Tax Credits</w:t>
      </w:r>
      <w:r>
        <w:rPr>
          <w:rFonts w:ascii="Times New Roman" w:cs="Times New Roman" w:eastAsia="Times New Roman" w:hAnsi="Times New Roman"/>
          <w:sz w:val="20"/>
          <w:szCs w:val="20"/>
          <w:color w:val="auto"/>
        </w:rPr>
        <w:t>”) for the taxpayer that owns and places in service for U.S. federal income tax purposes the Facility;</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the Seller became eligible to receive Tax Credits in connection with its ownership of the Facility;</w:t>
      </w:r>
    </w:p>
    <w:p>
      <w:pPr>
        <w:spacing w:after="0" w:line="211" w:lineRule="exact"/>
        <w:rPr>
          <w:sz w:val="20"/>
          <w:szCs w:val="20"/>
          <w:color w:val="auto"/>
        </w:rPr>
      </w:pPr>
    </w:p>
    <w:p>
      <w:pPr>
        <w:jc w:val="both"/>
        <w:ind w:firstLine="633"/>
        <w:spacing w:after="0" w:line="262" w:lineRule="auto"/>
        <w:rPr>
          <w:sz w:val="20"/>
          <w:szCs w:val="20"/>
          <w:color w:val="auto"/>
        </w:rPr>
      </w:pPr>
      <w:r>
        <w:rPr>
          <w:rFonts w:ascii="Times New Roman" w:cs="Times New Roman" w:eastAsia="Times New Roman" w:hAnsi="Times New Roman"/>
          <w:sz w:val="20"/>
          <w:szCs w:val="20"/>
          <w:color w:val="auto"/>
        </w:rPr>
        <w:t>WHEREAS, Section 6418 of the Code specifically authorizes an eligible taxpayer, including the Seller, to transfer Tax Credits to an unrelated Person;</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in accordance with Section 6418 of the Code, the Buyer is a Person who is unrelated to the Seller; and</w:t>
      </w:r>
    </w:p>
    <w:p>
      <w:pPr>
        <w:spacing w:after="0" w:line="211" w:lineRule="exact"/>
        <w:rPr>
          <w:sz w:val="20"/>
          <w:szCs w:val="20"/>
          <w:color w:val="auto"/>
        </w:rPr>
      </w:pPr>
    </w:p>
    <w:p>
      <w:pPr>
        <w:jc w:val="both"/>
        <w:ind w:right="20" w:firstLine="633"/>
        <w:spacing w:after="0" w:line="276" w:lineRule="auto"/>
        <w:rPr>
          <w:sz w:val="20"/>
          <w:szCs w:val="20"/>
          <w:color w:val="auto"/>
        </w:rPr>
      </w:pPr>
      <w:r>
        <w:rPr>
          <w:rFonts w:ascii="Times New Roman" w:cs="Times New Roman" w:eastAsia="Times New Roman" w:hAnsi="Times New Roman"/>
          <w:sz w:val="20"/>
          <w:szCs w:val="20"/>
          <w:color w:val="auto"/>
        </w:rPr>
        <w:t>WHEREAS, the Buyer desires to acquire Tax Credits from the Seller, and the Seller desires to sell Tax Credits to the Buyer, in each case, on the terms and conditions set forth herein.</w:t>
      </w:r>
    </w:p>
    <w:p>
      <w:pPr>
        <w:spacing w:after="0" w:line="152" w:lineRule="exact"/>
        <w:rPr>
          <w:sz w:val="20"/>
          <w:szCs w:val="20"/>
          <w:color w:val="auto"/>
        </w:rPr>
      </w:pPr>
    </w:p>
    <w:p>
      <w:pPr>
        <w:jc w:val="both"/>
        <w:ind w:firstLine="633"/>
        <w:spacing w:after="0" w:line="276" w:lineRule="auto"/>
        <w:rPr>
          <w:sz w:val="20"/>
          <w:szCs w:val="20"/>
          <w:color w:val="auto"/>
        </w:rPr>
      </w:pPr>
      <w:r>
        <w:rPr>
          <w:rFonts w:ascii="Times New Roman" w:cs="Times New Roman" w:eastAsia="Times New Roman" w:hAnsi="Times New Roman"/>
          <w:sz w:val="20"/>
          <w:szCs w:val="20"/>
          <w:color w:val="auto"/>
        </w:rPr>
        <w:t>NOW, THEREFORE, in consideration of the mutual promises contained herein and other good and valuable consideration, the receipt and sufficiency of which are hereby acknowledged, the Seller and the Buyer agree as follows:</w:t>
      </w:r>
    </w:p>
    <w:p>
      <w:pPr>
        <w:spacing w:after="0" w:line="188"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b w:val="1"/>
          <w:bCs w:val="1"/>
          <w:u w:val="single" w:color="auto"/>
          <w:color w:val="auto"/>
        </w:rPr>
        <w:t>Section 1</w:t>
      </w:r>
      <w:r>
        <w:rPr>
          <w:sz w:val="20"/>
          <w:szCs w:val="20"/>
          <w:color w:val="auto"/>
        </w:rPr>
        <w:tab/>
      </w:r>
      <w:r>
        <w:rPr>
          <w:rFonts w:ascii="Times New Roman" w:cs="Times New Roman" w:eastAsia="Times New Roman" w:hAnsi="Times New Roman"/>
          <w:sz w:val="18"/>
          <w:szCs w:val="18"/>
          <w:b w:val="1"/>
          <w:bCs w:val="1"/>
          <w:u w:val="single" w:color="auto"/>
          <w:color w:val="auto"/>
        </w:rPr>
        <w:t>Defined Terms; Terms Generally.</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207"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 specified Person, another Person that directly or indirectly controls or is controlled by or is under common control with the Person specified. For purposes of this definition, the term “control” (and correlative terms) means (a) the ownership of 20% or more of the equity interest in a Person or (b) the power, whether by contract, equity ownership or otherwise, to direct or cause the direction of the policies or management of a Person.</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has the meaning specified in the introductory paragraph.</w:t>
      </w:r>
    </w:p>
    <w:p>
      <w:pPr>
        <w:spacing w:after="0" w:line="211"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Anti-Corruption Laws</w:t>
      </w:r>
      <w:r>
        <w:rPr>
          <w:rFonts w:ascii="Times New Roman" w:cs="Times New Roman" w:eastAsia="Times New Roman" w:hAnsi="Times New Roman"/>
          <w:sz w:val="20"/>
          <w:szCs w:val="20"/>
          <w:color w:val="auto"/>
        </w:rPr>
        <w:t>” means all laws, regulations or orders relating to anti-bribery or anticorruption (governmental or commercial); including, without limitation, the U.S. Foreign Corrupt</w:t>
      </w:r>
    </w:p>
    <w:p>
      <w:pPr>
        <w:sectPr>
          <w:pgSz w:w="11900" w:h="16838" w:orient="portrait"/>
          <w:cols w:equalWidth="0" w:num="1">
            <w:col w:w="11200"/>
          </w:cols>
          <w:pgMar w:left="320" w:top="1181" w:right="379" w:bottom="1440" w:gutter="0" w:footer="0" w:header="0"/>
        </w:sectPr>
      </w:pPr>
    </w:p>
    <w:bookmarkStart w:id="142" w:name="page143"/>
    <w:bookmarkEnd w:id="142"/>
    <w:p>
      <w:pPr>
        <w:jc w:val="both"/>
        <w:spacing w:after="0" w:line="276" w:lineRule="auto"/>
        <w:rPr>
          <w:sz w:val="20"/>
          <w:szCs w:val="20"/>
          <w:color w:val="auto"/>
        </w:rPr>
      </w:pPr>
      <w:r>
        <w:rPr>
          <w:rFonts w:ascii="Times New Roman" w:cs="Times New Roman" w:eastAsia="Times New Roman" w:hAnsi="Times New Roman"/>
          <w:sz w:val="20"/>
          <w:szCs w:val="20"/>
          <w:color w:val="auto"/>
        </w:rPr>
        <w:t>Practices Act of 1977, the UK Bribery Act of 2010, and all applicable national and international laws enacted to implement the OECD Convention on Combating Bribery of Foreign Officials in International Business Transactions.</w:t>
      </w:r>
    </w:p>
    <w:p>
      <w:pPr>
        <w:spacing w:after="0" w:line="148"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Anti-Money Laundering Laws</w:t>
      </w:r>
      <w:r>
        <w:rPr>
          <w:rFonts w:ascii="Times New Roman" w:cs="Times New Roman" w:eastAsia="Times New Roman" w:hAnsi="Times New Roman"/>
          <w:sz w:val="20"/>
          <w:szCs w:val="20"/>
          <w:color w:val="auto"/>
        </w:rPr>
        <w:t>” means the Lender Secrecy Act, 31 U.S.C. Sections 5311 et seq. (the “</w:t>
      </w:r>
      <w:r>
        <w:rPr>
          <w:rFonts w:ascii="Times New Roman" w:cs="Times New Roman" w:eastAsia="Times New Roman" w:hAnsi="Times New Roman"/>
          <w:sz w:val="20"/>
          <w:szCs w:val="20"/>
          <w:b w:val="1"/>
          <w:bCs w:val="1"/>
          <w:i w:val="1"/>
          <w:iCs w:val="1"/>
          <w:color w:val="auto"/>
        </w:rPr>
        <w:t>BSA</w:t>
      </w:r>
      <w:r>
        <w:rPr>
          <w:rFonts w:ascii="Times New Roman" w:cs="Times New Roman" w:eastAsia="Times New Roman" w:hAnsi="Times New Roman"/>
          <w:sz w:val="20"/>
          <w:szCs w:val="20"/>
          <w:color w:val="auto"/>
        </w:rPr>
        <w:t>”), and all applicable laws, regulations and government guidance on BSA compliance and on the prevention and detection of money laundering violations under 18 U.S.C. Sections 1956 and 1957.</w:t>
      </w:r>
    </w:p>
    <w:p>
      <w:pPr>
        <w:spacing w:after="0" w:line="167"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as to any Person, any law, statute, rule, constitution, regulation, ordinance, order, code, judgment, decree, directive, injunction, writ or similar action or decision duly implementing any of the foregoing which has been enacted, issued or promulgated by any Governmental Authority, in each case, applicable to or binding upon such Person or any of its property, or to which such Person or any of its property is subject.</w:t>
      </w:r>
    </w:p>
    <w:p>
      <w:pPr>
        <w:spacing w:after="0" w:line="168" w:lineRule="exact"/>
        <w:rPr>
          <w:sz w:val="20"/>
          <w:szCs w:val="20"/>
          <w:color w:val="auto"/>
        </w:rPr>
      </w:pPr>
    </w:p>
    <w:p>
      <w:pPr>
        <w:jc w:val="both"/>
        <w:ind w:right="20" w:firstLine="633"/>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Appraisal</w:t>
      </w:r>
      <w:r>
        <w:rPr>
          <w:rFonts w:ascii="Times New Roman" w:cs="Times New Roman" w:eastAsia="Times New Roman" w:hAnsi="Times New Roman"/>
          <w:sz w:val="20"/>
          <w:szCs w:val="20"/>
          <w:color w:val="auto"/>
        </w:rPr>
        <w:t>” means the Appraisal of the Prince William RNG Facility dated as of May 23, 2025 prepared by Marshall and Stevens Incorporated.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Tax Credits</w:t>
      </w:r>
      <w:r>
        <w:rPr>
          <w:rFonts w:ascii="Times New Roman" w:cs="Times New Roman" w:eastAsia="Times New Roman" w:hAnsi="Times New Roman"/>
          <w:sz w:val="20"/>
          <w:szCs w:val="20"/>
          <w:color w:val="auto"/>
        </w:rPr>
        <w:t>” means $16,739,720.</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any calendar day other than a Saturday, Sunday or other calendar day on which banks are authorized to be closed in New York, New York.</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has the meaning specified in the introductory paragraph.</w:t>
      </w:r>
    </w:p>
    <w:p>
      <w:pPr>
        <w:spacing w:after="0" w:line="211"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 Deliverables</w:t>
      </w:r>
      <w:r>
        <w:rPr>
          <w:rFonts w:ascii="Times New Roman" w:cs="Times New Roman" w:eastAsia="Times New Roman" w:hAnsi="Times New Roman"/>
          <w:sz w:val="20"/>
          <w:szCs w:val="20"/>
          <w:color w:val="auto"/>
        </w:rPr>
        <w:t xml:space="preserve">” means those items identified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which are to be delivered by the Buyer to the Seller on or prior to the Effective Date.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Casualty Event</w:t>
      </w:r>
      <w:r>
        <w:rPr>
          <w:rFonts w:ascii="Times New Roman" w:cs="Times New Roman" w:eastAsia="Times New Roman" w:hAnsi="Times New Roman"/>
          <w:sz w:val="20"/>
          <w:szCs w:val="20"/>
          <w:color w:val="auto"/>
        </w:rPr>
        <w:t>” means any casualty, loss, destruction or material damage that eliminates or otherwise impairs, the Facility or the Facility Site, or any portion thereof.</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Tax Law Termination Event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3(f)</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xml:space="preserve">” means the date on which all of the conditions precedent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have been satisfied (or waived by the Parties).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Commencement of Construction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Authority</w:t>
      </w:r>
      <w:r>
        <w:rPr>
          <w:rFonts w:ascii="Times New Roman" w:cs="Times New Roman" w:eastAsia="Times New Roman" w:hAnsi="Times New Roman"/>
          <w:sz w:val="20"/>
          <w:szCs w:val="20"/>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and (g) the U.S. Securities and Exchange Commission, and similar Governmental Authorities of the United Kingdom and the European Union and its member states.</w:t>
      </w:r>
    </w:p>
    <w:p>
      <w:pPr>
        <w:spacing w:after="0" w:line="173"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Condemnation Event</w:t>
      </w:r>
      <w:r>
        <w:rPr>
          <w:rFonts w:ascii="Times New Roman" w:cs="Times New Roman" w:eastAsia="Times New Roman" w:hAnsi="Times New Roman"/>
          <w:sz w:val="20"/>
          <w:szCs w:val="20"/>
          <w:color w:val="auto"/>
        </w:rPr>
        <w:t>” means any condemnation, taking by eminent domain or similar action with respect to the Facility or the Facility Site or any portion thereof or any other material asset of any Seller Party.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7(k)(i)</w:t>
      </w:r>
      <w:r>
        <w:rPr>
          <w:rFonts w:ascii="Times New Roman" w:cs="Times New Roman" w:eastAsia="Times New Roman" w:hAnsi="Times New Roman"/>
          <w:sz w:val="20"/>
          <w:szCs w:val="20"/>
          <w:color w:val="auto"/>
        </w:rPr>
        <w:t>.</w:t>
      </w:r>
    </w:p>
    <w:p>
      <w:pPr>
        <w:sectPr>
          <w:pgSz w:w="11900" w:h="16838" w:orient="portrait"/>
          <w:cols w:equalWidth="0" w:num="1">
            <w:col w:w="11200"/>
          </w:cols>
          <w:pgMar w:left="320" w:top="1012" w:right="379" w:bottom="1440" w:gutter="0" w:footer="0" w:header="0"/>
        </w:sectPr>
      </w:pPr>
    </w:p>
    <w:bookmarkStart w:id="143" w:name="page144"/>
    <w:bookmarkEnd w:id="143"/>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Continuous Operation Certificate</w:t>
      </w:r>
      <w:r>
        <w:rPr>
          <w:rFonts w:ascii="Times New Roman" w:cs="Times New Roman" w:eastAsia="Times New Roman" w:hAnsi="Times New Roman"/>
          <w:sz w:val="20"/>
          <w:szCs w:val="20"/>
          <w:color w:val="auto"/>
        </w:rPr>
        <w:t xml:space="preserve">” means a certificate of the Seller in substantially the form of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and delivered to the Buyer from time to time pursuant to </w:t>
      </w:r>
      <w:r>
        <w:rPr>
          <w:rFonts w:ascii="Times New Roman" w:cs="Times New Roman" w:eastAsia="Times New Roman" w:hAnsi="Times New Roman"/>
          <w:sz w:val="20"/>
          <w:szCs w:val="20"/>
          <w:u w:val="single" w:color="auto"/>
          <w:color w:val="auto"/>
        </w:rPr>
        <w:t>Section 5(b)(x)</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b w:val="1"/>
          <w:bCs w:val="1"/>
          <w:i w:val="1"/>
          <w:i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under common Control with</w:t>
      </w:r>
      <w:r>
        <w:rPr>
          <w:rFonts w:ascii="Times New Roman" w:cs="Times New Roman" w:eastAsia="Times New Roman" w:hAnsi="Times New Roman"/>
          <w:sz w:val="20"/>
          <w:szCs w:val="20"/>
          <w:color w:val="auto"/>
        </w:rPr>
        <w:t>”) means the possession, direct or indirect, of the power to direct or cause the direction of the management and policies of a Person, whether through the ownership of voting securities, by contract or otherwise.</w:t>
      </w:r>
    </w:p>
    <w:p>
      <w:pPr>
        <w:spacing w:after="0" w:line="167"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Cost Segregation Report</w:t>
      </w:r>
      <w:r>
        <w:rPr>
          <w:rFonts w:ascii="Times New Roman" w:cs="Times New Roman" w:eastAsia="Times New Roman" w:hAnsi="Times New Roman"/>
          <w:sz w:val="20"/>
          <w:szCs w:val="20"/>
          <w:color w:val="auto"/>
        </w:rPr>
        <w:t>” means the report prepared by Marshall and Stevens Incorporated, dated as of May 23, 2025 for the Facility showing the tax basis that the Project Company has in its assets allocated among the various assets for cost recovery purposes and delivered to the Buyer by the Seller prior to the Effective Date.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has the meaning specified in the introductory paragraph.</w:t>
      </w:r>
    </w:p>
    <w:p>
      <w:pPr>
        <w:spacing w:after="0" w:line="211" w:lineRule="exact"/>
        <w:rPr>
          <w:sz w:val="20"/>
          <w:szCs w:val="20"/>
          <w:color w:val="auto"/>
        </w:rPr>
      </w:pPr>
    </w:p>
    <w:p>
      <w:pPr>
        <w:jc w:val="both"/>
        <w:ind w:right="20"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Credit Property</w:t>
      </w:r>
      <w:r>
        <w:rPr>
          <w:rFonts w:ascii="Times New Roman" w:cs="Times New Roman" w:eastAsia="Times New Roman" w:hAnsi="Times New Roman"/>
          <w:sz w:val="20"/>
          <w:szCs w:val="20"/>
          <w:color w:val="auto"/>
        </w:rPr>
        <w:t>” means each “energy property” within the meaning of Treasury Regulations Section 1.6418-1(d)(9)(i) included in the Facility.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EPC Contract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10</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has the meaning specified in the recitals.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 Site</w:t>
      </w:r>
      <w:r>
        <w:rPr>
          <w:rFonts w:ascii="Times New Roman" w:cs="Times New Roman" w:eastAsia="Times New Roman" w:hAnsi="Times New Roman"/>
          <w:sz w:val="20"/>
          <w:szCs w:val="20"/>
          <w:color w:val="auto"/>
        </w:rPr>
        <w:t xml:space="preserve">” means the real property described in </w:t>
      </w:r>
      <w:r>
        <w:rPr>
          <w:rFonts w:ascii="Times New Roman" w:cs="Times New Roman" w:eastAsia="Times New Roman" w:hAnsi="Times New Roman"/>
          <w:sz w:val="20"/>
          <w:szCs w:val="20"/>
          <w:u w:val="single" w:color="auto"/>
          <w:color w:val="auto"/>
        </w:rPr>
        <w:t>Schedule 7</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Final Determination</w:t>
      </w:r>
      <w:r>
        <w:rPr>
          <w:rFonts w:ascii="Times New Roman" w:cs="Times New Roman" w:eastAsia="Times New Roman" w:hAnsi="Times New Roman"/>
          <w:sz w:val="20"/>
          <w:szCs w:val="20"/>
          <w:color w:val="auto"/>
        </w:rPr>
        <w:t>” means the earlier of (a) a decision, judgment, decree or other order by any court of competent jurisdiction, which decision, judgment, decree or other order has become final, (b) a closing agreement entered into pursuant to Section 7121 of the Code or any other settlement agreement entered into in connection with an administrative or judicial proceeding, in each case, with the written consent of the Seller (such consent not to be unreasonably withheld, conditioned, or delayed), (c) the date on which the time for instituting a claim for refund has expired, or if a claim was filed, the time for instituting suit with respect thereto has expired, or (d) the date on which the eligible taxpayer (within the meaning of Section 6418 of the Code) or the Buyer has filed a tax return (or amended tax return) or other tax form (including IRS Form 4255) that reflects a recapture of the Transferred Tax Credits that was consented to by the Seller.</w:t>
      </w:r>
    </w:p>
    <w:p>
      <w:pPr>
        <w:spacing w:after="0" w:line="180"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Funds Flow Memorandum</w:t>
      </w:r>
      <w:r>
        <w:rPr>
          <w:rFonts w:ascii="Times New Roman" w:cs="Times New Roman" w:eastAsia="Times New Roman" w:hAnsi="Times New Roman"/>
          <w:sz w:val="20"/>
          <w:szCs w:val="20"/>
          <w:color w:val="auto"/>
        </w:rPr>
        <w:t>” means a memorandum detailing the sources and uses and flow of funds, including proceeds of the Purchase Price and the payment of transaction costs and expenses, including payment of the Structuring Fee, on the Payment Date, in form and substance satisfactory to the Parties.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generally accepted accounting principles in the U.S., as in effect from time to time.</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Approval</w:t>
      </w:r>
      <w:r>
        <w:rPr>
          <w:rFonts w:ascii="Times New Roman" w:cs="Times New Roman" w:eastAsia="Times New Roman" w:hAnsi="Times New Roman"/>
          <w:sz w:val="20"/>
          <w:szCs w:val="20"/>
          <w:color w:val="auto"/>
        </w:rPr>
        <w:t>” means any action, consent, filing, notification, order, certificate, determination, registration, permit, license, approval or authorization by, with, from or of any Governmental Authority or other entity pursuant to Applicable Law.</w:t>
      </w:r>
    </w:p>
    <w:p>
      <w:pPr>
        <w:spacing w:after="0" w:line="145" w:lineRule="exact"/>
        <w:rPr>
          <w:sz w:val="20"/>
          <w:szCs w:val="20"/>
          <w:color w:val="auto"/>
        </w:rPr>
      </w:pPr>
    </w:p>
    <w:p>
      <w:pPr>
        <w:jc w:val="both"/>
        <w:ind w:firstLine="633"/>
        <w:spacing w:after="0" w:line="3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the government of the U.S., any other nation or any political subdivision thereof, whether federal, state, provincial, territorial, local or otherwise, and any agency, authority, instrumentality, regulatory body, court, or other entity exercising executive, legislative, judicial, taxing, regulatory or administrative powers or functions of or pertaining to government in any jurisdiction.</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w:t>
      </w:r>
      <w:r>
        <w:rPr>
          <w:rFonts w:ascii="Times New Roman" w:cs="Times New Roman" w:eastAsia="Times New Roman" w:hAnsi="Times New Roman"/>
          <w:sz w:val="20"/>
          <w:szCs w:val="20"/>
          <w:color w:val="auto"/>
        </w:rPr>
        <w:t>” means OPAL Fuels Inc., a Delaware corporation.</w:t>
      </w:r>
    </w:p>
    <w:p>
      <w:pPr>
        <w:sectPr>
          <w:pgSz w:w="11900" w:h="16838" w:orient="portrait"/>
          <w:cols w:equalWidth="0" w:num="1">
            <w:col w:w="11200"/>
          </w:cols>
          <w:pgMar w:left="320" w:top="1008" w:right="379" w:bottom="1440" w:gutter="0" w:footer="0" w:header="0"/>
        </w:sectPr>
      </w:pPr>
    </w:p>
    <w:bookmarkStart w:id="144" w:name="page145"/>
    <w:bookmarkEnd w:id="144"/>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Guaranty</w:t>
      </w:r>
      <w:r>
        <w:rPr>
          <w:rFonts w:ascii="Times New Roman" w:cs="Times New Roman" w:eastAsia="Times New Roman" w:hAnsi="Times New Roman"/>
          <w:sz w:val="20"/>
          <w:szCs w:val="20"/>
          <w:color w:val="auto"/>
        </w:rPr>
        <w:t>” means the Guaranty Agreement dated as of the Effective Date, made by the Guarantor, in favor of the Buyer, and any Replacement Guaranty.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Indemnity Cap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Engineer</w:t>
      </w:r>
      <w:r>
        <w:rPr>
          <w:rFonts w:ascii="Times New Roman" w:cs="Times New Roman" w:eastAsia="Times New Roman" w:hAnsi="Times New Roman"/>
          <w:sz w:val="20"/>
          <w:szCs w:val="20"/>
          <w:color w:val="auto"/>
        </w:rPr>
        <w:t>” means Luminate, LLC.</w:t>
      </w:r>
    </w:p>
    <w:p>
      <w:pPr>
        <w:spacing w:after="0" w:line="211"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Engineer Report</w:t>
      </w:r>
      <w:r>
        <w:rPr>
          <w:rFonts w:ascii="Times New Roman" w:cs="Times New Roman" w:eastAsia="Times New Roman" w:hAnsi="Times New Roman"/>
          <w:sz w:val="20"/>
          <w:szCs w:val="20"/>
          <w:color w:val="auto"/>
        </w:rPr>
        <w:t>” means the report entitled “Prince William Renewable Natural Gas Production Facility Independent Engineer’s Report” dated as of August 30, 2023, and delivered by the Independent Engineer, including all exhibits, appendices and any other attachments.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Insurance Consultant</w:t>
      </w:r>
      <w:r>
        <w:rPr>
          <w:rFonts w:ascii="Times New Roman" w:cs="Times New Roman" w:eastAsia="Times New Roman" w:hAnsi="Times New Roman"/>
          <w:sz w:val="20"/>
          <w:szCs w:val="20"/>
          <w:color w:val="auto"/>
        </w:rPr>
        <w:t>” means Moore-McNeil, LLC or any other national insurance consultant as mutually agreed by the Parties.</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Insurance Consultant Report</w:t>
      </w:r>
      <w:r>
        <w:rPr>
          <w:rFonts w:ascii="Times New Roman" w:cs="Times New Roman" w:eastAsia="Times New Roman" w:hAnsi="Times New Roman"/>
          <w:sz w:val="20"/>
          <w:szCs w:val="20"/>
          <w:color w:val="auto"/>
        </w:rPr>
        <w:t>” means the Insurance Report (Prince William Project) of the Insurance Consultant dated as of March 26, 2025.</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Intermediary Company</w:t>
      </w:r>
      <w:r>
        <w:rPr>
          <w:rFonts w:ascii="Times New Roman" w:cs="Times New Roman" w:eastAsia="Times New Roman" w:hAnsi="Times New Roman"/>
          <w:sz w:val="20"/>
          <w:szCs w:val="20"/>
          <w:color w:val="auto"/>
        </w:rPr>
        <w:t>” means each of OPAL Fuels ITC Holdco II LLC and OPAL Fuels Intermediate ITC HoldCo LLC.</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means the Internal Revenue Service, or any successor agency.</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ITCs</w:t>
      </w:r>
      <w:r>
        <w:rPr>
          <w:rFonts w:ascii="Times New Roman" w:cs="Times New Roman" w:eastAsia="Times New Roman" w:hAnsi="Times New Roman"/>
          <w:sz w:val="20"/>
          <w:szCs w:val="20"/>
          <w:color w:val="auto"/>
        </w:rPr>
        <w:t>” means investment tax credits pursuant to Section 48 of the Code.</w:t>
      </w:r>
    </w:p>
    <w:p>
      <w:pPr>
        <w:spacing w:after="0" w:line="211" w:lineRule="exact"/>
        <w:rPr>
          <w:sz w:val="20"/>
          <w:szCs w:val="20"/>
          <w:color w:val="auto"/>
        </w:rPr>
      </w:pPr>
    </w:p>
    <w:p>
      <w:pPr>
        <w:jc w:val="both"/>
        <w:ind w:right="20"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Knowledge</w:t>
      </w:r>
      <w:r>
        <w:rPr>
          <w:rFonts w:ascii="Times New Roman" w:cs="Times New Roman" w:eastAsia="Times New Roman" w:hAnsi="Times New Roman"/>
          <w:sz w:val="20"/>
          <w:szCs w:val="20"/>
          <w:color w:val="auto"/>
        </w:rPr>
        <w:t>” means, with respect to any Person, the actual knowledge of such Person after due inquiry, into the affairs of such Person and the officers, directors and senior managers (and individuals holding similar titles) of such Person.</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means any lien, security interest, mortgage, hypothecation, encumbrance or other restriction on title or property interest.</w:t>
      </w:r>
    </w:p>
    <w:p>
      <w:pPr>
        <w:spacing w:after="0" w:line="211"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 means, with respect to a Person, a material adverse effect on (a) the ability of such Person to consummate the Transactions (to the extent such Person is involved with the Transactions), (b) the purchase or transfer of the Transferred Tax Credits as contemplated by this Agreement, (c) the business, assets, liabilities, prospects or results of operations or financial condition of such Person (or, if such Person is a Seller Party, the Facility), (d) the ability of such Person to perform its respective obligations under the Transaction Documents (to the extent such Person has obligations thereunder), or (e) the Transferred Tax Credits.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Project Documents</w:t>
      </w:r>
      <w:r>
        <w:rPr>
          <w:rFonts w:ascii="Times New Roman" w:cs="Times New Roman" w:eastAsia="Times New Roman" w:hAnsi="Times New Roman"/>
          <w:sz w:val="20"/>
          <w:szCs w:val="20"/>
          <w:color w:val="auto"/>
        </w:rPr>
        <w:t xml:space="preserve">” means the agreements and contracts set forth on </w:t>
      </w:r>
      <w:r>
        <w:rPr>
          <w:rFonts w:ascii="Times New Roman" w:cs="Times New Roman" w:eastAsia="Times New Roman" w:hAnsi="Times New Roman"/>
          <w:sz w:val="20"/>
          <w:szCs w:val="20"/>
          <w:u w:val="single" w:color="auto"/>
          <w:color w:val="auto"/>
        </w:rPr>
        <w:t>Schedule 10</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Minimum Documentation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O&amp;M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10</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means the U.S. Department of Treasury’s Office of Foreign Assets Control.</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Opal Parties</w:t>
      </w:r>
      <w:r>
        <w:rPr>
          <w:rFonts w:ascii="Times New Roman" w:cs="Times New Roman" w:eastAsia="Times New Roman" w:hAnsi="Times New Roman"/>
          <w:sz w:val="20"/>
          <w:szCs w:val="20"/>
          <w:color w:val="auto"/>
        </w:rPr>
        <w:t>” means the Seller and the Guarantor.</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means, individually, each of the Buyer and the Seller and, collectively, the Buyer and the Seller.</w:t>
      </w:r>
    </w:p>
    <w:p>
      <w:pPr>
        <w:sectPr>
          <w:pgSz w:w="11900" w:h="16838" w:orient="portrait"/>
          <w:cols w:equalWidth="0" w:num="1">
            <w:col w:w="11200"/>
          </w:cols>
          <w:pgMar w:left="320" w:top="1008" w:right="379" w:bottom="1440" w:gutter="0" w:footer="0" w:header="0"/>
        </w:sectPr>
      </w:pPr>
    </w:p>
    <w:bookmarkStart w:id="145" w:name="page146"/>
    <w:bookmarkEnd w:id="145"/>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Equity Lien</w:t>
      </w:r>
      <w:r>
        <w:rPr>
          <w:rFonts w:ascii="Times New Roman" w:cs="Times New Roman" w:eastAsia="Times New Roman" w:hAnsi="Times New Roman"/>
          <w:sz w:val="20"/>
          <w:szCs w:val="20"/>
          <w:color w:val="auto"/>
        </w:rPr>
        <w:t>” means, with respect to the ownership interests in a Person, any contractual limitations pursuant to the operating agreement or bylaws of such Person and any restrictions on transfer of the ownership interests in a Person under any applicable federal, state or foreign securities law.</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Indebtedness</w:t>
      </w:r>
      <w:r>
        <w:rPr>
          <w:rFonts w:ascii="Times New Roman" w:cs="Times New Roman" w:eastAsia="Times New Roman" w:hAnsi="Times New Roman"/>
          <w:sz w:val="20"/>
          <w:szCs w:val="20"/>
          <w:color w:val="auto"/>
        </w:rPr>
        <w:t>” means:</w:t>
      </w:r>
    </w:p>
    <w:p>
      <w:pPr>
        <w:spacing w:after="0" w:line="201" w:lineRule="exact"/>
        <w:rPr>
          <w:sz w:val="20"/>
          <w:szCs w:val="20"/>
          <w:color w:val="auto"/>
        </w:rPr>
      </w:pPr>
    </w:p>
    <w:p>
      <w:pPr>
        <w:ind w:left="1280" w:hanging="640"/>
        <w:spacing w:after="0"/>
        <w:tabs>
          <w:tab w:leader="none" w:pos="12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Closing Date and set forth on </w:t>
      </w:r>
      <w:r>
        <w:rPr>
          <w:rFonts w:ascii="Times New Roman" w:cs="Times New Roman" w:eastAsia="Times New Roman" w:hAnsi="Times New Roman"/>
          <w:sz w:val="20"/>
          <w:szCs w:val="20"/>
          <w:u w:val="single" w:color="auto"/>
          <w:color w:val="auto"/>
        </w:rPr>
        <w:t>Schedule 9</w:t>
      </w:r>
      <w:r>
        <w:rPr>
          <w:rFonts w:ascii="Times New Roman" w:cs="Times New Roman" w:eastAsia="Times New Roman" w:hAnsi="Times New Roman"/>
          <w:sz w:val="20"/>
          <w:szCs w:val="20"/>
          <w:color w:val="auto"/>
        </w:rPr>
        <w:t xml:space="preserve"> and any replacement or refinancing thereof;</w:t>
      </w:r>
    </w:p>
    <w:p>
      <w:pPr>
        <w:spacing w:after="0" w:line="210"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or unsecured indebtedness of a Seller Party for which the Seller has delivered (or caused to be delivered) to the Buyer an interparty (forbearance) agreement in form and substance reasonably satisfactory to the Buyer among the provider of such indebtedness, the Seller Party incurring such indebtedness and the Buyer; or</w:t>
      </w:r>
    </w:p>
    <w:p>
      <w:pPr>
        <w:spacing w:after="0" w:line="172" w:lineRule="exact"/>
        <w:rPr>
          <w:rFonts w:ascii="Times New Roman" w:cs="Times New Roman" w:eastAsia="Times New Roman" w:hAnsi="Times New Roman"/>
          <w:sz w:val="20"/>
          <w:szCs w:val="20"/>
          <w:color w:val="auto"/>
        </w:rPr>
      </w:pPr>
    </w:p>
    <w:p>
      <w:pPr>
        <w:jc w:val="both"/>
        <w:ind w:firstLine="640"/>
        <w:spacing w:after="0" w:line="254" w:lineRule="auto"/>
        <w:tabs>
          <w:tab w:leader="none" w:pos="127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incurred in the ordinary course of business that is not for borrowed money, and do not have a Material Adverse Effect on any indebted Person and the foreclosure or other exercise of remedies with respect thereto could not reasonably be expected to result in (i) a recapture, loss or disallowance of all or any portion of the Transferred Tax Credits or (ii) the Facility being not eligible for ITCs under Section 48 of the Code.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Lien</w:t>
      </w:r>
      <w:r>
        <w:rPr>
          <w:rFonts w:ascii="Times New Roman" w:cs="Times New Roman" w:eastAsia="Times New Roman" w:hAnsi="Times New Roman"/>
          <w:sz w:val="20"/>
          <w:szCs w:val="20"/>
          <w:color w:val="auto"/>
        </w:rPr>
        <w:t>” means:</w:t>
      </w:r>
    </w:p>
    <w:p>
      <w:pPr>
        <w:spacing w:after="0" w:line="201" w:lineRule="exact"/>
        <w:rPr>
          <w:sz w:val="20"/>
          <w:szCs w:val="20"/>
          <w:color w:val="auto"/>
        </w:rPr>
      </w:pPr>
    </w:p>
    <w:p>
      <w:pPr>
        <w:ind w:firstLine="640"/>
        <w:spacing w:after="0" w:line="262" w:lineRule="auto"/>
        <w:tabs>
          <w:tab w:leader="none" w:pos="127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not yet due or that are being contested in good faith by appropriate proceedings and for which adequate reserves have been established in accordance with GAAP;</w:t>
      </w:r>
    </w:p>
    <w:p>
      <w:pPr>
        <w:spacing w:after="0" w:line="165" w:lineRule="exact"/>
        <w:rPr>
          <w:rFonts w:ascii="Times New Roman" w:cs="Times New Roman" w:eastAsia="Times New Roman" w:hAnsi="Times New Roman"/>
          <w:sz w:val="20"/>
          <w:szCs w:val="20"/>
          <w:color w:val="auto"/>
        </w:rPr>
      </w:pPr>
    </w:p>
    <w:p>
      <w:pPr>
        <w:jc w:val="both"/>
        <w:ind w:firstLine="640"/>
        <w:spacing w:after="0" w:line="254" w:lineRule="auto"/>
        <w:tabs>
          <w:tab w:leader="none" w:pos="127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employees’, contractors’, operators’ or other similar Liens or charges securing the payment of expenses not yet due and payable that were incurred in the ordinary course of business or for amounts being contested in good faith and by appropriate proceedings and for which adequate reserves have been established in accordance with GAAP;</w:t>
      </w:r>
    </w:p>
    <w:p>
      <w:pPr>
        <w:spacing w:after="0" w:line="175"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or duties to any Governmental Authority not yet due and payable arising in the ordinary course of business (including under licenses and permits of the Seller or the Project Company and under all Applicable Laws or orders of any Governmental Authority);</w:t>
      </w:r>
    </w:p>
    <w:p>
      <w:pPr>
        <w:spacing w:after="0" w:line="172"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judgments or awards not in excess of $100,000 in the aggregate so long as an appeal or proceeding for review is being prosecuted in good faith and for the payment of which adequate reserve in accordance with GAAP, bonds or other security have been provided or are fully covered by insurance;</w:t>
      </w:r>
    </w:p>
    <w:p>
      <w:pPr>
        <w:spacing w:after="0" w:line="172"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Project Company, leases, other property rights and Liens of record and zoning and other land use restrictions, in each case that do not impair the value of the Facility and that do not materially interfere with the ordinary conduct of business of the Seller or the Project Company;</w:t>
      </w:r>
    </w:p>
    <w:p>
      <w:pPr>
        <w:spacing w:after="0" w:line="172" w:lineRule="exact"/>
        <w:rPr>
          <w:rFonts w:ascii="Times New Roman" w:cs="Times New Roman" w:eastAsia="Times New Roman" w:hAnsi="Times New Roman"/>
          <w:sz w:val="20"/>
          <w:szCs w:val="20"/>
          <w:color w:val="auto"/>
        </w:rPr>
      </w:pPr>
    </w:p>
    <w:p>
      <w:pPr>
        <w:jc w:val="both"/>
        <w:ind w:firstLine="640"/>
        <w:spacing w:after="0" w:line="263" w:lineRule="auto"/>
        <w:tabs>
          <w:tab w:leader="none" w:pos="127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Project Company, all easements, rights-of-way, restrictions, reservations and other similar encumbrances existing or incurred in the ordinary course of business that do not impair the value of the Facility and do not materially interfere with the ordinary conduct of the business of the Project Company;</w:t>
      </w:r>
    </w:p>
    <w:p>
      <w:pPr>
        <w:spacing w:after="0" w:line="179" w:lineRule="exact"/>
        <w:rPr>
          <w:rFonts w:ascii="Times New Roman" w:cs="Times New Roman" w:eastAsia="Times New Roman" w:hAnsi="Times New Roman"/>
          <w:sz w:val="20"/>
          <w:szCs w:val="20"/>
          <w:color w:val="auto"/>
        </w:rPr>
      </w:pPr>
    </w:p>
    <w:p>
      <w:pPr>
        <w:ind w:left="1280" w:hanging="640"/>
        <w:spacing w:after="0"/>
        <w:tabs>
          <w:tab w:leader="none" w:pos="12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Equity Liens;</w:t>
      </w:r>
    </w:p>
    <w:p>
      <w:pPr>
        <w:sectPr>
          <w:pgSz w:w="11900" w:h="16838" w:orient="portrait"/>
          <w:cols w:equalWidth="0" w:num="1">
            <w:col w:w="11200"/>
          </w:cols>
          <w:pgMar w:left="320" w:top="1008" w:right="379" w:bottom="1440" w:gutter="0" w:footer="0" w:header="0"/>
        </w:sectPr>
      </w:pPr>
    </w:p>
    <w:bookmarkStart w:id="146" w:name="page147"/>
    <w:bookmarkEnd w:id="146"/>
    <w:p>
      <w:pPr>
        <w:ind w:left="1280" w:hanging="640"/>
        <w:spacing w:after="0"/>
        <w:tabs>
          <w:tab w:leader="none" w:pos="12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and set forth on </w:t>
      </w:r>
      <w:r>
        <w:rPr>
          <w:rFonts w:ascii="Times New Roman" w:cs="Times New Roman" w:eastAsia="Times New Roman" w:hAnsi="Times New Roman"/>
          <w:sz w:val="20"/>
          <w:szCs w:val="20"/>
          <w:u w:val="single" w:color="auto"/>
          <w:color w:val="auto"/>
        </w:rPr>
        <w:t>Schedule 9</w:t>
      </w:r>
      <w:r>
        <w:rPr>
          <w:rFonts w:ascii="Times New Roman" w:cs="Times New Roman" w:eastAsia="Times New Roman" w:hAnsi="Times New Roman"/>
          <w:sz w:val="20"/>
          <w:szCs w:val="20"/>
          <w:color w:val="auto"/>
        </w:rPr>
        <w:t xml:space="preserve"> and any replacement or refinancing Lien; and</w:t>
      </w:r>
    </w:p>
    <w:p>
      <w:pPr>
        <w:spacing w:after="0" w:line="210"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Liens that are incurred in the ordinary course of business by any Person in connection with the rights of third parties to use the Facility’s facilities that are required pursuant to any open access requirements under Applicable Law, are not for borrowed money and do not have a Material Adverse Effect on such Person.</w:t>
      </w:r>
    </w:p>
    <w:p>
      <w:pPr>
        <w:spacing w:after="0" w:line="168"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natural person, corporation, limited or unlimited liability company, trust, joint venture, association, company, partnership, Governmental Authority or other entity.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Placed in Service</w:t>
      </w:r>
      <w:r>
        <w:rPr>
          <w:rFonts w:ascii="Times New Roman" w:cs="Times New Roman" w:eastAsia="Times New Roman" w:hAnsi="Times New Roman"/>
          <w:sz w:val="20"/>
          <w:szCs w:val="20"/>
          <w:color w:val="auto"/>
        </w:rPr>
        <w:t>” means placed in service for U.S. federal income tax purposes.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Pre-Filing Registration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 Company</w:t>
      </w:r>
      <w:r>
        <w:rPr>
          <w:rFonts w:ascii="Times New Roman" w:cs="Times New Roman" w:eastAsia="Times New Roman" w:hAnsi="Times New Roman"/>
          <w:sz w:val="20"/>
          <w:szCs w:val="20"/>
          <w:color w:val="auto"/>
        </w:rPr>
        <w:t>” has the meaning specified in the recitals.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Recapture Period</w:t>
      </w:r>
      <w:r>
        <w:rPr>
          <w:rFonts w:ascii="Times New Roman" w:cs="Times New Roman" w:eastAsia="Times New Roman" w:hAnsi="Times New Roman"/>
          <w:sz w:val="18"/>
          <w:szCs w:val="18"/>
          <w:color w:val="auto"/>
        </w:rPr>
        <w:t>” means the period commencing on the date the Facility was Placed in Service and ending on the fifth anniversary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thereof.</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Replacement Guaranty</w:t>
      </w:r>
      <w:r>
        <w:rPr>
          <w:rFonts w:ascii="Times New Roman" w:cs="Times New Roman" w:eastAsia="Times New Roman" w:hAnsi="Times New Roman"/>
          <w:sz w:val="20"/>
          <w:szCs w:val="20"/>
          <w:color w:val="auto"/>
        </w:rPr>
        <w:t xml:space="preserve">” means a replacement guaranty agreement delivered in accordance with </w:t>
      </w:r>
      <w:r>
        <w:rPr>
          <w:rFonts w:ascii="Times New Roman" w:cs="Times New Roman" w:eastAsia="Times New Roman" w:hAnsi="Times New Roman"/>
          <w:sz w:val="20"/>
          <w:szCs w:val="20"/>
          <w:u w:val="single" w:color="auto"/>
          <w:color w:val="auto"/>
        </w:rPr>
        <w:t>Section 5(b)(xiii)</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Governmental Approvals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Country</w:t>
      </w:r>
      <w:r>
        <w:rPr>
          <w:rFonts w:ascii="Times New Roman" w:cs="Times New Roman" w:eastAsia="Times New Roman" w:hAnsi="Times New Roman"/>
          <w:sz w:val="20"/>
          <w:szCs w:val="20"/>
          <w:color w:val="auto"/>
        </w:rPr>
        <w:t>” means a country the subject of a Sanctions program maintained by any Compliance Authority.</w:t>
      </w:r>
    </w:p>
    <w:p>
      <w:pPr>
        <w:spacing w:after="0" w:line="211"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Person</w:t>
      </w:r>
      <w:r>
        <w:rPr>
          <w:rFonts w:ascii="Times New Roman" w:cs="Times New Roman" w:eastAsia="Times New Roman" w:hAnsi="Times New Roman"/>
          <w:sz w:val="20"/>
          <w:szCs w:val="20"/>
          <w:color w:val="auto"/>
        </w:rPr>
        <w:t>” means any individual person, group, regime, entity or thing listed or otherwise recognized as a specially designated, prohibited, sanctioned or debarred Person, or subject to any limitations or prohibitions (including but not limited to the blocking of property or rejection of transactions), including by virtue of being owned or controlled by any such person, group, regime, entity or thing, under any Sanctions order or directive.</w:t>
      </w:r>
    </w:p>
    <w:p>
      <w:pPr>
        <w:spacing w:after="0" w:line="168"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means those economic and trade sanctions and embargoes enforced or administered by any Compliance Authority, including without limitation the foreign assets control regulations of the U.S. Treasury Department (31 CFR, Subtitle B, Chapter V) or any enabling legislation or executive order relating thereto.</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Seller</w:t>
      </w:r>
      <w:r>
        <w:rPr>
          <w:rFonts w:ascii="Times New Roman" w:cs="Times New Roman" w:eastAsia="Times New Roman" w:hAnsi="Times New Roman"/>
          <w:sz w:val="20"/>
          <w:szCs w:val="20"/>
          <w:color w:val="auto"/>
        </w:rPr>
        <w:t>” has the meaning specified in the introductory paragraph.</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Seller Account</w:t>
      </w:r>
      <w:r>
        <w:rPr>
          <w:rFonts w:ascii="Times New Roman" w:cs="Times New Roman" w:eastAsia="Times New Roman" w:hAnsi="Times New Roman"/>
          <w:sz w:val="20"/>
          <w:szCs w:val="20"/>
          <w:color w:val="auto"/>
        </w:rPr>
        <w:t xml:space="preserve">” means the deposit account of the Seller or another deposit account as directed by Seller as identified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into which the Purchase Price shall be paid.</w:t>
      </w:r>
    </w:p>
    <w:p>
      <w:pPr>
        <w:spacing w:after="0" w:line="145"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Seller Deliverables</w:t>
      </w:r>
      <w:r>
        <w:rPr>
          <w:rFonts w:ascii="Times New Roman" w:cs="Times New Roman" w:eastAsia="Times New Roman" w:hAnsi="Times New Roman"/>
          <w:sz w:val="20"/>
          <w:szCs w:val="20"/>
          <w:color w:val="auto"/>
        </w:rPr>
        <w:t xml:space="preserve">” means those items identified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which are to be delivered by the Seller to the Buyer on or prior to the Effective Date.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i w:val="1"/>
          <w:iCs w:val="1"/>
          <w:color w:val="auto"/>
        </w:rPr>
        <w:t>“Seller Parties</w:t>
      </w:r>
      <w:r>
        <w:rPr>
          <w:rFonts w:ascii="Times New Roman" w:cs="Times New Roman" w:eastAsia="Times New Roman" w:hAnsi="Times New Roman"/>
          <w:sz w:val="20"/>
          <w:szCs w:val="20"/>
          <w:color w:val="auto"/>
        </w:rPr>
        <w:t>” has the meaning set forth in the Recitals.</w:t>
      </w:r>
    </w:p>
    <w:p>
      <w:pPr>
        <w:sectPr>
          <w:pgSz w:w="11900" w:h="16838" w:orient="portrait"/>
          <w:cols w:equalWidth="0" w:num="1">
            <w:col w:w="11200"/>
          </w:cols>
          <w:pgMar w:left="320" w:top="1011" w:right="379" w:bottom="1440" w:gutter="0" w:footer="0" w:header="0"/>
        </w:sectPr>
      </w:pPr>
    </w:p>
    <w:bookmarkStart w:id="147" w:name="page148"/>
    <w:bookmarkEnd w:id="147"/>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Tax Representations</w:t>
      </w:r>
      <w:r>
        <w:rPr>
          <w:rFonts w:ascii="Times New Roman" w:cs="Times New Roman" w:eastAsia="Times New Roman" w:hAnsi="Times New Roman"/>
          <w:sz w:val="20"/>
          <w:szCs w:val="20"/>
          <w:color w:val="auto"/>
        </w:rPr>
        <w:t xml:space="preserve">” means the representations and warranties of the Seller set forth in </w:t>
      </w:r>
      <w:r>
        <w:rPr>
          <w:rFonts w:ascii="Times New Roman" w:cs="Times New Roman" w:eastAsia="Times New Roman" w:hAnsi="Times New Roman"/>
          <w:sz w:val="20"/>
          <w:szCs w:val="20"/>
          <w:u w:val="single" w:color="auto"/>
          <w:color w:val="auto"/>
        </w:rPr>
        <w:t>Section 4(a)(vii)</w:t>
      </w:r>
      <w:r>
        <w:rPr>
          <w:rFonts w:ascii="Times New Roman" w:cs="Times New Roman" w:eastAsia="Times New Roman" w:hAnsi="Times New Roman"/>
          <w:sz w:val="20"/>
          <w:szCs w:val="20"/>
          <w:color w:val="auto"/>
        </w:rPr>
        <w:t xml:space="preserve"> (solely with respect to the Seller), and in </w:t>
      </w:r>
      <w:r>
        <w:rPr>
          <w:rFonts w:ascii="Times New Roman" w:cs="Times New Roman" w:eastAsia="Times New Roman" w:hAnsi="Times New Roman"/>
          <w:sz w:val="20"/>
          <w:szCs w:val="20"/>
          <w:u w:val="single" w:color="auto"/>
          <w:color w:val="auto"/>
        </w:rPr>
        <w:t>Items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 (11)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Structuring Fee</w:t>
      </w:r>
      <w:r>
        <w:rPr>
          <w:rFonts w:ascii="Times New Roman" w:cs="Times New Roman" w:eastAsia="Times New Roman" w:hAnsi="Times New Roman"/>
          <w:sz w:val="20"/>
          <w:szCs w:val="20"/>
          <w:color w:val="auto"/>
        </w:rPr>
        <w:t>” has the meaning specified in the Structuring Fee Letter.</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Structuring Fee Letter</w:t>
      </w:r>
      <w:r>
        <w:rPr>
          <w:rFonts w:ascii="Times New Roman" w:cs="Times New Roman" w:eastAsia="Times New Roman" w:hAnsi="Times New Roman"/>
          <w:sz w:val="18"/>
          <w:szCs w:val="18"/>
          <w:color w:val="auto"/>
        </w:rPr>
        <w:t>” means the Structuring Fee Letter dated as of the date hereof among Apollo Global Funding, LLC and Seller.</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Substantial Completion</w:t>
      </w:r>
      <w:r>
        <w:rPr>
          <w:rFonts w:ascii="Times New Roman" w:cs="Times New Roman" w:eastAsia="Times New Roman" w:hAnsi="Times New Roman"/>
          <w:sz w:val="20"/>
          <w:szCs w:val="20"/>
          <w:color w:val="auto"/>
        </w:rPr>
        <w:t>” means “Substantial Completion” as defined in the EPC Contract.</w:t>
      </w:r>
    </w:p>
    <w:p>
      <w:pPr>
        <w:spacing w:after="0" w:line="211"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Survival Period End Date</w:t>
      </w:r>
      <w:r>
        <w:rPr>
          <w:rFonts w:ascii="Times New Roman" w:cs="Times New Roman" w:eastAsia="Times New Roman" w:hAnsi="Times New Roman"/>
          <w:sz w:val="20"/>
          <w:szCs w:val="20"/>
          <w:color w:val="auto"/>
        </w:rPr>
        <w:t>” means the later of (a) the date that is six (6) months after the applicable statute of limitations (including extensions) expires on any IRS audit for the applicable tax year of the Buyer, and (b) the expiration of the Recapture Period.</w:t>
      </w:r>
    </w:p>
    <w:p>
      <w:pPr>
        <w:spacing w:after="0" w:line="158" w:lineRule="exact"/>
        <w:rPr>
          <w:sz w:val="20"/>
          <w:szCs w:val="20"/>
          <w:color w:val="auto"/>
        </w:rPr>
      </w:pPr>
    </w:p>
    <w:p>
      <w:pPr>
        <w:jc w:val="both"/>
        <w:ind w:firstLine="633"/>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Credit Loss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Credits</w:t>
      </w:r>
      <w:r>
        <w:rPr>
          <w:rFonts w:ascii="Times New Roman" w:cs="Times New Roman" w:eastAsia="Times New Roman" w:hAnsi="Times New Roman"/>
          <w:sz w:val="20"/>
          <w:szCs w:val="20"/>
          <w:color w:val="auto"/>
        </w:rPr>
        <w:t>” has the meaning specified in the recitals.</w:t>
      </w:r>
    </w:p>
    <w:p>
      <w:pPr>
        <w:spacing w:after="0" w:line="211" w:lineRule="exact"/>
        <w:rPr>
          <w:sz w:val="20"/>
          <w:szCs w:val="20"/>
          <w:color w:val="auto"/>
        </w:rPr>
      </w:pPr>
    </w:p>
    <w:p>
      <w:pPr>
        <w:jc w:val="both"/>
        <w:ind w:firstLine="63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Exempt Person</w:t>
      </w:r>
      <w:r>
        <w:rPr>
          <w:rFonts w:ascii="Times New Roman" w:cs="Times New Roman" w:eastAsia="Times New Roman" w:hAnsi="Times New Roman"/>
          <w:sz w:val="18"/>
          <w:szCs w:val="18"/>
          <w:color w:val="auto"/>
        </w:rPr>
        <w:t>” means (a) the U.S., any state or political subdivision thereof, any possession of the U.S. or any agency or instrumentality of any of the foregoing, (b) any organization which is exempt from tax imposed by the Code (including any former tax-exempt organization within the meaning of Section 168(h)(2)(E) of the Code), (c) any Person who is not a “United States person” under Section 7701(a)(30) of the Code, (d) any Indian tribal government described in Section 7701(a)(40) of the Code, (e) any entity referred to in Section 54(j)(4) of the Code, (f) any Person ineligible for ITCs in whole or in part pursuant to Section 50 of the Code and the Treasury Regulations thereunder, (g) any “tax-exempt controlled entity” under Section 168(h)(6)(F) of the Code, and (h) any partnership or other pass-through entity (including a single-member disregarded entity) any direct or indirect partner of which (or other direct or indirect holder of an equity or profits interest) is described in clauses (a) through (g), unless such Person holds its interest in the partnership or other pass-through entity indirectly through an entity taxable as a corporation for U.S. federal income tax purposes, other than a “tax-exempt controlled entity”; provided, however, that any such Person shall not be considered a Tax Exempt Person to the extent that (i) the exception under Section 168(h)</w:t>
      </w:r>
    </w:p>
    <w:p>
      <w:pPr>
        <w:spacing w:after="0" w:line="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(1)(D) of the Code applies with respect to the income from Seller for that Person, (ii) the Person is described within clause (c) of this definition, and the exception under Section 168(h)(2)(B)(i) of the Code applies with respect to the income from Seller for that Person, or (iii) such Person avoids being a “taxexempt controlled entity” under Section 168(h)(6)(F) of the Code by making an election under Section 168(h)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(6)(F)(ii) of the Code.</w:t>
      </w:r>
    </w:p>
    <w:p>
      <w:pPr>
        <w:spacing w:after="0" w:line="185"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Insurance Policy</w:t>
      </w:r>
      <w:r>
        <w:rPr>
          <w:rFonts w:ascii="Times New Roman" w:cs="Times New Roman" w:eastAsia="Times New Roman" w:hAnsi="Times New Roman"/>
          <w:sz w:val="20"/>
          <w:szCs w:val="20"/>
          <w:color w:val="auto"/>
        </w:rPr>
        <w:t>” means the tax liability insurance policy or policies with respect to the Transactions, bound and effective as of the Effective Date.</w:t>
      </w:r>
    </w:p>
    <w:p>
      <w:pPr>
        <w:spacing w:after="0" w:line="145" w:lineRule="exact"/>
        <w:rPr>
          <w:sz w:val="20"/>
          <w:szCs w:val="20"/>
          <w:color w:val="auto"/>
        </w:rPr>
      </w:pPr>
    </w:p>
    <w:p>
      <w:pPr>
        <w:ind w:left="660" w:right="100" w:hanging="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Transaction Documents</w:t>
      </w:r>
      <w:r>
        <w:rPr>
          <w:rFonts w:ascii="Times New Roman" w:cs="Times New Roman" w:eastAsia="Times New Roman" w:hAnsi="Times New Roman"/>
          <w:sz w:val="20"/>
          <w:szCs w:val="20"/>
          <w:color w:val="auto"/>
        </w:rPr>
        <w:t>” means this Agreement, the Guaranty and the Structuring Fee Letter.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means, collectively, the execution and delivery of the Transaction Documents by the parties thereto and the performance of the obligations of such parties thereunder, including the sale and transfer of the Transferred Tax Credits and the payment therefor.</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5(c)</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Election Statement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ectPr>
          <w:pgSz w:w="11900" w:h="16838" w:orient="portrait"/>
          <w:cols w:equalWidth="0" w:num="1">
            <w:col w:w="11200"/>
          </w:cols>
          <w:pgMar w:left="320" w:top="1008" w:right="379" w:bottom="1440" w:gutter="0" w:footer="0" w:header="0"/>
        </w:sectPr>
      </w:pPr>
    </w:p>
    <w:bookmarkStart w:id="148" w:name="page149"/>
    <w:bookmarkEnd w:id="148"/>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Transferred Tax Credits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Treasury</w:t>
      </w:r>
      <w:r>
        <w:rPr>
          <w:rFonts w:ascii="Times New Roman" w:cs="Times New Roman" w:eastAsia="Times New Roman" w:hAnsi="Times New Roman"/>
          <w:sz w:val="20"/>
          <w:szCs w:val="20"/>
          <w:color w:val="auto"/>
        </w:rPr>
        <w:t>” means the U.S. Department of Treasury.</w:t>
      </w:r>
    </w:p>
    <w:p>
      <w:pPr>
        <w:spacing w:after="0" w:line="211"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Unavailable</w:t>
      </w:r>
      <w:r>
        <w:rPr>
          <w:rFonts w:ascii="Times New Roman" w:cs="Times New Roman" w:eastAsia="Times New Roman" w:hAnsi="Times New Roman"/>
          <w:sz w:val="20"/>
          <w:szCs w:val="20"/>
          <w:color w:val="auto"/>
        </w:rPr>
        <w:t>” means, with respect to any insurance required to be maintained hereunder with respect to the Facility (other than the Tax Insurance Policy), that such insurance is no longer available, commercially feasible or only available on cost prohibitive terms in the commercial insurance market for renewable natural gas projects of type and capacity similar to the Facility.</w:t>
      </w:r>
    </w:p>
    <w:p>
      <w:pPr>
        <w:spacing w:after="0" w:line="167"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Uniform Commercial Code</w:t>
      </w:r>
      <w:r>
        <w:rPr>
          <w:rFonts w:ascii="Times New Roman" w:cs="Times New Roman" w:eastAsia="Times New Roman" w:hAnsi="Times New Roman"/>
          <w:sz w:val="20"/>
          <w:szCs w:val="20"/>
          <w:color w:val="auto"/>
        </w:rPr>
        <w:t>” means the Uniform Commercial Code as in effect in New York; provided that, if by reason of mandatory provisions of law, the perfection or the effect of perfection or nonperfection of any relevant security interest is governed by the Uniform Commercial Code as in effect in a jurisdiction other than New York, such term shall mean the Uniform Commercial Code as in effect in such other jurisdiction.</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means the United States of America.</w:t>
      </w:r>
    </w:p>
    <w:p>
      <w:pPr>
        <w:spacing w:after="0" w:line="215" w:lineRule="exact"/>
        <w:rPr>
          <w:sz w:val="20"/>
          <w:szCs w:val="20"/>
          <w:color w:val="auto"/>
        </w:rPr>
      </w:pPr>
    </w:p>
    <w:p>
      <w:pPr>
        <w:jc w:val="both"/>
        <w:ind w:firstLine="640"/>
        <w:spacing w:after="0" w:line="247" w:lineRule="auto"/>
        <w:tabs>
          <w:tab w:leader="none" w:pos="94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(including this Agreement),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(ii) any reference herein to any Person shall be construed to include such Person’s permitted successors and permitted assigns (subject to any restrictions on assignment set forth herein) and, in the case of any Governmental Authority, any other Governmental Authority that shall have succeeded to any or all functions thereof, (iii) the words “herein”, “hereof” and “hereunder”, and words of similar import, shall be construed to refer to this Agreement in its entirety and not to any particular provision hereof, (iv) all references herein to Sections, Exhibits and Schedules shall be construed to refer to Sections of, and Exhibits and Schedules to, this Agreement, (v) the words “asset” and “property” shall be construed to have the same meaning and effect and to refer to any and all tangible and intangible assets and properties, including cash, securities, accounts and contract rights, and (vi) any reference to any Applicable Law shall, unless otherwise specified, refer to such Applicable Law as amended, modified or supplemented from time to time and shall include all statutory and regulatory provisions consolidating, amending, replacing, supplementing, interpreting or administering such Applicable Law.</w:t>
      </w:r>
    </w:p>
    <w:p>
      <w:pPr>
        <w:spacing w:after="0" w:line="216"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b w:val="1"/>
          <w:bCs w:val="1"/>
          <w:u w:val="single" w:color="auto"/>
          <w:color w:val="auto"/>
        </w:rPr>
        <w:t>Section 2</w:t>
      </w:r>
      <w:r>
        <w:rPr>
          <w:sz w:val="20"/>
          <w:szCs w:val="20"/>
          <w:color w:val="auto"/>
        </w:rPr>
        <w:tab/>
      </w:r>
      <w:r>
        <w:rPr>
          <w:rFonts w:ascii="Times New Roman" w:cs="Times New Roman" w:eastAsia="Times New Roman" w:hAnsi="Times New Roman"/>
          <w:sz w:val="18"/>
          <w:szCs w:val="18"/>
          <w:b w:val="1"/>
          <w:bCs w:val="1"/>
          <w:u w:val="single" w:color="auto"/>
          <w:color w:val="auto"/>
        </w:rPr>
        <w:t>Purchase and Sale of Tax Credits.</w:t>
      </w:r>
    </w:p>
    <w:p>
      <w:pPr>
        <w:spacing w:after="0" w:line="201" w:lineRule="exact"/>
        <w:rPr>
          <w:sz w:val="20"/>
          <w:szCs w:val="20"/>
          <w:color w:val="auto"/>
        </w:rPr>
      </w:pPr>
    </w:p>
    <w:p>
      <w:pPr>
        <w:jc w:val="both"/>
        <w:ind w:firstLine="640"/>
        <w:spacing w:after="0" w:line="253" w:lineRule="auto"/>
        <w:tabs>
          <w:tab w:leader="none" w:pos="127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satisfaction of the conditions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the Seller hereby agrees to assign, transfer and convey to the Buyer, and the Buyer hereby agrees to purchase from the Seller, on the Closing Date, $3,239,720 of Tax Credits generated by the Seller placing the Facility in service for U.S. federal income tax purposes (such Tax Credits, the “</w:t>
      </w:r>
      <w:r>
        <w:rPr>
          <w:rFonts w:ascii="Times New Roman" w:cs="Times New Roman" w:eastAsia="Times New Roman" w:hAnsi="Times New Roman"/>
          <w:sz w:val="20"/>
          <w:szCs w:val="20"/>
          <w:b w:val="1"/>
          <w:bCs w:val="1"/>
          <w:i w:val="1"/>
          <w:iCs w:val="1"/>
          <w:color w:val="auto"/>
        </w:rPr>
        <w:t>Transferred Tax Credits</w:t>
      </w:r>
      <w:r>
        <w:rPr>
          <w:rFonts w:ascii="Times New Roman" w:cs="Times New Roman" w:eastAsia="Times New Roman" w:hAnsi="Times New Roman"/>
          <w:sz w:val="20"/>
          <w:szCs w:val="20"/>
          <w:color w:val="auto"/>
        </w:rPr>
        <w:t>”), for a purchase price equal to [***] (the “</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The Transferred Tax Credits represent all of the Tax Credits that, but for this Agreement, would be claimed by the Seller from its ownership interest in the Project Company.</w:t>
      </w:r>
    </w:p>
    <w:p>
      <w:pPr>
        <w:spacing w:after="0" w:line="177"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pay the Purchase Price to the Seller, in immediately available funds, in U.S. Dollars on or before the date that is three (3) Business Days after the Closing Date (such payment date, the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The payment of the Purchase Price shall be made by wire transfer of the</w:t>
      </w:r>
    </w:p>
    <w:p>
      <w:pPr>
        <w:sectPr>
          <w:pgSz w:w="11900" w:h="16838" w:orient="portrait"/>
          <w:cols w:equalWidth="0" w:num="1">
            <w:col w:w="11200"/>
          </w:cols>
          <w:pgMar w:left="320" w:top="1007" w:right="3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color w:val="auto"/>
        </w:rPr>
        <w:t>Purchase Price on the Payment Date to the Seller Account in accordance with the Funds Flow Memorandum.</w:t>
      </w:r>
    </w:p>
    <w:p>
      <w:pPr>
        <w:spacing w:after="0" w:line="247"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b w:val="1"/>
          <w:bCs w:val="1"/>
          <w:u w:val="single" w:color="auto"/>
          <w:color w:val="auto"/>
        </w:rPr>
        <w:t>Section 3</w:t>
      </w:r>
      <w:r>
        <w:rPr>
          <w:sz w:val="20"/>
          <w:szCs w:val="20"/>
          <w:color w:val="auto"/>
        </w:rPr>
        <w:tab/>
      </w:r>
      <w:r>
        <w:rPr>
          <w:rFonts w:ascii="Times New Roman" w:cs="Times New Roman" w:eastAsia="Times New Roman" w:hAnsi="Times New Roman"/>
          <w:sz w:val="18"/>
          <w:szCs w:val="18"/>
          <w:b w:val="1"/>
          <w:bCs w:val="1"/>
          <w:u w:val="single" w:color="auto"/>
          <w:color w:val="auto"/>
        </w:rPr>
        <w:t>Conditions Precedent.</w:t>
      </w:r>
    </w:p>
    <w:p>
      <w:pPr>
        <w:spacing w:after="0" w:line="201" w:lineRule="exact"/>
        <w:rPr>
          <w:sz w:val="20"/>
          <w:szCs w:val="20"/>
          <w:color w:val="auto"/>
        </w:rPr>
      </w:pPr>
    </w:p>
    <w:p>
      <w:pPr>
        <w:jc w:val="both"/>
        <w:ind w:firstLine="633"/>
        <w:spacing w:after="0" w:line="263" w:lineRule="auto"/>
        <w:rPr>
          <w:sz w:val="20"/>
          <w:szCs w:val="20"/>
          <w:color w:val="auto"/>
        </w:rPr>
      </w:pPr>
      <w:r>
        <w:rPr>
          <w:rFonts w:ascii="Times New Roman" w:cs="Times New Roman" w:eastAsia="Times New Roman" w:hAnsi="Times New Roman"/>
          <w:sz w:val="20"/>
          <w:szCs w:val="20"/>
          <w:color w:val="auto"/>
        </w:rPr>
        <w:t>The effectiveness of this Agreement and the obligations of the Buyer and the Seller under this Agreement shall be subject to the satisfaction of each of the following conditions, any of which may be waived, in whole or in part, by the Party to whose benefit the conditions inures, in its sole discretion:</w:t>
      </w:r>
    </w:p>
    <w:p>
      <w:pPr>
        <w:spacing w:after="0" w:line="166" w:lineRule="exact"/>
        <w:rPr>
          <w:sz w:val="20"/>
          <w:szCs w:val="20"/>
          <w:color w:val="auto"/>
        </w:rPr>
      </w:pPr>
    </w:p>
    <w:p>
      <w:pPr>
        <w:jc w:val="both"/>
        <w:ind w:firstLine="640"/>
        <w:spacing w:after="0" w:line="283" w:lineRule="auto"/>
        <w:tabs>
          <w:tab w:leader="none" w:pos="12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and the Seller shall each receive executed counterparts of this Agreement, duly executed by an officer or other authorized representative of such Party. The Buyer shall have received an executed copy of the Guaranty duly executed by an officer or other authorized representative of the Guarantor. The Buyer and the Seller shall each receive an executed copy of the Structuring Fee Letter. The Buyer and the Seller shall have each received an executed copy of the interparty (forbearance) agreement by and among OPAL Fuels Intermediate HoldCo LLC, a Delaware limited liability company, the Seller, the Buyer and Bank of America, N.A., in its capacity as collateral agent for the secured parties under the Credit and Guarantee Agreement described in Schedule 9, substantially in the form of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w:t>
      </w:r>
    </w:p>
    <w:p>
      <w:pPr>
        <w:spacing w:after="0" w:line="151"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Parties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be true and correct in all respects.</w:t>
      </w:r>
    </w:p>
    <w:p>
      <w:pPr>
        <w:spacing w:after="0" w:line="210" w:lineRule="exact"/>
        <w:rPr>
          <w:rFonts w:ascii="Times New Roman" w:cs="Times New Roman" w:eastAsia="Times New Roman" w:hAnsi="Times New Roman"/>
          <w:sz w:val="20"/>
          <w:szCs w:val="20"/>
          <w:color w:val="auto"/>
        </w:rPr>
      </w:pPr>
    </w:p>
    <w:p>
      <w:pPr>
        <w:ind w:left="1280" w:hanging="640"/>
        <w:spacing w:after="0"/>
        <w:tabs>
          <w:tab w:leader="none" w:pos="12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have received each of the Seller Deliverables and the Seller shall have received each of the Buyer</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Deliverables.</w:t>
      </w:r>
    </w:p>
    <w:p>
      <w:pPr>
        <w:spacing w:after="0" w:line="188"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have (i) satisfactorily completed its due diligence of the Facility and its qualification for the Transferred Tax Credits and the eligibility of the Seller to transfer the Transferred Tax Credits to the Buyer under Section 6418 of the Code and (ii) received all necessary internal credit and management approvals with respect to the purchase of the Transferred Tax Credits.</w:t>
      </w:r>
    </w:p>
    <w:p>
      <w:pPr>
        <w:spacing w:after="0" w:line="172" w:lineRule="exact"/>
        <w:rPr>
          <w:rFonts w:ascii="Times New Roman" w:cs="Times New Roman" w:eastAsia="Times New Roman" w:hAnsi="Times New Roman"/>
          <w:sz w:val="20"/>
          <w:szCs w:val="20"/>
          <w:color w:val="auto"/>
        </w:rPr>
      </w:pPr>
    </w:p>
    <w:p>
      <w:pPr>
        <w:ind w:firstLine="640"/>
        <w:spacing w:after="0" w:line="276" w:lineRule="auto"/>
        <w:tabs>
          <w:tab w:leader="none" w:pos="127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have received a tax opinion from Mayer Brown LLP, as tax counsel to the Buyer, in form and substance reasonably satisfactory to Buyer.</w:t>
      </w:r>
    </w:p>
    <w:p>
      <w:pPr>
        <w:spacing w:after="0" w:line="152" w:lineRule="exact"/>
        <w:rPr>
          <w:rFonts w:ascii="Times New Roman" w:cs="Times New Roman" w:eastAsia="Times New Roman" w:hAnsi="Times New Roman"/>
          <w:sz w:val="20"/>
          <w:szCs w:val="20"/>
          <w:color w:val="auto"/>
        </w:rPr>
      </w:pPr>
    </w:p>
    <w:p>
      <w:pPr>
        <w:jc w:val="both"/>
        <w:ind w:firstLine="640"/>
        <w:spacing w:after="0" w:line="250" w:lineRule="auto"/>
        <w:tabs>
          <w:tab w:leader="none" w:pos="127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federal income tax law, regulation or guidance shall have been enacted, promulgated, proposed, issued, published, changed, revoked or repealed and no Governmental Authority has ruled with respect to any Applicable Law, regulation or guidance in a manner that (i) is reasonably likely to limit, restrict, reduce, or disallow the Transferred Tax Credits or the transfer thereof as contemplated hereby or (ii) creates a reasonable likelihood that the Transferred Tax Credits or the transfer thereof will not be allowed, be reduced or be recaptured (a “</w:t>
      </w:r>
      <w:r>
        <w:rPr>
          <w:rFonts w:ascii="Times New Roman" w:cs="Times New Roman" w:eastAsia="Times New Roman" w:hAnsi="Times New Roman"/>
          <w:sz w:val="20"/>
          <w:szCs w:val="20"/>
          <w:b w:val="1"/>
          <w:bCs w:val="1"/>
          <w:i w:val="1"/>
          <w:iCs w:val="1"/>
          <w:color w:val="auto"/>
        </w:rPr>
        <w:t>Change in Tax Law Termination Event</w:t>
      </w:r>
      <w:r>
        <w:rPr>
          <w:rFonts w:ascii="Times New Roman" w:cs="Times New Roman" w:eastAsia="Times New Roman" w:hAnsi="Times New Roman"/>
          <w:sz w:val="20"/>
          <w:szCs w:val="20"/>
          <w:color w:val="auto"/>
        </w:rPr>
        <w:t>”), in each case, excluding any item affecting whether the Buyer has sufficient tax liability to efficiently utilize the Transferred Tax Credits.</w:t>
      </w:r>
    </w:p>
    <w:p>
      <w:pPr>
        <w:spacing w:after="0" w:line="178" w:lineRule="exact"/>
        <w:rPr>
          <w:rFonts w:ascii="Times New Roman" w:cs="Times New Roman" w:eastAsia="Times New Roman" w:hAnsi="Times New Roman"/>
          <w:sz w:val="20"/>
          <w:szCs w:val="20"/>
          <w:color w:val="auto"/>
        </w:rPr>
      </w:pPr>
    </w:p>
    <w:p>
      <w:pPr>
        <w:jc w:val="both"/>
        <w:ind w:firstLine="640"/>
        <w:spacing w:after="0" w:line="254" w:lineRule="auto"/>
        <w:tabs>
          <w:tab w:leader="none" w:pos="127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Condemnation Event shall have occurred, is pending, or threatened in writing, that is material to the ownership or operation of the Facility or the sale of RNG therefrom, and no unrepaired Casualty Event shall exist that is material to the ownership or operation of the Facility or the sale of RNG therefrom unless, in the opinion of the Independent Engineer, such Casualty Event is capable of repair in a time frame that is reasonably satisfactory to the Buyer.</w:t>
      </w:r>
    </w:p>
    <w:p>
      <w:pPr>
        <w:spacing w:after="0" w:line="175"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be satisfied that the transfer provisions and mechanics in this Agreement and any other applicable provisions of this Agreement have been updated to comply with any guidance the IRS or Treasury issued under Section 6418 of the Code, in a manner satisfactory to both Parties.</w:t>
      </w:r>
    </w:p>
    <w:p>
      <w:pPr>
        <w:sectPr>
          <w:pgSz w:w="11900" w:h="16838" w:orient="portrait"/>
          <w:cols w:equalWidth="0" w:num="1">
            <w:col w:w="11200"/>
          </w:cols>
          <w:pgMar w:left="320" w:top="1012" w:right="379" w:bottom="1440" w:gutter="0" w:footer="0" w:header="0"/>
        </w:sectPr>
      </w:pPr>
    </w:p>
    <w:bookmarkStart w:id="150" w:name="page151"/>
    <w:bookmarkEnd w:id="150"/>
    <w:p>
      <w:pPr>
        <w:ind w:left="1280" w:hanging="640"/>
        <w:spacing w:after="0"/>
        <w:tabs>
          <w:tab w:leader="none" w:pos="12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have agreed on a final Funds Flow Memorandum.</w:t>
      </w:r>
    </w:p>
    <w:p>
      <w:pPr>
        <w:spacing w:after="0" w:line="210" w:lineRule="exact"/>
        <w:rPr>
          <w:rFonts w:ascii="Times New Roman" w:cs="Times New Roman" w:eastAsia="Times New Roman" w:hAnsi="Times New Roman"/>
          <w:sz w:val="20"/>
          <w:szCs w:val="20"/>
          <w:color w:val="auto"/>
        </w:rPr>
      </w:pPr>
    </w:p>
    <w:p>
      <w:pPr>
        <w:ind w:left="1280" w:hanging="640"/>
        <w:spacing w:after="0"/>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shall have occurred and be continuing with respect to the Buyer, any Opal Party, any Seller Party</w:t>
      </w:r>
    </w:p>
    <w:p>
      <w:pPr>
        <w:spacing w:after="0" w:line="4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or the Facility.</w:t>
      </w:r>
    </w:p>
    <w:p>
      <w:pPr>
        <w:spacing w:after="0" w:line="196" w:lineRule="exact"/>
        <w:rPr>
          <w:rFonts w:ascii="Times New Roman" w:cs="Times New Roman" w:eastAsia="Times New Roman" w:hAnsi="Times New Roman"/>
          <w:sz w:val="18"/>
          <w:szCs w:val="18"/>
          <w:color w:val="auto"/>
        </w:rPr>
      </w:pPr>
    </w:p>
    <w:p>
      <w:pPr>
        <w:ind w:right="20" w:firstLine="640"/>
        <w:spacing w:after="0" w:line="262" w:lineRule="auto"/>
        <w:tabs>
          <w:tab w:leader="none" w:pos="127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have delivered prior written notice to the Buyer at least five Business Days (or such shorter time as approved by Buyer, such approval not to be unreasonably withheld, delayed or conditioned) prior to the proposed Closing Date.</w:t>
      </w:r>
    </w:p>
    <w:p>
      <w:pPr>
        <w:spacing w:after="0" w:line="165" w:lineRule="exact"/>
        <w:rPr>
          <w:rFonts w:ascii="Times New Roman" w:cs="Times New Roman" w:eastAsia="Times New Roman" w:hAnsi="Times New Roman"/>
          <w:sz w:val="20"/>
          <w:szCs w:val="20"/>
          <w:color w:val="auto"/>
        </w:rPr>
      </w:pPr>
    </w:p>
    <w:p>
      <w:pPr>
        <w:jc w:val="both"/>
        <w:ind w:firstLine="640"/>
        <w:spacing w:after="0" w:line="263" w:lineRule="auto"/>
        <w:tabs>
          <w:tab w:leader="none" w:pos="127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Opal Parties will (on a joint and several basis) have paid or arranged to pay in the Funds Flow Memorandum the legal fees and expenses incurred by Buyer in connection with the Transaction and the negotiation, execution and delivery of the Transaction Documents and the other documents related thereto.</w:t>
      </w:r>
    </w:p>
    <w:p>
      <w:pPr>
        <w:spacing w:after="0" w:line="188"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b w:val="1"/>
          <w:bCs w:val="1"/>
          <w:u w:val="single" w:color="auto"/>
          <w:color w:val="auto"/>
        </w:rPr>
        <w:t>Section 4</w:t>
      </w:r>
      <w:r>
        <w:rPr>
          <w:sz w:val="20"/>
          <w:szCs w:val="20"/>
          <w:color w:val="auto"/>
        </w:rPr>
        <w:tab/>
      </w:r>
      <w:r>
        <w:rPr>
          <w:rFonts w:ascii="Times New Roman" w:cs="Times New Roman" w:eastAsia="Times New Roman" w:hAnsi="Times New Roman"/>
          <w:sz w:val="18"/>
          <w:szCs w:val="18"/>
          <w:b w:val="1"/>
          <w:bCs w:val="1"/>
          <w:u w:val="single" w:color="auto"/>
          <w:color w:val="auto"/>
        </w:rPr>
        <w:t>Representations and Warranties.</w:t>
      </w:r>
    </w:p>
    <w:p>
      <w:pPr>
        <w:spacing w:after="0" w:line="215" w:lineRule="exact"/>
        <w:rPr>
          <w:sz w:val="20"/>
          <w:szCs w:val="20"/>
          <w:color w:val="auto"/>
        </w:rPr>
      </w:pPr>
    </w:p>
    <w:p>
      <w:pPr>
        <w:ind w:firstLine="640"/>
        <w:spacing w:after="0" w:line="262" w:lineRule="auto"/>
        <w:tabs>
          <w:tab w:leader="none" w:pos="127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Representations and Warranties of the Parties</w:t>
      </w:r>
      <w:r>
        <w:rPr>
          <w:rFonts w:ascii="Times New Roman" w:cs="Times New Roman" w:eastAsia="Times New Roman" w:hAnsi="Times New Roman"/>
          <w:sz w:val="20"/>
          <w:szCs w:val="20"/>
          <w:color w:val="auto"/>
        </w:rPr>
        <w:t>. Each of the Buyer and the Seller represents and warrants, as to itself (except as otherwise provided below), to the other Party on and as of the Effective Date as follows:</w:t>
      </w:r>
    </w:p>
    <w:p>
      <w:pPr>
        <w:spacing w:after="0" w:line="165" w:lineRule="exact"/>
        <w:rPr>
          <w:rFonts w:ascii="Times New Roman" w:cs="Times New Roman" w:eastAsia="Times New Roman" w:hAnsi="Times New Roman"/>
          <w:sz w:val="20"/>
          <w:szCs w:val="20"/>
          <w:color w:val="auto"/>
        </w:rPr>
      </w:pPr>
    </w:p>
    <w:p>
      <w:pPr>
        <w:jc w:val="both"/>
        <w:ind w:left="640" w:firstLine="641"/>
        <w:spacing w:after="0" w:line="253" w:lineRule="auto"/>
        <w:tabs>
          <w:tab w:leader="none" w:pos="191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and Authority</w:t>
      </w:r>
      <w:r>
        <w:rPr>
          <w:rFonts w:ascii="Times New Roman" w:cs="Times New Roman" w:eastAsia="Times New Roman" w:hAnsi="Times New Roman"/>
          <w:sz w:val="20"/>
          <w:szCs w:val="20"/>
          <w:color w:val="auto"/>
        </w:rPr>
        <w:t>. Such Party is a limited liability company, partnership or corporation, as the case may be, validly existing and in good standing under the laws of the State of such Party’s organization or incorporation, as the case may be, and such Party has all requisite limited liability, partnership or corporate, as the case may be, power and authority to execute and deliver this Agreement and the other Transaction Documents to which it is a party and to consummate the Transactions and to perform its obligations under this Agreement and the other Transaction Documents to which it is a party.</w:t>
      </w:r>
    </w:p>
    <w:p>
      <w:pPr>
        <w:spacing w:after="0" w:line="177" w:lineRule="exact"/>
        <w:rPr>
          <w:rFonts w:ascii="Times New Roman" w:cs="Times New Roman" w:eastAsia="Times New Roman" w:hAnsi="Times New Roman"/>
          <w:sz w:val="20"/>
          <w:szCs w:val="20"/>
          <w:color w:val="auto"/>
        </w:rPr>
      </w:pPr>
    </w:p>
    <w:p>
      <w:pPr>
        <w:jc w:val="both"/>
        <w:ind w:left="640" w:firstLine="641"/>
        <w:spacing w:after="0" w:line="250" w:lineRule="auto"/>
        <w:tabs>
          <w:tab w:leader="none" w:pos="191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and Execution</w:t>
      </w:r>
      <w:r>
        <w:rPr>
          <w:rFonts w:ascii="Times New Roman" w:cs="Times New Roman" w:eastAsia="Times New Roman" w:hAnsi="Times New Roman"/>
          <w:sz w:val="20"/>
          <w:szCs w:val="20"/>
          <w:color w:val="auto"/>
        </w:rPr>
        <w:t>. Each Transaction Document to which such Party is a party has been duly and validly authorized, executed and delivered by such Party and (assuming due authorization, execution and delivery by each other party thereto) constitutes the legal, valid and binding obligation of such Party, enforceable against such Party in accordance with its terms, subject to the effects of bankruptcy, insolvency, reorganization, moratorium and similar laws from time to time in effect relating to the rights and remedies of creditors as well as to general principles of equity whether considered at law or in equity.</w:t>
      </w:r>
    </w:p>
    <w:p>
      <w:pPr>
        <w:spacing w:after="0" w:line="178" w:lineRule="exact"/>
        <w:rPr>
          <w:rFonts w:ascii="Times New Roman" w:cs="Times New Roman" w:eastAsia="Times New Roman" w:hAnsi="Times New Roman"/>
          <w:sz w:val="20"/>
          <w:szCs w:val="20"/>
          <w:color w:val="auto"/>
        </w:rPr>
      </w:pPr>
    </w:p>
    <w:p>
      <w:pPr>
        <w:jc w:val="both"/>
        <w:ind w:left="640" w:firstLine="641"/>
        <w:spacing w:after="0" w:line="248" w:lineRule="auto"/>
        <w:tabs>
          <w:tab w:leader="none" w:pos="191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Violation</w:t>
      </w:r>
      <w:r>
        <w:rPr>
          <w:rFonts w:ascii="Times New Roman" w:cs="Times New Roman" w:eastAsia="Times New Roman" w:hAnsi="Times New Roman"/>
          <w:sz w:val="20"/>
          <w:szCs w:val="20"/>
          <w:color w:val="auto"/>
        </w:rPr>
        <w:t>. Neither the execution and delivery of this Agreement or any other Transaction Document by such Party nor the performance of such Party’s obligations hereunder or thereunder will (A) conflict with, or result in a breach of, any provision of the organizational documents of such Party, (B) violate or conflict with (or give rise to any right of termination, cancellation or acceleration under) any of the terms, conditions or provisions of any material contract or other material instrument, agreement or obligation to which such Party is a party or by which such Party or such Party’s assets are bound or (C) violate any Applicable Law or any license, franchise, permit or other authorization applicable to or affecting such Party or any of its assets (or result in the imposition of a Lien, other than Permitted Liens, upon any such assets) except for any of the foregoing that would not reasonably be expected to have a Material Adverse Effect on such Party.</w:t>
      </w:r>
    </w:p>
    <w:p>
      <w:pPr>
        <w:spacing w:after="0" w:line="182" w:lineRule="exact"/>
        <w:rPr>
          <w:rFonts w:ascii="Times New Roman" w:cs="Times New Roman" w:eastAsia="Times New Roman" w:hAnsi="Times New Roman"/>
          <w:sz w:val="20"/>
          <w:szCs w:val="20"/>
          <w:color w:val="auto"/>
        </w:rPr>
      </w:pPr>
    </w:p>
    <w:p>
      <w:pPr>
        <w:jc w:val="both"/>
        <w:ind w:left="640" w:firstLine="641"/>
        <w:spacing w:after="0" w:line="256" w:lineRule="auto"/>
        <w:tabs>
          <w:tab w:leader="none" w:pos="191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Consents</w:t>
      </w:r>
      <w:r>
        <w:rPr>
          <w:rFonts w:ascii="Times New Roman" w:cs="Times New Roman" w:eastAsia="Times New Roman" w:hAnsi="Times New Roman"/>
          <w:sz w:val="20"/>
          <w:szCs w:val="20"/>
          <w:color w:val="auto"/>
        </w:rPr>
        <w:t>. All third party consents, approvals and filings, including Governmental Approvals, required to be obtained or made by such Party to execute, deliver and perform its obligations under this Agreement and the other Transaction Documents to which it is a party and to consummate the Transactions contemplated by this Agreement and the other</w:t>
      </w:r>
    </w:p>
    <w:p>
      <w:pPr>
        <w:sectPr>
          <w:pgSz w:w="11900" w:h="16838" w:orient="portrait"/>
          <w:cols w:equalWidth="0" w:num="1">
            <w:col w:w="11200"/>
          </w:cols>
          <w:pgMar w:left="320" w:top="1012" w:right="379" w:bottom="1440" w:gutter="0" w:footer="0" w:header="0"/>
        </w:sectPr>
      </w:pPr>
    </w:p>
    <w:bookmarkStart w:id="151" w:name="page152"/>
    <w:bookmarkEnd w:id="151"/>
    <w:p>
      <w:pPr>
        <w:ind w:left="420"/>
        <w:spacing w:after="0"/>
        <w:rPr>
          <w:sz w:val="20"/>
          <w:szCs w:val="20"/>
          <w:color w:val="auto"/>
        </w:rPr>
      </w:pPr>
      <w:r>
        <w:rPr>
          <w:rFonts w:ascii="Times New Roman" w:cs="Times New Roman" w:eastAsia="Times New Roman" w:hAnsi="Times New Roman"/>
          <w:sz w:val="20"/>
          <w:szCs w:val="20"/>
          <w:color w:val="auto"/>
        </w:rPr>
        <w:t>Transaction Documents to which it is a party have been obtained or made and are in full force and effect.</w:t>
      </w:r>
    </w:p>
    <w:p>
      <w:pPr>
        <w:spacing w:after="0" w:line="211" w:lineRule="exact"/>
        <w:rPr>
          <w:sz w:val="20"/>
          <w:szCs w:val="20"/>
          <w:color w:val="auto"/>
        </w:rPr>
      </w:pPr>
    </w:p>
    <w:p>
      <w:pPr>
        <w:jc w:val="both"/>
        <w:ind w:left="420" w:firstLine="641"/>
        <w:spacing w:after="0" w:line="253" w:lineRule="auto"/>
        <w:tabs>
          <w:tab w:leader="none" w:pos="169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Proceedings</w:t>
      </w:r>
      <w:r>
        <w:rPr>
          <w:rFonts w:ascii="Times New Roman" w:cs="Times New Roman" w:eastAsia="Times New Roman" w:hAnsi="Times New Roman"/>
          <w:sz w:val="20"/>
          <w:szCs w:val="20"/>
          <w:color w:val="auto"/>
        </w:rPr>
        <w:t>. There are no pending or, to the Knowledge of such Party, threatened in writing, disputes, governmental investigations, suits, actions (including non-judicial real or personal property foreclosure actions), arbitrations, legal, administrative or other proceedings of any nature, domestic or foreign, criminal or civil, at law or in equity, by or against such Party that (A) disputes the enforceability or validity of this Agreement, any other Transaction Document or any Material Project Document or (B) could reasonably be expected to have a Material Adverse Effect on such Party.</w:t>
      </w:r>
    </w:p>
    <w:p>
      <w:pPr>
        <w:spacing w:after="0" w:line="177" w:lineRule="exact"/>
        <w:rPr>
          <w:rFonts w:ascii="Times New Roman" w:cs="Times New Roman" w:eastAsia="Times New Roman" w:hAnsi="Times New Roman"/>
          <w:sz w:val="20"/>
          <w:szCs w:val="20"/>
          <w:color w:val="auto"/>
        </w:rPr>
      </w:pPr>
    </w:p>
    <w:p>
      <w:pPr>
        <w:jc w:val="both"/>
        <w:ind w:left="420" w:firstLine="641"/>
        <w:spacing w:after="0" w:line="256" w:lineRule="auto"/>
        <w:tabs>
          <w:tab w:leader="none" w:pos="169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w:t>
      </w:r>
      <w:r>
        <w:rPr>
          <w:rFonts w:ascii="Times New Roman" w:cs="Times New Roman" w:eastAsia="Times New Roman" w:hAnsi="Times New Roman"/>
          <w:sz w:val="20"/>
          <w:szCs w:val="20"/>
          <w:color w:val="auto"/>
        </w:rPr>
        <w:t>. No voluntary actions or, to the Knowledge of such Party, involuntary actions are pending or threatened against such Party (and, with respect to this representation as made by the Seller, no such actions are pending or threatened against any Seller Party) under the insolvency or bankruptcy laws of the U.S. or any other jurisdiction.</w:t>
      </w:r>
    </w:p>
    <w:p>
      <w:pPr>
        <w:spacing w:after="0" w:line="172" w:lineRule="exact"/>
        <w:rPr>
          <w:rFonts w:ascii="Times New Roman" w:cs="Times New Roman" w:eastAsia="Times New Roman" w:hAnsi="Times New Roman"/>
          <w:sz w:val="20"/>
          <w:szCs w:val="20"/>
          <w:color w:val="auto"/>
        </w:rPr>
      </w:pPr>
    </w:p>
    <w:p>
      <w:pPr>
        <w:ind w:left="420" w:firstLine="641"/>
        <w:spacing w:after="0" w:line="262" w:lineRule="auto"/>
        <w:tabs>
          <w:tab w:leader="none" w:pos="169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Related Party</w:t>
      </w:r>
      <w:r>
        <w:rPr>
          <w:rFonts w:ascii="Times New Roman" w:cs="Times New Roman" w:eastAsia="Times New Roman" w:hAnsi="Times New Roman"/>
          <w:sz w:val="20"/>
          <w:szCs w:val="20"/>
          <w:color w:val="auto"/>
        </w:rPr>
        <w:t>. To the Knowledge of such Party, the Buyer is not related to the Seller within the meaning of Section 267(b) or 707(b)(1) of the Code.</w:t>
      </w:r>
    </w:p>
    <w:p>
      <w:pPr>
        <w:spacing w:after="0" w:line="165" w:lineRule="exact"/>
        <w:rPr>
          <w:rFonts w:ascii="Times New Roman" w:cs="Times New Roman" w:eastAsia="Times New Roman" w:hAnsi="Times New Roman"/>
          <w:sz w:val="20"/>
          <w:szCs w:val="20"/>
          <w:color w:val="auto"/>
        </w:rPr>
      </w:pPr>
    </w:p>
    <w:p>
      <w:pPr>
        <w:jc w:val="both"/>
        <w:ind w:left="420" w:firstLine="641"/>
        <w:spacing w:after="0" w:line="248" w:lineRule="auto"/>
        <w:tabs>
          <w:tab w:leader="none" w:pos="169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 Foreign Assets Control Regulations</w:t>
      </w:r>
      <w:r>
        <w:rPr>
          <w:rFonts w:ascii="Times New Roman" w:cs="Times New Roman" w:eastAsia="Times New Roman" w:hAnsi="Times New Roman"/>
          <w:sz w:val="20"/>
          <w:szCs w:val="20"/>
          <w:color w:val="auto"/>
        </w:rPr>
        <w:t>. The purchase and sale of the Transferred Tax Credits by the Buyer (with respect to the representations made by the Buyer) and the Seller (with respect to the representations made by the Seller) does not violate any Sanctions. Neither the Buyer (with respect to the representations made by the Buyer) nor the Seller (with respect to the representations made by the Seller) (A) is a Sanctioned Person or otherwise a Person described or designated in the Specially Designated Nationals and Blocked Persons List of the Office of Foreign Assets Control or otherwise a Sanctioned Person, (B) has any of its assets in a Sanctioned Country or in the possession, custody or control of a Sanctioned Person, (C) violated nor is in violation of Sanctions, and (D) does business in or with, or derives any of its operating income from investments in or transactions with, any Sanctioned Country or Sanctioned Person.</w:t>
      </w:r>
    </w:p>
    <w:p>
      <w:pPr>
        <w:spacing w:after="0" w:line="182" w:lineRule="exact"/>
        <w:rPr>
          <w:rFonts w:ascii="Times New Roman" w:cs="Times New Roman" w:eastAsia="Times New Roman" w:hAnsi="Times New Roman"/>
          <w:sz w:val="20"/>
          <w:szCs w:val="20"/>
          <w:color w:val="auto"/>
        </w:rPr>
      </w:pPr>
    </w:p>
    <w:p>
      <w:pPr>
        <w:jc w:val="both"/>
        <w:ind w:left="-220" w:firstLine="640"/>
        <w:spacing w:after="0" w:line="263" w:lineRule="auto"/>
        <w:tabs>
          <w:tab w:leader="none" w:pos="105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Buyer</w:t>
      </w:r>
      <w:r>
        <w:rPr>
          <w:rFonts w:ascii="Times New Roman" w:cs="Times New Roman" w:eastAsia="Times New Roman" w:hAnsi="Times New Roman"/>
          <w:sz w:val="20"/>
          <w:szCs w:val="20"/>
          <w:color w:val="auto"/>
        </w:rPr>
        <w:t xml:space="preserve">. To induce the Seller to enter into this Agreement and to consummate the Transactions contemplated by this Agreement and the other Transaction Documents, the Buyer makes the representations and warranties set forth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to the Seller on and as of the Effective Date.</w:t>
      </w:r>
    </w:p>
    <w:p>
      <w:pPr>
        <w:spacing w:after="0" w:line="165" w:lineRule="exact"/>
        <w:rPr>
          <w:rFonts w:ascii="Times New Roman" w:cs="Times New Roman" w:eastAsia="Times New Roman" w:hAnsi="Times New Roman"/>
          <w:sz w:val="20"/>
          <w:szCs w:val="20"/>
          <w:color w:val="auto"/>
        </w:rPr>
      </w:pPr>
    </w:p>
    <w:p>
      <w:pPr>
        <w:jc w:val="both"/>
        <w:ind w:left="-220" w:firstLine="640"/>
        <w:spacing w:after="0" w:line="256" w:lineRule="auto"/>
        <w:tabs>
          <w:tab w:leader="none" w:pos="105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Seller</w:t>
      </w:r>
      <w:r>
        <w:rPr>
          <w:rFonts w:ascii="Times New Roman" w:cs="Times New Roman" w:eastAsia="Times New Roman" w:hAnsi="Times New Roman"/>
          <w:sz w:val="20"/>
          <w:szCs w:val="20"/>
          <w:color w:val="auto"/>
        </w:rPr>
        <w:t xml:space="preserve">. To induce the Buyer to enter into this Agreement and to consummate the Transactions contemplated by this Agreement and the other Transaction Documents, the Seller makes the representations and warranties set forth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to the Buyer on and as of the Effective Date.</w:t>
      </w:r>
    </w:p>
    <w:p>
      <w:pPr>
        <w:spacing w:after="0" w:line="18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u w:val="single" w:color="auto"/>
          <w:color w:val="auto"/>
        </w:rPr>
        <w:t>Section 5</w:t>
      </w:r>
      <w:r>
        <w:rPr>
          <w:sz w:val="20"/>
          <w:szCs w:val="20"/>
          <w:color w:val="auto"/>
        </w:rPr>
        <w:tab/>
      </w:r>
      <w:r>
        <w:rPr>
          <w:rFonts w:ascii="Times New Roman" w:cs="Times New Roman" w:eastAsia="Times New Roman" w:hAnsi="Times New Roman"/>
          <w:sz w:val="18"/>
          <w:szCs w:val="18"/>
          <w:b w:val="1"/>
          <w:bCs w:val="1"/>
          <w:u w:val="single" w:color="auto"/>
          <w:color w:val="auto"/>
        </w:rPr>
        <w:t>Covenants.</w:t>
      </w:r>
    </w:p>
    <w:p>
      <w:pPr>
        <w:spacing w:after="0" w:line="242" w:lineRule="exact"/>
        <w:rPr>
          <w:sz w:val="20"/>
          <w:szCs w:val="20"/>
          <w:color w:val="auto"/>
        </w:rPr>
      </w:pPr>
    </w:p>
    <w:p>
      <w:pPr>
        <w:ind w:left="1060" w:hanging="332"/>
        <w:spacing w:after="0"/>
        <w:tabs>
          <w:tab w:leader="none" w:pos="10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of the Buyer</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ind w:left="420" w:right="20" w:firstLine="641"/>
        <w:spacing w:after="0" w:line="276" w:lineRule="auto"/>
        <w:tabs>
          <w:tab w:leader="none" w:pos="169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Transfer of the Transferred Tax Credits</w:t>
      </w:r>
      <w:r>
        <w:rPr>
          <w:rFonts w:ascii="Times New Roman" w:cs="Times New Roman" w:eastAsia="Times New Roman" w:hAnsi="Times New Roman"/>
          <w:sz w:val="20"/>
          <w:szCs w:val="20"/>
          <w:color w:val="auto"/>
        </w:rPr>
        <w:t>. The Buyer shall not make an election under Section 6418(a) of the Code to transfer any of the Transferred Tax Credits to another Person.</w:t>
      </w:r>
    </w:p>
    <w:p>
      <w:pPr>
        <w:spacing w:after="0" w:line="152" w:lineRule="exact"/>
        <w:rPr>
          <w:rFonts w:ascii="Times New Roman" w:cs="Times New Roman" w:eastAsia="Times New Roman" w:hAnsi="Times New Roman"/>
          <w:sz w:val="20"/>
          <w:szCs w:val="20"/>
          <w:color w:val="auto"/>
        </w:rPr>
      </w:pPr>
    </w:p>
    <w:p>
      <w:pPr>
        <w:ind w:left="420" w:right="20" w:firstLine="641"/>
        <w:spacing w:after="0" w:line="262" w:lineRule="auto"/>
        <w:tabs>
          <w:tab w:leader="none" w:pos="169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Related Person</w:t>
      </w:r>
      <w:r>
        <w:rPr>
          <w:rFonts w:ascii="Times New Roman" w:cs="Times New Roman" w:eastAsia="Times New Roman" w:hAnsi="Times New Roman"/>
          <w:sz w:val="20"/>
          <w:szCs w:val="20"/>
          <w:color w:val="auto"/>
        </w:rPr>
        <w:t>. The Buyer shall not, and shall cause its Affiliates to not, take any affirmative action to become related to the Seller within the meaning of Section 267(b) or 707(b)(1) of the Code.</w:t>
      </w:r>
    </w:p>
    <w:p>
      <w:pPr>
        <w:sectPr>
          <w:pgSz w:w="11900" w:h="16838" w:orient="portrait"/>
          <w:cols w:equalWidth="0" w:num="1">
            <w:col w:w="10980"/>
          </w:cols>
          <w:pgMar w:left="540" w:top="1011" w:right="379" w:bottom="1440" w:gutter="0" w:footer="0" w:header="0"/>
        </w:sectPr>
      </w:pPr>
    </w:p>
    <w:bookmarkStart w:id="152" w:name="page153"/>
    <w:bookmarkEnd w:id="152"/>
    <w:p>
      <w:pPr>
        <w:jc w:val="both"/>
        <w:ind w:left="-308" w:firstLine="641"/>
        <w:spacing w:after="0" w:line="256" w:lineRule="auto"/>
        <w:tabs>
          <w:tab w:leader="none" w:pos="96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IRS Audits</w:t>
      </w:r>
      <w:r>
        <w:rPr>
          <w:rFonts w:ascii="Times New Roman" w:cs="Times New Roman" w:eastAsia="Times New Roman" w:hAnsi="Times New Roman"/>
          <w:sz w:val="20"/>
          <w:szCs w:val="20"/>
          <w:color w:val="auto"/>
        </w:rPr>
        <w:t>. If the IRS audits the right of the Buyer to claim, receive or use the Transferred Tax Credits, or to accept or buy the Transferred Tax Credits, the Buyer shall promptly notify the Seller upon becoming aware of such audit and provide a reasonably detailed description thereof.</w:t>
      </w:r>
    </w:p>
    <w:p>
      <w:pPr>
        <w:spacing w:after="0" w:line="172" w:lineRule="exact"/>
        <w:rPr>
          <w:rFonts w:ascii="Times New Roman" w:cs="Times New Roman" w:eastAsia="Times New Roman" w:hAnsi="Times New Roman"/>
          <w:sz w:val="20"/>
          <w:szCs w:val="20"/>
          <w:color w:val="auto"/>
        </w:rPr>
      </w:pPr>
    </w:p>
    <w:p>
      <w:pPr>
        <w:jc w:val="both"/>
        <w:ind w:left="-308" w:firstLine="641"/>
        <w:spacing w:after="0" w:line="254" w:lineRule="auto"/>
        <w:tabs>
          <w:tab w:leader="none" w:pos="96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U.S. federal income tax return filed with respect to the tax year in which the Transferred Tax Credits are generated, the Buyer shall timely file such tax return and include (A) IRS Form 3800, General Business Credit, which shall include all of the registration numbers of the Eligible Credit Property associated with the Transferred Tax Credits and (B) the Transfer Election Statement.</w:t>
      </w:r>
    </w:p>
    <w:p>
      <w:pPr>
        <w:spacing w:after="0" w:line="175" w:lineRule="exact"/>
        <w:rPr>
          <w:rFonts w:ascii="Times New Roman" w:cs="Times New Roman" w:eastAsia="Times New Roman" w:hAnsi="Times New Roman"/>
          <w:sz w:val="20"/>
          <w:szCs w:val="20"/>
          <w:color w:val="auto"/>
        </w:rPr>
      </w:pPr>
    </w:p>
    <w:p>
      <w:pPr>
        <w:jc w:val="both"/>
        <w:ind w:left="-308" w:firstLine="641"/>
        <w:spacing w:after="0" w:line="256" w:lineRule="auto"/>
        <w:tabs>
          <w:tab w:leader="none" w:pos="96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receipt of the Transfer Election Statement from the Seller executed by the Seller, the Buyer shall provide written consent with respect to the Transfer Election Statement in accordance with Treasury Regulation Section 1.6418-2(b)(5)(i), provided that such Transfer Election Statement reflects the comments of Buyer described in </w:t>
      </w:r>
      <w:r>
        <w:rPr>
          <w:rFonts w:ascii="Times New Roman" w:cs="Times New Roman" w:eastAsia="Times New Roman" w:hAnsi="Times New Roman"/>
          <w:sz w:val="20"/>
          <w:szCs w:val="20"/>
          <w:u w:val="single" w:color="auto"/>
          <w:color w:val="auto"/>
        </w:rPr>
        <w:t>Section 5(b)(iv)(D)</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of the Seller</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0"/>
          <w:szCs w:val="20"/>
          <w:color w:val="auto"/>
        </w:rPr>
      </w:pPr>
    </w:p>
    <w:p>
      <w:pPr>
        <w:jc w:val="both"/>
        <w:ind w:left="-308" w:firstLine="641"/>
        <w:spacing w:after="0" w:line="247" w:lineRule="auto"/>
        <w:tabs>
          <w:tab w:leader="none" w:pos="96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Claiming of Transferred Tax Credits</w:t>
      </w:r>
      <w:r>
        <w:rPr>
          <w:rFonts w:ascii="Times New Roman" w:cs="Times New Roman" w:eastAsia="Times New Roman" w:hAnsi="Times New Roman"/>
          <w:sz w:val="20"/>
          <w:szCs w:val="20"/>
          <w:color w:val="auto"/>
        </w:rPr>
        <w:t>. The Seller shall not, and shall not cause or permit the Project Company to, (A) claim on its federal income tax return the benefits of (x) any Transferred Tax Credits or (y) any bonus Tax Credits pursuant to Sections 48(a)(12) or 48(a)(14) of the Code unless otherwise consented to in writing by the Buyer, or (B) take any position for any purpose inconsistent with a sale or transfer of the Transferred Tax Credits hereunder. Other than the Transferred Tax Credits purchased hereunder, the Seller shall not, and shall not cause or permit the Project Company to sell, contribute or otherwise transfer any ITCs or other tax credits attributable to the Facility to any Person other than the Buyer; it being understood by and between the Parties that (x) all of the ITCs with respect to the Facility are being sold pursuant to this Agreement as noted above in Section 2(a) and (y) projects other than the Facility owned by the Seller or that may be owned in the future by the Seller may qualify for ITCs that may be sold to a different party pursuant to a separate agreement.</w:t>
      </w:r>
    </w:p>
    <w:p>
      <w:pPr>
        <w:spacing w:after="0" w:line="180" w:lineRule="exact"/>
        <w:rPr>
          <w:rFonts w:ascii="Times New Roman" w:cs="Times New Roman" w:eastAsia="Times New Roman" w:hAnsi="Times New Roman"/>
          <w:sz w:val="20"/>
          <w:szCs w:val="20"/>
          <w:color w:val="auto"/>
        </w:rPr>
      </w:pPr>
    </w:p>
    <w:p>
      <w:pPr>
        <w:ind w:left="-308" w:firstLine="641"/>
        <w:spacing w:after="0" w:line="276" w:lineRule="auto"/>
        <w:tabs>
          <w:tab w:leader="none" w:pos="96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Related Person</w:t>
      </w:r>
      <w:r>
        <w:rPr>
          <w:rFonts w:ascii="Times New Roman" w:cs="Times New Roman" w:eastAsia="Times New Roman" w:hAnsi="Times New Roman"/>
          <w:sz w:val="20"/>
          <w:szCs w:val="20"/>
          <w:color w:val="auto"/>
        </w:rPr>
        <w:t>. The Seller shall not, and shall cause its Affiliates to not, take any affirmative action to become related to the Buyer within the meaning of Section 267(b) or 707(b)(1) of the Code.</w:t>
      </w:r>
    </w:p>
    <w:p>
      <w:pPr>
        <w:spacing w:after="0" w:line="152" w:lineRule="exact"/>
        <w:rPr>
          <w:rFonts w:ascii="Times New Roman" w:cs="Times New Roman" w:eastAsia="Times New Roman" w:hAnsi="Times New Roman"/>
          <w:sz w:val="20"/>
          <w:szCs w:val="20"/>
          <w:color w:val="auto"/>
        </w:rPr>
      </w:pPr>
    </w:p>
    <w:p>
      <w:pPr>
        <w:jc w:val="both"/>
        <w:ind w:left="-308" w:firstLine="641"/>
        <w:spacing w:after="0" w:line="256" w:lineRule="auto"/>
        <w:tabs>
          <w:tab w:leader="none" w:pos="966"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IRS Audits</w:t>
      </w:r>
      <w:r>
        <w:rPr>
          <w:rFonts w:ascii="Times New Roman" w:cs="Times New Roman" w:eastAsia="Times New Roman" w:hAnsi="Times New Roman"/>
          <w:sz w:val="20"/>
          <w:szCs w:val="20"/>
          <w:color w:val="auto"/>
        </w:rPr>
        <w:t>. If the IRS audits the right of the Seller to claim or receive the Transferred Tax Credits, or to sell or transfer the Transferred Tax Credits, the Seller shall promptly notify the Buyer upon becoming aware of such audit and provide a reasonably detailed description thereof.</w:t>
      </w:r>
    </w:p>
    <w:p>
      <w:pPr>
        <w:spacing w:after="0" w:line="172" w:lineRule="exact"/>
        <w:rPr>
          <w:rFonts w:ascii="Times New Roman" w:cs="Times New Roman" w:eastAsia="Times New Roman" w:hAnsi="Times New Roman"/>
          <w:sz w:val="20"/>
          <w:szCs w:val="20"/>
          <w:color w:val="auto"/>
        </w:rPr>
      </w:pPr>
    </w:p>
    <w:p>
      <w:pPr>
        <w:jc w:val="both"/>
        <w:ind w:left="-308" w:firstLine="641"/>
        <w:spacing w:after="0" w:line="248" w:lineRule="auto"/>
        <w:tabs>
          <w:tab w:leader="none" w:pos="96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Requirements</w:t>
      </w:r>
      <w:r>
        <w:rPr>
          <w:rFonts w:ascii="Times New Roman" w:cs="Times New Roman" w:eastAsia="Times New Roman" w:hAnsi="Times New Roman"/>
          <w:sz w:val="20"/>
          <w:szCs w:val="20"/>
          <w:color w:val="auto"/>
        </w:rPr>
        <w:t>. The Seller shall comply with all reporting requirements required by the IRS, Treasury, Applicable Law or this Agreement (consistent with current and future guidance issued under Section 6418 of the Code) as necessary to effectuate the transfer of the Transferred Tax Credits. In the U.S. federal income tax return filed with respect to the tax year in which Transferred Tax Credits are generated, the Seller shall include (A) a properly completed IRS Form 3468 with respect to the Transferred Tax Credits, (B) IRS Form 3800, General Business Credit, which shall include all of the registration numbers of the Eligible Credit Property associated with the Transferred Tax Credits, (C) a statement attached to IRS Form 3800 that shows the amount of the Transferred Tax Credits for each Eligible Credit Property, (D) the Transfer Election Statement (provided that prior to submission of such Transfer Election Statement, the Seller shall provide Buyer a draft of such Transfer Election Statement, Buyer shall review and provide the Seller with any comments to such Transfer Election Statement within</w:t>
      </w:r>
    </w:p>
    <w:p>
      <w:pPr>
        <w:sectPr>
          <w:pgSz w:w="11900" w:h="16838" w:orient="portrait"/>
          <w:cols w:equalWidth="0" w:num="1">
            <w:col w:w="10252"/>
          </w:cols>
          <w:pgMar w:left="1268" w:top="1012" w:right="379" w:bottom="1440" w:gutter="0" w:footer="0" w:header="0"/>
        </w:sectPr>
      </w:pPr>
    </w:p>
    <w:bookmarkStart w:id="153" w:name="page154"/>
    <w:bookmarkEnd w:id="153"/>
    <w:p>
      <w:pPr>
        <w:spacing w:after="0" w:line="276" w:lineRule="auto"/>
        <w:rPr>
          <w:sz w:val="20"/>
          <w:szCs w:val="20"/>
          <w:color w:val="auto"/>
        </w:rPr>
      </w:pPr>
      <w:r>
        <w:rPr>
          <w:rFonts w:ascii="Times New Roman" w:cs="Times New Roman" w:eastAsia="Times New Roman" w:hAnsi="Times New Roman"/>
          <w:sz w:val="20"/>
          <w:szCs w:val="20"/>
          <w:color w:val="auto"/>
        </w:rPr>
        <w:t>three (3) days of the Buyer’s receipt of such Transfer Election Statement, and the Seller will consider Buyer’s comments in good faith and update the Transfer Election Statement accordingly), and (E) any other information required by the IRS.</w:t>
      </w:r>
    </w:p>
    <w:p>
      <w:pPr>
        <w:spacing w:after="0" w:line="152" w:lineRule="exact"/>
        <w:rPr>
          <w:sz w:val="20"/>
          <w:szCs w:val="20"/>
          <w:color w:val="auto"/>
        </w:rPr>
      </w:pPr>
    </w:p>
    <w:p>
      <w:pPr>
        <w:ind w:right="20" w:firstLine="641"/>
        <w:spacing w:after="0" w:line="262" w:lineRule="auto"/>
        <w:tabs>
          <w:tab w:leader="none" w:pos="127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Pre-Filing Registration</w:t>
      </w:r>
      <w:r>
        <w:rPr>
          <w:rFonts w:ascii="Times New Roman" w:cs="Times New Roman" w:eastAsia="Times New Roman" w:hAnsi="Times New Roman"/>
          <w:sz w:val="20"/>
          <w:szCs w:val="20"/>
          <w:color w:val="auto"/>
        </w:rPr>
        <w:t>. The Seller shall make any required amendment to the PreFiling Registration (or, if required, submit a new Pre-Filing Registration) in accordance with Treasury Regulation Section 1.6418-4(c)(4).</w:t>
      </w:r>
    </w:p>
    <w:p>
      <w:pPr>
        <w:spacing w:after="0" w:line="165" w:lineRule="exact"/>
        <w:rPr>
          <w:rFonts w:ascii="Times New Roman" w:cs="Times New Roman" w:eastAsia="Times New Roman" w:hAnsi="Times New Roman"/>
          <w:sz w:val="20"/>
          <w:szCs w:val="20"/>
          <w:color w:val="auto"/>
        </w:rPr>
      </w:pPr>
    </w:p>
    <w:p>
      <w:pPr>
        <w:jc w:val="both"/>
        <w:ind w:firstLine="641"/>
        <w:spacing w:after="0" w:line="254" w:lineRule="auto"/>
        <w:tabs>
          <w:tab w:leader="none" w:pos="127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Documentation</w:t>
      </w:r>
      <w:r>
        <w:rPr>
          <w:rFonts w:ascii="Times New Roman" w:cs="Times New Roman" w:eastAsia="Times New Roman" w:hAnsi="Times New Roman"/>
          <w:sz w:val="20"/>
          <w:szCs w:val="20"/>
          <w:color w:val="auto"/>
        </w:rPr>
        <w:t>. The Seller shall provide the IRS and the Buyer, as applicable, with any additional information or registration required by the IRS under Section 6418(g)(1) of the Code as a condition to, and prior to, any transfer of the Transferred Tax Credits for the purpose of preventing duplication, fraud, improper payments or excessive payments, including such Minimum Documentation required pursuant to Treasury Regulations Section 1.6418-2(b)(5)(iv).</w:t>
      </w:r>
    </w:p>
    <w:p>
      <w:pPr>
        <w:spacing w:after="0" w:line="175" w:lineRule="exact"/>
        <w:rPr>
          <w:rFonts w:ascii="Times New Roman" w:cs="Times New Roman" w:eastAsia="Times New Roman" w:hAnsi="Times New Roman"/>
          <w:sz w:val="20"/>
          <w:szCs w:val="20"/>
          <w:color w:val="auto"/>
        </w:rPr>
      </w:pPr>
    </w:p>
    <w:p>
      <w:pPr>
        <w:jc w:val="both"/>
        <w:ind w:firstLine="641"/>
        <w:spacing w:after="0" w:line="247" w:lineRule="auto"/>
        <w:tabs>
          <w:tab w:leader="none" w:pos="127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Recapture</w:t>
      </w:r>
      <w:r>
        <w:rPr>
          <w:rFonts w:ascii="Times New Roman" w:cs="Times New Roman" w:eastAsia="Times New Roman" w:hAnsi="Times New Roman"/>
          <w:sz w:val="20"/>
          <w:szCs w:val="20"/>
          <w:color w:val="auto"/>
        </w:rPr>
        <w:t xml:space="preserve">. Prior to the end of the Recapture Period, (A) the Seller shall not, and shall cause the Project Company not to, (i) take any action or fail to take any action or suffer to exist any event or condition that would reasonably be expected to result in a recapture, loss or disallowance of all or any portion of the Transferred Tax Credits or cause the Facility to be considered to have been taken out of service for federal income tax purposes, in each case, other than actions in response to a Casualty Event or Condemnation Event or event of force majeure or as necessary to comply with Applicable Laws or (ii) directly or indirectly transfer any direct or indirect interest in any Seller Party or any interest in the Facility in a manner that could reasonably be expected to result in recapture of any Transferred Tax Credit in accordance with Sections 50 and 6418 of the Code and (B) the Seller shall maintain the Facility’s eligibility for ITCs under Section 48 of the Code; provided, however, that this </w:t>
      </w:r>
      <w:r>
        <w:rPr>
          <w:rFonts w:ascii="Times New Roman" w:cs="Times New Roman" w:eastAsia="Times New Roman" w:hAnsi="Times New Roman"/>
          <w:sz w:val="20"/>
          <w:szCs w:val="20"/>
          <w:u w:val="single" w:color="auto"/>
          <w:color w:val="auto"/>
        </w:rPr>
        <w:t>clause (vii)</w:t>
      </w:r>
      <w:r>
        <w:rPr>
          <w:rFonts w:ascii="Times New Roman" w:cs="Times New Roman" w:eastAsia="Times New Roman" w:hAnsi="Times New Roman"/>
          <w:sz w:val="20"/>
          <w:szCs w:val="20"/>
          <w:color w:val="auto"/>
        </w:rPr>
        <w:t xml:space="preserve"> shall not prohibit any such action (or inaction) to the extent that it results in a Tax Credit Loss that is fully insured, and for which Buyer is made whole, pursuant to the Tax Insurance Policy (but notwithstanding the foregoing, in no event shall this </w:t>
      </w:r>
      <w:r>
        <w:rPr>
          <w:rFonts w:ascii="Times New Roman" w:cs="Times New Roman" w:eastAsia="Times New Roman" w:hAnsi="Times New Roman"/>
          <w:sz w:val="20"/>
          <w:szCs w:val="20"/>
          <w:u w:val="single" w:color="auto"/>
          <w:color w:val="auto"/>
        </w:rPr>
        <w:t>clause (vii)</w:t>
      </w:r>
      <w:r>
        <w:rPr>
          <w:rFonts w:ascii="Times New Roman" w:cs="Times New Roman" w:eastAsia="Times New Roman" w:hAnsi="Times New Roman"/>
          <w:sz w:val="20"/>
          <w:szCs w:val="20"/>
          <w:color w:val="auto"/>
        </w:rPr>
        <w:t xml:space="preserve"> limit Seller’s indemnification obligations for such recapture, loss or disallowance under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41"/>
        <w:spacing w:after="0" w:line="298" w:lineRule="auto"/>
        <w:tabs>
          <w:tab w:leader="none" w:pos="12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Recapture Notification</w:t>
      </w:r>
      <w:r>
        <w:rPr>
          <w:rFonts w:ascii="Times New Roman" w:cs="Times New Roman" w:eastAsia="Times New Roman" w:hAnsi="Times New Roman"/>
          <w:sz w:val="18"/>
          <w:szCs w:val="18"/>
          <w:color w:val="auto"/>
        </w:rPr>
        <w:t>. The Seller shall promptly notify the Buyer in writing of the occurrence of any recapture of the Transferred Tax Credits or any event that would reasonably be expected to result in such recapture (in each case, no later than thirty days after obtaining Knowledge thereof), including a reasonably detailed description of the events giving rise to such recapture.</w:t>
      </w:r>
    </w:p>
    <w:p>
      <w:pPr>
        <w:spacing w:after="0" w:line="137" w:lineRule="exact"/>
        <w:rPr>
          <w:rFonts w:ascii="Times New Roman" w:cs="Times New Roman" w:eastAsia="Times New Roman" w:hAnsi="Times New Roman"/>
          <w:sz w:val="18"/>
          <w:szCs w:val="18"/>
          <w:color w:val="auto"/>
        </w:rPr>
      </w:pPr>
    </w:p>
    <w:p>
      <w:pPr>
        <w:jc w:val="both"/>
        <w:ind w:firstLine="641"/>
        <w:spacing w:after="0" w:line="250" w:lineRule="auto"/>
        <w:tabs>
          <w:tab w:leader="none" w:pos="127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Insurance</w:t>
      </w:r>
      <w:r>
        <w:rPr>
          <w:rFonts w:ascii="Times New Roman" w:cs="Times New Roman" w:eastAsia="Times New Roman" w:hAnsi="Times New Roman"/>
          <w:sz w:val="20"/>
          <w:szCs w:val="20"/>
          <w:color w:val="auto"/>
        </w:rPr>
        <w:t xml:space="preserve">. During the Recapture Period, the Seller shall maintain the Tax Insurance Policy and cause the Project Company to maintain property and casualty insurance on the Facility consistent with the Facility’s insurance coverage as of the Closing Date and in compliance with the requirements set forth on </w:t>
      </w:r>
      <w:r>
        <w:rPr>
          <w:rFonts w:ascii="Times New Roman" w:cs="Times New Roman" w:eastAsia="Times New Roman" w:hAnsi="Times New Roman"/>
          <w:sz w:val="20"/>
          <w:szCs w:val="20"/>
          <w:u w:val="single" w:color="auto"/>
          <w:color w:val="auto"/>
        </w:rPr>
        <w:t>Schedule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(and only for so long as) such property and casualty insurance is Unavailable, as confirmed by the Insurance Consultant along with a reasonably detailed written explanation of the basis for such conclusion, the Seller shall not be required to cause the Project Company to maintain such Unavailable insurance.</w:t>
      </w:r>
    </w:p>
    <w:p>
      <w:pPr>
        <w:spacing w:after="0" w:line="178" w:lineRule="exact"/>
        <w:rPr>
          <w:rFonts w:ascii="Times New Roman" w:cs="Times New Roman" w:eastAsia="Times New Roman" w:hAnsi="Times New Roman"/>
          <w:sz w:val="20"/>
          <w:szCs w:val="20"/>
          <w:color w:val="auto"/>
        </w:rPr>
      </w:pPr>
    </w:p>
    <w:p>
      <w:pPr>
        <w:jc w:val="both"/>
        <w:ind w:firstLine="641"/>
        <w:spacing w:after="0" w:line="253" w:lineRule="auto"/>
        <w:tabs>
          <w:tab w:leader="none" w:pos="127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Continuous Operation Certificate</w:t>
      </w:r>
      <w:r>
        <w:rPr>
          <w:rFonts w:ascii="Times New Roman" w:cs="Times New Roman" w:eastAsia="Times New Roman" w:hAnsi="Times New Roman"/>
          <w:sz w:val="20"/>
          <w:szCs w:val="20"/>
          <w:color w:val="auto"/>
        </w:rPr>
        <w:t>. During the Recapture Period, the Seller shall deliver to the Buyer, on or before the date that is ten Business Days after date of each anniversary of the Closing Date, a Continuous Operation Certificate, certifying that the Facility remains in continued operation (except for scheduled maintenance downtime or any downtime attributable to a Casualty Event or Condemnation Event or event of force majeure), no recapture of Transferred Tax Credits has occurred (or, if a recapture has occurred, a reasonably detailed report of such</w:t>
      </w:r>
    </w:p>
    <w:p>
      <w:pPr>
        <w:sectPr>
          <w:pgSz w:w="11900" w:h="16838" w:orient="portrait"/>
          <w:cols w:equalWidth="0" w:num="1">
            <w:col w:w="10560"/>
          </w:cols>
          <w:pgMar w:left="960" w:top="1012" w:right="3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 xml:space="preserve">recapture), and the Facility’s insurance coverage (subject to the terms of </w:t>
      </w:r>
      <w:r>
        <w:rPr>
          <w:rFonts w:ascii="Times New Roman" w:cs="Times New Roman" w:eastAsia="Times New Roman" w:hAnsi="Times New Roman"/>
          <w:sz w:val="20"/>
          <w:szCs w:val="20"/>
          <w:u w:val="single" w:color="auto"/>
          <w:color w:val="auto"/>
        </w:rPr>
        <w:t>Section 5(b)(ix)</w:t>
      </w:r>
      <w:r>
        <w:rPr>
          <w:rFonts w:ascii="Times New Roman" w:cs="Times New Roman" w:eastAsia="Times New Roman" w:hAnsi="Times New Roman"/>
          <w:sz w:val="20"/>
          <w:szCs w:val="20"/>
          <w:color w:val="auto"/>
        </w:rPr>
        <w:t>) remains in place.</w:t>
      </w:r>
    </w:p>
    <w:p>
      <w:pPr>
        <w:spacing w:after="0" w:line="211" w:lineRule="exact"/>
        <w:rPr>
          <w:sz w:val="20"/>
          <w:szCs w:val="20"/>
          <w:color w:val="auto"/>
        </w:rPr>
      </w:pPr>
    </w:p>
    <w:p>
      <w:pPr>
        <w:jc w:val="both"/>
        <w:ind w:firstLine="641"/>
        <w:spacing w:after="0" w:line="254" w:lineRule="auto"/>
        <w:tabs>
          <w:tab w:leader="none" w:pos="127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Indebtedness and Liens</w:t>
      </w:r>
      <w:r>
        <w:rPr>
          <w:rFonts w:ascii="Times New Roman" w:cs="Times New Roman" w:eastAsia="Times New Roman" w:hAnsi="Times New Roman"/>
          <w:sz w:val="20"/>
          <w:szCs w:val="20"/>
          <w:color w:val="auto"/>
        </w:rPr>
        <w:t xml:space="preserve">. During the Recapture Period, the Seller shall not, and shall cause the Seller Parties to not, incur or suffer to exist any (A) Liens except Permitted Liens; (B) secured or unsecured indebtedness except Permitted Indebtedness; provided, however, that this </w:t>
      </w:r>
      <w:r>
        <w:rPr>
          <w:rFonts w:ascii="Times New Roman" w:cs="Times New Roman" w:eastAsia="Times New Roman" w:hAnsi="Times New Roman"/>
          <w:sz w:val="20"/>
          <w:szCs w:val="20"/>
          <w:u w:val="single" w:color="auto"/>
          <w:color w:val="auto"/>
        </w:rPr>
        <w:t>clause (xi)</w:t>
      </w:r>
      <w:r>
        <w:rPr>
          <w:rFonts w:ascii="Times New Roman" w:cs="Times New Roman" w:eastAsia="Times New Roman" w:hAnsi="Times New Roman"/>
          <w:sz w:val="20"/>
          <w:szCs w:val="20"/>
          <w:color w:val="auto"/>
        </w:rPr>
        <w:t xml:space="preserve"> shall not prohibit any such action (or inaction) to the extent that it results in a Tax Credit Loss that is fully insured, and for which Buyer is made whole, pursuant to the Tax Insurance Policy.</w:t>
      </w:r>
    </w:p>
    <w:p>
      <w:pPr>
        <w:spacing w:after="0" w:line="175" w:lineRule="exact"/>
        <w:rPr>
          <w:rFonts w:ascii="Times New Roman" w:cs="Times New Roman" w:eastAsia="Times New Roman" w:hAnsi="Times New Roman"/>
          <w:sz w:val="20"/>
          <w:szCs w:val="20"/>
          <w:color w:val="auto"/>
        </w:rPr>
      </w:pPr>
    </w:p>
    <w:p>
      <w:pPr>
        <w:ind w:left="1280" w:hanging="639"/>
        <w:spacing w:after="0"/>
        <w:tabs>
          <w:tab w:leader="none" w:pos="12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Year Election</w:t>
      </w:r>
      <w:r>
        <w:rPr>
          <w:rFonts w:ascii="Times New Roman" w:cs="Times New Roman" w:eastAsia="Times New Roman" w:hAnsi="Times New Roman"/>
          <w:sz w:val="20"/>
          <w:szCs w:val="20"/>
          <w:color w:val="auto"/>
        </w:rPr>
        <w:t>. The Seller shall not make any election to change its taxable year for U.S. federal income tax</w:t>
      </w:r>
    </w:p>
    <w:p>
      <w:pPr>
        <w:spacing w:after="0" w:line="2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purposes.</w:t>
      </w:r>
    </w:p>
    <w:p>
      <w:pPr>
        <w:spacing w:after="0" w:line="196" w:lineRule="exact"/>
        <w:rPr>
          <w:rFonts w:ascii="Times New Roman" w:cs="Times New Roman" w:eastAsia="Times New Roman" w:hAnsi="Times New Roman"/>
          <w:sz w:val="20"/>
          <w:szCs w:val="20"/>
          <w:color w:val="auto"/>
        </w:rPr>
      </w:pPr>
    </w:p>
    <w:p>
      <w:pPr>
        <w:jc w:val="both"/>
        <w:ind w:firstLine="641"/>
        <w:spacing w:after="0" w:line="250" w:lineRule="auto"/>
        <w:tabs>
          <w:tab w:leader="none" w:pos="127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Guaranty</w:t>
      </w:r>
      <w:r>
        <w:rPr>
          <w:rFonts w:ascii="Times New Roman" w:cs="Times New Roman" w:eastAsia="Times New Roman" w:hAnsi="Times New Roman"/>
          <w:sz w:val="20"/>
          <w:szCs w:val="20"/>
          <w:color w:val="auto"/>
        </w:rPr>
        <w:t>. Until the Survival Period End Date, the Seller shall not replace the Guaranty or the Guarantor without the Buyer’s prior written consent (such consent not to be unreasonably withheld, conditioned, or delayed), unless the following conditions are satisfied, in which case the consent of the Buyer shall not be required and the replacement guarantor shall be the successor to the Guarantor that it has replaced hereunder:</w:t>
      </w:r>
    </w:p>
    <w:p>
      <w:pPr>
        <w:spacing w:after="0" w:line="177" w:lineRule="exact"/>
        <w:rPr>
          <w:rFonts w:ascii="Times New Roman" w:cs="Times New Roman" w:eastAsia="Times New Roman" w:hAnsi="Times New Roman"/>
          <w:sz w:val="20"/>
          <w:szCs w:val="20"/>
          <w:color w:val="auto"/>
        </w:rPr>
      </w:pPr>
    </w:p>
    <w:p>
      <w:pPr>
        <w:ind w:left="1920" w:hanging="638"/>
        <w:spacing w:after="0"/>
        <w:tabs>
          <w:tab w:leader="none" w:pos="192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replacement guarantor either (i) has a rating not less than “BBB” from S&amp;P or “Baa2” from Moody’s or</w:t>
      </w:r>
    </w:p>
    <w:p>
      <w:pPr>
        <w:spacing w:after="0" w:line="47" w:lineRule="exact"/>
        <w:rPr>
          <w:rFonts w:ascii="Times New Roman" w:cs="Times New Roman" w:eastAsia="Times New Roman" w:hAnsi="Times New Roman"/>
          <w:sz w:val="18"/>
          <w:szCs w:val="18"/>
          <w:color w:val="auto"/>
        </w:rPr>
      </w:pPr>
    </w:p>
    <w:p>
      <w:pPr>
        <w:ind w:left="640" w:firstLine="9"/>
        <w:spacing w:after="0" w:line="261" w:lineRule="auto"/>
        <w:tabs>
          <w:tab w:leader="none" w:pos="92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tangible net worth of at least five hundred million dollars ($500,000,000), calculated based on the most recent annual audited or quarterly unaudited financial statements of such replacement guarantor;</w:t>
      </w:r>
    </w:p>
    <w:p>
      <w:pPr>
        <w:spacing w:after="0" w:line="153" w:lineRule="exact"/>
        <w:rPr>
          <w:rFonts w:ascii="Times New Roman" w:cs="Times New Roman" w:eastAsia="Times New Roman" w:hAnsi="Times New Roman"/>
          <w:sz w:val="20"/>
          <w:szCs w:val="20"/>
          <w:color w:val="auto"/>
        </w:rPr>
      </w:pPr>
    </w:p>
    <w:p>
      <w:pPr>
        <w:ind w:left="640" w:firstLine="642"/>
        <w:spacing w:after="0" w:line="276" w:lineRule="auto"/>
        <w:tabs>
          <w:tab w:leader="none" w:pos="1921"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replacement guarantor becomes a party to the existing Guaranty or delivers a replacement guaranty (i) in the same form as such Guaranty or (ii) in such other form and on such other terms satisfactory to the Buyer;</w:t>
      </w:r>
    </w:p>
    <w:p>
      <w:pPr>
        <w:spacing w:after="0" w:line="152" w:lineRule="exact"/>
        <w:rPr>
          <w:rFonts w:ascii="Times New Roman" w:cs="Times New Roman" w:eastAsia="Times New Roman" w:hAnsi="Times New Roman"/>
          <w:sz w:val="20"/>
          <w:szCs w:val="20"/>
          <w:color w:val="auto"/>
        </w:rPr>
      </w:pPr>
    </w:p>
    <w:p>
      <w:pPr>
        <w:jc w:val="both"/>
        <w:ind w:left="640" w:firstLine="642"/>
        <w:spacing w:after="0" w:line="256" w:lineRule="auto"/>
        <w:tabs>
          <w:tab w:leader="none" w:pos="1921"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has received at least ten Business Days’ prior notice of such replacement and all documentation and information requested by the Buyer to comply with the requirements of the USA PATRIOT Act of 2001 and all applicable “know your customer” rules and regulations and Anti-Corruption Laws;</w:t>
      </w:r>
    </w:p>
    <w:p>
      <w:pPr>
        <w:spacing w:after="0" w:line="172" w:lineRule="exact"/>
        <w:rPr>
          <w:rFonts w:ascii="Times New Roman" w:cs="Times New Roman" w:eastAsia="Times New Roman" w:hAnsi="Times New Roman"/>
          <w:sz w:val="20"/>
          <w:szCs w:val="20"/>
          <w:color w:val="auto"/>
        </w:rPr>
      </w:pPr>
    </w:p>
    <w:p>
      <w:pPr>
        <w:ind w:left="640" w:firstLine="642"/>
        <w:spacing w:after="0" w:line="276" w:lineRule="auto"/>
        <w:tabs>
          <w:tab w:leader="none" w:pos="1919"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replacement guarantor is an Affiliate of the Seller, and the Buyer shall have received evidence reasonably satisfactory to it showing the relationship between the Seller and such replacement guarantor; and</w:t>
      </w:r>
    </w:p>
    <w:p>
      <w:pPr>
        <w:spacing w:after="0" w:line="152" w:lineRule="exact"/>
        <w:rPr>
          <w:rFonts w:ascii="Times New Roman" w:cs="Times New Roman" w:eastAsia="Times New Roman" w:hAnsi="Times New Roman"/>
          <w:sz w:val="20"/>
          <w:szCs w:val="20"/>
          <w:color w:val="auto"/>
        </w:rPr>
      </w:pPr>
    </w:p>
    <w:p>
      <w:pPr>
        <w:jc w:val="both"/>
        <w:ind w:left="640" w:firstLine="642"/>
        <w:spacing w:after="0" w:line="254" w:lineRule="auto"/>
        <w:tabs>
          <w:tab w:leader="none" w:pos="1910"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replacement guarantor provides a legal opinion in form and substance reasonably satisfactory to the Buyer covering enforceability of the replacement guaranty and certain related New York law matters substantially similar to the opinion letter delivered pursuant to clause (5)(a) of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and covering certain corporate matters substantially similar to the opinion letter delivered pursuant to clause (5b) or (5c), as applicable, of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960" w:firstLine="630"/>
        <w:spacing w:after="0" w:line="250" w:lineRule="auto"/>
        <w:tabs>
          <w:tab w:leader="none" w:pos="2575" w:val="left"/>
        </w:tabs>
        <w:numPr>
          <w:ilvl w:val="3"/>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Trigger</w:t>
      </w:r>
      <w:r>
        <w:rPr>
          <w:rFonts w:ascii="Times New Roman" w:cs="Times New Roman" w:eastAsia="Times New Roman" w:hAnsi="Times New Roman"/>
          <w:sz w:val="20"/>
          <w:szCs w:val="20"/>
          <w:color w:val="auto"/>
        </w:rPr>
        <w:t>. If a Credit Trigger (as defined in the Guaranty) has occurred, the Seller will within twenty days provide a Replacement Guaranty or collateral security to Buyer in the form of cash or a letter of credit (from a financial institution rated at least “A3” from Moody’s and “A-” from S&amp;P and in form and substance reasonably acceptable to Buyer). Such collateral security shall be in an amount equal to 110% of the Purchase Price (provided that the Purchase Price, for purposes of such calculation, shall be reduced by 20% upon the expiration of the statute of limitations (including extensions) for assessment and collection of tax by</w:t>
      </w:r>
    </w:p>
    <w:p>
      <w:pPr>
        <w:sectPr>
          <w:pgSz w:w="11900" w:h="16838" w:orient="portrait"/>
          <w:cols w:equalWidth="0" w:num="1">
            <w:col w:w="10560"/>
          </w:cols>
          <w:pgMar w:left="960" w:top="1012" w:right="379" w:bottom="1440" w:gutter="0" w:footer="0" w:header="0"/>
        </w:sectPr>
      </w:pPr>
    </w:p>
    <w:bookmarkStart w:id="155" w:name="page156"/>
    <w:bookmarkEnd w:id="155"/>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 xml:space="preserve">the IRS with respect to tax returns filed by the Buyer for the first year of the Recapture Period, and then by an additional 20% each annual anniversary thereafter). The Parties agree that, upon a breach of this </w:t>
      </w:r>
      <w:r>
        <w:rPr>
          <w:rFonts w:ascii="Times New Roman" w:cs="Times New Roman" w:eastAsia="Times New Roman" w:hAnsi="Times New Roman"/>
          <w:sz w:val="20"/>
          <w:szCs w:val="20"/>
          <w:u w:val="single" w:color="auto"/>
          <w:color w:val="auto"/>
        </w:rPr>
        <w:t>Section 5(b)(xiv)</w:t>
      </w:r>
      <w:r>
        <w:rPr>
          <w:rFonts w:ascii="Times New Roman" w:cs="Times New Roman" w:eastAsia="Times New Roman" w:hAnsi="Times New Roman"/>
          <w:sz w:val="20"/>
          <w:szCs w:val="20"/>
          <w:color w:val="auto"/>
        </w:rPr>
        <w:t xml:space="preserve"> by the Seller, the remedies at law of Buyer for such breach shall not be a sufficient remedy, that such breach would cause irreparable harm to Buyer, and that Buyer shall be entitled to specific performance of the obligation set forth in this </w:t>
      </w:r>
      <w:r>
        <w:rPr>
          <w:rFonts w:ascii="Times New Roman" w:cs="Times New Roman" w:eastAsia="Times New Roman" w:hAnsi="Times New Roman"/>
          <w:sz w:val="20"/>
          <w:szCs w:val="20"/>
          <w:u w:val="single" w:color="auto"/>
          <w:color w:val="auto"/>
        </w:rPr>
        <w:t>Section 5(b)(xiv)</w:t>
      </w:r>
      <w:r>
        <w:rPr>
          <w:rFonts w:ascii="Times New Roman" w:cs="Times New Roman" w:eastAsia="Times New Roman" w:hAnsi="Times New Roman"/>
          <w:sz w:val="20"/>
          <w:szCs w:val="20"/>
          <w:color w:val="auto"/>
        </w:rPr>
        <w:t xml:space="preserve"> to provide collateral security to Buyer, without the necessity of proving the inadequacy of money damages as a remedy, in addition to any other remedy at law or in equity. The Seller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 w:cs="Times New Roman" w:eastAsia="Times New Roman" w:hAnsi="Times New Roman"/>
          <w:sz w:val="20"/>
          <w:szCs w:val="20"/>
          <w:u w:val="single" w:color="auto"/>
          <w:color w:val="auto"/>
        </w:rPr>
        <w:t>Section 5(b)(xiv)</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480" w:firstLine="630"/>
        <w:spacing w:after="0" w:line="250" w:lineRule="auto"/>
        <w:tabs>
          <w:tab w:leader="none" w:pos="145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Generally</w:t>
      </w:r>
      <w:r>
        <w:rPr>
          <w:rFonts w:ascii="Times New Roman" w:cs="Times New Roman" w:eastAsia="Times New Roman" w:hAnsi="Times New Roman"/>
          <w:sz w:val="20"/>
          <w:szCs w:val="20"/>
          <w:color w:val="auto"/>
        </w:rPr>
        <w:t xml:space="preserve">. Until the Survival Period End Date and upon the reasonable request of the Buyer, the Seller shall provide the Buyer, within a reasonable time (not to exceed ten Business Days) after such request, with such additional information material to the operation of the Facility (other than any such information relating to the design of the Facility) as requested by the Buyer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information is reasonably available to the Seller and the provision thereof to the Buyer would not result in a material burden to the Seller.</w:t>
      </w:r>
    </w:p>
    <w:p>
      <w:pPr>
        <w:spacing w:after="0" w:line="178" w:lineRule="exact"/>
        <w:rPr>
          <w:rFonts w:ascii="Times New Roman" w:cs="Times New Roman" w:eastAsia="Times New Roman" w:hAnsi="Times New Roman"/>
          <w:sz w:val="20"/>
          <w:szCs w:val="20"/>
          <w:color w:val="auto"/>
        </w:rPr>
      </w:pPr>
    </w:p>
    <w:p>
      <w:pPr>
        <w:jc w:val="both"/>
        <w:ind w:left="480" w:firstLine="630"/>
        <w:spacing w:after="0" w:line="250" w:lineRule="auto"/>
        <w:tabs>
          <w:tab w:leader="none" w:pos="209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Seller shall not use the proceeds of the Purchase Price: (A) in furtherance of an offer, payment, promise to pay, or authorization of the payment or giving of money, or anything else of value, to any Person in violation of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U.S.; or (C) in any manner that would result in the violation of any Sanctions applicable to the Seller or any Seller Party.</w:t>
      </w:r>
    </w:p>
    <w:p>
      <w:pPr>
        <w:spacing w:after="0" w:line="178" w:lineRule="exact"/>
        <w:rPr>
          <w:rFonts w:ascii="Times New Roman" w:cs="Times New Roman" w:eastAsia="Times New Roman" w:hAnsi="Times New Roman"/>
          <w:sz w:val="20"/>
          <w:szCs w:val="20"/>
          <w:color w:val="auto"/>
        </w:rPr>
      </w:pPr>
    </w:p>
    <w:p>
      <w:pPr>
        <w:jc w:val="both"/>
        <w:ind w:left="480" w:firstLine="630"/>
        <w:spacing w:after="0" w:line="248" w:lineRule="auto"/>
        <w:tabs>
          <w:tab w:leader="none" w:pos="208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Condemnation Events and Casualty Events</w:t>
      </w:r>
      <w:r>
        <w:rPr>
          <w:rFonts w:ascii="Times New Roman" w:cs="Times New Roman" w:eastAsia="Times New Roman" w:hAnsi="Times New Roman"/>
          <w:sz w:val="20"/>
          <w:szCs w:val="20"/>
          <w:color w:val="auto"/>
        </w:rPr>
        <w:t xml:space="preserve">. During the Recapture Period, if a Condemnation Event shall be threatened in writing or occur, or a Casualty Event shall occur with respect to any material portion of the Facility or the Facility Site, the Seller shall cause the Seller Parties to (A) promptly upon discovery or receipt of notice of any such threat or occurrence provide written notice thereof to the Buyer; (B) diligently pursue all of its rights to compensation against the relevant Governmental Authority or insurer in respect of such event; (C) not, without the written consent of the Buyer, compromise or settle any claim against such Governmental Authority or insurer; and (D) except to the extent restricted or otherwise governed by the terms of any Permitted Indebtedness, not distribute any eminent domain or insurance proceeds unless and until all amounts payable to Buyer hereunder resulting or reasonably likely to result from such event have been paid to the Buyer (or reserved in an escrow account for the benefit of the Buyer in an amount and subject to release conditions acceptable to the Buyer in its sole discretion); provided, however, that this </w:t>
      </w:r>
      <w:r>
        <w:rPr>
          <w:rFonts w:ascii="Times New Roman" w:cs="Times New Roman" w:eastAsia="Times New Roman" w:hAnsi="Times New Roman"/>
          <w:sz w:val="20"/>
          <w:szCs w:val="20"/>
          <w:u w:val="single" w:color="auto"/>
          <w:color w:val="auto"/>
        </w:rPr>
        <w:t>clause (xvii)</w:t>
      </w:r>
      <w:r>
        <w:rPr>
          <w:rFonts w:ascii="Times New Roman" w:cs="Times New Roman" w:eastAsia="Times New Roman" w:hAnsi="Times New Roman"/>
          <w:sz w:val="20"/>
          <w:szCs w:val="20"/>
          <w:color w:val="auto"/>
        </w:rPr>
        <w:t xml:space="preserve"> shall not prohibit any such action (or inaction) to the extent that it results in a Tax Credit Loss that is fully insured, and for which Buyer is made whole, pursuant to the Tax Insurance Policy.</w:t>
      </w:r>
    </w:p>
    <w:p>
      <w:pPr>
        <w:spacing w:after="0" w:line="180" w:lineRule="exact"/>
        <w:rPr>
          <w:rFonts w:ascii="Times New Roman" w:cs="Times New Roman" w:eastAsia="Times New Roman" w:hAnsi="Times New Roman"/>
          <w:sz w:val="20"/>
          <w:szCs w:val="20"/>
          <w:color w:val="auto"/>
        </w:rPr>
      </w:pPr>
    </w:p>
    <w:p>
      <w:pPr>
        <w:jc w:val="both"/>
        <w:ind w:left="480" w:firstLine="630"/>
        <w:spacing w:after="0" w:line="256" w:lineRule="auto"/>
        <w:tabs>
          <w:tab w:leader="none" w:pos="208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w:t>
      </w:r>
      <w:r>
        <w:rPr>
          <w:rFonts w:ascii="Times New Roman" w:cs="Times New Roman" w:eastAsia="Times New Roman" w:hAnsi="Times New Roman"/>
          <w:sz w:val="20"/>
          <w:szCs w:val="20"/>
          <w:color w:val="auto"/>
        </w:rPr>
        <w:t>. The Seller shall (A) maintain and preserve its existence as a limited liability company, in its respective jurisdiction of organization and all material rights, privileges and franchises necessary or desirable in the normal</w:t>
      </w:r>
    </w:p>
    <w:p>
      <w:pPr>
        <w:sectPr>
          <w:pgSz w:w="11900" w:h="16838" w:orient="portrait"/>
          <w:cols w:equalWidth="0" w:num="1">
            <w:col w:w="10080"/>
          </w:cols>
          <w:pgMar w:left="1440" w:top="1012" w:right="379" w:bottom="1440" w:gutter="0" w:footer="0" w:header="0"/>
        </w:sectPr>
      </w:pPr>
    </w:p>
    <w:bookmarkStart w:id="156" w:name="page157"/>
    <w:bookmarkEnd w:id="156"/>
    <w:p>
      <w:pPr>
        <w:jc w:val="both"/>
        <w:ind w:left="652"/>
        <w:spacing w:after="0" w:line="249" w:lineRule="auto"/>
        <w:rPr>
          <w:sz w:val="20"/>
          <w:szCs w:val="20"/>
          <w:color w:val="auto"/>
        </w:rPr>
      </w:pPr>
      <w:r>
        <w:rPr>
          <w:rFonts w:ascii="Times New Roman" w:cs="Times New Roman" w:eastAsia="Times New Roman" w:hAnsi="Times New Roman"/>
          <w:sz w:val="20"/>
          <w:szCs w:val="20"/>
          <w:color w:val="auto"/>
        </w:rPr>
        <w:t xml:space="preserve">conduct of its business; (B) perform all of their material contractual obligations under the Material Project Documents and all other material agreements and contracts by which each is bound; (C) maintain its properties and assets in good repair and working order and condition in accordance with prudent industry practices; and (D) maintain in full force and effect all Required Governmental Approvals and any other material Governmental Approvals that are necessary and advisable to conduct its business and to own, insure, operate and maintain the Facility in the manner contemplated by the Material Project Documents, in each case except to the extent that the failure to comply with the foregoing that would not reasonably be expected to cause a recapture of the Transferred Tax Credits or cause Project to be considered to have been taken out of service for federal income tax purposes; provided, however, that this </w:t>
      </w:r>
      <w:r>
        <w:rPr>
          <w:rFonts w:ascii="Times New Roman" w:cs="Times New Roman" w:eastAsia="Times New Roman" w:hAnsi="Times New Roman"/>
          <w:sz w:val="20"/>
          <w:szCs w:val="20"/>
          <w:u w:val="single" w:color="auto"/>
          <w:color w:val="auto"/>
        </w:rPr>
        <w:t>clause (xviii)</w:t>
      </w:r>
      <w:r>
        <w:rPr>
          <w:rFonts w:ascii="Times New Roman" w:cs="Times New Roman" w:eastAsia="Times New Roman" w:hAnsi="Times New Roman"/>
          <w:sz w:val="20"/>
          <w:szCs w:val="20"/>
          <w:color w:val="auto"/>
        </w:rPr>
        <w:t xml:space="preserve"> shall not prohibit any such action (or inaction) to the extent that it results in a Tax Credit Loss that is fully insured, and for which Buyer is made whole, pursuant to the Tax Insurance Policy.</w:t>
      </w:r>
    </w:p>
    <w:p>
      <w:pPr>
        <w:spacing w:after="0" w:line="179" w:lineRule="exact"/>
        <w:rPr>
          <w:sz w:val="20"/>
          <w:szCs w:val="20"/>
          <w:color w:val="auto"/>
        </w:rPr>
      </w:pPr>
    </w:p>
    <w:p>
      <w:pPr>
        <w:jc w:val="both"/>
        <w:ind w:left="652" w:firstLine="630"/>
        <w:spacing w:after="0" w:line="283" w:lineRule="auto"/>
        <w:tabs>
          <w:tab w:leader="none" w:pos="226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Insurance Policy</w:t>
      </w:r>
      <w:r>
        <w:rPr>
          <w:rFonts w:ascii="Times New Roman" w:cs="Times New Roman" w:eastAsia="Times New Roman" w:hAnsi="Times New Roman"/>
          <w:sz w:val="18"/>
          <w:szCs w:val="18"/>
          <w:color w:val="auto"/>
        </w:rPr>
        <w:t>. The Seller shall cause the Seller Parties to (A) promptly notify the Buyer of any correspondence received from the insurer under the Tax Insurance Policy, (B) use best efforts to assist the Buyer in its efforts to comply with the terms and conditions of the Tax Insurance Policy, and (C) not take any action, or fail to take any action, that could cause any loss of coverage thereunder to the Buyer or any Insured (as defined in the Tax Insurance Policy). The Seller shall pay (or cause to be paid) all premiums, fees, expenses and other amounts payable under the Tax Insurance Policy at least five Business Days before the same are due and shall provide written notice to the Buyer thereof.</w:t>
      </w:r>
    </w:p>
    <w:p>
      <w:pPr>
        <w:spacing w:after="0" w:line="151" w:lineRule="exact"/>
        <w:rPr>
          <w:rFonts w:ascii="Times New Roman" w:cs="Times New Roman" w:eastAsia="Times New Roman" w:hAnsi="Times New Roman"/>
          <w:sz w:val="18"/>
          <w:szCs w:val="18"/>
          <w:color w:val="auto"/>
        </w:rPr>
      </w:pPr>
    </w:p>
    <w:p>
      <w:pPr>
        <w:ind w:left="-628" w:right="140" w:firstLine="628"/>
        <w:spacing w:after="0" w:line="277" w:lineRule="auto"/>
        <w:tabs>
          <w:tab w:leader="none" w:pos="34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Election</w:t>
      </w:r>
      <w:r>
        <w:rPr>
          <w:rFonts w:ascii="Times New Roman" w:cs="Times New Roman" w:eastAsia="Times New Roman" w:hAnsi="Times New Roman"/>
          <w:sz w:val="18"/>
          <w:szCs w:val="18"/>
          <w:color w:val="auto"/>
        </w:rPr>
        <w:t>. With respect to the Transferred Tax Credits, the Seller shall (i) file an election to transfer the Transferred Tax Credits to the Buyer not later than the due date (including extensions, and as such date may be extended by the IRS or Treasury) for the tax return of the Seller for the taxable year for which such Transferred Tax Credits are determined and otherwise in the time and manner required by the IRS or Treasury, Applicable Laws and this Agreement, consistent with current and future guidance issued under Section 6418 of the Code (a “</w:t>
      </w:r>
      <w:r>
        <w:rPr>
          <w:rFonts w:ascii="Times New Roman" w:cs="Times New Roman" w:eastAsia="Times New Roman" w:hAnsi="Times New Roman"/>
          <w:sz w:val="18"/>
          <w:szCs w:val="18"/>
          <w:b w:val="1"/>
          <w:bCs w:val="1"/>
          <w:i w:val="1"/>
          <w:iCs w:val="1"/>
          <w:color w:val="auto"/>
        </w:rPr>
        <w:t>Transfer Election</w:t>
      </w:r>
      <w:r>
        <w:rPr>
          <w:rFonts w:ascii="Times New Roman" w:cs="Times New Roman" w:eastAsia="Times New Roman" w:hAnsi="Times New Roman"/>
          <w:sz w:val="18"/>
          <w:szCs w:val="18"/>
          <w:color w:val="auto"/>
        </w:rPr>
        <w:t xml:space="preserve">”) and (ii) provide the Buyer with the relevant portions of the Transfer Election (with redactions solely of information that is not relevant to the Transfer Election if such redactions are deemed necessary or reasonably appropriate by the Seller) and verification from the Seller’s federal income tax return preparer that the Transfer Election was properly made and the Transferred Tax Credits were properly transferred to the Buyer in the amount described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Seller is unable to provide such verification, the Seller shall provide other evidence, reasonably satisfactory to the Buyer, that the Transfer Election was properly made and the Transferred Tax Credits were transferred to the Buyer. No later than seven (7) days after the Closing Date, the Seller shall deliver an executed Transfer Election Statement in substantially the form attached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(and otherwise consistent with, and including the information required by, Treasury Regulations Section 1.6418-2(b)(5) (or any updated, finalized, superseding or successor provision)) duly executed by or on behalf of the Seller.</w:t>
      </w:r>
    </w:p>
    <w:p>
      <w:pPr>
        <w:spacing w:after="0" w:line="392" w:lineRule="exact"/>
        <w:rPr>
          <w:rFonts w:ascii="Times New Roman" w:cs="Times New Roman" w:eastAsia="Times New Roman" w:hAnsi="Times New Roman"/>
          <w:sz w:val="18"/>
          <w:szCs w:val="18"/>
          <w:color w:val="auto"/>
        </w:rPr>
      </w:pPr>
    </w:p>
    <w:p>
      <w:pPr>
        <w:ind w:left="-628" w:right="40" w:firstLine="628"/>
        <w:spacing w:after="0" w:line="250" w:lineRule="auto"/>
        <w:tabs>
          <w:tab w:leader="none" w:pos="3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Subject to the terms and conditions of this Agreement, each Party shall use commercially reasonable efforts to take, or cause to be taken, all actions and to do, or cause to be done, all things necessary to consummate and make effective the Transactions. At any time, or from time to time after the Effective Date, each Party shall, at the other Party’s reasonable request, and at the Seller’s sole cost and expense, execute and deliver such instruments of transfer, conveyance, assignment and assumption, in addition to this Agreement, and take such other actions (including</w:t>
      </w:r>
    </w:p>
    <w:p>
      <w:pPr>
        <w:sectPr>
          <w:pgSz w:w="11900" w:h="16838" w:orient="portrait"/>
          <w:cols w:equalWidth="0" w:num="1">
            <w:col w:w="10252"/>
          </w:cols>
          <w:pgMar w:left="1268" w:top="1012" w:right="379" w:bottom="1440" w:gutter="0" w:footer="0" w:header="0"/>
        </w:sectPr>
      </w:pPr>
    </w:p>
    <w:bookmarkStart w:id="157" w:name="page158"/>
    <w:bookmarkEnd w:id="157"/>
    <w:p>
      <w:pPr>
        <w:ind w:left="100"/>
        <w:spacing w:after="0"/>
        <w:rPr>
          <w:sz w:val="20"/>
          <w:szCs w:val="20"/>
          <w:color w:val="auto"/>
        </w:rPr>
      </w:pPr>
      <w:r>
        <w:rPr>
          <w:rFonts w:ascii="Times New Roman" w:cs="Times New Roman" w:eastAsia="Times New Roman" w:hAnsi="Times New Roman"/>
          <w:sz w:val="20"/>
          <w:szCs w:val="20"/>
          <w:color w:val="auto"/>
        </w:rPr>
        <w:t>making regulatory or other filings) as any Party may reasonably request in order to further evidence and effectuate the Transactions.</w:t>
      </w:r>
    </w:p>
    <w:p>
      <w:pPr>
        <w:spacing w:after="0" w:line="2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u w:val="single" w:color="auto"/>
          <w:color w:val="auto"/>
        </w:rPr>
        <w:t>Section 6</w:t>
      </w:r>
      <w:r>
        <w:rPr>
          <w:sz w:val="20"/>
          <w:szCs w:val="20"/>
          <w:color w:val="auto"/>
        </w:rPr>
        <w:tab/>
      </w:r>
      <w:r>
        <w:rPr>
          <w:rFonts w:ascii="Times New Roman" w:cs="Times New Roman" w:eastAsia="Times New Roman" w:hAnsi="Times New Roman"/>
          <w:sz w:val="18"/>
          <w:szCs w:val="18"/>
          <w:b w:val="1"/>
          <w:bCs w:val="1"/>
          <w:u w:val="single" w:color="auto"/>
          <w:color w:val="auto"/>
        </w:rPr>
        <w:t>Seller Indemnification.</w:t>
      </w:r>
    </w:p>
    <w:p>
      <w:pPr>
        <w:spacing w:after="0" w:line="201" w:lineRule="exact"/>
        <w:rPr>
          <w:sz w:val="20"/>
          <w:szCs w:val="20"/>
          <w:color w:val="auto"/>
        </w:rPr>
      </w:pPr>
    </w:p>
    <w:p>
      <w:pPr>
        <w:jc w:val="both"/>
        <w:ind w:left="740" w:firstLine="629"/>
        <w:spacing w:after="0" w:line="246" w:lineRule="auto"/>
        <w:tabs>
          <w:tab w:leader="none" w:pos="171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Seller Indemnification</w:t>
      </w:r>
      <w:r>
        <w:rPr>
          <w:rFonts w:ascii="Times New Roman" w:cs="Times New Roman" w:eastAsia="Times New Roman" w:hAnsi="Times New Roman"/>
          <w:sz w:val="20"/>
          <w:szCs w:val="20"/>
          <w:color w:val="auto"/>
        </w:rPr>
        <w:t>. The Seller agrees to indemnify and make whole the Buyer and its Affiliates, officers, employees and agents (collectively, the “</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xml:space="preserve">”) against (i) any inability of the Buyer to claim, or any reduction, recapture, loss or disallowance of, all or any portion of the Transferred Tax Credits,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additions to tax, interest and penalties imposed on the Buyer Indemnified Parties in respect thereof (including any penalty under Section 6418(g)(2)(A) of the Code) and any legal or other expenses incurred in connection with any tax audit or tax controversy with respect to the Transferred Tax Credits, (ii) any other losses, claims, damages, liabilities and related expenses, including the reasonable fees, charges and disbursements of any counsel for any Buyer Indemnified Party, incurred by or asserted against any Buyer Indemnified Party arising out of, in connection with, or as a result of any breach of a representation, warranty or covenant of the Seller, and (iii) to the extent a Change in Tax Law Termination Event occurs after the Closing Date, any losses (including recapture, loss, disallowance, reduction, additions to tax, penalties or interest) incurred by the Buyer with respect to the Transferred Tax Credits as a result of such Change in Tax Law Termination Event (collectively, a “</w:t>
      </w:r>
      <w:r>
        <w:rPr>
          <w:rFonts w:ascii="Times New Roman" w:cs="Times New Roman" w:eastAsia="Times New Roman" w:hAnsi="Times New Roman"/>
          <w:sz w:val="20"/>
          <w:szCs w:val="20"/>
          <w:b w:val="1"/>
          <w:bCs w:val="1"/>
          <w:i w:val="1"/>
          <w:iCs w:val="1"/>
          <w:color w:val="auto"/>
        </w:rPr>
        <w:t>Tax Credit Loss</w:t>
      </w:r>
      <w:r>
        <w:rPr>
          <w:rFonts w:ascii="Times New Roman" w:cs="Times New Roman" w:eastAsia="Times New Roman" w:hAnsi="Times New Roman"/>
          <w:sz w:val="20"/>
          <w:szCs w:val="20"/>
          <w:color w:val="auto"/>
        </w:rPr>
        <w:t>”), other than any Tax Credit Loss that is solely attributable to (A) a breach by the Buyer of any representation, warranty or covenant contained herein, (B) the inability of the Buyer to utilize or otherwise benefit from the Transferred Tax Credits due to the Buyer having an insufficient tax liability in the year in respect of which the Transferred Tax Credits are transferred, (C) the failure by any Buyer Indemnified Party to properly claim any Transferred Tax Credits (unless such failure was attributable to information provided by the Seller, or otherwise results from acts or omissions of the Seller), (D) the Buyer making any election to change its taxable year for U.S. federal income tax purposes, or (E) the gross negligence, willful misconduct or fraud undertaken by any Buyer Indemnified Party. The Buyer further acknowledges and agrees that the Buyer’s sole recourse for any indemnification pursuant to or arising from this Agreement is to the Seller or, if applicable, to the Guarantor pursuant to the Guaranty, and not under any circumstance to the Project Company or any of Seller’s members, and the Buyer waives any claim it may have against the Project Company or any of the Seller’s other subsidiaries for any indemnification pursuant to or arising from or otherwise with respect to this Agreement and the transactions contemplated hereby.</w:t>
      </w:r>
    </w:p>
    <w:p>
      <w:pPr>
        <w:spacing w:after="0" w:line="197" w:lineRule="exact"/>
        <w:rPr>
          <w:rFonts w:ascii="Times New Roman" w:cs="Times New Roman" w:eastAsia="Times New Roman" w:hAnsi="Times New Roman"/>
          <w:sz w:val="20"/>
          <w:szCs w:val="20"/>
          <w:color w:val="auto"/>
        </w:rPr>
      </w:pPr>
    </w:p>
    <w:p>
      <w:pPr>
        <w:jc w:val="both"/>
        <w:ind w:left="740" w:firstLine="629"/>
        <w:spacing w:after="0" w:line="279" w:lineRule="auto"/>
        <w:tabs>
          <w:tab w:leader="none" w:pos="170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xml:space="preserve">. The Seller’s aggregate indemnity obligation to the Buyer Indemnified Parties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w:t>
      </w:r>
      <w:r>
        <w:rPr>
          <w:rFonts w:ascii="Times New Roman" w:cs="Times New Roman" w:eastAsia="Times New Roman" w:hAnsi="Times New Roman"/>
          <w:sz w:val="18"/>
          <w:szCs w:val="18"/>
          <w:color w:val="auto"/>
        </w:rPr>
        <w:t xml:space="preserve"> shall not exceed the sum of (i) an amount equal to 100% of the Transferred Tax Credits, (ii) additions to tax, interest and penalties imposed on, and including legal and other service costs incurred by the Buyer Indemnified Parties in connection with</w:t>
      </w:r>
    </w:p>
    <w:p>
      <w:pPr>
        <w:ind w:left="740"/>
        <w:spacing w:after="0"/>
        <w:rPr>
          <w:sz w:val="20"/>
          <w:szCs w:val="20"/>
          <w:color w:val="auto"/>
        </w:rPr>
      </w:pPr>
      <w:r>
        <w:rPr>
          <w:rFonts w:ascii="Times New Roman" w:cs="Times New Roman" w:eastAsia="Times New Roman" w:hAnsi="Times New Roman"/>
          <w:sz w:val="18"/>
          <w:szCs w:val="18"/>
          <w:color w:val="auto"/>
        </w:rPr>
        <w:t>any resulting underpayment or the excessive transfer of Transferred Tax Credits, including any penalty under Section 6418(g)(2)</w:t>
      </w:r>
    </w:p>
    <w:p>
      <w:pPr>
        <w:spacing w:after="0" w:line="28" w:lineRule="exact"/>
        <w:rPr>
          <w:sz w:val="20"/>
          <w:szCs w:val="20"/>
          <w:color w:val="auto"/>
        </w:rPr>
      </w:pPr>
    </w:p>
    <w:p>
      <w:pPr>
        <w:jc w:val="both"/>
        <w:ind w:left="740" w:hanging="4"/>
        <w:spacing w:after="0" w:line="246" w:lineRule="auto"/>
        <w:tabs>
          <w:tab w:leader="none" w:pos="107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Code, (iii) all costs incurred by each applicable Buyer Indemnified Party in connection with enforcing its rights and remedies hereunder or in defending itself from any IRS or other adverse action caused hereby, and (iv) any tax gross-up amount payable pursuant to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Indemnity Cap</w:t>
      </w:r>
      <w:r>
        <w:rPr>
          <w:rFonts w:ascii="Times New Roman" w:cs="Times New Roman" w:eastAsia="Times New Roman" w:hAnsi="Times New Roman"/>
          <w:sz w:val="20"/>
          <w:szCs w:val="20"/>
          <w:color w:val="auto"/>
        </w:rPr>
        <w:t>”), except the Indemnity Cap shall not apply to any claims of or attributable to the fraud, gross negligence or willful misconduct of the Seller or Affiliate of the Seller or to any third party claims. In no event shall the Seller have any liability under this Agreement for or in respect of any punitive, consequential, special, incidental, or exemplary damages or any nature, including damages for lost profits or revenues or the loss or use of such profits or revenues, damages to reputation, and damages for lost opportunities, in each case to the extent</w:t>
      </w:r>
    </w:p>
    <w:p>
      <w:pPr>
        <w:sectPr>
          <w:pgSz w:w="11900" w:h="16838" w:orient="portrait"/>
          <w:cols w:equalWidth="0" w:num="1">
            <w:col w:w="10980"/>
          </w:cols>
          <w:pgMar w:left="540" w:top="1012" w:right="379" w:bottom="1440" w:gutter="0" w:footer="0" w:header="0"/>
        </w:sectPr>
      </w:pPr>
    </w:p>
    <w:bookmarkStart w:id="158" w:name="page159"/>
    <w:bookmarkEnd w:id="158"/>
    <w:p>
      <w:pPr>
        <w:jc w:val="both"/>
        <w:ind w:left="4"/>
        <w:spacing w:after="0" w:line="248" w:lineRule="auto"/>
        <w:rPr>
          <w:sz w:val="20"/>
          <w:szCs w:val="20"/>
          <w:color w:val="auto"/>
        </w:rPr>
      </w:pPr>
      <w:r>
        <w:rPr>
          <w:rFonts w:ascii="Times New Roman" w:cs="Times New Roman" w:eastAsia="Times New Roman" w:hAnsi="Times New Roman"/>
          <w:sz w:val="20"/>
          <w:szCs w:val="20"/>
          <w:color w:val="auto"/>
        </w:rPr>
        <w:t xml:space="preserve">constituting consequential damages, regardless of whether such claim is based upon contract, warranty, tort (including negligence and strict liability) or other theory of law (but not any such damages to the extent required to be paid by a Buyer Indemnified Party pursuant to a judgment obtained by a third party against the Buyer for a claim for which the Seller is required to provide an indemnity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Tax Credit Loss for which the Seller is obligated to indemnify the Buyer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shall be recoverable as damages subject to the limitations described in the first sentence of this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 xml:space="preserve"> and shall not constitute excludable punitive, consequential, special, incidental or exemplary damages. Each Buyer Indemnified Party (other than the Buyer) shall be an express third-party beneficiary of this Agreement for purposes of enforcing its rights pursuant to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left="4" w:firstLine="629"/>
        <w:spacing w:after="0" w:line="247" w:lineRule="auto"/>
        <w:tabs>
          <w:tab w:leader="none" w:pos="97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After-Tax Basis</w:t>
      </w:r>
      <w:r>
        <w:rPr>
          <w:rFonts w:ascii="Times New Roman" w:cs="Times New Roman" w:eastAsia="Times New Roman" w:hAnsi="Times New Roman"/>
          <w:sz w:val="20"/>
          <w:szCs w:val="20"/>
          <w:color w:val="auto"/>
        </w:rPr>
        <w:t xml:space="preserve">. For tax reporting purposes and except as otherwise provided in this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each Party will treat and report indemnification payments paid under any of the provisions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as a nontaxable reimbursement or purchase price adjustment, as the case may be; provided, however, the Parties agree that (A) (i) the Buyer’s profit from the purchase of Tax Credits under this Agreement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if the Buyer paid $0.95 for $1.00 of Tax Credits, its profit would have been $0.05) related to such indemnification payment and (ii) penalties and interest imposed by the IRS related to such indemnification payment shall be grossed up for U.S. federal, state and local income taxes, using the highest marginal U.S. federal, state and local income tax rate applicable to corporations provided for in Section 11 of the Code (or such other Applicable Law with respect to state and local taxes) as of the date of the payment and (B) if Buyer delivers to the Seller an opinion of Mayer Brown LLP or another nationally recognized counsel reasonably agreed by the Parties that for U.S. federal, state or local income tax purposes such indemnity payment is “more likely than not” taxable income, then such indemnification payment shall be grossed up for such income taxes, using the highest marginal U.S. federal, state and local income tax rate applicable to corporations provided for in Section 11 of the Code (or such other Applicable Law with respect to state and local taxes) as of the date of the payment. In the event that any indemnification payment treated as a nontaxable reimbursement or Purchase Price adjustment is subsequently determined in a Final Determination to be includable as income of the recipient for U.S. federal, state or local income tax purposes, such indemnification payment shall also be grossed up for such taxes, using the highest marginal U.S. federal, state and local income tax rate applicable to corporations provided for in Section 11 of the Code (or such other Applicable Law with respect to state and local taxes) as of the date of the payment.</w:t>
      </w:r>
    </w:p>
    <w:p>
      <w:pPr>
        <w:spacing w:after="0" w:line="184" w:lineRule="exact"/>
        <w:rPr>
          <w:rFonts w:ascii="Times New Roman" w:cs="Times New Roman" w:eastAsia="Times New Roman" w:hAnsi="Times New Roman"/>
          <w:sz w:val="20"/>
          <w:szCs w:val="20"/>
          <w:color w:val="auto"/>
        </w:rPr>
      </w:pPr>
    </w:p>
    <w:p>
      <w:pPr>
        <w:jc w:val="both"/>
        <w:ind w:left="4" w:firstLine="629"/>
        <w:spacing w:after="0" w:line="275" w:lineRule="auto"/>
        <w:tabs>
          <w:tab w:leader="none" w:pos="97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xml:space="preserve">. The Buyer shall conduct the defense of any tax controversy relating to the Transferred Tax Credits except to the extent (i) the Seller has agreed in writing (subject to the Indemnity Cap) to indemnify the Buyer Indemnified Parties for any loss (including the loss of the Transferred Tax Credits,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additions to tax, interest and penalties imposed on the Buyer Indemnified Parties in respect thereof) arising as a result therefrom, (ii) the Seller has demonstrated to the reasonable satisfaction of the applicable Buyer Indemnified Party the wherewithal of the Opal Parties, to pay such indemnity, (iii) Buyer</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reasonably determines that Seller can conduct the defense of the tax controversy in its own name and not in Buyer’s name, and</w:t>
      </w:r>
    </w:p>
    <w:p>
      <w:pPr>
        <w:spacing w:after="0" w:line="5" w:lineRule="exact"/>
        <w:rPr>
          <w:sz w:val="20"/>
          <w:szCs w:val="20"/>
          <w:color w:val="auto"/>
        </w:rPr>
      </w:pPr>
    </w:p>
    <w:p>
      <w:pPr>
        <w:ind w:left="324" w:hanging="324"/>
        <w:spacing w:after="0"/>
        <w:tabs>
          <w:tab w:leader="none" w:pos="3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Buyer Indemnified Party does not affirmatively waive in writing its right to indemnification pursuant to </w:t>
      </w:r>
      <w:r>
        <w:rPr>
          <w:rFonts w:ascii="Times New Roman" w:cs="Times New Roman" w:eastAsia="Times New Roman" w:hAnsi="Times New Roman"/>
          <w:sz w:val="18"/>
          <w:szCs w:val="18"/>
          <w:u w:val="single" w:color="auto"/>
          <w:color w:val="auto"/>
        </w:rPr>
        <w:t>Section</w:t>
      </w:r>
    </w:p>
    <w:p>
      <w:pPr>
        <w:spacing w:after="0" w:line="25" w:lineRule="exact"/>
        <w:rPr>
          <w:rFonts w:ascii="Times New Roman" w:cs="Times New Roman" w:eastAsia="Times New Roman" w:hAnsi="Times New Roman"/>
          <w:sz w:val="18"/>
          <w:szCs w:val="18"/>
          <w:color w:val="auto"/>
        </w:rPr>
      </w:pPr>
    </w:p>
    <w:p>
      <w:pPr>
        <w:jc w:val="both"/>
        <w:ind w:left="4"/>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6(a)</w:t>
      </w:r>
      <w:r>
        <w:rPr>
          <w:rFonts w:ascii="Times New Roman" w:cs="Times New Roman" w:eastAsia="Times New Roman" w:hAnsi="Times New Roman"/>
          <w:sz w:val="20"/>
          <w:szCs w:val="20"/>
          <w:color w:val="auto"/>
        </w:rPr>
        <w:t xml:space="preserve"> with respect to such Transferred Tax Credits. If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in the preceding sentence are satisfied, then the Seller, or a representative of the Seller, will conduct the defense of the audit, and any subsequent contest of IRS claims for which the Seller would be obligated to indemnify the Buyer Indemnified Parties, at the Seller’s expense; provided, that the applicable Buyer Indemnified Party shall have the right to control the defense of such tax controversy if the Buyer affirmatively waives in writing its right to indemnification pursuant to </w:t>
      </w:r>
      <w:r>
        <w:rPr>
          <w:rFonts w:ascii="Times New Roman" w:cs="Times New Roman" w:eastAsia="Times New Roman" w:hAnsi="Times New Roman"/>
          <w:sz w:val="20"/>
          <w:szCs w:val="20"/>
          <w:u w:val="single" w:color="auto"/>
          <w:color w:val="auto"/>
        </w:rPr>
        <w:t>Section 6(a)</w:t>
      </w:r>
    </w:p>
    <w:p>
      <w:pPr>
        <w:sectPr>
          <w:pgSz w:w="11900" w:h="16838" w:orient="portrait"/>
          <w:cols w:equalWidth="0" w:num="1">
            <w:col w:w="10244"/>
          </w:cols>
          <w:pgMar w:left="1276" w:top="1012" w:right="379" w:bottom="1440" w:gutter="0" w:footer="0" w:header="0"/>
        </w:sectPr>
      </w:pPr>
    </w:p>
    <w:bookmarkStart w:id="159" w:name="page160"/>
    <w:bookmarkEnd w:id="159"/>
    <w:p>
      <w:pPr>
        <w:jc w:val="both"/>
        <w:ind w:left="320"/>
        <w:spacing w:after="0" w:line="277" w:lineRule="auto"/>
        <w:rPr>
          <w:sz w:val="20"/>
          <w:szCs w:val="20"/>
          <w:color w:val="auto"/>
        </w:rPr>
      </w:pPr>
      <w:r>
        <w:rPr>
          <w:rFonts w:ascii="Times New Roman" w:cs="Times New Roman" w:eastAsia="Times New Roman" w:hAnsi="Times New Roman"/>
          <w:sz w:val="18"/>
          <w:szCs w:val="18"/>
          <w:color w:val="auto"/>
        </w:rPr>
        <w:t xml:space="preserve">with respect to the applicable Transferred Tax Credits. In such an instance, the Seller shall keep the applicable Buyer Indemnified Party informed of any developments in such audit or contest to the extent relevant to the Transferred Tax Credits and allow the applicable Buyer Indemnified Party to participate in such audit or contest, at the expense of such Buyer Indemnified Party, and such Buyer Indemnified Party shall cooperate with the Seller in connection with such audit or contest. In the event that the Buyer conducts the defense of any tax controversy relating to the Transferred Tax Credits in accordance with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(1) the Seller shall cooperate with the Buyer in connection with such tax controversy and (2) Buyer shall not settle, compromise, abandon or appeal such tax controversy without the Seller’s consent (such consent not to be unreasonably withheld, conditioned or delayed); provided that in no event shall Buyer be required to pursue any judicial remedy (or otherwise pursue any remedy other than federal administrative remedies) in connection with such tax controversy. In connection with any such tax controversy or defense or contest thereof, for any matter that is not related to the Transferred Tax Credits, (y) no Buyer Indemnified Party shall have any right to participate in or control any audit or controversy that is between the IRS and the Seller (or any Affiliate of the Seller) and to which such Buyer Indemnified Party is not a party, and shall have no consent rights over any such audits, settlements, or controversies and (z) the Seller shall have no right to participate in or control any audit or controversy that is between the IRS and the Buyer (or any Buyer Indemnified Party) and to which the Seller or any Affiliate of the Seller is not a party, and shall have no consent rights over any such audits, settlements, or controversies.</w:t>
      </w:r>
    </w:p>
    <w:p>
      <w:pPr>
        <w:spacing w:after="0" w:line="396" w:lineRule="exact"/>
        <w:rPr>
          <w:sz w:val="20"/>
          <w:szCs w:val="20"/>
          <w:color w:val="auto"/>
        </w:rPr>
      </w:pPr>
    </w:p>
    <w:p>
      <w:pPr>
        <w:jc w:val="both"/>
        <w:ind w:left="320" w:firstLine="629"/>
        <w:spacing w:after="0" w:line="256" w:lineRule="auto"/>
        <w:tabs>
          <w:tab w:leader="none" w:pos="129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Representations and Warranties of the Seller</w:t>
      </w:r>
      <w:r>
        <w:rPr>
          <w:rFonts w:ascii="Times New Roman" w:cs="Times New Roman" w:eastAsia="Times New Roman" w:hAnsi="Times New Roman"/>
          <w:sz w:val="20"/>
          <w:szCs w:val="20"/>
          <w:color w:val="auto"/>
        </w:rPr>
        <w:t xml:space="preserve">. Without limiting the Seller’s indemnification obligations set forth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all claims of the Buyer for breaches of any representation or warranty of the Seller must be made within 18 months after the Payment Date, other than any of the following claims:</w:t>
      </w:r>
    </w:p>
    <w:p>
      <w:pPr>
        <w:spacing w:after="0" w:line="172" w:lineRule="exact"/>
        <w:rPr>
          <w:rFonts w:ascii="Times New Roman" w:cs="Times New Roman" w:eastAsia="Times New Roman" w:hAnsi="Times New Roman"/>
          <w:sz w:val="20"/>
          <w:szCs w:val="20"/>
          <w:color w:val="auto"/>
        </w:rPr>
      </w:pPr>
    </w:p>
    <w:p>
      <w:pPr>
        <w:ind w:left="860" w:firstLine="636"/>
        <w:spacing w:after="0" w:line="251" w:lineRule="auto"/>
        <w:tabs>
          <w:tab w:leader="none" w:pos="191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for breaches of the representations and warranties of the Seller set forth in </w:t>
      </w:r>
      <w:r>
        <w:rPr>
          <w:rFonts w:ascii="Times New Roman" w:cs="Times New Roman" w:eastAsia="Times New Roman" w:hAnsi="Times New Roman"/>
          <w:sz w:val="20"/>
          <w:szCs w:val="20"/>
          <w:u w:val="single" w:color="auto"/>
          <w:color w:val="auto"/>
        </w:rPr>
        <w:t>Section 4(a)(i)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Organization and Authority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Authorization and Execution</w:t>
      </w:r>
      <w:r>
        <w:rPr>
          <w:rFonts w:ascii="Times New Roman" w:cs="Times New Roman" w:eastAsia="Times New Roman" w:hAnsi="Times New Roman"/>
          <w:sz w:val="20"/>
          <w:szCs w:val="20"/>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 Violation</w:t>
      </w:r>
      <w:r>
        <w:rPr>
          <w:rFonts w:ascii="Times New Roman" w:cs="Times New Roman" w:eastAsia="Times New Roman" w:hAnsi="Times New Roman"/>
          <w:sz w:val="20"/>
          <w:szCs w:val="20"/>
          <w:color w:val="auto"/>
        </w:rPr>
        <w:t>) shall survive indefinitely; and</w:t>
      </w:r>
    </w:p>
    <w:p>
      <w:pPr>
        <w:spacing w:after="0" w:line="197" w:lineRule="exact"/>
        <w:rPr>
          <w:sz w:val="20"/>
          <w:szCs w:val="20"/>
          <w:color w:val="auto"/>
        </w:rPr>
      </w:pPr>
    </w:p>
    <w:p>
      <w:pPr>
        <w:ind w:left="1920" w:hanging="424"/>
        <w:spacing w:after="0"/>
        <w:tabs>
          <w:tab w:leader="none" w:pos="192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breaches of the Specified Tax Representations shall survive until the Survival Period End Date.</w:t>
      </w:r>
    </w:p>
    <w:p>
      <w:pPr>
        <w:spacing w:after="0" w:line="210" w:lineRule="exact"/>
        <w:rPr>
          <w:rFonts w:ascii="Times New Roman" w:cs="Times New Roman" w:eastAsia="Times New Roman" w:hAnsi="Times New Roman"/>
          <w:sz w:val="20"/>
          <w:szCs w:val="20"/>
          <w:color w:val="auto"/>
        </w:rPr>
      </w:pPr>
    </w:p>
    <w:p>
      <w:pPr>
        <w:ind w:left="320" w:firstLine="629"/>
        <w:spacing w:after="0" w:line="262" w:lineRule="auto"/>
        <w:tabs>
          <w:tab w:leader="none" w:pos="128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Representations and Warranties of the Buyer</w:t>
      </w:r>
      <w:r>
        <w:rPr>
          <w:rFonts w:ascii="Times New Roman" w:cs="Times New Roman" w:eastAsia="Times New Roman" w:hAnsi="Times New Roman"/>
          <w:sz w:val="20"/>
          <w:szCs w:val="20"/>
          <w:color w:val="auto"/>
        </w:rPr>
        <w:t>. All claims of the Seller for breaches of any representation or warranty of the Buyer must be made within 18 months after the Payment Date, other than any of the following claims:</w:t>
      </w:r>
    </w:p>
    <w:p>
      <w:pPr>
        <w:spacing w:after="0" w:line="165" w:lineRule="exact"/>
        <w:rPr>
          <w:rFonts w:ascii="Times New Roman" w:cs="Times New Roman" w:eastAsia="Times New Roman" w:hAnsi="Times New Roman"/>
          <w:sz w:val="20"/>
          <w:szCs w:val="20"/>
          <w:color w:val="auto"/>
        </w:rPr>
      </w:pPr>
    </w:p>
    <w:p>
      <w:pPr>
        <w:jc w:val="both"/>
        <w:ind w:left="860" w:firstLine="636"/>
        <w:spacing w:after="0" w:line="263" w:lineRule="auto"/>
        <w:tabs>
          <w:tab w:leader="none" w:pos="1918"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for breaches of the representations and warranties of the Buyer set forth in </w:t>
      </w:r>
      <w:r>
        <w:rPr>
          <w:rFonts w:ascii="Times New Roman" w:cs="Times New Roman" w:eastAsia="Times New Roman" w:hAnsi="Times New Roman"/>
          <w:sz w:val="20"/>
          <w:szCs w:val="20"/>
          <w:u w:val="single" w:color="auto"/>
          <w:color w:val="auto"/>
        </w:rPr>
        <w:t>Section 4(a)(i)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Organization and Authority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Authorization and Execution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 Violation</w:t>
      </w:r>
      <w:r>
        <w:rPr>
          <w:rFonts w:ascii="Times New Roman" w:cs="Times New Roman" w:eastAsia="Times New Roman" w:hAnsi="Times New Roman"/>
          <w:sz w:val="20"/>
          <w:szCs w:val="20"/>
          <w:color w:val="auto"/>
        </w:rPr>
        <w:t>) shall survive indefinitely; and</w:t>
      </w:r>
    </w:p>
    <w:p>
      <w:pPr>
        <w:spacing w:after="0" w:line="164" w:lineRule="exact"/>
        <w:rPr>
          <w:sz w:val="20"/>
          <w:szCs w:val="20"/>
          <w:color w:val="auto"/>
        </w:rPr>
      </w:pPr>
    </w:p>
    <w:p>
      <w:pPr>
        <w:jc w:val="both"/>
        <w:ind w:left="860" w:firstLine="636"/>
        <w:spacing w:after="0" w:line="257" w:lineRule="auto"/>
        <w:tabs>
          <w:tab w:leader="none" w:pos="191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for breaches of the representations and warranties of the Buyer set forth in </w:t>
      </w:r>
      <w:r>
        <w:rPr>
          <w:rFonts w:ascii="Times New Roman" w:cs="Times New Roman" w:eastAsia="Times New Roman" w:hAnsi="Times New Roman"/>
          <w:sz w:val="20"/>
          <w:szCs w:val="20"/>
          <w:u w:val="single" w:color="auto"/>
          <w:color w:val="auto"/>
        </w:rPr>
        <w:t>Section 4(a)(vii)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Related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Party</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Item (1)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survive until the date that is six months after the applicable statute of limitations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expires on any IRS audit for the applicable tax year of the Seller.</w:t>
      </w:r>
    </w:p>
    <w:p>
      <w:pPr>
        <w:spacing w:after="0" w:line="171" w:lineRule="exact"/>
        <w:rPr>
          <w:rFonts w:ascii="Times New Roman" w:cs="Times New Roman" w:eastAsia="Times New Roman" w:hAnsi="Times New Roman"/>
          <w:sz w:val="20"/>
          <w:szCs w:val="20"/>
          <w:color w:val="auto"/>
        </w:rPr>
      </w:pPr>
    </w:p>
    <w:p>
      <w:pPr>
        <w:ind w:left="320" w:right="20" w:firstLine="629"/>
        <w:spacing w:after="0" w:line="262" w:lineRule="auto"/>
        <w:tabs>
          <w:tab w:leader="none" w:pos="128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Claims</w:t>
      </w:r>
      <w:r>
        <w:rPr>
          <w:rFonts w:ascii="Times New Roman" w:cs="Times New Roman" w:eastAsia="Times New Roman" w:hAnsi="Times New Roman"/>
          <w:sz w:val="20"/>
          <w:szCs w:val="20"/>
          <w:color w:val="auto"/>
        </w:rPr>
        <w:t>. If written notice of a claim for indemnification is given by the Buyer prior to the last day of the applicable survival period (as determined pursuant to</w:t>
      </w:r>
    </w:p>
    <w:p>
      <w:pPr>
        <w:sectPr>
          <w:pgSz w:w="11900" w:h="16838" w:orient="portrait"/>
          <w:cols w:equalWidth="0" w:num="1">
            <w:col w:w="10560"/>
          </w:cols>
          <w:pgMar w:left="960" w:top="1012" w:right="379" w:bottom="1440" w:gutter="0" w:footer="0" w:header="0"/>
        </w:sectPr>
      </w:pPr>
    </w:p>
    <w:bookmarkStart w:id="160" w:name="page161"/>
    <w:bookmarkEnd w:id="160"/>
    <w:p>
      <w:pPr>
        <w:ind w:left="740"/>
        <w:spacing w:after="0"/>
        <w:rPr>
          <w:sz w:val="20"/>
          <w:szCs w:val="20"/>
          <w:color w:val="auto"/>
        </w:rPr>
      </w:pPr>
      <w:r>
        <w:rPr>
          <w:rFonts w:ascii="Times New Roman" w:cs="Times New Roman" w:eastAsia="Times New Roman" w:hAnsi="Times New Roman"/>
          <w:sz w:val="20"/>
          <w:szCs w:val="20"/>
          <w:u w:val="single" w:color="auto"/>
          <w:color w:val="auto"/>
        </w:rPr>
        <w:t>Section 6(e)</w:t>
      </w:r>
      <w:r>
        <w:rPr>
          <w:rFonts w:ascii="Times New Roman" w:cs="Times New Roman" w:eastAsia="Times New Roman" w:hAnsi="Times New Roman"/>
          <w:sz w:val="20"/>
          <w:szCs w:val="20"/>
          <w:color w:val="auto"/>
        </w:rPr>
        <w:t>), then the indemnification obligations of the Seller will survive until the final resolution of such claim.</w:t>
      </w:r>
    </w:p>
    <w:p>
      <w:pPr>
        <w:spacing w:after="0" w:line="211" w:lineRule="exact"/>
        <w:rPr>
          <w:sz w:val="20"/>
          <w:szCs w:val="20"/>
          <w:color w:val="auto"/>
        </w:rPr>
      </w:pPr>
    </w:p>
    <w:p>
      <w:pPr>
        <w:jc w:val="both"/>
        <w:ind w:left="740" w:firstLine="629"/>
        <w:spacing w:after="0" w:line="254" w:lineRule="auto"/>
        <w:tabs>
          <w:tab w:leader="none" w:pos="170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 Payment</w:t>
      </w:r>
      <w:r>
        <w:rPr>
          <w:rFonts w:ascii="Times New Roman" w:cs="Times New Roman" w:eastAsia="Times New Roman" w:hAnsi="Times New Roman"/>
          <w:sz w:val="20"/>
          <w:szCs w:val="20"/>
          <w:color w:val="auto"/>
        </w:rPr>
        <w:t xml:space="preserve">. Indemnification payments made pursuant to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be due in respect of any claim (i) within twenty days after the date on which Seller has been notified by Buyer of such indemnification claim if such claim is not being contested in accordance with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 xml:space="preserve"> or (ii) within ten Business Days of a Final Determination if such claim is being contested in accordance with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u w:val="single" w:color="auto"/>
          <w:color w:val="auto"/>
        </w:rPr>
        <w:t>Section 7</w:t>
      </w:r>
      <w:r>
        <w:rPr>
          <w:sz w:val="20"/>
          <w:szCs w:val="20"/>
          <w:color w:val="auto"/>
        </w:rPr>
        <w:tab/>
      </w:r>
      <w:r>
        <w:rPr>
          <w:rFonts w:ascii="Times New Roman" w:cs="Times New Roman" w:eastAsia="Times New Roman" w:hAnsi="Times New Roman"/>
          <w:sz w:val="18"/>
          <w:szCs w:val="18"/>
          <w:b w:val="1"/>
          <w:bCs w:val="1"/>
          <w:u w:val="single" w:color="auto"/>
          <w:color w:val="auto"/>
        </w:rPr>
        <w:t>Miscellaneous.</w:t>
      </w:r>
    </w:p>
    <w:p>
      <w:pPr>
        <w:spacing w:after="0" w:line="201" w:lineRule="exact"/>
        <w:rPr>
          <w:sz w:val="20"/>
          <w:szCs w:val="20"/>
          <w:color w:val="auto"/>
        </w:rPr>
      </w:pPr>
    </w:p>
    <w:p>
      <w:pPr>
        <w:jc w:val="both"/>
        <w:ind w:left="420" w:firstLine="641"/>
        <w:spacing w:after="0" w:line="250" w:lineRule="auto"/>
        <w:tabs>
          <w:tab w:leader="none" w:pos="169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This Agreement may not be amended or modified except by an instrument in writing signed by each Party hereto. No failure or delay by any Party in exercising any right or power under this Agreement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hereunder are cumulative and are not exclusive of any rights or remedies that such Party would otherwise have. No waiver of any provision of this Agreement consent to any departure by any Party therefrom shall in any event be effective unless the same shall be in writing and executed by both Parties, and then such waiver or consent shall be effective only in the specific instance and for the purpose for which given.</w:t>
      </w:r>
    </w:p>
    <w:p>
      <w:pPr>
        <w:spacing w:after="0" w:line="180" w:lineRule="exact"/>
        <w:rPr>
          <w:rFonts w:ascii="Times New Roman" w:cs="Times New Roman" w:eastAsia="Times New Roman" w:hAnsi="Times New Roman"/>
          <w:sz w:val="20"/>
          <w:szCs w:val="20"/>
          <w:color w:val="auto"/>
        </w:rPr>
      </w:pPr>
    </w:p>
    <w:p>
      <w:pPr>
        <w:jc w:val="both"/>
        <w:ind w:left="420" w:firstLine="641"/>
        <w:spacing w:after="0" w:line="247" w:lineRule="auto"/>
        <w:tabs>
          <w:tab w:leader="none" w:pos="169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and other communications hereunder shall be in writing and given to the Parties at the addresses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or at such other address as any Party hereafter may designate to the others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7(b)</w:t>
      </w:r>
      <w:r>
        <w:rPr>
          <w:rFonts w:ascii="Times New Roman" w:cs="Times New Roman" w:eastAsia="Times New Roman" w:hAnsi="Times New Roman"/>
          <w:sz w:val="20"/>
          <w:szCs w:val="20"/>
          <w:color w:val="auto"/>
        </w:rPr>
        <w:t>. Unless otherwise provided herein, any notice or other communication required or permitted to be given hereunder (a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xml:space="preserve">”), shall be in writing and delivered (i) in person, (ii) by registered or certified mail with postage prepaid and return receipt requested, (iii) by recognized overnight courier service with charges prepaid or (iv) by e-mail. A Notice or other communication will be deemed delivered on the earliest to occur of (A) its actual receipt when delivered in person, (B) the fifth Business Day following its deposit in registered or certified mail, with postage prepaid, and return receipt requested, (C) the second Business Day following its deposit with a recognized overnight courier service, or (D) the date upon which the receiving Party responds to a Notice sent by e-mail confirming that it has received such e-mail, or, if such date of receipt is not a Business Day, the next Business Day following such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sender of such e-mail Notice does not receive such a response, then that e-mail Notice shall not be deemed delivered unless such Notice is also delivered by one of the methodologies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Any Notice or other communication received on a day that is not a Business Day or later than 5:00 p.m. (Eastern time) on a Business Day shall be deemed to be received on the next Business Day.</w:t>
      </w:r>
    </w:p>
    <w:p>
      <w:pPr>
        <w:spacing w:after="0" w:line="182" w:lineRule="exact"/>
        <w:rPr>
          <w:rFonts w:ascii="Times New Roman" w:cs="Times New Roman" w:eastAsia="Times New Roman" w:hAnsi="Times New Roman"/>
          <w:sz w:val="20"/>
          <w:szCs w:val="20"/>
          <w:color w:val="auto"/>
        </w:rPr>
      </w:pPr>
    </w:p>
    <w:p>
      <w:pPr>
        <w:jc w:val="both"/>
        <w:ind w:left="420" w:firstLine="641"/>
        <w:spacing w:after="0" w:line="248" w:lineRule="auto"/>
        <w:tabs>
          <w:tab w:leader="none" w:pos="169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No Other Representations</w:t>
      </w:r>
      <w:r>
        <w:rPr>
          <w:rFonts w:ascii="Times New Roman" w:cs="Times New Roman" w:eastAsia="Times New Roman" w:hAnsi="Times New Roman"/>
          <w:sz w:val="20"/>
          <w:szCs w:val="20"/>
          <w:color w:val="auto"/>
        </w:rPr>
        <w:t xml:space="preserve">. The Transaction Documents embody the entire agreement and understanding of the Parties hereto in respect of the Transactions and supersede all prior agreements, letters of intent, representations, warranties, promises, covenants, arrangements, communications and understandings, oral or written, express or implied, between the Parties with respect to the Transactions. There are no agreements, representations, warranties, promises, covenants, arrangements or understandings between the Parties with respect to the Transactions, other than those expressly set forth or referred to herein. The representations and warranties made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are the sole representations and warranties of the Parties with respect to the Transactions and any other representations and warranties, implied or otherwise, and any reliance thereon are hereby disclaimed by both Parties.</w:t>
      </w:r>
    </w:p>
    <w:p>
      <w:pPr>
        <w:sectPr>
          <w:pgSz w:w="11900" w:h="16838" w:orient="portrait"/>
          <w:cols w:equalWidth="0" w:num="1">
            <w:col w:w="10980"/>
          </w:cols>
          <w:pgMar w:left="540" w:top="1012" w:right="379" w:bottom="1440" w:gutter="0" w:footer="0" w:header="0"/>
        </w:sectPr>
      </w:pPr>
    </w:p>
    <w:bookmarkStart w:id="161" w:name="page162"/>
    <w:bookmarkEnd w:id="161"/>
    <w:p>
      <w:pPr>
        <w:jc w:val="both"/>
        <w:ind w:left="640" w:firstLine="641"/>
        <w:spacing w:after="0" w:line="247" w:lineRule="auto"/>
        <w:tabs>
          <w:tab w:leader="none" w:pos="191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and delivered (including by electronic mail transmission) in one or more counterparts, all of which shall be considered one and the same agreement and shall become effective when one or more counterparts have been signed by each of the Seller and the Buyer and delivered to the other Party, it being understood that all Parties need not sign the same counterpart. This Agreement may be executed by signatures delivered by email, and a copy hereof that is executed and delivered by a Party by email (including in .pdf format) will be binding upon 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signatures effected through DocuSign),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rFonts w:ascii="Times New Roman" w:cs="Times New Roman" w:eastAsia="Times New Roman" w:hAnsi="Times New Roman"/>
          <w:sz w:val="20"/>
          <w:szCs w:val="20"/>
          <w:color w:val="auto"/>
        </w:rPr>
      </w:pPr>
    </w:p>
    <w:p>
      <w:pPr>
        <w:jc w:val="both"/>
        <w:ind w:left="640" w:firstLine="641"/>
        <w:spacing w:after="0" w:line="298" w:lineRule="auto"/>
        <w:tabs>
          <w:tab w:leader="none" w:pos="19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(INCLUDING SECTIONS 5-1401 AND 5-1402 OF THE GENERAL OBLIGATIONS LAW, BUT WITHOUT REGARD TO ANY OTHER CONFLICT OF LAWS PROVISIONS THEREOF).</w:t>
      </w:r>
    </w:p>
    <w:p>
      <w:pPr>
        <w:spacing w:after="0" w:line="137" w:lineRule="exact"/>
        <w:rPr>
          <w:rFonts w:ascii="Times New Roman" w:cs="Times New Roman" w:eastAsia="Times New Roman" w:hAnsi="Times New Roman"/>
          <w:sz w:val="18"/>
          <w:szCs w:val="18"/>
          <w:color w:val="auto"/>
        </w:rPr>
      </w:pPr>
    </w:p>
    <w:p>
      <w:pPr>
        <w:jc w:val="both"/>
        <w:ind w:left="640" w:firstLine="641"/>
        <w:spacing w:after="0" w:line="263" w:lineRule="auto"/>
        <w:tabs>
          <w:tab w:leader="none" w:pos="191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HEREBY IRREVOCABLY AND UNCONDITIONALLY WAIVES ANY AND ALL RIGHT TO TRIAL BY JURY IN ANY ACTION, SUIT OR COUNTERCLAIM ARISING IN CONNECTION WITH THIS AGREEMENT.</w:t>
      </w:r>
    </w:p>
    <w:p>
      <w:pPr>
        <w:spacing w:after="0" w:line="152" w:lineRule="exact"/>
        <w:rPr>
          <w:rFonts w:ascii="Times New Roman" w:cs="Times New Roman" w:eastAsia="Times New Roman" w:hAnsi="Times New Roman"/>
          <w:sz w:val="20"/>
          <w:szCs w:val="20"/>
          <w:color w:val="auto"/>
        </w:rPr>
      </w:pPr>
    </w:p>
    <w:p>
      <w:pPr>
        <w:jc w:val="both"/>
        <w:ind w:left="640" w:firstLine="641"/>
        <w:spacing w:after="0" w:line="275" w:lineRule="auto"/>
        <w:tabs>
          <w:tab w:leader="none" w:pos="19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ALL ACTIONS OR PROCEEDINGS BROUGHT AGAINST EITHER PARTY WITH RESPECT TO THIS AGREEMENT OR THE TRANSACTIONS MAY ONLY BE BROUGHT IN ANY STATE OR FEDERAL COURT OF COMPETENT JURISDICTION IN THE COUNTY OF NEW YORK, STATE OF NEW YORK, AND BY EXECUTION AND DELIVERY OF THIS AGREEMENT EACH PARTY ACCEPTS FOR ITSELF AND IN CONNECTION WITH ITS PROPERTIES, THE EXCLUSIVE JURISDICTION OF THE AFORESAID COURTS, AND IRREVOCABLY AGREES TO BE BOUND BY ANY JUDGMENT RENDERED THEREBY IN CONNECTION WITH THIS AGREEMENT. EACH PARTY HEREBY EXPRESSLY AND IRREVOCABLY WAIVES ANY CLAIM OR DEFENSE IN ANY SUCH ACTION OR PROCEEDING BASED ON ANY ALLEGED LACK OF PERSONAL JURISDICTION, IMPROPER VENUE OR FORUM NON CONVENIENS OR ANY SIMILAR BASIS. EACH PARTY FURTHER IRREVOCABLY CONSENTS TO THE SERVICE OF</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ANY COMPLAINT, SUMMONS, NOTICE OR</w:t>
      </w:r>
    </w:p>
    <w:p>
      <w:pPr>
        <w:spacing w:after="0" w:line="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OTHER PROCESS RELATING TO ANY LEGAL ACTION OR PROCEEDING BY DELIVERY THEREOF TO IT BY HAND OR BY MAIL (BUT NOT BY E-MAIL) TO THE ADDRESS SET FORTH IN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NOTHING HEREIN SHALL AFFECT THE RIGHT OF EITHER PARTY TO SERVE PROCESS IN ANY MANNER PERMITTED BY LAW.</w:t>
      </w:r>
    </w:p>
    <w:p>
      <w:pPr>
        <w:spacing w:after="0" w:line="175" w:lineRule="exact"/>
        <w:rPr>
          <w:sz w:val="20"/>
          <w:szCs w:val="20"/>
          <w:color w:val="auto"/>
        </w:rPr>
      </w:pPr>
    </w:p>
    <w:p>
      <w:pPr>
        <w:jc w:val="both"/>
        <w:ind w:left="640" w:firstLine="641"/>
        <w:spacing w:after="0" w:line="250" w:lineRule="auto"/>
        <w:tabs>
          <w:tab w:leader="none" w:pos="191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are not affected in any manner materially adverse to any Party.</w:t>
      </w:r>
    </w:p>
    <w:p>
      <w:pPr>
        <w:sectPr>
          <w:pgSz w:w="11900" w:h="16838" w:orient="portrait"/>
          <w:cols w:equalWidth="0" w:num="1">
            <w:col w:w="11200"/>
          </w:cols>
          <w:pgMar w:left="320" w:top="1012" w:right="379" w:bottom="1440" w:gutter="0" w:footer="0" w:header="0"/>
        </w:sectPr>
      </w:pPr>
    </w:p>
    <w:bookmarkStart w:id="162" w:name="page163"/>
    <w:bookmarkEnd w:id="162"/>
    <w:p>
      <w:pPr>
        <w:jc w:val="both"/>
        <w:ind w:firstLine="641"/>
        <w:spacing w:after="0" w:line="250" w:lineRule="auto"/>
        <w:tabs>
          <w:tab w:leader="none" w:pos="127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Assignment</w:t>
      </w:r>
      <w:r>
        <w:rPr>
          <w:rFonts w:ascii="Times New Roman" w:cs="Times New Roman" w:eastAsia="Times New Roman" w:hAnsi="Times New Roman"/>
          <w:sz w:val="20"/>
          <w:szCs w:val="20"/>
          <w:color w:val="auto"/>
        </w:rPr>
        <w:t>. This Agreement shall be binding upon and, except as provided below, inure solely to the benefit of each Party and their successors and assigns, and nothing in this Agreement, express or implied, is intended to confer upon any other Person any rights or remedies of any nature whatsoever under or by reason of this Agreement. Neither Party may assign any or all of its rights, privileges and obligations hereunder without the prior written consent of the other Party, except Buyer may assign all of its rights, obligations and liabilities hereunder to an Affiliate of Buyer that has similar or better creditworthiness than the Buyer upon notice of such assignment to the Seller.</w:t>
      </w:r>
    </w:p>
    <w:p>
      <w:pPr>
        <w:spacing w:after="0" w:line="178" w:lineRule="exact"/>
        <w:rPr>
          <w:rFonts w:ascii="Times New Roman" w:cs="Times New Roman" w:eastAsia="Times New Roman" w:hAnsi="Times New Roman"/>
          <w:sz w:val="20"/>
          <w:szCs w:val="20"/>
          <w:color w:val="auto"/>
        </w:rPr>
      </w:pPr>
    </w:p>
    <w:p>
      <w:pPr>
        <w:jc w:val="both"/>
        <w:ind w:firstLine="641"/>
        <w:spacing w:after="0" w:line="253" w:lineRule="auto"/>
        <w:tabs>
          <w:tab w:leader="none" w:pos="127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Announcements</w:t>
      </w:r>
      <w:r>
        <w:rPr>
          <w:rFonts w:ascii="Times New Roman" w:cs="Times New Roman" w:eastAsia="Times New Roman" w:hAnsi="Times New Roman"/>
          <w:sz w:val="20"/>
          <w:szCs w:val="20"/>
          <w:color w:val="auto"/>
        </w:rPr>
        <w:t>. Subject to any requirements of Applicable Law, neither Party shall issue, or permit any of their respective Affiliates to issue, any press release or otherwise make any public statements with respect to this Agreement or the Transactions without the prior written consent of the other Party. Subject to any requirements of Applicable Law, each Party will be given the opportunity to review in advance, upon the request of such Party, all information relating to the Transactions that appears in any filing made in connection with the Transactions.</w:t>
      </w:r>
    </w:p>
    <w:p>
      <w:pPr>
        <w:spacing w:after="0" w:line="203" w:lineRule="exact"/>
        <w:rPr>
          <w:rFonts w:ascii="Times New Roman" w:cs="Times New Roman" w:eastAsia="Times New Roman" w:hAnsi="Times New Roman"/>
          <w:sz w:val="20"/>
          <w:szCs w:val="20"/>
          <w:color w:val="auto"/>
        </w:rPr>
      </w:pPr>
    </w:p>
    <w:p>
      <w:pPr>
        <w:ind w:left="1280" w:hanging="639"/>
        <w:spacing w:after="0"/>
        <w:tabs>
          <w:tab w:leader="none" w:pos="12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641"/>
        <w:spacing w:after="0" w:line="276" w:lineRule="auto"/>
        <w:tabs>
          <w:tab w:leader="none" w:pos="127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necessary for the exercise of rights and remedies and the performance of its obligations under this Agreement, the Buyer shall, and shall cause its Affiliates and their respective stockholders, members, subsidiaries and representatives to, hold confidential all information they may have or obtain concerning the Seller and the Seller Parties, and their respective assets, business, operations or prospects, the Facility or this Agreement (collectively, the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Confidential Information shall not include any information that (A) becomes generally available to the public other than as a result of a disclosure by the Buyer or any of its representatives, (B) becomes available to the Buyer or any of its representatives on a non-confidential basis and through no willful breach of any Applicable Laws or a knowing breach of any contractual confidentiality obligations prior to its disclosure by the Seller or a Seller Party or their representatives, (C) is required or requested to be disclosed by the Buyer or any of its Affiliates or respective stockholders, members, subsidiaries or representatives as a result of any applicable legal requirement or rule or regulation of any stock exchange, the National Association of Insurance Commissioners or other regulatory authority having jurisdiction over the Buyer or any of its Affiliates or respective stockholders, members, subsidiaries or representatives, (D) is required or requested by the IRS in connection with the Facility or Tax Credits relating thereto, including in connection with a request for any private letter ruling, any determination letter or any audit or (E) is independently developed by the Buyer or any of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if such Confidential Information remains or is reasonably believed to remain generally unavailable to the public, such information will remain Confidential Information in all other respects and for all other purposes. Each Party acknowledges that disclosures pursuant to </w:t>
      </w:r>
      <w:r>
        <w:rPr>
          <w:rFonts w:ascii="Times New Roman" w:cs="Times New Roman" w:eastAsia="Times New Roman" w:hAnsi="Times New Roman"/>
          <w:sz w:val="18"/>
          <w:szCs w:val="18"/>
          <w:u w:val="single" w:color="auto"/>
          <w:color w:val="auto"/>
        </w:rPr>
        <w:t>clause</w:t>
      </w:r>
    </w:p>
    <w:p>
      <w:pPr>
        <w:spacing w:after="0" w:line="20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may be subject to the Freedom of Information Act, 5 U.S.C. Section 552. If any Party becomes compelled by legal or</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administrative process to disclose any Confidential Information, such Party will provide the other Party with prompt Notice so that the other Party may seek a protective order or other appropriate remedy or waive compliance with the non-disclosure provisions of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xml:space="preserve"> with respect to the information required to be disclosed. If such protective order or other remedy is not obtained, or such other Party waives compliance with the non-disclosure provisions of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xml:space="preserve"> with respect to the information required to be disclosed, the first Party will furnish only that portion of such information that it is advised, by opinion of counsel, is legally required to be furnished and will exercise reasonable efforts, at the other Party’s expense, to obtain reliable assurance that confidential treatment will be accorded</w:t>
      </w:r>
    </w:p>
    <w:p>
      <w:pPr>
        <w:sectPr>
          <w:pgSz w:w="11900" w:h="16838" w:orient="portrait"/>
          <w:cols w:equalWidth="0" w:num="1">
            <w:col w:w="10560"/>
          </w:cols>
          <w:pgMar w:left="960" w:top="1012" w:right="379" w:bottom="1440" w:gutter="0" w:footer="0" w:header="0"/>
        </w:sectPr>
      </w:pPr>
    </w:p>
    <w:bookmarkStart w:id="163" w:name="page164"/>
    <w:bookmarkEnd w:id="163"/>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such information, including, in the case of disclosures to the IRS described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above, to obtain reliable assurance that, to the maximum extent permitted by applicable legal requirements, such information will not be made available for public inspection pursuant to Section 6110 of the Code.</w:t>
      </w:r>
    </w:p>
    <w:p>
      <w:pPr>
        <w:spacing w:after="0" w:line="172" w:lineRule="exact"/>
        <w:rPr>
          <w:sz w:val="20"/>
          <w:szCs w:val="20"/>
          <w:color w:val="auto"/>
        </w:rPr>
      </w:pPr>
    </w:p>
    <w:p>
      <w:pPr>
        <w:jc w:val="both"/>
        <w:ind w:firstLine="641"/>
        <w:spacing w:after="0" w:line="250" w:lineRule="auto"/>
        <w:tabs>
          <w:tab w:leader="none" w:pos="1273"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necessary for the exercise of its rights and remedies and the performance of its obligations under this Agreement, the Seller and its Affiliates will hold confidential and not disclose directly or indirectly, any of the economic terms particular to this Agreement, including the amount of the Purchase Price or the identity of the Buyer other than with respect to the disclosures of the type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0"/>
          <w:szCs w:val="20"/>
          <w:u w:val="single" w:color="auto"/>
          <w:color w:val="auto"/>
        </w:rPr>
        <w:t>Section 7(k)(i)</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7(k)(iii)</w:t>
      </w:r>
      <w:r>
        <w:rPr>
          <w:rFonts w:ascii="Times New Roman" w:cs="Times New Roman" w:eastAsia="Times New Roman" w:hAnsi="Times New Roman"/>
          <w:sz w:val="20"/>
          <w:szCs w:val="20"/>
          <w:color w:val="auto"/>
        </w:rPr>
        <w:t>. The foregoing shall not restrict the Seller or the Project Company (or any Affiliate) from using project data related to the Facility in connection with the development of other renewable energy or other projects by the Seller or the Project Company (or any Affiliate).</w:t>
      </w:r>
    </w:p>
    <w:p>
      <w:pPr>
        <w:spacing w:after="0" w:line="178" w:lineRule="exact"/>
        <w:rPr>
          <w:rFonts w:ascii="Times New Roman" w:cs="Times New Roman" w:eastAsia="Times New Roman" w:hAnsi="Times New Roman"/>
          <w:sz w:val="20"/>
          <w:szCs w:val="20"/>
          <w:color w:val="auto"/>
        </w:rPr>
      </w:pPr>
    </w:p>
    <w:p>
      <w:pPr>
        <w:jc w:val="both"/>
        <w:ind w:firstLine="641"/>
        <w:spacing w:after="0" w:line="263" w:lineRule="auto"/>
        <w:tabs>
          <w:tab w:leader="none" w:pos="127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Applicable Laws, no Party shall make any public announcements concerning this Agreement or the Transactions without the prior written consent of the other Party and if any Party shall make any such public announcement as required by Applicable Laws, it shall provide notice of such announcement to the other Party as soon as reasonably possible.</w:t>
      </w:r>
    </w:p>
    <w:p>
      <w:pPr>
        <w:spacing w:after="0" w:line="165" w:lineRule="exact"/>
        <w:rPr>
          <w:rFonts w:ascii="Times New Roman" w:cs="Times New Roman" w:eastAsia="Times New Roman" w:hAnsi="Times New Roman"/>
          <w:sz w:val="20"/>
          <w:szCs w:val="20"/>
          <w:color w:val="auto"/>
        </w:rPr>
      </w:pPr>
    </w:p>
    <w:p>
      <w:pPr>
        <w:jc w:val="both"/>
        <w:ind w:firstLine="641"/>
        <w:spacing w:after="0" w:line="250" w:lineRule="auto"/>
        <w:tabs>
          <w:tab w:leader="none" w:pos="127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set forth in this Agreement, the Seller, the Seller Parties and their Affiliates shall be permitted to share Confidential Information with their representatives and prospective purchasers, transferees or assignees of the equity interests in the Seller Parties;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Persons agree to keep such information confidential in accordance with the terms of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firstLine="641"/>
        <w:spacing w:after="0" w:line="250" w:lineRule="auto"/>
        <w:tabs>
          <w:tab w:leader="none" w:pos="1275"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contained in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xml:space="preserve"> shall be construed so as to prohibit a Party from using any Confidential Information in connection with (A) any claim against the other Party, (B) any exercise by such Party of any of its rights hereunder (including the ownership, operation and administration of the Project Company and the Facility) or (C) a disposition by the Seller or its Affiliates of all or a portion of its interest in the Project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potential purchaser shall have entered into a confidentiality agreement with respect to Confidential Information on customary terms used in confidentiality agreements in connection with corporate acquisitions before any such information may be disclosed.</w:t>
      </w:r>
    </w:p>
    <w:p>
      <w:pPr>
        <w:spacing w:after="0" w:line="178" w:lineRule="exact"/>
        <w:rPr>
          <w:rFonts w:ascii="Times New Roman" w:cs="Times New Roman" w:eastAsia="Times New Roman" w:hAnsi="Times New Roman"/>
          <w:sz w:val="20"/>
          <w:szCs w:val="20"/>
          <w:color w:val="auto"/>
        </w:rPr>
      </w:pPr>
    </w:p>
    <w:p>
      <w:pPr>
        <w:jc w:val="both"/>
        <w:ind w:firstLine="641"/>
        <w:spacing w:after="0" w:line="249" w:lineRule="auto"/>
        <w:tabs>
          <w:tab w:leader="none" w:pos="127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each Party hereby acknowledges that the U.S. federal securities laws and applicable European securities laws, among other things, prohibit certain Persons in possession of material, non-public information concerning companies or securities from buying or selling securities issued by those companies or disclosing that material, non-public information to others who buy or sell those securities while in possession of that information (or disclose that information to others who buy or sell). Notwithstanding anything herein to the contrary, the Parties and their respective representatives may disclose to any and all Persons, without limitation of any kind, the U.S. federal income tax treatment and tax structure of the transaction and all materials of any kind (including opinions and other tax analyses) that are provided to such party relating to such tax treatment and tax structure, except where confidentiality is reasonably necessary to comply with securities laws. For this purpose, “tax structure” is limited to facts relevant to the U.S. federal income tax treatment of the transaction and does not include information (A) relating to the identity of the Parties, their Affiliates, agents, or advisors or (B) the operation or design of the Facility.</w:t>
      </w:r>
    </w:p>
    <w:p>
      <w:pPr>
        <w:spacing w:after="0" w:line="178" w:lineRule="exact"/>
        <w:rPr>
          <w:rFonts w:ascii="Times New Roman" w:cs="Times New Roman" w:eastAsia="Times New Roman" w:hAnsi="Times New Roman"/>
          <w:sz w:val="20"/>
          <w:szCs w:val="20"/>
          <w:color w:val="auto"/>
        </w:rPr>
      </w:pPr>
    </w:p>
    <w:p>
      <w:pPr>
        <w:ind w:left="-320" w:right="60" w:firstLine="628"/>
        <w:spacing w:after="0" w:line="262" w:lineRule="auto"/>
        <w:tabs>
          <w:tab w:leader="none" w:pos="64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xml:space="preserve">. In the event of a breach by a Party of the provisions of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the other Party will have the right to seek specific performance and</w:t>
      </w:r>
    </w:p>
    <w:p>
      <w:pPr>
        <w:sectPr>
          <w:pgSz w:w="11900" w:h="16838" w:orient="portrait"/>
          <w:cols w:equalWidth="0" w:num="1">
            <w:col w:w="10560"/>
          </w:cols>
          <w:pgMar w:left="960" w:top="1012" w:right="379" w:bottom="1440" w:gutter="0" w:footer="0" w:header="0"/>
        </w:sectPr>
      </w:pPr>
    </w:p>
    <w:bookmarkStart w:id="164" w:name="page165"/>
    <w:bookmarkEnd w:id="164"/>
    <w:p>
      <w:pPr>
        <w:spacing w:after="0" w:line="254" w:lineRule="auto"/>
        <w:rPr>
          <w:sz w:val="20"/>
          <w:szCs w:val="20"/>
          <w:color w:val="auto"/>
        </w:rPr>
      </w:pPr>
      <w:r>
        <w:rPr>
          <w:rFonts w:ascii="Times New Roman" w:cs="Times New Roman" w:eastAsia="Times New Roman" w:hAnsi="Times New Roman"/>
          <w:sz w:val="20"/>
          <w:szCs w:val="20"/>
          <w:color w:val="auto"/>
        </w:rPr>
        <w:t>injunctive relief giving effect to its rights under this Agreement, in addition to any and all other rights and remedies at law or in equity, and all such rights and remedies will be cumulative. The Parties hereto agree that any such breach would cause irreparable injury, that the remedies at law for any such breach, including monetary damages, are inadequate compensation for any loss and that any defense in any action for specific performance that a remedy at law would be adequate is waived.</w:t>
      </w:r>
    </w:p>
    <w:p>
      <w:pPr>
        <w:spacing w:after="0" w:line="215" w:lineRule="exact"/>
        <w:rPr>
          <w:sz w:val="20"/>
          <w:szCs w:val="20"/>
          <w:color w:val="auto"/>
        </w:rPr>
      </w:pPr>
    </w:p>
    <w:p>
      <w:pPr>
        <w:ind w:left="960" w:hanging="332"/>
        <w:spacing w:after="0"/>
        <w:tabs>
          <w:tab w:leader="none" w:pos="9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Protection of Title; Transfers Intended as Sale; Security Interest</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left="320" w:firstLine="642"/>
        <w:spacing w:after="0" w:line="254" w:lineRule="auto"/>
        <w:tabs>
          <w:tab w:leader="none" w:pos="159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express intent of the parties hereto that each transfer of Transferred Tax Credits by the Seller to the Buyer, as contemplated by this Agreement be, and be treated as, a sale by the Seller to the Buyer. It is, further, not the intention of the Parties that any such transfer be, or be deemed, a pledge of the Transferred Tax Credits by the Seller to the Buyer to secure a debt or other obligation of the Seller.</w:t>
      </w:r>
    </w:p>
    <w:p>
      <w:pPr>
        <w:spacing w:after="0" w:line="175" w:lineRule="exact"/>
        <w:rPr>
          <w:rFonts w:ascii="Times New Roman" w:cs="Times New Roman" w:eastAsia="Times New Roman" w:hAnsi="Times New Roman"/>
          <w:sz w:val="20"/>
          <w:szCs w:val="20"/>
          <w:color w:val="auto"/>
        </w:rPr>
      </w:pPr>
    </w:p>
    <w:p>
      <w:pPr>
        <w:jc w:val="both"/>
        <w:ind w:left="320" w:firstLine="642"/>
        <w:spacing w:after="0" w:line="247" w:lineRule="auto"/>
        <w:tabs>
          <w:tab w:leader="none" w:pos="1593"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notwithstanding the intent of the Parties, the Transferred Tax Credits are held by a court to continue to be property of the Seller then (A) this Agreement shall be deemed to be a security agreement within the meaning of Articles 8 and 9 of the applicable Uniform Commercial Code and (B) the transfer of Transferred Tax Credits provided for herein shall be deemed to be a grant by the Seller, and the Seller does hereby grant, to the Buyer a first-priority security interest in all of the Seller’s right, title and interest in, to and under the following, whether now owned or existing or hereafter arising and wherever located: (1) the Transferred Tax Credits and the Minimum Documentation and (2) all Proceeds (as defined in the Uniform Commercial Code), voluntary or involuntary, of the foregoing. Each of the Parties shall, to the extent consistent with this Agreement, take such actions as may be reasonably necessary to ensure that, if this Agreement were deemed to create a security interest in the Transferred Tax Credits, such security interest would be deemed to be a perfected security interest of first priority under Applicable Law, including that the Seller hereby authorizes the filing of financing statements or continuation statements, and amendments to financing statements, in any jurisdictions and with any filing office as the Buyer may determine, in its sole discretion, are necessary or advisable, to the extent this Agreement were deemed to create a security interest in the Transferred Tax Credits, to perfect (or maintain) any such security interest granted to the Buyer in connection herewith. Such statements may name the Seller or any Seller Party that owns the Project Company as “debtor” and the Buyer as “secured party”.</w:t>
      </w:r>
    </w:p>
    <w:p>
      <w:pPr>
        <w:spacing w:after="0" w:line="186" w:lineRule="exact"/>
        <w:rPr>
          <w:rFonts w:ascii="Times New Roman" w:cs="Times New Roman" w:eastAsia="Times New Roman" w:hAnsi="Times New Roman"/>
          <w:sz w:val="20"/>
          <w:szCs w:val="20"/>
          <w:color w:val="auto"/>
        </w:rPr>
      </w:pPr>
    </w:p>
    <w:p>
      <w:pPr>
        <w:jc w:val="both"/>
        <w:ind w:left="320" w:firstLine="642"/>
        <w:spacing w:after="0" w:line="248" w:lineRule="auto"/>
        <w:tabs>
          <w:tab w:leader="none" w:pos="159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hereby represents and warrants that as of the date hereof: (A) the full and correct legal name of the Seller is Opal Fuels LLC, (B) its type of organization is a limited liability company, (C) its jurisdiction of organization is Delaware, (D) the Seller’s mailing address and place of business (or, if the Seller has more than one place of business, the location of the chief executive office of the Seller) is One North Lexington Avenue, Suite 1450, White Plains, NY 10601, and (E) the Seller has not, since its formation, changed its “location” (as defined in Section 9-307 of the Uniform Commercial Code), changed its name or become a “new debtor” (as defined in Section 9-102(a)(56) of the Uniform Commercial Code) with respect to a currently effective security agreement previously entered into by any other Person.</w:t>
      </w:r>
    </w:p>
    <w:p>
      <w:pPr>
        <w:spacing w:after="0" w:line="179" w:lineRule="exact"/>
        <w:rPr>
          <w:rFonts w:ascii="Times New Roman" w:cs="Times New Roman" w:eastAsia="Times New Roman" w:hAnsi="Times New Roman"/>
          <w:sz w:val="20"/>
          <w:szCs w:val="20"/>
          <w:color w:val="auto"/>
        </w:rPr>
      </w:pPr>
    </w:p>
    <w:p>
      <w:pPr>
        <w:jc w:val="both"/>
        <w:ind w:left="320" w:firstLine="642"/>
        <w:spacing w:after="0" w:line="253" w:lineRule="auto"/>
        <w:tabs>
          <w:tab w:leader="none" w:pos="159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shall notify the Buyer in writing within ten days following the occurrence of (A) any change in the Seller’s type of organization or jurisdiction of organization, (B) any change in the Seller’s “location” (within the meaning of Section 9-307 of the Unform Commercial Code), and (C) any change in the Seller’s name, and shall take all action prior to making such change reasonably necessary or advisable in the opinion of the Buyer to amend all previously filed financing statements or continuation statements described in this </w:t>
      </w:r>
      <w:r>
        <w:rPr>
          <w:rFonts w:ascii="Times New Roman" w:cs="Times New Roman" w:eastAsia="Times New Roman" w:hAnsi="Times New Roman"/>
          <w:sz w:val="20"/>
          <w:szCs w:val="20"/>
          <w:u w:val="single" w:color="auto"/>
          <w:color w:val="auto"/>
        </w:rPr>
        <w:t>Section 7(m)</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ectPr>
          <w:pgSz w:w="11900" w:h="16838" w:orient="portrait"/>
          <w:cols w:equalWidth="0" w:num="1">
            <w:col w:w="10880"/>
          </w:cols>
          <w:pgMar w:left="640" w:top="1012" w:right="379" w:bottom="1440" w:gutter="0" w:footer="0" w:header="0"/>
        </w:sectPr>
      </w:pPr>
    </w:p>
    <w:bookmarkStart w:id="165" w:name="page166"/>
    <w:bookmarkEnd w:id="165"/>
    <w:p>
      <w:pPr>
        <w:spacing w:after="0" w:line="347" w:lineRule="exact"/>
        <w:rPr>
          <w:sz w:val="20"/>
          <w:szCs w:val="20"/>
          <w:color w:val="auto"/>
        </w:rPr>
      </w:pPr>
    </w:p>
    <w:p>
      <w:pPr>
        <w:ind w:left="700" w:firstLine="1331"/>
        <w:spacing w:after="0" w:line="262" w:lineRule="auto"/>
        <w:rPr>
          <w:sz w:val="20"/>
          <w:szCs w:val="20"/>
          <w:color w:val="auto"/>
        </w:rPr>
      </w:pPr>
      <w:r>
        <w:rPr>
          <w:rFonts w:ascii="Times New Roman" w:cs="Times New Roman" w:eastAsia="Times New Roman" w:hAnsi="Times New Roman"/>
          <w:sz w:val="20"/>
          <w:szCs w:val="20"/>
          <w:color w:val="auto"/>
        </w:rPr>
        <w:t>IN WITNESS WHEREOF, the Seller and the Buyer have executed this Tax Credit Purchase Agreement as of the date first above written.</w:t>
      </w:r>
    </w:p>
    <w:p>
      <w:pPr>
        <w:spacing w:after="0" w:line="26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b w:val="1"/>
          <w:bCs w:val="1"/>
          <w:color w:val="auto"/>
        </w:rPr>
        <w:t xml:space="preserve"> OPAL FUELS LLC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Jonathan Maurer</w:t>
      </w:r>
    </w:p>
    <w:p>
      <w:pPr>
        <w:spacing w:after="0" w:line="25" w:lineRule="exact"/>
        <w:rPr>
          <w:sz w:val="20"/>
          <w:szCs w:val="20"/>
          <w:color w:val="auto"/>
        </w:rPr>
      </w:pPr>
    </w:p>
    <w:p>
      <w:pPr>
        <w:ind w:left="2820"/>
        <w:spacing w:after="0"/>
        <w:tabs>
          <w:tab w:leader="none" w:pos="6880" w:val="left"/>
          <w:tab w:leader="none" w:pos="7540" w:val="left"/>
        </w:tabs>
        <w:rPr>
          <w:sz w:val="20"/>
          <w:szCs w:val="20"/>
          <w:color w:val="auto"/>
        </w:rPr>
      </w:pPr>
      <w:r>
        <w:rPr>
          <w:rFonts w:ascii="Times New Roman" w:cs="Times New Roman" w:eastAsia="Times New Roman" w:hAnsi="Times New Roman"/>
          <w:sz w:val="20"/>
          <w:szCs w:val="20"/>
          <w:color w:val="auto"/>
        </w:rPr>
        <w:t>Name: Jonathan Maurer</w:t>
      </w:r>
      <w:r>
        <w:rPr>
          <w:sz w:val="20"/>
          <w:szCs w:val="20"/>
          <w:color w:val="auto"/>
        </w:rPr>
        <w:tab/>
      </w:r>
      <w:r>
        <w:rPr>
          <w:rFonts w:ascii="Times New Roman" w:cs="Times New Roman" w:eastAsia="Times New Roman" w:hAnsi="Times New Roman"/>
          <w:sz w:val="20"/>
          <w:szCs w:val="20"/>
          <w:color w:val="auto"/>
        </w:rPr>
        <w:t>Title:</w:t>
        <w:tab/>
        <w:t>Co-</w:t>
      </w:r>
    </w:p>
    <w:p>
      <w:pPr>
        <w:spacing w:after="0" w:line="1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0860"/>
          </w:cols>
          <w:pgMar w:left="600" w:top="1440" w:right="439" w:bottom="1440" w:gutter="0" w:footer="0" w:header="0"/>
        </w:sectPr>
      </w:pPr>
    </w:p>
    <w:bookmarkStart w:id="166" w:name="page167"/>
    <w:bookmarkEnd w:id="166"/>
    <w:p>
      <w:pPr>
        <w:ind w:firstLine="1282"/>
        <w:spacing w:after="0" w:line="262" w:lineRule="auto"/>
        <w:rPr>
          <w:sz w:val="20"/>
          <w:szCs w:val="20"/>
          <w:color w:val="auto"/>
        </w:rPr>
      </w:pPr>
      <w:r>
        <w:rPr>
          <w:rFonts w:ascii="Times New Roman" w:cs="Times New Roman" w:eastAsia="Times New Roman" w:hAnsi="Times New Roman"/>
          <w:sz w:val="20"/>
          <w:szCs w:val="20"/>
          <w:color w:val="auto"/>
        </w:rPr>
        <w:t>IN WITNESS WHEREOF, the Seller and the Buyer have executed this Tax Credit Purchase Agreement as of the date first above written.</w:t>
      </w:r>
    </w:p>
    <w:p>
      <w:pPr>
        <w:spacing w:after="0" w:line="17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p>
    <w:p>
      <w:pPr>
        <w:spacing w:after="0" w:line="2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2024 TTC Aggregator L.P.</w:t>
      </w:r>
    </w:p>
    <w:p>
      <w:pPr>
        <w:spacing w:after="0" w:line="22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2024 TTC Aggregator GP, LLC, its general partner</w:t>
      </w:r>
    </w:p>
    <w:p>
      <w:pPr>
        <w:spacing w:after="0" w:line="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Apollo Principal Holdings B, L.P., its sole member</w:t>
      </w:r>
    </w:p>
    <w:p>
      <w:pPr>
        <w:spacing w:after="0" w:line="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Apollo Principal Holdings B GP, LLC, its general partner</w:t>
      </w:r>
    </w:p>
    <w:p>
      <w:pPr>
        <w:spacing w:after="0" w:line="2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Willam B. Kuesel</w:t>
      </w:r>
    </w:p>
    <w:p>
      <w:pPr>
        <w:spacing w:after="0" w:line="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William B. Kuesel</w:t>
      </w:r>
    </w:p>
    <w:p>
      <w:pPr>
        <w:spacing w:after="0" w:line="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21"/>
          <w:szCs w:val="21"/>
          <w:u w:val="single" w:color="auto"/>
          <w:color w:val="auto"/>
        </w:rPr>
        <w:t>Vice President</w:t>
      </w:r>
    </w:p>
    <w:p>
      <w:pPr>
        <w:sectPr>
          <w:pgSz w:w="11900" w:h="16838" w:orient="portrait"/>
          <w:cols w:equalWidth="0" w:num="1">
            <w:col w:w="10120"/>
          </w:cols>
          <w:pgMar w:left="1300" w:top="1038" w:right="47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GUARANTY</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by</w:t>
      </w:r>
    </w:p>
    <w:p>
      <w:pPr>
        <w:spacing w:after="0" w:line="26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OPAL FUELS INC., a Delaware corporation, in favor of</w:t>
      </w:r>
    </w:p>
    <w:p>
      <w:pPr>
        <w:spacing w:after="0" w:line="213"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21"/>
          <w:szCs w:val="21"/>
          <w:color w:val="auto"/>
        </w:rPr>
        <w:t>2024 TTC AGGREGATOR, L.P., a Delaware limited partnership</w:t>
      </w:r>
    </w:p>
    <w:p>
      <w:pPr>
        <w:spacing w:after="0" w:line="1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dated as of June 20, 2025</w:t>
      </w:r>
    </w:p>
    <w:p>
      <w:pPr>
        <w:sectPr>
          <w:pgSz w:w="11900" w:h="16838" w:orient="portrait"/>
          <w:cols w:equalWidth="0" w:num="1">
            <w:col w:w="10120"/>
          </w:cols>
          <w:pgMar w:left="1440" w:top="1020"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41"/>
        </w:trPr>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760" w:type="dxa"/>
            <w:vAlign w:val="bottom"/>
            <w:gridSpan w:val="2"/>
          </w:tcPr>
          <w:p>
            <w:pPr>
              <w:jc w:val="right"/>
              <w:ind w:right="480"/>
              <w:spacing w:after="0"/>
              <w:rPr>
                <w:sz w:val="20"/>
                <w:szCs w:val="20"/>
                <w:color w:val="auto"/>
              </w:rPr>
            </w:pPr>
            <w:r>
              <w:rPr>
                <w:rFonts w:ascii="Times New Roman" w:cs="Times New Roman" w:eastAsia="Times New Roman" w:hAnsi="Times New Roman"/>
                <w:sz w:val="21"/>
                <w:szCs w:val="21"/>
                <w:b w:val="1"/>
                <w:bCs w:val="1"/>
                <w:color w:val="auto"/>
                <w:w w:val="99"/>
              </w:rPr>
              <w:t>TABLE OF CONTENTS</w:t>
            </w:r>
          </w:p>
        </w:tc>
        <w:tc>
          <w:tcPr>
            <w:tcW w:w="3560" w:type="dxa"/>
            <w:vAlign w:val="bottom"/>
          </w:tcPr>
          <w:p>
            <w:pPr>
              <w:spacing w:after="0"/>
              <w:rPr>
                <w:sz w:val="21"/>
                <w:szCs w:val="2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w w:val="97"/>
              </w:rPr>
              <w:t>Page</w:t>
            </w:r>
          </w:p>
        </w:tc>
        <w:tc>
          <w:tcPr>
            <w:tcW w:w="0" w:type="dxa"/>
            <w:vAlign w:val="bottom"/>
          </w:tcPr>
          <w:p>
            <w:pPr>
              <w:spacing w:after="0"/>
              <w:rPr>
                <w:sz w:val="1"/>
                <w:szCs w:val="1"/>
                <w:color w:val="auto"/>
              </w:rPr>
            </w:pPr>
          </w:p>
        </w:tc>
      </w:tr>
      <w:tr>
        <w:trPr>
          <w:trHeight w:val="252"/>
        </w:trPr>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8"/>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72"/>
              </w:rPr>
              <w:t>ARTICLE I. DEFINITIONS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373"/>
              <w:spacing w:after="0"/>
              <w:rPr>
                <w:sz w:val="20"/>
                <w:szCs w:val="20"/>
                <w:color w:val="auto"/>
              </w:rPr>
            </w:pPr>
            <w:r>
              <w:rPr>
                <w:rFonts w:ascii="Times New Roman" w:cs="Times New Roman" w:eastAsia="Times New Roman" w:hAnsi="Times New Roman"/>
                <w:sz w:val="21"/>
                <w:szCs w:val="21"/>
                <w:color w:val="auto"/>
              </w:rPr>
              <w:t>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1.1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Defined Terms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93"/>
              <w:spacing w:after="0"/>
              <w:rPr>
                <w:sz w:val="20"/>
                <w:szCs w:val="20"/>
                <w:color w:val="auto"/>
              </w:rPr>
            </w:pPr>
            <w:r>
              <w:rPr>
                <w:rFonts w:ascii="Times New Roman" w:cs="Times New Roman" w:eastAsia="Times New Roman" w:hAnsi="Times New Roman"/>
                <w:sz w:val="21"/>
                <w:szCs w:val="21"/>
                <w:color w:val="auto"/>
              </w:rPr>
              <w:t>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1.2</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General Definitions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1.3</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Rules of Interpretation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72"/>
              </w:rPr>
              <w:t>ARTICLE II. GUARANTY.............................................................................................................</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39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2.1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2"/>
              </w:rPr>
              <w:t>Guaranty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2.2</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Obligations Absolute and Unconditional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240" w:type="dxa"/>
            <w:vAlign w:val="bottom"/>
            <w:gridSpan w:val="5"/>
          </w:tcPr>
          <w:p>
            <w:pPr>
              <w:spacing w:after="0"/>
              <w:rPr>
                <w:sz w:val="20"/>
                <w:szCs w:val="20"/>
                <w:color w:val="auto"/>
              </w:rPr>
            </w:pPr>
            <w:r>
              <w:rPr>
                <w:rFonts w:ascii="Times New Roman" w:cs="Times New Roman" w:eastAsia="Times New Roman" w:hAnsi="Times New Roman"/>
                <w:sz w:val="21"/>
                <w:szCs w:val="21"/>
                <w:color w:val="auto"/>
                <w:w w:val="89"/>
              </w:rPr>
              <w:t>ARTICLE III. REPRESENTATIONS AND WARRANTIES .......................................................</w:t>
            </w:r>
          </w:p>
        </w:tc>
        <w:tc>
          <w:tcPr>
            <w:tcW w:w="3560" w:type="dxa"/>
            <w:vAlign w:val="bottom"/>
          </w:tcPr>
          <w:p>
            <w:pPr>
              <w:jc w:val="right"/>
              <w:ind w:right="2433"/>
              <w:spacing w:after="0"/>
              <w:rPr>
                <w:sz w:val="20"/>
                <w:szCs w:val="20"/>
                <w:color w:val="auto"/>
              </w:rPr>
            </w:pPr>
            <w:r>
              <w:rPr>
                <w:rFonts w:ascii="Times New Roman" w:cs="Times New Roman" w:eastAsia="Times New Roman" w:hAnsi="Times New Roman"/>
                <w:sz w:val="21"/>
                <w:szCs w:val="21"/>
                <w:color w:val="auto"/>
              </w:rPr>
              <w:t>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3.1</w:t>
            </w:r>
          </w:p>
        </w:tc>
        <w:tc>
          <w:tcPr>
            <w:tcW w:w="660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95"/>
              </w:rPr>
              <w:t>Guarantor’s Representations and Warranties ...........................................................</w:t>
            </w: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72"/>
              </w:rPr>
              <w:t>ARTICLE IV. COVENANTS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433"/>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4.1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Maintenance of Corporate Existence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
                <w:szCs w:val="1"/>
                <w:color w:val="auto"/>
                <w:w w:val="85"/>
                <w:vertAlign w:val="superscript"/>
              </w:rPr>
              <w:t>4.</w:t>
            </w:r>
            <w:r>
              <w:rPr>
                <w:rFonts w:ascii="Times New Roman" w:cs="Times New Roman" w:eastAsia="Times New Roman" w:hAnsi="Times New Roman"/>
                <w:sz w:val="1"/>
                <w:szCs w:val="1"/>
                <w:color w:val="auto"/>
                <w:w w:val="85"/>
              </w:rPr>
              <w:t>............................................................................................</w:t>
            </w:r>
            <w:r>
              <w:rPr>
                <w:rFonts w:ascii="Times New Roman" w:cs="Times New Roman" w:eastAsia="Times New Roman" w:hAnsi="Times New Roman"/>
                <w:sz w:val="1"/>
                <w:szCs w:val="1"/>
                <w:color w:val="auto"/>
                <w:w w:val="85"/>
                <w:vertAlign w:val="subscript"/>
              </w:rPr>
              <w:t>................................................................................................</w:t>
            </w:r>
            <w:r>
              <w:rPr>
                <w:rFonts w:ascii="Times New Roman" w:cs="Times New Roman" w:eastAsia="Times New Roman" w:hAnsi="Times New Roman"/>
                <w:sz w:val="1"/>
                <w:szCs w:val="1"/>
                <w:color w:val="auto"/>
                <w:w w:val="85"/>
                <w:vertAlign w:val="superscript"/>
              </w:rPr>
              <w:t>2</w:t>
            </w:r>
          </w:p>
        </w:tc>
        <w:tc>
          <w:tcPr>
            <w:tcW w:w="36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Consents and Approvals</w:t>
            </w:r>
            <w:r>
              <w:rPr>
                <w:rFonts w:ascii="Times New Roman" w:cs="Times New Roman" w:eastAsia="Times New Roman" w:hAnsi="Times New Roman"/>
                <w:sz w:val="11"/>
                <w:szCs w:val="11"/>
                <w:color w:val="auto"/>
                <w:w w:val="71"/>
                <w:vertAlign w:val="subscript"/>
              </w:rPr>
              <w:t>.................................................................................................</w:t>
            </w:r>
            <w:r>
              <w:rPr>
                <w:rFonts w:ascii="Times New Roman" w:cs="Times New Roman" w:eastAsia="Times New Roman" w:hAnsi="Times New Roman"/>
                <w:sz w:val="10"/>
                <w:szCs w:val="10"/>
                <w:color w:val="auto"/>
                <w:w w:val="71"/>
              </w:rPr>
              <w:t>..........................................................................................</w:t>
            </w:r>
          </w:p>
        </w:tc>
        <w:tc>
          <w:tcPr>
            <w:tcW w:w="2280" w:type="dxa"/>
            <w:vAlign w:val="bottom"/>
            <w:vMerge w:val="restart"/>
          </w:tcPr>
          <w:p>
            <w:pPr>
              <w:jc w:val="right"/>
              <w:ind w:right="1113"/>
              <w:spacing w:after="0"/>
              <w:rPr>
                <w:sz w:val="20"/>
                <w:szCs w:val="20"/>
                <w:color w:val="auto"/>
              </w:rPr>
            </w:pPr>
            <w:r>
              <w:rPr>
                <w:rFonts w:ascii="Times New Roman" w:cs="Times New Roman" w:eastAsia="Times New Roman" w:hAnsi="Times New Roman"/>
                <w:sz w:val="21"/>
                <w:szCs w:val="21"/>
                <w:color w:val="auto"/>
              </w:rPr>
              <w:t>7</w:t>
            </w:r>
          </w:p>
        </w:tc>
        <w:tc>
          <w:tcPr>
            <w:tcW w:w="480" w:type="dxa"/>
            <w:vAlign w:val="bottom"/>
          </w:tcPr>
          <w:p>
            <w:pPr>
              <w:spacing w:after="0"/>
              <w:rPr>
                <w:sz w:val="24"/>
                <w:szCs w:val="24"/>
                <w:color w:val="auto"/>
              </w:rPr>
            </w:pPr>
          </w:p>
        </w:tc>
        <w:tc>
          <w:tcPr>
            <w:tcW w:w="4000" w:type="dxa"/>
            <w:vAlign w:val="bottom"/>
            <w:gridSpan w:val="2"/>
          </w:tcPr>
          <w:p>
            <w:pPr>
              <w:ind w:left="760"/>
              <w:spacing w:after="0"/>
              <w:rPr>
                <w:sz w:val="20"/>
                <w:szCs w:val="20"/>
                <w:color w:val="auto"/>
              </w:rPr>
            </w:pPr>
            <w:r>
              <w:rPr>
                <w:rFonts w:ascii="Times New Roman" w:cs="Times New Roman" w:eastAsia="Times New Roman" w:hAnsi="Times New Roman"/>
                <w:sz w:val="21"/>
                <w:szCs w:val="21"/>
                <w:color w:val="auto"/>
              </w:rPr>
              <w:t>7 4.3   Compliance with Laws</w:t>
            </w:r>
          </w:p>
        </w:tc>
        <w:tc>
          <w:tcPr>
            <w:tcW w:w="0" w:type="dxa"/>
            <w:vAlign w:val="bottom"/>
          </w:tcPr>
          <w:p>
            <w:pPr>
              <w:spacing w:after="0"/>
              <w:rPr>
                <w:sz w:val="1"/>
                <w:szCs w:val="1"/>
                <w:color w:val="auto"/>
              </w:rPr>
            </w:pPr>
          </w:p>
        </w:tc>
      </w:tr>
      <w:tr>
        <w:trPr>
          <w:trHeight w:val="64"/>
        </w:trPr>
        <w:tc>
          <w:tcPr>
            <w:tcW w:w="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21"/>
                <w:szCs w:val="21"/>
                <w:color w:val="auto"/>
              </w:rPr>
              <w:t>4.4</w:t>
            </w:r>
          </w:p>
        </w:tc>
        <w:tc>
          <w:tcPr>
            <w:tcW w:w="3600" w:type="dxa"/>
            <w:vAlign w:val="bottom"/>
            <w:vMerge w:val="restart"/>
          </w:tcPr>
          <w:p>
            <w:pPr>
              <w:jc w:val="right"/>
              <w:ind w:right="1617"/>
              <w:spacing w:after="0"/>
              <w:rPr>
                <w:sz w:val="20"/>
                <w:szCs w:val="20"/>
                <w:color w:val="auto"/>
              </w:rPr>
            </w:pPr>
            <w:r>
              <w:rPr>
                <w:rFonts w:ascii="Times New Roman" w:cs="Times New Roman" w:eastAsia="Times New Roman" w:hAnsi="Times New Roman"/>
                <w:sz w:val="21"/>
                <w:szCs w:val="21"/>
                <w:color w:val="auto"/>
              </w:rPr>
              <w:t>Dissolution; Merger</w:t>
            </w:r>
          </w:p>
        </w:tc>
        <w:tc>
          <w:tcPr>
            <w:tcW w:w="22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000" w:type="dxa"/>
            <w:vAlign w:val="bottom"/>
            <w:gridSpan w:val="2"/>
            <w:vMerge w:val="restart"/>
          </w:tcPr>
          <w:p>
            <w:pPr>
              <w:ind w:left="780"/>
              <w:spacing w:after="0"/>
              <w:rPr>
                <w:sz w:val="20"/>
                <w:szCs w:val="20"/>
                <w:color w:val="auto"/>
              </w:rPr>
            </w:pPr>
            <w:r>
              <w:rPr>
                <w:rFonts w:ascii="Times New Roman" w:cs="Times New Roman" w:eastAsia="Times New Roman" w:hAnsi="Times New Roman"/>
                <w:sz w:val="21"/>
                <w:szCs w:val="21"/>
                <w:color w:val="auto"/>
              </w:rPr>
              <w:t>7 4.5   Financial Statements</w:t>
            </w:r>
          </w:p>
        </w:tc>
        <w:tc>
          <w:tcPr>
            <w:tcW w:w="0" w:type="dxa"/>
            <w:vAlign w:val="bottom"/>
          </w:tcPr>
          <w:p>
            <w:pPr>
              <w:spacing w:after="0"/>
              <w:rPr>
                <w:sz w:val="1"/>
                <w:szCs w:val="1"/>
                <w:color w:val="auto"/>
              </w:rPr>
            </w:pPr>
          </w:p>
        </w:tc>
      </w:tr>
      <w:tr>
        <w:trPr>
          <w:trHeight w:val="267"/>
        </w:trPr>
        <w:tc>
          <w:tcPr>
            <w:tcW w:w="880" w:type="dxa"/>
            <w:vAlign w:val="bottom"/>
            <w:gridSpan w:val="2"/>
            <w:vMerge w:val="continue"/>
          </w:tcPr>
          <w:p>
            <w:pPr>
              <w:spacing w:after="0"/>
              <w:rPr>
                <w:sz w:val="23"/>
                <w:szCs w:val="23"/>
                <w:color w:val="auto"/>
              </w:rPr>
            </w:pPr>
          </w:p>
        </w:tc>
        <w:tc>
          <w:tcPr>
            <w:tcW w:w="3600" w:type="dxa"/>
            <w:vAlign w:val="bottom"/>
            <w:vMerge w:val="continue"/>
          </w:tcPr>
          <w:p>
            <w:pPr>
              <w:spacing w:after="0"/>
              <w:rPr>
                <w:sz w:val="23"/>
                <w:szCs w:val="23"/>
                <w:color w:val="auto"/>
              </w:rPr>
            </w:pPr>
          </w:p>
        </w:tc>
        <w:tc>
          <w:tcPr>
            <w:tcW w:w="2280" w:type="dxa"/>
            <w:vAlign w:val="bottom"/>
            <w:vMerge w:val="restart"/>
          </w:tcPr>
          <w:p>
            <w:pPr>
              <w:jc w:val="right"/>
              <w:ind w:right="893"/>
              <w:spacing w:after="0"/>
              <w:rPr>
                <w:sz w:val="20"/>
                <w:szCs w:val="20"/>
                <w:color w:val="auto"/>
              </w:rPr>
            </w:pPr>
            <w:r>
              <w:rPr>
                <w:rFonts w:ascii="Times New Roman" w:cs="Times New Roman" w:eastAsia="Times New Roman" w:hAnsi="Times New Roman"/>
                <w:sz w:val="21"/>
                <w:szCs w:val="21"/>
                <w:color w:val="auto"/>
              </w:rPr>
              <w:t>7</w:t>
            </w:r>
          </w:p>
        </w:tc>
        <w:tc>
          <w:tcPr>
            <w:tcW w:w="480" w:type="dxa"/>
            <w:vAlign w:val="bottom"/>
          </w:tcPr>
          <w:p>
            <w:pPr>
              <w:spacing w:after="0"/>
              <w:rPr>
                <w:sz w:val="23"/>
                <w:szCs w:val="23"/>
                <w:color w:val="auto"/>
              </w:rPr>
            </w:pPr>
          </w:p>
        </w:tc>
        <w:tc>
          <w:tcPr>
            <w:tcW w:w="40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28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4.6</w:t>
            </w:r>
          </w:p>
        </w:tc>
        <w:tc>
          <w:tcPr>
            <w:tcW w:w="660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95"/>
              </w:rPr>
              <w:t>Required Credit Criteria and Required Credit Support ............................................</w:t>
            </w: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240" w:type="dxa"/>
            <w:vAlign w:val="bottom"/>
            <w:gridSpan w:val="5"/>
          </w:tcPr>
          <w:p>
            <w:pPr>
              <w:spacing w:after="0"/>
              <w:rPr>
                <w:sz w:val="20"/>
                <w:szCs w:val="20"/>
                <w:color w:val="auto"/>
              </w:rPr>
            </w:pPr>
            <w:r>
              <w:rPr>
                <w:rFonts w:ascii="Times New Roman" w:cs="Times New Roman" w:eastAsia="Times New Roman" w:hAnsi="Times New Roman"/>
                <w:sz w:val="21"/>
                <w:szCs w:val="21"/>
                <w:color w:val="auto"/>
                <w:w w:val="89"/>
              </w:rPr>
              <w:t>ARTICLE V. SUBORDINATION; SUBROGATION; ETC. ........................................................</w:t>
            </w:r>
          </w:p>
        </w:tc>
        <w:tc>
          <w:tcPr>
            <w:tcW w:w="3560" w:type="dxa"/>
            <w:vAlign w:val="bottom"/>
          </w:tcPr>
          <w:p>
            <w:pPr>
              <w:jc w:val="right"/>
              <w:ind w:right="243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Taxes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5.2</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Subordination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5.3</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Waiver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5.4</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Subrogation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5.5</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Reinstatement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11</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5.6</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Limitations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124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ARTICLE VI. MISCELLANEOUS ....................….....................................................................12</w:t>
            </w:r>
          </w:p>
        </w:tc>
        <w:tc>
          <w:tcPr>
            <w:tcW w:w="0" w:type="dxa"/>
            <w:vAlign w:val="bottom"/>
          </w:tcPr>
          <w:p>
            <w:pPr>
              <w:spacing w:after="0"/>
              <w:rPr>
                <w:sz w:val="1"/>
                <w:szCs w:val="1"/>
                <w:color w:val="auto"/>
              </w:rPr>
            </w:pPr>
          </w:p>
        </w:tc>
      </w:tr>
      <w:tr>
        <w:trPr>
          <w:trHeight w:val="363"/>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6.1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Successions or Assignments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6.2</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Public Announcements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640" w:type="dxa"/>
            <w:vAlign w:val="bottom"/>
          </w:tcPr>
          <w:p>
            <w:pPr>
              <w:spacing w:after="0"/>
              <w:rPr>
                <w:sz w:val="24"/>
                <w:szCs w:val="24"/>
                <w:color w:val="auto"/>
              </w:rPr>
            </w:pP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6"/>
                <w:szCs w:val="6"/>
                <w:color w:val="auto"/>
                <w:w w:val="72"/>
                <w:vertAlign w:val="superscript"/>
              </w:rPr>
              <w:t>6.................................................................................................................</w:t>
            </w:r>
            <w:r>
              <w:rPr>
                <w:rFonts w:ascii="Times New Roman" w:cs="Times New Roman" w:eastAsia="Times New Roman" w:hAnsi="Times New Roman"/>
                <w:sz w:val="6"/>
                <w:szCs w:val="6"/>
                <w:color w:val="auto"/>
                <w:w w:val="72"/>
                <w:vertAlign w:val="subscript"/>
              </w:rPr>
              <w:t>............................................................................................................</w:t>
            </w:r>
            <w:r>
              <w:rPr>
                <w:rFonts w:ascii="Times New Roman" w:cs="Times New Roman" w:eastAsia="Times New Roman" w:hAnsi="Times New Roman"/>
                <w:sz w:val="6"/>
                <w:szCs w:val="6"/>
                <w:color w:val="auto"/>
                <w:w w:val="72"/>
                <w:vertAlign w:val="superscript"/>
              </w:rPr>
              <w:t>3NoWaiver..............................................................................................................</w:t>
            </w:r>
            <w:r>
              <w:rPr>
                <w:rFonts w:ascii="Times New Roman" w:cs="Times New Roman" w:eastAsia="Times New Roman" w:hAnsi="Times New Roman"/>
                <w:sz w:val="6"/>
                <w:szCs w:val="6"/>
                <w:color w:val="auto"/>
                <w:w w:val="72"/>
                <w:vertAlign w:val="subscript"/>
              </w:rPr>
              <w:t>..........................................................................................................</w:t>
            </w:r>
            <w:r>
              <w:rPr>
                <w:rFonts w:ascii="Times New Roman" w:cs="Times New Roman" w:eastAsia="Times New Roman" w:hAnsi="Times New Roman"/>
                <w:sz w:val="3"/>
                <w:szCs w:val="3"/>
                <w:color w:val="auto"/>
                <w:w w:val="72"/>
              </w:rPr>
              <w:t>............................................................................................</w:t>
            </w:r>
          </w:p>
        </w:tc>
        <w:tc>
          <w:tcPr>
            <w:tcW w:w="27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21"/>
                <w:szCs w:val="21"/>
                <w:color w:val="auto"/>
              </w:rPr>
              <w:t>12</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21"/>
                <w:szCs w:val="21"/>
                <w:color w:val="auto"/>
              </w:rPr>
              <w:t>12 6.4 Headings</w:t>
            </w:r>
          </w:p>
        </w:tc>
        <w:tc>
          <w:tcPr>
            <w:tcW w:w="0" w:type="dxa"/>
            <w:vAlign w:val="bottom"/>
          </w:tcPr>
          <w:p>
            <w:pPr>
              <w:spacing w:after="0"/>
              <w:rPr>
                <w:sz w:val="1"/>
                <w:szCs w:val="1"/>
                <w:color w:val="auto"/>
              </w:rPr>
            </w:pPr>
          </w:p>
        </w:tc>
      </w:tr>
      <w:tr>
        <w:trPr>
          <w:trHeight w:val="64"/>
        </w:trPr>
        <w:tc>
          <w:tcPr>
            <w:tcW w:w="640" w:type="dxa"/>
            <w:vAlign w:val="bottom"/>
          </w:tcPr>
          <w:p>
            <w:pPr>
              <w:spacing w:after="0"/>
              <w:rPr>
                <w:sz w:val="5"/>
                <w:szCs w:val="5"/>
                <w:color w:val="auto"/>
              </w:rPr>
            </w:pPr>
          </w:p>
        </w:tc>
        <w:tc>
          <w:tcPr>
            <w:tcW w:w="3840" w:type="dxa"/>
            <w:vAlign w:val="bottom"/>
            <w:gridSpan w:val="2"/>
            <w:vMerge w:val="restart"/>
          </w:tcPr>
          <w:p>
            <w:pPr>
              <w:jc w:val="right"/>
              <w:ind w:right="1537"/>
              <w:spacing w:after="0"/>
              <w:rPr>
                <w:sz w:val="20"/>
                <w:szCs w:val="20"/>
                <w:color w:val="auto"/>
              </w:rPr>
            </w:pPr>
            <w:r>
              <w:rPr>
                <w:rFonts w:ascii="Times New Roman" w:cs="Times New Roman" w:eastAsia="Times New Roman" w:hAnsi="Times New Roman"/>
                <w:sz w:val="21"/>
                <w:szCs w:val="21"/>
                <w:color w:val="auto"/>
              </w:rPr>
              <w:t>6.5 Remedies Cumulative</w:t>
            </w:r>
          </w:p>
        </w:tc>
        <w:tc>
          <w:tcPr>
            <w:tcW w:w="2760" w:type="dxa"/>
            <w:vAlign w:val="bottom"/>
            <w:gridSpan w:val="2"/>
            <w:vMerge w:val="continue"/>
          </w:tcPr>
          <w:p>
            <w:pPr>
              <w:spacing w:after="0"/>
              <w:rPr>
                <w:sz w:val="5"/>
                <w:szCs w:val="5"/>
                <w:color w:val="auto"/>
              </w:rPr>
            </w:pPr>
          </w:p>
        </w:tc>
        <w:tc>
          <w:tcPr>
            <w:tcW w:w="4000" w:type="dxa"/>
            <w:vAlign w:val="bottom"/>
            <w:gridSpan w:val="2"/>
            <w:vMerge w:val="restart"/>
          </w:tcPr>
          <w:p>
            <w:pPr>
              <w:ind w:left="600"/>
              <w:spacing w:after="0"/>
              <w:rPr>
                <w:sz w:val="20"/>
                <w:szCs w:val="20"/>
                <w:color w:val="auto"/>
              </w:rPr>
            </w:pPr>
            <w:r>
              <w:rPr>
                <w:rFonts w:ascii="Times New Roman" w:cs="Times New Roman" w:eastAsia="Times New Roman" w:hAnsi="Times New Roman"/>
                <w:sz w:val="21"/>
                <w:szCs w:val="21"/>
                <w:color w:val="auto"/>
              </w:rPr>
              <w:t>13 6.6 Severability</w:t>
            </w:r>
          </w:p>
        </w:tc>
        <w:tc>
          <w:tcPr>
            <w:tcW w:w="0" w:type="dxa"/>
            <w:vAlign w:val="bottom"/>
          </w:tcPr>
          <w:p>
            <w:pPr>
              <w:spacing w:after="0"/>
              <w:rPr>
                <w:sz w:val="1"/>
                <w:szCs w:val="1"/>
                <w:color w:val="auto"/>
              </w:rPr>
            </w:pPr>
          </w:p>
        </w:tc>
      </w:tr>
      <w:tr>
        <w:trPr>
          <w:trHeight w:val="254"/>
        </w:trPr>
        <w:tc>
          <w:tcPr>
            <w:tcW w:w="640" w:type="dxa"/>
            <w:vAlign w:val="bottom"/>
          </w:tcPr>
          <w:p>
            <w:pPr>
              <w:spacing w:after="0"/>
              <w:rPr>
                <w:sz w:val="22"/>
                <w:szCs w:val="22"/>
                <w:color w:val="auto"/>
              </w:rPr>
            </w:pPr>
          </w:p>
        </w:tc>
        <w:tc>
          <w:tcPr>
            <w:tcW w:w="3840" w:type="dxa"/>
            <w:vAlign w:val="bottom"/>
            <w:gridSpan w:val="2"/>
            <w:vMerge w:val="continue"/>
          </w:tcPr>
          <w:p>
            <w:pPr>
              <w:spacing w:after="0"/>
              <w:rPr>
                <w:sz w:val="22"/>
                <w:szCs w:val="22"/>
                <w:color w:val="auto"/>
              </w:rPr>
            </w:pPr>
          </w:p>
        </w:tc>
        <w:tc>
          <w:tcPr>
            <w:tcW w:w="2280" w:type="dxa"/>
            <w:vAlign w:val="bottom"/>
            <w:vMerge w:val="restart"/>
          </w:tcPr>
          <w:p>
            <w:pPr>
              <w:jc w:val="right"/>
              <w:ind w:right="13"/>
              <w:spacing w:after="0"/>
              <w:rPr>
                <w:sz w:val="20"/>
                <w:szCs w:val="20"/>
                <w:color w:val="auto"/>
              </w:rPr>
            </w:pPr>
            <w:r>
              <w:rPr>
                <w:rFonts w:ascii="Times New Roman" w:cs="Times New Roman" w:eastAsia="Times New Roman" w:hAnsi="Times New Roman"/>
                <w:sz w:val="21"/>
                <w:szCs w:val="21"/>
                <w:color w:val="auto"/>
              </w:rPr>
              <w:t>13</w:t>
            </w:r>
          </w:p>
        </w:tc>
        <w:tc>
          <w:tcPr>
            <w:tcW w:w="480" w:type="dxa"/>
            <w:vAlign w:val="bottom"/>
          </w:tcPr>
          <w:p>
            <w:pPr>
              <w:spacing w:after="0"/>
              <w:rPr>
                <w:sz w:val="22"/>
                <w:szCs w:val="22"/>
                <w:color w:val="auto"/>
              </w:rPr>
            </w:pPr>
          </w:p>
        </w:tc>
        <w:tc>
          <w:tcPr>
            <w:tcW w:w="4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21"/>
                <w:szCs w:val="21"/>
                <w:color w:val="auto"/>
              </w:rPr>
              <w:t>6.7</w:t>
            </w:r>
          </w:p>
        </w:tc>
        <w:tc>
          <w:tcPr>
            <w:tcW w:w="3840" w:type="dxa"/>
            <w:vAlign w:val="bottom"/>
            <w:gridSpan w:val="2"/>
            <w:vMerge w:val="restart"/>
          </w:tcPr>
          <w:p>
            <w:pPr>
              <w:jc w:val="right"/>
              <w:ind w:right="2497"/>
              <w:spacing w:after="0"/>
              <w:rPr>
                <w:sz w:val="20"/>
                <w:szCs w:val="20"/>
                <w:color w:val="auto"/>
              </w:rPr>
            </w:pPr>
            <w:r>
              <w:rPr>
                <w:rFonts w:ascii="Times New Roman" w:cs="Times New Roman" w:eastAsia="Times New Roman" w:hAnsi="Times New Roman"/>
                <w:sz w:val="21"/>
                <w:szCs w:val="21"/>
                <w:color w:val="auto"/>
              </w:rPr>
              <w:t>Amendments</w:t>
            </w:r>
          </w:p>
        </w:tc>
        <w:tc>
          <w:tcPr>
            <w:tcW w:w="228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vMerge w:val="restart"/>
          </w:tcPr>
          <w:p>
            <w:pPr>
              <w:jc w:val="right"/>
              <w:ind w:right="2853"/>
              <w:spacing w:after="0"/>
              <w:rPr>
                <w:sz w:val="20"/>
                <w:szCs w:val="20"/>
                <w:color w:val="auto"/>
              </w:rPr>
            </w:pPr>
            <w:r>
              <w:rPr>
                <w:rFonts w:ascii="Times New Roman" w:cs="Times New Roman" w:eastAsia="Times New Roman" w:hAnsi="Times New Roman"/>
                <w:sz w:val="21"/>
                <w:szCs w:val="21"/>
                <w:color w:val="auto"/>
              </w:rPr>
              <w:t>13</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40" w:type="dxa"/>
            <w:vAlign w:val="bottom"/>
            <w:vMerge w:val="continue"/>
          </w:tcPr>
          <w:p>
            <w:pPr>
              <w:spacing w:after="0"/>
              <w:rPr>
                <w:sz w:val="22"/>
                <w:szCs w:val="22"/>
                <w:color w:val="auto"/>
              </w:rPr>
            </w:pPr>
          </w:p>
        </w:tc>
        <w:tc>
          <w:tcPr>
            <w:tcW w:w="3840" w:type="dxa"/>
            <w:vAlign w:val="bottom"/>
            <w:gridSpan w:val="2"/>
            <w:vMerge w:val="continue"/>
          </w:tcPr>
          <w:p>
            <w:pPr>
              <w:spacing w:after="0"/>
              <w:rPr>
                <w:sz w:val="22"/>
                <w:szCs w:val="22"/>
                <w:color w:val="auto"/>
              </w:rPr>
            </w:pPr>
          </w:p>
        </w:tc>
        <w:tc>
          <w:tcPr>
            <w:tcW w:w="2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56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24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6.8   Governing Law; Choice of Forum; Waiver of Jury Trial ......................................</w:t>
            </w:r>
          </w:p>
        </w:tc>
        <w:tc>
          <w:tcPr>
            <w:tcW w:w="40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13 6.9   Entire Agreement; No Other</w:t>
            </w:r>
          </w:p>
        </w:tc>
        <w:tc>
          <w:tcPr>
            <w:tcW w:w="0" w:type="dxa"/>
            <w:vAlign w:val="bottom"/>
          </w:tcPr>
          <w:p>
            <w:pPr>
              <w:spacing w:after="0"/>
              <w:rPr>
                <w:sz w:val="1"/>
                <w:szCs w:val="1"/>
                <w:color w:val="auto"/>
              </w:rPr>
            </w:pPr>
          </w:p>
        </w:tc>
      </w:tr>
      <w:tr>
        <w:trPr>
          <w:trHeight w:val="267"/>
        </w:trPr>
        <w:tc>
          <w:tcPr>
            <w:tcW w:w="448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Representations .......................................................</w:t>
            </w:r>
          </w:p>
        </w:tc>
        <w:tc>
          <w:tcPr>
            <w:tcW w:w="2280" w:type="dxa"/>
            <w:vAlign w:val="bottom"/>
          </w:tcPr>
          <w:p>
            <w:pPr>
              <w:jc w:val="right"/>
              <w:ind w:right="1553"/>
              <w:spacing w:after="0"/>
              <w:rPr>
                <w:sz w:val="20"/>
                <w:szCs w:val="20"/>
                <w:color w:val="auto"/>
              </w:rPr>
            </w:pPr>
            <w:r>
              <w:rPr>
                <w:rFonts w:ascii="Times New Roman" w:cs="Times New Roman" w:eastAsia="Times New Roman" w:hAnsi="Times New Roman"/>
                <w:sz w:val="21"/>
                <w:szCs w:val="21"/>
                <w:color w:val="auto"/>
              </w:rPr>
              <w:t>13</w:t>
            </w:r>
          </w:p>
        </w:tc>
        <w:tc>
          <w:tcPr>
            <w:tcW w:w="4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640" w:type="dxa"/>
            <w:vAlign w:val="bottom"/>
          </w:tcPr>
          <w:p>
            <w:pPr>
              <w:spacing w:after="0"/>
              <w:rPr>
                <w:sz w:val="24"/>
                <w:szCs w:val="24"/>
                <w:color w:val="auto"/>
              </w:rPr>
            </w:pP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5"/>
                <w:vertAlign w:val="superscript"/>
              </w:rPr>
              <w:t>6.</w:t>
            </w:r>
            <w:r>
              <w:rPr>
                <w:rFonts w:ascii="Times New Roman" w:cs="Times New Roman" w:eastAsia="Times New Roman" w:hAnsi="Times New Roman"/>
                <w:sz w:val="5"/>
                <w:szCs w:val="5"/>
                <w:color w:val="auto"/>
                <w:w w:val="75"/>
              </w:rPr>
              <w:t>.................................................................................</w:t>
            </w:r>
            <w:r>
              <w:rPr>
                <w:rFonts w:ascii="Times New Roman" w:cs="Times New Roman" w:eastAsia="Times New Roman" w:hAnsi="Times New Roman"/>
                <w:sz w:val="10"/>
                <w:szCs w:val="10"/>
                <w:color w:val="auto"/>
                <w:w w:val="75"/>
                <w:vertAlign w:val="superscript"/>
              </w:rPr>
              <w:t>10Notices...................................................................................................................</w:t>
            </w:r>
            <w:r>
              <w:rPr>
                <w:rFonts w:ascii="Times New Roman" w:cs="Times New Roman" w:eastAsia="Times New Roman" w:hAnsi="Times New Roman"/>
                <w:sz w:val="10"/>
                <w:szCs w:val="10"/>
                <w:color w:val="auto"/>
                <w:w w:val="75"/>
                <w:vertAlign w:val="subscript"/>
              </w:rPr>
              <w:t>...........................................................................................................</w:t>
            </w:r>
          </w:p>
        </w:tc>
        <w:tc>
          <w:tcPr>
            <w:tcW w:w="2280" w:type="dxa"/>
            <w:vAlign w:val="bottom"/>
            <w:vMerge w:val="restart"/>
          </w:tcPr>
          <w:p>
            <w:pPr>
              <w:jc w:val="right"/>
              <w:ind w:right="1453"/>
              <w:spacing w:after="0"/>
              <w:rPr>
                <w:sz w:val="20"/>
                <w:szCs w:val="20"/>
                <w:color w:val="auto"/>
              </w:rPr>
            </w:pPr>
            <w:r>
              <w:rPr>
                <w:rFonts w:ascii="Times New Roman" w:cs="Times New Roman" w:eastAsia="Times New Roman" w:hAnsi="Times New Roman"/>
                <w:sz w:val="21"/>
                <w:szCs w:val="21"/>
                <w:color w:val="auto"/>
              </w:rPr>
              <w:t>14</w:t>
            </w:r>
          </w:p>
        </w:tc>
        <w:tc>
          <w:tcPr>
            <w:tcW w:w="480" w:type="dxa"/>
            <w:vAlign w:val="bottom"/>
          </w:tcPr>
          <w:p>
            <w:pPr>
              <w:spacing w:after="0"/>
              <w:rPr>
                <w:sz w:val="24"/>
                <w:szCs w:val="24"/>
                <w:color w:val="auto"/>
              </w:rPr>
            </w:pPr>
          </w:p>
        </w:tc>
        <w:tc>
          <w:tcPr>
            <w:tcW w:w="4000" w:type="dxa"/>
            <w:vAlign w:val="bottom"/>
            <w:gridSpan w:val="2"/>
          </w:tcPr>
          <w:p>
            <w:pPr>
              <w:ind w:left="680"/>
              <w:spacing w:after="0"/>
              <w:rPr>
                <w:sz w:val="20"/>
                <w:szCs w:val="20"/>
                <w:color w:val="auto"/>
              </w:rPr>
            </w:pPr>
            <w:r>
              <w:rPr>
                <w:rFonts w:ascii="Times New Roman" w:cs="Times New Roman" w:eastAsia="Times New Roman" w:hAnsi="Times New Roman"/>
                <w:sz w:val="21"/>
                <w:szCs w:val="21"/>
                <w:color w:val="auto"/>
              </w:rPr>
              <w:t>14 6.11 Collection Expenses; Set-Off</w:t>
            </w:r>
          </w:p>
        </w:tc>
        <w:tc>
          <w:tcPr>
            <w:tcW w:w="0" w:type="dxa"/>
            <w:vAlign w:val="bottom"/>
          </w:tcPr>
          <w:p>
            <w:pPr>
              <w:spacing w:after="0"/>
              <w:rPr>
                <w:sz w:val="1"/>
                <w:szCs w:val="1"/>
                <w:color w:val="auto"/>
              </w:rPr>
            </w:pPr>
          </w:p>
        </w:tc>
      </w:tr>
      <w:tr>
        <w:trPr>
          <w:trHeight w:val="64"/>
        </w:trPr>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21"/>
                <w:szCs w:val="21"/>
                <w:color w:val="auto"/>
              </w:rPr>
              <w:t>6.12</w:t>
            </w:r>
          </w:p>
        </w:tc>
        <w:tc>
          <w:tcPr>
            <w:tcW w:w="240" w:type="dxa"/>
            <w:vAlign w:val="bottom"/>
          </w:tcPr>
          <w:p>
            <w:pPr>
              <w:spacing w:after="0"/>
              <w:rPr>
                <w:sz w:val="5"/>
                <w:szCs w:val="5"/>
                <w:color w:val="auto"/>
              </w:rPr>
            </w:pPr>
          </w:p>
        </w:tc>
        <w:tc>
          <w:tcPr>
            <w:tcW w:w="3600" w:type="dxa"/>
            <w:vAlign w:val="bottom"/>
            <w:vMerge w:val="restart"/>
          </w:tcPr>
          <w:p>
            <w:pPr>
              <w:jc w:val="right"/>
              <w:ind w:right="2417"/>
              <w:spacing w:after="0"/>
              <w:rPr>
                <w:sz w:val="20"/>
                <w:szCs w:val="20"/>
                <w:color w:val="auto"/>
              </w:rPr>
            </w:pPr>
            <w:r>
              <w:rPr>
                <w:rFonts w:ascii="Times New Roman" w:cs="Times New Roman" w:eastAsia="Times New Roman" w:hAnsi="Times New Roman"/>
                <w:sz w:val="21"/>
                <w:szCs w:val="21"/>
                <w:color w:val="auto"/>
                <w:w w:val="99"/>
              </w:rPr>
              <w:t>Counterparts</w:t>
            </w:r>
          </w:p>
        </w:tc>
        <w:tc>
          <w:tcPr>
            <w:tcW w:w="22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560" w:type="dxa"/>
            <w:vAlign w:val="bottom"/>
            <w:vMerge w:val="restart"/>
          </w:tcPr>
          <w:p>
            <w:pPr>
              <w:jc w:val="right"/>
              <w:ind w:right="2733"/>
              <w:spacing w:after="0"/>
              <w:rPr>
                <w:sz w:val="20"/>
                <w:szCs w:val="20"/>
                <w:color w:val="auto"/>
              </w:rPr>
            </w:pPr>
            <w:r>
              <w:rPr>
                <w:rFonts w:ascii="Times New Roman" w:cs="Times New Roman" w:eastAsia="Times New Roman" w:hAnsi="Times New Roman"/>
                <w:sz w:val="21"/>
                <w:szCs w:val="21"/>
                <w:color w:val="auto"/>
              </w:rPr>
              <w:t>14</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3600" w:type="dxa"/>
            <w:vAlign w:val="bottom"/>
            <w:vMerge w:val="continue"/>
          </w:tcPr>
          <w:p>
            <w:pPr>
              <w:spacing w:after="0"/>
              <w:rPr>
                <w:sz w:val="22"/>
                <w:szCs w:val="22"/>
                <w:color w:val="auto"/>
              </w:rPr>
            </w:pPr>
          </w:p>
        </w:tc>
        <w:tc>
          <w:tcPr>
            <w:tcW w:w="2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56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6.13</w:t>
            </w:r>
          </w:p>
        </w:tc>
        <w:tc>
          <w:tcPr>
            <w:tcW w:w="24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4"/>
              </w:rPr>
              <w:t>Time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753"/>
              <w:spacing w:after="0"/>
              <w:rPr>
                <w:sz w:val="20"/>
                <w:szCs w:val="20"/>
                <w:color w:val="auto"/>
              </w:rPr>
            </w:pPr>
            <w:r>
              <w:rPr>
                <w:rFonts w:ascii="Times New Roman" w:cs="Times New Roman" w:eastAsia="Times New Roman" w:hAnsi="Times New Roman"/>
                <w:sz w:val="21"/>
                <w:szCs w:val="21"/>
                <w:color w:val="auto"/>
              </w:rPr>
              <w:t>15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6.14</w:t>
            </w:r>
          </w:p>
        </w:tc>
        <w:tc>
          <w:tcPr>
            <w:tcW w:w="24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4"/>
              </w:rPr>
              <w:t>Termination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733"/>
              <w:spacing w:after="0"/>
              <w:rPr>
                <w:sz w:val="20"/>
                <w:szCs w:val="20"/>
                <w:color w:val="auto"/>
              </w:rPr>
            </w:pPr>
            <w:r>
              <w:rPr>
                <w:rFonts w:ascii="Times New Roman" w:cs="Times New Roman" w:eastAsia="Times New Roman" w:hAnsi="Times New Roman"/>
                <w:sz w:val="21"/>
                <w:szCs w:val="21"/>
                <w:color w:val="auto"/>
              </w:rPr>
              <w:t>15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07" w:right="339" w:bottom="1440" w:gutter="0" w:footer="0" w:header="0"/>
        </w:sectPr>
      </w:pPr>
    </w:p>
    <w:bookmarkStart w:id="169" w:name="page170"/>
    <w:bookmarkEnd w:id="169"/>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GUARANTY</w:t>
      </w:r>
    </w:p>
    <w:p>
      <w:pPr>
        <w:spacing w:after="0" w:line="224"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GUARANTY</w:t>
      </w:r>
      <w:r>
        <w:rPr>
          <w:rFonts w:ascii="Times New Roman" w:cs="Times New Roman" w:eastAsia="Times New Roman" w:hAnsi="Times New Roman"/>
          <w:sz w:val="21"/>
          <w:szCs w:val="21"/>
          <w:color w:val="auto"/>
        </w:rPr>
        <w:t>, dated as of June 20, 2025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(as amended, amended and restated, supplemented or otherwise modified from time to time,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entered by OPAL FUELS INC., a Delaware corporation, (the “</w:t>
      </w:r>
      <w:r>
        <w:rPr>
          <w:rFonts w:ascii="Times New Roman" w:cs="Times New Roman" w:eastAsia="Times New Roman" w:hAnsi="Times New Roman"/>
          <w:sz w:val="21"/>
          <w:szCs w:val="21"/>
          <w:b w:val="1"/>
          <w:bCs w:val="1"/>
          <w:i w:val="1"/>
          <w:iCs w:val="1"/>
          <w:color w:val="auto"/>
        </w:rPr>
        <w:t>Guarantor</w:t>
      </w:r>
      <w:r>
        <w:rPr>
          <w:rFonts w:ascii="Times New Roman" w:cs="Times New Roman" w:eastAsia="Times New Roman" w:hAnsi="Times New Roman"/>
          <w:sz w:val="21"/>
          <w:szCs w:val="21"/>
          <w:color w:val="auto"/>
        </w:rPr>
        <w:t>”), in favor of 2024 TTC AGGREGATOR, L.P., a Delaware limited partnership (“</w:t>
      </w:r>
      <w:r>
        <w:rPr>
          <w:rFonts w:ascii="Times New Roman" w:cs="Times New Roman" w:eastAsia="Times New Roman" w:hAnsi="Times New Roman"/>
          <w:sz w:val="21"/>
          <w:szCs w:val="21"/>
          <w:b w:val="1"/>
          <w:bCs w:val="1"/>
          <w:i w:val="1"/>
          <w:iCs w:val="1"/>
          <w:color w:val="auto"/>
        </w:rPr>
        <w:t>Buyer</w:t>
      </w:r>
      <w:r>
        <w:rPr>
          <w:rFonts w:ascii="Times New Roman" w:cs="Times New Roman" w:eastAsia="Times New Roman" w:hAnsi="Times New Roman"/>
          <w:sz w:val="21"/>
          <w:szCs w:val="21"/>
          <w:color w:val="auto"/>
        </w:rPr>
        <w:t>” and, together with the Guarantor, collectively,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26" w:lineRule="exact"/>
        <w:rPr>
          <w:sz w:val="20"/>
          <w:szCs w:val="20"/>
          <w:color w:val="auto"/>
        </w:rPr>
      </w:pPr>
    </w:p>
    <w:p>
      <w:pPr>
        <w:ind w:left="1280" w:hanging="632"/>
        <w:spacing w:after="0"/>
        <w:tabs>
          <w:tab w:leader="none" w:pos="128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owns 100% of the Class A Units in Opal Fuels, LLC, a Delaware limited liability company</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Seller</w:t>
      </w:r>
      <w:r>
        <w:rPr>
          <w:rFonts w:ascii="Times New Roman" w:cs="Times New Roman" w:eastAsia="Times New Roman" w:hAnsi="Times New Roman"/>
          <w:sz w:val="21"/>
          <w:szCs w:val="21"/>
          <w:color w:val="auto"/>
        </w:rPr>
        <w:t>”).</w:t>
      </w:r>
    </w:p>
    <w:p>
      <w:pPr>
        <w:spacing w:after="0" w:line="202" w:lineRule="exact"/>
        <w:rPr>
          <w:rFonts w:ascii="Times New Roman" w:cs="Times New Roman" w:eastAsia="Times New Roman" w:hAnsi="Times New Roman"/>
          <w:sz w:val="21"/>
          <w:szCs w:val="21"/>
          <w:color w:val="auto"/>
        </w:rPr>
      </w:pPr>
    </w:p>
    <w:p>
      <w:pPr>
        <w:jc w:val="both"/>
        <w:ind w:right="80" w:firstLine="648"/>
        <w:spacing w:after="0" w:line="262" w:lineRule="auto"/>
        <w:tabs>
          <w:tab w:leader="none" w:pos="127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has entered into that certain Tax Credit Purchase Agreement, dated as of the date hereof (as the same may be amended, modified or supplemented from time to time, the “</w:t>
      </w:r>
      <w:r>
        <w:rPr>
          <w:rFonts w:ascii="Times New Roman" w:cs="Times New Roman" w:eastAsia="Times New Roman" w:hAnsi="Times New Roman"/>
          <w:sz w:val="21"/>
          <w:szCs w:val="21"/>
          <w:b w:val="1"/>
          <w:bCs w:val="1"/>
          <w:i w:val="1"/>
          <w:iCs w:val="1"/>
          <w:color w:val="auto"/>
        </w:rPr>
        <w:t>Purchase Agreement</w:t>
      </w:r>
      <w:r>
        <w:rPr>
          <w:rFonts w:ascii="Times New Roman" w:cs="Times New Roman" w:eastAsia="Times New Roman" w:hAnsi="Times New Roman"/>
          <w:sz w:val="21"/>
          <w:szCs w:val="21"/>
          <w:color w:val="auto"/>
        </w:rPr>
        <w:t>”), by and between Seller and Buyer pursuant to which, among other things, Buyer will purchase certain renewable energy investment tax credits provided under Section 48 of the Internal Revenue Code of 1986 (“</w:t>
      </w:r>
      <w:r>
        <w:rPr>
          <w:rFonts w:ascii="Times New Roman" w:cs="Times New Roman" w:eastAsia="Times New Roman" w:hAnsi="Times New Roman"/>
          <w:sz w:val="21"/>
          <w:szCs w:val="21"/>
          <w:b w:val="1"/>
          <w:bCs w:val="1"/>
          <w:i w:val="1"/>
          <w:iCs w:val="1"/>
          <w:color w:val="auto"/>
        </w:rPr>
        <w:t>ITCs</w:t>
      </w:r>
      <w:r>
        <w:rPr>
          <w:rFonts w:ascii="Times New Roman" w:cs="Times New Roman" w:eastAsia="Times New Roman" w:hAnsi="Times New Roman"/>
          <w:sz w:val="21"/>
          <w:szCs w:val="21"/>
          <w:color w:val="auto"/>
        </w:rPr>
        <w:t>”) and generated by the project producing renewable natural gas from landfill gas more commonly referred to as Prince William RNG located in Manassas County, Virginia owned by Seller’s subsidiary Prince William RNG LLC, a Delaware limited liability company.</w:t>
      </w:r>
    </w:p>
    <w:p>
      <w:pPr>
        <w:spacing w:after="0" w:line="168" w:lineRule="exact"/>
        <w:rPr>
          <w:rFonts w:ascii="Times New Roman" w:cs="Times New Roman" w:eastAsia="Times New Roman" w:hAnsi="Times New Roman"/>
          <w:sz w:val="21"/>
          <w:szCs w:val="21"/>
          <w:color w:val="auto"/>
        </w:rPr>
      </w:pPr>
    </w:p>
    <w:p>
      <w:pPr>
        <w:ind w:right="80" w:firstLine="648"/>
        <w:spacing w:after="0" w:line="288" w:lineRule="auto"/>
        <w:tabs>
          <w:tab w:leader="none" w:pos="127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will derive economic benefit from the purchase of ITCs made by Buyer from the Seller (at the direction of the Seller) pursuant to the Purchase Agreement.</w:t>
      </w:r>
    </w:p>
    <w:p>
      <w:pPr>
        <w:spacing w:after="0" w:line="141" w:lineRule="exact"/>
        <w:rPr>
          <w:rFonts w:ascii="Times New Roman" w:cs="Times New Roman" w:eastAsia="Times New Roman" w:hAnsi="Times New Roman"/>
          <w:sz w:val="21"/>
          <w:szCs w:val="21"/>
          <w:color w:val="auto"/>
        </w:rPr>
      </w:pPr>
    </w:p>
    <w:p>
      <w:pPr>
        <w:ind w:right="80" w:firstLine="648"/>
        <w:spacing w:after="0" w:line="288" w:lineRule="auto"/>
        <w:tabs>
          <w:tab w:leader="none" w:pos="127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a condition precedent to the effectiveness of the Purchase Agreement that the Guarantor shall have executed and delivered this Agreement.</w:t>
      </w:r>
    </w:p>
    <w:p>
      <w:pPr>
        <w:spacing w:after="0" w:line="142" w:lineRule="exact"/>
        <w:rPr>
          <w:sz w:val="20"/>
          <w:szCs w:val="20"/>
          <w:color w:val="auto"/>
        </w:rPr>
      </w:pPr>
    </w:p>
    <w:p>
      <w:pPr>
        <w:jc w:val="both"/>
        <w:ind w:right="80" w:firstLine="641"/>
        <w:spacing w:after="0" w:line="270" w:lineRule="auto"/>
        <w:rPr>
          <w:sz w:val="20"/>
          <w:szCs w:val="20"/>
          <w:color w:val="auto"/>
        </w:rPr>
      </w:pPr>
      <w:r>
        <w:rPr>
          <w:rFonts w:ascii="Times New Roman" w:cs="Times New Roman" w:eastAsia="Times New Roman" w:hAnsi="Times New Roman"/>
          <w:sz w:val="21"/>
          <w:szCs w:val="21"/>
          <w:color w:val="auto"/>
        </w:rPr>
        <w:t>NOW, THEREFORE, in consideration of the promises contained herein, and to induce Buyer to enter into the Purchase Agreement and to consummate the transactions contemplated under the Purchase Agreement, and for other good and valuable consideration, the receipt and adequacy of which are hereby acknowledged, the Guarantor hereby agrees as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ARTICLE I. </w:t>
      </w:r>
      <w:r>
        <w:rPr>
          <w:rFonts w:ascii="Times New Roman" w:cs="Times New Roman" w:eastAsia="Times New Roman" w:hAnsi="Times New Roman"/>
          <w:sz w:val="21"/>
          <w:szCs w:val="21"/>
          <w:u w:val="single" w:color="auto"/>
          <w:color w:val="auto"/>
        </w:rPr>
        <w:t>DEFINITIONS</w:t>
      </w:r>
    </w:p>
    <w:p>
      <w:pPr>
        <w:spacing w:after="0" w:line="213" w:lineRule="exact"/>
        <w:rPr>
          <w:sz w:val="20"/>
          <w:szCs w:val="20"/>
          <w:color w:val="auto"/>
        </w:rPr>
      </w:pPr>
    </w:p>
    <w:p>
      <w:pPr>
        <w:jc w:val="both"/>
        <w:ind w:right="80" w:firstLine="641"/>
        <w:spacing w:after="0" w:line="302"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The following terms (whether or not underscored) when used in this Agreement, including its preamble and recitals, shall have the following meanings: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given in the p</w:t>
      </w:r>
      <w:r>
        <w:rPr>
          <w:rFonts w:ascii="Times New Roman" w:cs="Times New Roman" w:eastAsia="Times New Roman" w:hAnsi="Times New Roman"/>
          <w:sz w:val="21"/>
          <w:szCs w:val="21"/>
          <w:u w:val="single" w:color="auto"/>
          <w:color w:val="auto"/>
        </w:rPr>
        <w:t>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jc w:val="both"/>
        <w:ind w:right="80" w:firstLine="641"/>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means Title 11, United States Code, and any other state or federal insolvency, reorganization, moratorium or similar law for the relief of debtors.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jc w:val="both"/>
        <w:ind w:right="80" w:firstLine="641"/>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Credit Trigger</w:t>
      </w:r>
      <w:r>
        <w:rPr>
          <w:rFonts w:ascii="Times New Roman" w:cs="Times New Roman" w:eastAsia="Times New Roman" w:hAnsi="Times New Roman"/>
          <w:sz w:val="21"/>
          <w:szCs w:val="21"/>
          <w:color w:val="auto"/>
        </w:rPr>
        <w:t>” means (a) a 15% (or greater) decline in the Net Worth of the Guarantor from the Net Worth of the Guarantor as of the Effective Date, (b) the Guarantor takes any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 w:leader="none" w:pos="1600" w:val="left"/>
        </w:tabs>
        <w:rPr>
          <w:sz w:val="20"/>
          <w:szCs w:val="20"/>
          <w:color w:val="auto"/>
        </w:rPr>
      </w:pPr>
      <w:r>
        <w:rPr>
          <w:rFonts w:ascii="Times New Roman" w:cs="Times New Roman" w:eastAsia="Times New Roman" w:hAnsi="Times New Roman"/>
          <w:sz w:val="18"/>
          <w:szCs w:val="18"/>
          <w:color w:val="auto"/>
        </w:rPr>
        <w:t>Prince William</w:t>
        <w:tab/>
        <w:t>1</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type w:val="continuous"/>
        </w:sectPr>
      </w:pPr>
    </w:p>
    <w:bookmarkStart w:id="170" w:name="page171"/>
    <w:bookmarkEnd w:id="170"/>
    <w:p>
      <w:pPr>
        <w:spacing w:after="0" w:line="222"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1"/>
          <w:szCs w:val="21"/>
          <w:color w:val="auto"/>
        </w:rPr>
        <w:t>affirmative action to terminate, cancel or repudiate this Agreement or any of its material obligations hereunder (except in accordance with the express terms hereof), or (c) the Guarantor (i) institutes a voluntary case seeking liquidation or reorganization under the Bankruptcy Code or consents to the institution of an involuntary case thereunder against it, (ii) is generally not paying, or admits in writing its inability to pay, its debts generally as they become due, (iii)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(iv) makes a general assignment for the benefit of its creditors, (v) applies for or consents to the appointment of a custodian, receiver, trustee or other officer with similar powers with respect to it or with respect to any substantial part of its property, (vi) is adjudicated as insolvent or to be liquidated by a court of competent jurisdiction, or (vii) takes corporate action for the purpose of any of the foregoing.</w:t>
      </w: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Guaranteed Obligations</w:t>
      </w:r>
      <w:r>
        <w:rPr>
          <w:rFonts w:ascii="Times New Roman" w:cs="Times New Roman" w:eastAsia="Times New Roman" w:hAnsi="Times New Roman"/>
          <w:sz w:val="21"/>
          <w:szCs w:val="21"/>
          <w:color w:val="auto"/>
        </w:rPr>
        <w:t xml:space="preserve">” has the meaning given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of this Agreement.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Guarantor</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ITCs</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 xml:space="preserve"> to this Agreement.</w:t>
      </w:r>
    </w:p>
    <w:p>
      <w:pPr>
        <w:spacing w:after="0" w:line="159" w:lineRule="exact"/>
        <w:rPr>
          <w:sz w:val="20"/>
          <w:szCs w:val="20"/>
          <w:color w:val="auto"/>
        </w:rPr>
      </w:pPr>
    </w:p>
    <w:p>
      <w:pPr>
        <w:ind w:firstLine="631"/>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Worth</w:t>
      </w:r>
      <w:r>
        <w:rPr>
          <w:rFonts w:ascii="Times New Roman" w:cs="Times New Roman" w:eastAsia="Times New Roman" w:hAnsi="Times New Roman"/>
          <w:sz w:val="21"/>
          <w:szCs w:val="21"/>
          <w:color w:val="auto"/>
        </w:rPr>
        <w:t>” means, at any time, the total assets less total liabilities of the Guarantor set forth on the Guarantor’s then most recent quarterly or annual balance sheet. As of the Effective Date, the Net Worth of the Guarantor is $464,000,000.</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xml:space="preserve">” have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Purchase Agreement</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 xml:space="preserve"> to this Agreement.</w:t>
      </w:r>
    </w:p>
    <w:p>
      <w:pPr>
        <w:spacing w:after="0" w:line="230" w:lineRule="exact"/>
        <w:rPr>
          <w:sz w:val="20"/>
          <w:szCs w:val="20"/>
          <w:color w:val="auto"/>
        </w:rPr>
      </w:pPr>
    </w:p>
    <w:p>
      <w:pPr>
        <w:jc w:val="both"/>
        <w:ind w:right="60" w:firstLine="641"/>
        <w:spacing w:after="0" w:line="28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General Definitions</w:t>
      </w:r>
      <w:r>
        <w:rPr>
          <w:rFonts w:ascii="Times New Roman" w:cs="Times New Roman" w:eastAsia="Times New Roman" w:hAnsi="Times New Roman"/>
          <w:sz w:val="21"/>
          <w:szCs w:val="21"/>
          <w:color w:val="auto"/>
        </w:rPr>
        <w:t>. Unless otherwise defined herein or unless the context otherwise requires, capitalized terms used in this Agreement, including its preamble and recitals, have the respective meanings set forth in the Purchase Agreement.</w:t>
      </w:r>
    </w:p>
    <w:p>
      <w:pPr>
        <w:spacing w:after="0" w:line="142" w:lineRule="exact"/>
        <w:rPr>
          <w:sz w:val="20"/>
          <w:szCs w:val="20"/>
          <w:color w:val="auto"/>
        </w:rPr>
      </w:pPr>
    </w:p>
    <w:p>
      <w:pPr>
        <w:jc w:val="both"/>
        <w:ind w:right="60" w:firstLine="641"/>
        <w:spacing w:after="0" w:line="288"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Rules of Interpretation</w:t>
      </w:r>
      <w:r>
        <w:rPr>
          <w:rFonts w:ascii="Times New Roman" w:cs="Times New Roman" w:eastAsia="Times New Roman" w:hAnsi="Times New Roman"/>
          <w:sz w:val="21"/>
          <w:szCs w:val="21"/>
          <w:color w:val="auto"/>
        </w:rPr>
        <w:t>. Unless otherwise provided herein, the rules of interpretation set forth in Section 6.2 of the Purchase Agreement shall apply to this Agreement, including its preamble and recitals.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xml:space="preserve">ARTICLE II. </w:t>
      </w:r>
      <w:r>
        <w:rPr>
          <w:rFonts w:ascii="Times New Roman" w:cs="Times New Roman" w:eastAsia="Times New Roman" w:hAnsi="Times New Roman"/>
          <w:sz w:val="21"/>
          <w:szCs w:val="21"/>
          <w:u w:val="single" w:color="auto"/>
          <w:color w:val="auto"/>
        </w:rPr>
        <w:t>GUARANTY</w:t>
      </w:r>
    </w:p>
    <w:p>
      <w:pPr>
        <w:spacing w:after="0" w:line="213" w:lineRule="exact"/>
        <w:rPr>
          <w:sz w:val="20"/>
          <w:szCs w:val="20"/>
          <w:color w:val="auto"/>
        </w:rPr>
      </w:pPr>
    </w:p>
    <w:p>
      <w:pPr>
        <w:jc w:val="both"/>
        <w:ind w:right="60" w:firstLine="641"/>
        <w:spacing w:after="0" w:line="277"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 The Guarantor hereby unconditionally, absolutely and irrevocably guarantees as primary obligor and not merely as surety, to Buyer the due, punctual and complete payment and performance by Seller of its obligations under the Purchase Agreement (collectively, the “</w:t>
      </w:r>
      <w:r>
        <w:rPr>
          <w:rFonts w:ascii="Times New Roman" w:cs="Times New Roman" w:eastAsia="Times New Roman" w:hAnsi="Times New Roman"/>
          <w:sz w:val="21"/>
          <w:szCs w:val="21"/>
          <w:b w:val="1"/>
          <w:bCs w:val="1"/>
          <w:i w:val="1"/>
          <w:iCs w:val="1"/>
          <w:color w:val="auto"/>
        </w:rPr>
        <w:t>Guaranteed Obligations</w:t>
      </w:r>
      <w:r>
        <w:rPr>
          <w:rFonts w:ascii="Times New Roman" w:cs="Times New Roman" w:eastAsia="Times New Roman" w:hAnsi="Times New Roman"/>
          <w:sz w:val="21"/>
          <w:szCs w:val="21"/>
          <w:color w:val="auto"/>
        </w:rPr>
        <w:t>”).</w:t>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222" w:lineRule="exact"/>
        <w:rPr>
          <w:sz w:val="20"/>
          <w:szCs w:val="20"/>
          <w:color w:val="auto"/>
        </w:rPr>
      </w:pPr>
    </w:p>
    <w:p>
      <w:pPr>
        <w:jc w:val="both"/>
        <w:ind w:hanging="8"/>
        <w:spacing w:after="0" w:line="277" w:lineRule="auto"/>
        <w:rPr>
          <w:sz w:val="20"/>
          <w:szCs w:val="20"/>
          <w:color w:val="auto"/>
        </w:rPr>
      </w:pPr>
      <w:r>
        <w:rPr>
          <w:rFonts w:ascii="Times New Roman" w:cs="Times New Roman" w:eastAsia="Times New Roman" w:hAnsi="Times New Roman"/>
          <w:sz w:val="21"/>
          <w:szCs w:val="21"/>
          <w:color w:val="auto"/>
        </w:rPr>
        <w:t>The Guaranteed Obligations described above shall be due and payable by the Guarantor on demand (and in any event, no later than five Business Days after receipt of such written demand) in immediately available funds upon delivery by Buyer to Guarantor of a notice of failure by Seller to pay such Guaranteed Obligations.</w:t>
      </w:r>
    </w:p>
    <w:p>
      <w:pPr>
        <w:spacing w:after="0" w:line="166"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u w:val="single" w:color="auto"/>
          <w:color w:val="auto"/>
        </w:rPr>
        <w:t>Obligations Absolute and Unconditional</w:t>
      </w:r>
      <w:r>
        <w:rPr>
          <w:rFonts w:ascii="Times New Roman" w:cs="Times New Roman" w:eastAsia="Times New Roman" w:hAnsi="Times New Roman"/>
          <w:sz w:val="21"/>
          <w:szCs w:val="21"/>
          <w:color w:val="auto"/>
        </w:rPr>
        <w:t>.</w:t>
      </w:r>
    </w:p>
    <w:p>
      <w:pPr>
        <w:spacing w:after="0" w:line="253" w:lineRule="exact"/>
        <w:rPr>
          <w:sz w:val="20"/>
          <w:szCs w:val="20"/>
          <w:color w:val="auto"/>
        </w:rPr>
      </w:pPr>
    </w:p>
    <w:p>
      <w:pPr>
        <w:jc w:val="both"/>
        <w:ind w:firstLine="4119"/>
        <w:spacing w:after="0" w:line="258" w:lineRule="auto"/>
        <w:tabs>
          <w:tab w:leader="none" w:pos="4759"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Guarantor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are primary obligations of the Guarantor and are an absolute, unconditional, continuing and irrevocable guarantee of the Guaranteed Obligations and not of collectability, and are in no way conditioned on or contingent upon any attempt to enforce in whole or in part Seller’s or any other Person’s liabilities and obligations to Buyer. The obligations of the Guarantor shall constitute a guaranty of payment and not of collection, binding upon the Guarantor and its successors and assigns and irrevocable without regard to: (i) the genuineness, validity, legality or enforceability of the Purchase Agreement, (ii) the lack of power or authority of Seller or Project Company to enter into the Purchase Agreement or to consummate the transactions contemplated thereby, (iii) any substitution, release or exchange of any other guaranty or any other security for any of the Guaranteed Obligations or any of the obligations under the Purchase Agreement, or (iv) any other circumstance whatsoever that might otherwise constitute a legal or equitable discharge of a surety or guarantor other than the defense that the Guaranteed Obligations have been paid or otherwise discharged in full. The Guarantor shall forthwith pay each Guaranteed Obligation in immediately available funds as and when it is due. Each failure by the Guarantor to pay a Guaranteed Obligation or any other obligation hereunder shall give rise to a separate cause of action herewith, and separate suits may be brought hereunder as each cause of action arises whether or not any action is brought or prosecuted against Seller or any other Person and whether or not Seller or any other Person is joined in any action under this Agreement. Nothing herein shall prevent or preclude Buyer from delivering a demand for payment of any Guaranteed Obligation pursuant hereto concurrently with delivery to Seller of a Notice of a claim for indemnification under the Purchase Agreement.</w:t>
      </w:r>
    </w:p>
    <w:p>
      <w:pPr>
        <w:spacing w:after="0" w:line="187" w:lineRule="exact"/>
        <w:rPr>
          <w:rFonts w:ascii="Times New Roman" w:cs="Times New Roman" w:eastAsia="Times New Roman" w:hAnsi="Times New Roman"/>
          <w:sz w:val="21"/>
          <w:szCs w:val="21"/>
          <w:color w:val="auto"/>
        </w:rPr>
      </w:pPr>
    </w:p>
    <w:p>
      <w:pPr>
        <w:jc w:val="both"/>
        <w:ind w:firstLine="4247"/>
        <w:spacing w:after="0" w:line="283" w:lineRule="auto"/>
        <w:tabs>
          <w:tab w:leader="none" w:pos="4886"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the Guarantor shall have no right to terminate this Agreement, or to be released, relieved or discharged from its obligations hereunder except as provided herein.</w:t>
      </w:r>
    </w:p>
    <w:p>
      <w:pPr>
        <w:spacing w:after="0" w:line="160" w:lineRule="exact"/>
        <w:rPr>
          <w:rFonts w:ascii="Times New Roman" w:cs="Times New Roman" w:eastAsia="Times New Roman" w:hAnsi="Times New Roman"/>
          <w:sz w:val="21"/>
          <w:szCs w:val="21"/>
          <w:color w:val="auto"/>
        </w:rPr>
      </w:pPr>
    </w:p>
    <w:p>
      <w:pPr>
        <w:jc w:val="both"/>
        <w:ind w:firstLine="4031"/>
        <w:spacing w:after="0" w:line="263" w:lineRule="auto"/>
        <w:tabs>
          <w:tab w:leader="none" w:pos="4671"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waives (i) notice of acceptance of this Agreement, (ii) notice of all defaults or disputes with Seller, (iii) demand or presentment for payment to Seller or the making of any protest, (iv) notice of the amount of the Guaranteed Obligations outstanding at any time, (v) notice of any amendment, modification or waiver of or under the Purchase Agreement, and (vi) all other notices or demands not explicitly required hereunder. Each of Buyer and Seller (and their successors and assigns) may, at any time and from time to time (whether or not after revocation or termination of this Agreement) without the consent of or notice to the Guarantor, but solely in accordance with the Purchase Agreement, except such notice as may be required by Applicable Law which cannot be waived, without impairing or releasing the obligations of the Guarantor hereunder, upon or without any terms or conditions and in whole or in part:</w:t>
      </w:r>
    </w:p>
    <w:p>
      <w:pPr>
        <w:sectPr>
          <w:pgSz w:w="11900" w:h="16838" w:orient="portrait"/>
          <w:cols w:equalWidth="0" w:num="1">
            <w:col w:w="11160"/>
          </w:cols>
          <w:pgMar w:left="320" w:top="1440" w:right="419" w:bottom="1440" w:gutter="0" w:footer="0" w:header="0"/>
        </w:sectPr>
      </w:pPr>
    </w:p>
    <w:bookmarkStart w:id="172" w:name="page173"/>
    <w:bookmarkEnd w:id="172"/>
    <w:p>
      <w:pPr>
        <w:spacing w:after="0" w:line="222" w:lineRule="exact"/>
        <w:rPr>
          <w:sz w:val="20"/>
          <w:szCs w:val="20"/>
          <w:color w:val="auto"/>
        </w:rPr>
      </w:pPr>
    </w:p>
    <w:p>
      <w:pPr>
        <w:ind w:left="1920" w:hanging="630"/>
        <w:spacing w:after="0"/>
        <w:tabs>
          <w:tab w:leader="none" w:pos="192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consent to any change in the manner or place and terms of payment</w:t>
      </w:r>
    </w:p>
    <w:p>
      <w:pPr>
        <w:spacing w:after="0" w:line="39" w:lineRule="exact"/>
        <w:rPr>
          <w:sz w:val="20"/>
          <w:szCs w:val="20"/>
          <w:color w:val="auto"/>
        </w:rPr>
      </w:pPr>
    </w:p>
    <w:p>
      <w:pPr>
        <w:jc w:val="both"/>
        <w:ind w:left="20" w:hanging="8"/>
        <w:spacing w:after="0" w:line="264" w:lineRule="auto"/>
        <w:rPr>
          <w:sz w:val="20"/>
          <w:szCs w:val="20"/>
          <w:color w:val="auto"/>
        </w:rPr>
      </w:pPr>
      <w:r>
        <w:rPr>
          <w:rFonts w:ascii="Times New Roman" w:cs="Times New Roman" w:eastAsia="Times New Roman" w:hAnsi="Times New Roman"/>
          <w:sz w:val="21"/>
          <w:szCs w:val="21"/>
          <w:color w:val="auto"/>
        </w:rPr>
        <w:t>of, or renew or alter, any Guaranteed Obligation, or any obligations and liabilities (including any of those hereunder) incurred directly or indirectly in respect thereof or hereof, and the agreements herein made shall apply to the Guaranteed Obligations or such other obligations as so changed, extended, renewed, modified, amended, supplemented or altered in any manner;</w:t>
      </w:r>
    </w:p>
    <w:p>
      <w:pPr>
        <w:spacing w:after="0" w:line="193" w:lineRule="exact"/>
        <w:rPr>
          <w:sz w:val="20"/>
          <w:szCs w:val="20"/>
          <w:color w:val="auto"/>
        </w:rPr>
      </w:pPr>
    </w:p>
    <w:p>
      <w:pPr>
        <w:ind w:left="1920" w:hanging="630"/>
        <w:spacing w:after="0"/>
        <w:tabs>
          <w:tab w:leader="none" w:pos="19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amend or modify the Purchase Agreement pursuant to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terms thereof;</w:t>
      </w:r>
    </w:p>
    <w:p>
      <w:pPr>
        <w:spacing w:after="0" w:line="228" w:lineRule="exact"/>
        <w:rPr>
          <w:sz w:val="20"/>
          <w:szCs w:val="20"/>
          <w:color w:val="auto"/>
        </w:rPr>
      </w:pPr>
    </w:p>
    <w:p>
      <w:pPr>
        <w:ind w:right="3260" w:firstLine="1290"/>
        <w:spacing w:after="0" w:line="302" w:lineRule="auto"/>
        <w:tabs>
          <w:tab w:leader="none" w:pos="191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or refrain from exercising any rights against others or otherwise act or refrain from acting;</w:t>
      </w:r>
    </w:p>
    <w:p>
      <w:pPr>
        <w:spacing w:after="0" w:line="140" w:lineRule="exact"/>
        <w:rPr>
          <w:rFonts w:ascii="Times New Roman" w:cs="Times New Roman" w:eastAsia="Times New Roman" w:hAnsi="Times New Roman"/>
          <w:sz w:val="21"/>
          <w:szCs w:val="21"/>
          <w:color w:val="auto"/>
        </w:rPr>
      </w:pPr>
    </w:p>
    <w:p>
      <w:pPr>
        <w:ind w:left="1920" w:hanging="630"/>
        <w:spacing w:after="0"/>
        <w:tabs>
          <w:tab w:leader="none" w:pos="19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 any guarantor or release any other guarantor from its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obligations, in each case, without affecting or impairing the obligations of the Guarantor hereunder;</w:t>
      </w:r>
    </w:p>
    <w:p>
      <w:pPr>
        <w:spacing w:after="0" w:line="242" w:lineRule="exact"/>
        <w:rPr>
          <w:sz w:val="20"/>
          <w:szCs w:val="20"/>
          <w:color w:val="auto"/>
        </w:rPr>
      </w:pPr>
    </w:p>
    <w:p>
      <w:pPr>
        <w:ind w:left="1920" w:hanging="630"/>
        <w:spacing w:after="0"/>
        <w:tabs>
          <w:tab w:leader="none" w:pos="19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settle or compromise any Guaranteed Obligations or any obligations</w:t>
      </w:r>
    </w:p>
    <w:p>
      <w:pPr>
        <w:spacing w:after="0" w:line="36" w:lineRule="exact"/>
        <w:rPr>
          <w:sz w:val="20"/>
          <w:szCs w:val="20"/>
          <w:color w:val="auto"/>
        </w:rPr>
      </w:pPr>
    </w:p>
    <w:p>
      <w:pPr>
        <w:jc w:val="both"/>
        <w:ind w:left="20" w:hanging="8"/>
        <w:spacing w:after="0" w:line="265" w:lineRule="auto"/>
        <w:rPr>
          <w:sz w:val="20"/>
          <w:szCs w:val="20"/>
          <w:color w:val="auto"/>
        </w:rPr>
      </w:pPr>
      <w:r>
        <w:rPr>
          <w:rFonts w:ascii="Times New Roman" w:cs="Times New Roman" w:eastAsia="Times New Roman" w:hAnsi="Times New Roman"/>
          <w:sz w:val="21"/>
          <w:szCs w:val="21"/>
          <w:color w:val="auto"/>
        </w:rPr>
        <w:t>and liabilities (including any of those hereunder) incurred directly or indirectly in respect thereof or hereof, and may subordinate the payment of all or any part thereof to the payment of any obligations and liabilities which may be due to Buyer;</w:t>
      </w:r>
    </w:p>
    <w:p>
      <w:pPr>
        <w:spacing w:after="0" w:line="178" w:lineRule="exact"/>
        <w:rPr>
          <w:sz w:val="20"/>
          <w:szCs w:val="20"/>
          <w:color w:val="auto"/>
        </w:rPr>
      </w:pPr>
    </w:p>
    <w:p>
      <w:pPr>
        <w:ind w:left="1920" w:hanging="630"/>
        <w:spacing w:after="0"/>
        <w:tabs>
          <w:tab w:leader="none" w:pos="192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apply any sums by whomsoever paid or howsoever realized to any</w:t>
      </w:r>
    </w:p>
    <w:p>
      <w:pPr>
        <w:spacing w:after="0" w:line="37" w:lineRule="exact"/>
        <w:rPr>
          <w:sz w:val="20"/>
          <w:szCs w:val="20"/>
          <w:color w:val="auto"/>
        </w:rPr>
      </w:pPr>
    </w:p>
    <w:p>
      <w:pPr>
        <w:ind w:left="20" w:hanging="8"/>
        <w:spacing w:after="0" w:line="277" w:lineRule="auto"/>
        <w:rPr>
          <w:sz w:val="20"/>
          <w:szCs w:val="20"/>
          <w:color w:val="auto"/>
        </w:rPr>
      </w:pPr>
      <w:r>
        <w:rPr>
          <w:rFonts w:ascii="Times New Roman" w:cs="Times New Roman" w:eastAsia="Times New Roman" w:hAnsi="Times New Roman"/>
          <w:sz w:val="21"/>
          <w:szCs w:val="21"/>
          <w:color w:val="auto"/>
        </w:rPr>
        <w:t>obligations and liabilities of Seller to Buyer under the Purchase Agreement in the manner provided therein regardless of what obligations and liabilities remain unpaid; and</w:t>
      </w:r>
    </w:p>
    <w:p>
      <w:pPr>
        <w:spacing w:after="0" w:line="179" w:lineRule="exact"/>
        <w:rPr>
          <w:sz w:val="20"/>
          <w:szCs w:val="20"/>
          <w:color w:val="auto"/>
        </w:rPr>
      </w:pPr>
    </w:p>
    <w:p>
      <w:pPr>
        <w:ind w:left="1920" w:hanging="630"/>
        <w:spacing w:after="0"/>
        <w:tabs>
          <w:tab w:leader="none" w:pos="192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or fail to act in any manner referred to in this Agreement which</w:t>
      </w:r>
    </w:p>
    <w:p>
      <w:pPr>
        <w:spacing w:after="0" w:line="37" w:lineRule="exact"/>
        <w:rPr>
          <w:sz w:val="20"/>
          <w:szCs w:val="20"/>
          <w:color w:val="auto"/>
        </w:rPr>
      </w:pPr>
    </w:p>
    <w:p>
      <w:pPr>
        <w:ind w:left="20" w:hanging="8"/>
        <w:spacing w:after="0" w:line="277" w:lineRule="auto"/>
        <w:rPr>
          <w:sz w:val="20"/>
          <w:szCs w:val="20"/>
          <w:color w:val="auto"/>
        </w:rPr>
      </w:pPr>
      <w:r>
        <w:rPr>
          <w:rFonts w:ascii="Times New Roman" w:cs="Times New Roman" w:eastAsia="Times New Roman" w:hAnsi="Times New Roman"/>
          <w:sz w:val="21"/>
          <w:szCs w:val="21"/>
          <w:color w:val="auto"/>
        </w:rPr>
        <w:t>may deprive the Guarantor of its right to subrogation against Seller to recover full indemnity for any payments made pursuant to this Agreement or of its right of contribution against any other party.</w:t>
      </w:r>
    </w:p>
    <w:p>
      <w:pPr>
        <w:spacing w:after="0" w:line="166" w:lineRule="exact"/>
        <w:rPr>
          <w:sz w:val="20"/>
          <w:szCs w:val="20"/>
          <w:color w:val="auto"/>
        </w:rPr>
      </w:pPr>
    </w:p>
    <w:p>
      <w:pPr>
        <w:jc w:val="both"/>
        <w:ind w:left="-640" w:firstLine="3977"/>
        <w:spacing w:after="0" w:line="263" w:lineRule="auto"/>
        <w:tabs>
          <w:tab w:leader="none" w:pos="397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is a continuing agreement and all obligations to which it applies or may apply under the terms hereof shall be conclusively presumed to have been created in reliance hereon. The amount of the Guarantor’s liability and all rights, powers and remedies of Buyer hereunder shall be cumulative and not alternative and such rights, powers and remedies shall be in addition to all rights, powers and remedies given to Buyer under the Purchase Agreement. The liability of the Guarantor under this Guaranty is independent of the obligations of any other Person, which may be initially or otherwise responsible for performance or payment of the obligations hereunder, and, in the event of any default hereunder, a separate action or actions may be brought and prosecuted against the Guarantor, whether or not any other Person is joined therein or a separate action or actions are brought against the Guarantor or any other Person.</w:t>
      </w:r>
    </w:p>
    <w:p>
      <w:pPr>
        <w:sectPr>
          <w:pgSz w:w="11900" w:h="16838" w:orient="portrait"/>
          <w:cols w:equalWidth="0" w:num="1">
            <w:col w:w="10520"/>
          </w:cols>
          <w:pgMar w:left="960" w:top="1440" w:right="419" w:bottom="1440" w:gutter="0" w:footer="0" w:header="0"/>
        </w:sectPr>
      </w:pPr>
    </w:p>
    <w:bookmarkStart w:id="173" w:name="page174"/>
    <w:bookmarkEnd w:id="173"/>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 xml:space="preserve">ARTICLE III. </w:t>
      </w:r>
      <w:r>
        <w:rPr>
          <w:rFonts w:ascii="Times New Roman" w:cs="Times New Roman" w:eastAsia="Times New Roman" w:hAnsi="Times New Roman"/>
          <w:sz w:val="21"/>
          <w:szCs w:val="21"/>
          <w:u w:val="single" w:color="auto"/>
          <w:color w:val="auto"/>
        </w:rPr>
        <w:t>REPRESENTATIONS AND WARRANTIES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Guarantor’s Representations and Warranties</w:t>
      </w:r>
      <w:r>
        <w:rPr>
          <w:rFonts w:ascii="Times New Roman" w:cs="Times New Roman" w:eastAsia="Times New Roman" w:hAnsi="Times New Roman"/>
          <w:sz w:val="21"/>
          <w:szCs w:val="21"/>
          <w:color w:val="auto"/>
        </w:rPr>
        <w:t>. The Guarantor represents and warrants to and in favor of Buyer, as of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 that:</w:t>
      </w:r>
    </w:p>
    <w:p>
      <w:pPr>
        <w:spacing w:after="0" w:line="202" w:lineRule="exact"/>
        <w:rPr>
          <w:sz w:val="20"/>
          <w:szCs w:val="20"/>
          <w:color w:val="auto"/>
        </w:rPr>
      </w:pPr>
    </w:p>
    <w:p>
      <w:pPr>
        <w:jc w:val="both"/>
        <w:ind w:firstLine="4265"/>
        <w:spacing w:after="0" w:line="277"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 The Guarantor is (a) a corporation duly incorporated, validly existing and in good standing under the laws of the jurisdiction of its incorporation and (b) duly qualified, authorized to do business and in good standing in each jurisdiction in which such qualification is necessary to execute, deliver and perform this Agreement.</w:t>
      </w:r>
    </w:p>
    <w:p>
      <w:pPr>
        <w:spacing w:after="0" w:line="200" w:lineRule="exact"/>
        <w:rPr>
          <w:sz w:val="20"/>
          <w:szCs w:val="20"/>
          <w:color w:val="auto"/>
        </w:rPr>
      </w:pPr>
    </w:p>
    <w:p>
      <w:pPr>
        <w:spacing w:after="0" w:line="220" w:lineRule="exact"/>
        <w:rPr>
          <w:sz w:val="20"/>
          <w:szCs w:val="20"/>
          <w:color w:val="auto"/>
        </w:rPr>
      </w:pPr>
    </w:p>
    <w:p>
      <w:pPr>
        <w:jc w:val="both"/>
        <w:ind w:firstLine="4308"/>
        <w:spacing w:after="0" w:line="259" w:lineRule="auto"/>
        <w:rPr>
          <w:sz w:val="20"/>
          <w:szCs w:val="20"/>
          <w:color w:val="auto"/>
        </w:rPr>
      </w:pPr>
      <w:r>
        <w:rPr>
          <w:rFonts w:ascii="Times New Roman" w:cs="Times New Roman" w:eastAsia="Times New Roman" w:hAnsi="Times New Roman"/>
          <w:sz w:val="21"/>
          <w:szCs w:val="21"/>
          <w:color w:val="auto"/>
        </w:rPr>
        <w:t xml:space="preserve">3.1.2 </w:t>
      </w:r>
      <w:r>
        <w:rPr>
          <w:rFonts w:ascii="Times New Roman" w:cs="Times New Roman" w:eastAsia="Times New Roman" w:hAnsi="Times New Roman"/>
          <w:sz w:val="21"/>
          <w:szCs w:val="21"/>
          <w:u w:val="single" w:color="auto"/>
          <w:color w:val="auto"/>
        </w:rPr>
        <w:t>Power and Authorization; Enforceable Obligations</w:t>
      </w:r>
      <w:r>
        <w:rPr>
          <w:rFonts w:ascii="Times New Roman" w:cs="Times New Roman" w:eastAsia="Times New Roman" w:hAnsi="Times New Roman"/>
          <w:sz w:val="21"/>
          <w:szCs w:val="21"/>
          <w:color w:val="auto"/>
        </w:rPr>
        <w:t>. The Guarantor has the full corporate power and authority to execute, deliver and perform this Agreement and to take all action as may be necessary to complete the transactions contemplated hereunder. The Guarantor has taken all necessary corporate action to authorize the execution, delivery and performance of this Agreement and to complete the transactions contemplated hereby. No consent or authorization of, filing with, or other act by or in respect of any other Person or Governmental Authority is required in connection with the execution, delivery or performance by the Guarantor, or the validity or enforceability as to the Guarantor, of this Agreement. This Agreement has been duly executed and delivered by the Guarantor and constitutes a legal, valid and binding obligation of the Guarantor enforceable against it in accordance with its terms, except as enforceability may be limited by applicable bankruptcy, insolvency, reorganization, moratorium or similar laws affecting the rights of creditors generally and by general principles of equity.</w:t>
      </w:r>
    </w:p>
    <w:p>
      <w:pPr>
        <w:spacing w:after="0" w:line="173" w:lineRule="exact"/>
        <w:rPr>
          <w:sz w:val="20"/>
          <w:szCs w:val="20"/>
          <w:color w:val="auto"/>
        </w:rPr>
      </w:pPr>
    </w:p>
    <w:p>
      <w:pPr>
        <w:jc w:val="both"/>
        <w:ind w:firstLine="4386"/>
        <w:spacing w:after="0" w:line="264" w:lineRule="auto"/>
        <w:rPr>
          <w:sz w:val="20"/>
          <w:szCs w:val="20"/>
          <w:color w:val="auto"/>
        </w:rPr>
      </w:pPr>
      <w:r>
        <w:rPr>
          <w:rFonts w:ascii="Times New Roman" w:cs="Times New Roman" w:eastAsia="Times New Roman" w:hAnsi="Times New Roman"/>
          <w:sz w:val="21"/>
          <w:szCs w:val="21"/>
          <w:color w:val="auto"/>
        </w:rPr>
        <w:t xml:space="preserve">3.1.3 </w:t>
      </w:r>
      <w:r>
        <w:rPr>
          <w:rFonts w:ascii="Times New Roman" w:cs="Times New Roman" w:eastAsia="Times New Roman" w:hAnsi="Times New Roman"/>
          <w:sz w:val="21"/>
          <w:szCs w:val="21"/>
          <w:u w:val="single" w:color="auto"/>
          <w:color w:val="auto"/>
        </w:rPr>
        <w:t>No Legal Bar</w:t>
      </w:r>
      <w:r>
        <w:rPr>
          <w:rFonts w:ascii="Times New Roman" w:cs="Times New Roman" w:eastAsia="Times New Roman" w:hAnsi="Times New Roman"/>
          <w:sz w:val="21"/>
          <w:szCs w:val="21"/>
          <w:color w:val="auto"/>
        </w:rPr>
        <w:t>. The execution, delivery and performance by the Guarantor of this Agreement and the consummation of the transactions contemplated hereby will not violate any Applicable Law, the organizational documents of the Guarantor, or any material contractual obligation of the Guarantor and will not result in, or require, the creation or imposition of any Lien on any of the properties or revenues of the Guarantor pursuant to any Applicable Law or any such contractual obligation except, in each case, where such violation, creation or imposition could not reasonably be expected to have a material adverse effect on the Guarantor’s ability to perform its obligations under this Agreement.</w:t>
      </w:r>
    </w:p>
    <w:p>
      <w:pPr>
        <w:spacing w:after="0" w:line="170" w:lineRule="exact"/>
        <w:rPr>
          <w:sz w:val="20"/>
          <w:szCs w:val="20"/>
          <w:color w:val="auto"/>
        </w:rPr>
      </w:pPr>
    </w:p>
    <w:p>
      <w:pPr>
        <w:jc w:val="both"/>
        <w:ind w:firstLine="1282"/>
        <w:spacing w:after="0" w:line="270" w:lineRule="auto"/>
        <w:rPr>
          <w:sz w:val="20"/>
          <w:szCs w:val="20"/>
          <w:color w:val="auto"/>
        </w:rPr>
      </w:pPr>
      <w:r>
        <w:rPr>
          <w:rFonts w:ascii="Times New Roman" w:cs="Times New Roman" w:eastAsia="Times New Roman" w:hAnsi="Times New Roman"/>
          <w:sz w:val="21"/>
          <w:szCs w:val="21"/>
          <w:color w:val="auto"/>
        </w:rPr>
        <w:t xml:space="preserve">3.1.4 </w:t>
      </w: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Guarantor is in compliance with all Applicable Laws, except any such non-compliance that could not reasonably be expected to have a material adverse effect on the Guarantor’s ability to perform its obligations under this Agreement.</w:t>
      </w:r>
    </w:p>
    <w:p>
      <w:pPr>
        <w:spacing w:after="0" w:line="160" w:lineRule="exact"/>
        <w:rPr>
          <w:sz w:val="20"/>
          <w:szCs w:val="20"/>
          <w:color w:val="auto"/>
        </w:rPr>
      </w:pPr>
    </w:p>
    <w:p>
      <w:pPr>
        <w:jc w:val="both"/>
        <w:ind w:firstLine="4309"/>
        <w:spacing w:after="0" w:line="265" w:lineRule="auto"/>
        <w:rPr>
          <w:sz w:val="20"/>
          <w:szCs w:val="20"/>
          <w:color w:val="auto"/>
        </w:rPr>
      </w:pPr>
      <w:r>
        <w:rPr>
          <w:rFonts w:ascii="Times New Roman" w:cs="Times New Roman" w:eastAsia="Times New Roman" w:hAnsi="Times New Roman"/>
          <w:sz w:val="21"/>
          <w:szCs w:val="21"/>
          <w:color w:val="auto"/>
        </w:rPr>
        <w:t xml:space="preserve">3.1.5 </w:t>
      </w:r>
      <w:r>
        <w:rPr>
          <w:rFonts w:ascii="Times New Roman" w:cs="Times New Roman" w:eastAsia="Times New Roman" w:hAnsi="Times New Roman"/>
          <w:sz w:val="21"/>
          <w:szCs w:val="21"/>
          <w:u w:val="single" w:color="auto"/>
          <w:color w:val="auto"/>
        </w:rPr>
        <w:t>No Litigation; Bankruptcy</w:t>
      </w:r>
      <w:r>
        <w:rPr>
          <w:rFonts w:ascii="Times New Roman" w:cs="Times New Roman" w:eastAsia="Times New Roman" w:hAnsi="Times New Roman"/>
          <w:sz w:val="21"/>
          <w:szCs w:val="21"/>
          <w:color w:val="auto"/>
        </w:rPr>
        <w:t>. (a) There are no pending or, to the Guarantor’s knowledge, threatened actions, suits, proceedings or investigations of any kind, including actions or proceedings of or before any Governmental Authority, to which the Guarantor is a party or is subject, or by which it or its properties are bound that, if adversely determined to or against the Guarantor could reasonably be expected to have a material adverse effect on the Guarantor’s ability to perform its obligations under this Agreement. (b) No voluntary actions or, to the Knowledge of the Guarantor, involuntary actions are pending or threatened against the Guarantor under the insolvency or bankruptcy laws of the U.S. or any other jurisdiction.</w:t>
      </w:r>
    </w:p>
    <w:p>
      <w:pPr>
        <w:sectPr>
          <w:pgSz w:w="11900" w:h="16838" w:orient="portrait"/>
          <w:cols w:equalWidth="0" w:num="1">
            <w:col w:w="11160"/>
          </w:cols>
          <w:pgMar w:left="320" w:top="1440" w:right="419" w:bottom="1440" w:gutter="0" w:footer="0" w:header="0"/>
        </w:sectPr>
      </w:pPr>
    </w:p>
    <w:bookmarkStart w:id="174" w:name="page175"/>
    <w:bookmarkEnd w:id="174"/>
    <w:p>
      <w:pPr>
        <w:spacing w:after="0" w:line="222" w:lineRule="exact"/>
        <w:rPr>
          <w:sz w:val="20"/>
          <w:szCs w:val="20"/>
          <w:color w:val="auto"/>
        </w:rPr>
      </w:pPr>
    </w:p>
    <w:p>
      <w:pPr>
        <w:jc w:val="both"/>
        <w:ind w:firstLine="4234"/>
        <w:spacing w:after="0" w:line="260" w:lineRule="auto"/>
        <w:rPr>
          <w:sz w:val="20"/>
          <w:szCs w:val="20"/>
          <w:color w:val="auto"/>
        </w:rPr>
      </w:pPr>
      <w:r>
        <w:rPr>
          <w:rFonts w:ascii="Times New Roman" w:cs="Times New Roman" w:eastAsia="Times New Roman" w:hAnsi="Times New Roman"/>
          <w:sz w:val="21"/>
          <w:szCs w:val="21"/>
          <w:color w:val="auto"/>
        </w:rPr>
        <w:t xml:space="preserve">3.1.6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Guarantor has timely filed all federal, state and local tax returns that it is required to file (except where a failure to file such local tax return could not reasonably be expected to have a material adverse effect on the Guarantor’s ability to perform its obligations under this Agreement), has paid all taxes it is required to pay to the extent due (other than those taxes that it is contesting in good faith and by appropriate proceedings, with adequate reserves established in accordance with GAAP for such taxes) and, to the extent such taxes are not due, has established reserves that are adequate for the payment thereof to the extent required by GAAP. The Guarantor does not know of any proposed tax assessment against it which could reasonably be expected to have a material adverse effect on the Guarantor’s ability to perform its obligations under this Agreement (other than as is being actively contested by the Guarantor in good faith and by appropriate proceedings and for which reserves or other appropriate provisions, if any, as shall be required in conformity with GAAP have been made or provided therefor).</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3.1.7 </w:t>
      </w:r>
      <w:r>
        <w:rPr>
          <w:rFonts w:ascii="Times New Roman" w:cs="Times New Roman" w:eastAsia="Times New Roman" w:hAnsi="Times New Roman"/>
          <w:sz w:val="21"/>
          <w:szCs w:val="21"/>
          <w:u w:val="single" w:color="auto"/>
          <w:color w:val="auto"/>
        </w:rPr>
        <w:t>Financial and Other Information</w:t>
      </w:r>
      <w:r>
        <w:rPr>
          <w:rFonts w:ascii="Times New Roman" w:cs="Times New Roman" w:eastAsia="Times New Roman" w:hAnsi="Times New Roman"/>
          <w:sz w:val="21"/>
          <w:szCs w:val="21"/>
          <w:color w:val="auto"/>
        </w:rPr>
        <w:t>. The Guarantor has established adequate</w:t>
      </w:r>
    </w:p>
    <w:p>
      <w:pPr>
        <w:spacing w:after="0" w:line="37" w:lineRule="exact"/>
        <w:rPr>
          <w:sz w:val="20"/>
          <w:szCs w:val="20"/>
          <w:color w:val="auto"/>
        </w:rPr>
      </w:pPr>
    </w:p>
    <w:p>
      <w:pPr>
        <w:jc w:val="both"/>
        <w:ind w:hanging="8"/>
        <w:spacing w:after="0" w:line="265" w:lineRule="auto"/>
        <w:rPr>
          <w:sz w:val="20"/>
          <w:szCs w:val="20"/>
          <w:color w:val="auto"/>
        </w:rPr>
      </w:pPr>
      <w:r>
        <w:rPr>
          <w:rFonts w:ascii="Times New Roman" w:cs="Times New Roman" w:eastAsia="Times New Roman" w:hAnsi="Times New Roman"/>
          <w:sz w:val="21"/>
          <w:szCs w:val="21"/>
          <w:color w:val="auto"/>
        </w:rPr>
        <w:t>means of obtaining financial and other information pertaining to the businesses, operations and condition (financial and otherwise) of Seller, Project Company and their properties on a continuing basis, and the Guarantor now is and hereafter will have responsibility for maintaining familiarity with the businesses, operations and condition (financial and otherwise) of Seller, Project Company and their properties.</w:t>
      </w:r>
    </w:p>
    <w:p>
      <w:pPr>
        <w:spacing w:after="0" w:line="151" w:lineRule="exact"/>
        <w:rPr>
          <w:sz w:val="20"/>
          <w:szCs w:val="20"/>
          <w:color w:val="auto"/>
        </w:rPr>
      </w:pPr>
    </w:p>
    <w:p>
      <w:pPr>
        <w:ind w:right="3040" w:firstLine="1291"/>
        <w:spacing w:after="0" w:line="302" w:lineRule="auto"/>
        <w:rPr>
          <w:sz w:val="20"/>
          <w:szCs w:val="20"/>
          <w:color w:val="auto"/>
        </w:rPr>
      </w:pPr>
      <w:r>
        <w:rPr>
          <w:rFonts w:ascii="Times New Roman" w:cs="Times New Roman" w:eastAsia="Times New Roman" w:hAnsi="Times New Roman"/>
          <w:sz w:val="21"/>
          <w:szCs w:val="21"/>
          <w:color w:val="auto"/>
        </w:rPr>
        <w:t xml:space="preserve">3.1.8 </w:t>
      </w:r>
      <w:r>
        <w:rPr>
          <w:rFonts w:ascii="Times New Roman" w:cs="Times New Roman" w:eastAsia="Times New Roman" w:hAnsi="Times New Roman"/>
          <w:sz w:val="21"/>
          <w:szCs w:val="21"/>
          <w:u w:val="single" w:color="auto"/>
          <w:color w:val="auto"/>
        </w:rPr>
        <w:t>Purchase Agreement</w:t>
      </w:r>
      <w:r>
        <w:rPr>
          <w:rFonts w:ascii="Times New Roman" w:cs="Times New Roman" w:eastAsia="Times New Roman" w:hAnsi="Times New Roman"/>
          <w:sz w:val="21"/>
          <w:szCs w:val="21"/>
          <w:color w:val="auto"/>
        </w:rPr>
        <w:t>. The Guarantor has reviewed and is familiar with the terms of the Purchase Agreement.</w:t>
      </w:r>
    </w:p>
    <w:p>
      <w:pPr>
        <w:spacing w:after="0" w:line="127" w:lineRule="exact"/>
        <w:rPr>
          <w:sz w:val="20"/>
          <w:szCs w:val="20"/>
          <w:color w:val="auto"/>
        </w:rPr>
      </w:pPr>
    </w:p>
    <w:p>
      <w:pPr>
        <w:jc w:val="both"/>
        <w:ind w:firstLine="1282"/>
        <w:spacing w:after="0" w:line="258" w:lineRule="auto"/>
        <w:rPr>
          <w:sz w:val="20"/>
          <w:szCs w:val="20"/>
          <w:color w:val="auto"/>
        </w:rPr>
      </w:pPr>
      <w:r>
        <w:rPr>
          <w:rFonts w:ascii="Times New Roman" w:cs="Times New Roman" w:eastAsia="Times New Roman" w:hAnsi="Times New Roman"/>
          <w:sz w:val="21"/>
          <w:szCs w:val="21"/>
          <w:color w:val="auto"/>
        </w:rPr>
        <w:t xml:space="preserve">3.1.9 </w:t>
      </w:r>
      <w:r>
        <w:rPr>
          <w:rFonts w:ascii="Times New Roman" w:cs="Times New Roman" w:eastAsia="Times New Roman" w:hAnsi="Times New Roman"/>
          <w:sz w:val="21"/>
          <w:szCs w:val="21"/>
          <w:u w:val="single" w:color="auto"/>
          <w:color w:val="auto"/>
        </w:rPr>
        <w:t>Governmental Authority; Sanctions; Foreign Assets Control Regulations</w:t>
      </w:r>
      <w:r>
        <w:rPr>
          <w:rFonts w:ascii="Times New Roman" w:cs="Times New Roman" w:eastAsia="Times New Roman" w:hAnsi="Times New Roman"/>
          <w:sz w:val="21"/>
          <w:szCs w:val="21"/>
          <w:color w:val="auto"/>
        </w:rPr>
        <w:t>. No Governmental Approvals are required for the due execution, delivery and performance by the Guarantor of this Agreement. The Guarantor (a) is not a Sanctioned Person or otherwise a Person described or designated in the Specially Designated Nationals and Blocked Persons List of the Office of Foreign Assets Control or otherwise a Sanctioned Person, (b) does not have any of its assets in a Sanctioned Country or in the possession, custody or control of a Sanctioned Person, (c) has not violated, and is not in violation of, Sanctions, and (d) does not do business in or with, or derives any of its operating income from investments in or transactions with, any Sanctioned Country or Sanctioned Person. The Guarantor is in compliance with, and it does not engage in any dealings or transactions prohibited by, any Sanctions laws of the U.S. The Guarantor has taken reasonable measures appropriate to the circumstances (and in any event as required by applicable law) with respect to each holder of an interest in such Person, to assure that funds invested by such holder in such Person are derived from legal sources in accordance with Anti-Money Laundering Laws.</w:t>
      </w:r>
    </w:p>
    <w:p>
      <w:pPr>
        <w:spacing w:after="0" w:line="200" w:lineRule="exact"/>
        <w:rPr>
          <w:sz w:val="20"/>
          <w:szCs w:val="20"/>
          <w:color w:val="auto"/>
        </w:rPr>
      </w:pPr>
    </w:p>
    <w:p>
      <w:pPr>
        <w:spacing w:after="0" w:line="2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3.1.10 </w:t>
      </w:r>
      <w:r>
        <w:rPr>
          <w:rFonts w:ascii="Times New Roman" w:cs="Times New Roman" w:eastAsia="Times New Roman" w:hAnsi="Times New Roman"/>
          <w:sz w:val="21"/>
          <w:szCs w:val="21"/>
          <w:u w:val="single" w:color="auto"/>
          <w:color w:val="auto"/>
        </w:rPr>
        <w:t>Solvency Matters</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ind w:left="1920" w:hanging="631"/>
        <w:spacing w:after="0"/>
        <w:tabs>
          <w:tab w:leader="none" w:pos="192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the transactions contemplated by this Agreement and</w:t>
      </w:r>
    </w:p>
    <w:p>
      <w:pPr>
        <w:spacing w:after="0" w:line="36" w:lineRule="exact"/>
        <w:rPr>
          <w:sz w:val="20"/>
          <w:szCs w:val="20"/>
          <w:color w:val="auto"/>
        </w:rPr>
      </w:pPr>
    </w:p>
    <w:p>
      <w:pPr>
        <w:ind w:right="80" w:hanging="8"/>
        <w:spacing w:after="0" w:line="265" w:lineRule="auto"/>
        <w:rPr>
          <w:sz w:val="20"/>
          <w:szCs w:val="20"/>
          <w:color w:val="auto"/>
        </w:rPr>
      </w:pPr>
      <w:r>
        <w:rPr>
          <w:rFonts w:ascii="Times New Roman" w:cs="Times New Roman" w:eastAsia="Times New Roman" w:hAnsi="Times New Roman"/>
          <w:sz w:val="21"/>
          <w:szCs w:val="21"/>
          <w:color w:val="auto"/>
        </w:rPr>
        <w:t>the Purchase Agreement, including the contingent obligations evidenced hereby, the Guarantor is not, on either an unconsolidated basis or a consolidated basis, insolvent as such term is defined in</w:t>
      </w:r>
    </w:p>
    <w:p>
      <w:pPr>
        <w:sectPr>
          <w:pgSz w:w="11900" w:h="16838" w:orient="portrait"/>
          <w:cols w:equalWidth="0" w:num="1">
            <w:col w:w="11160"/>
          </w:cols>
          <w:pgMar w:left="320" w:top="1440" w:right="419" w:bottom="1440" w:gutter="0" w:footer="0" w:header="0"/>
        </w:sectPr>
      </w:pPr>
    </w:p>
    <w:bookmarkStart w:id="175" w:name="page176"/>
    <w:bookmarkEnd w:id="175"/>
    <w:p>
      <w:pPr>
        <w:spacing w:after="0" w:line="209"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1"/>
          <w:szCs w:val="21"/>
          <w:color w:val="auto"/>
        </w:rPr>
        <w:t>the Bankruptcy Code, and the Guarantor has and will have assets which, fairly valued, exceed its indebtedness, liabilities or obligations.</w:t>
      </w:r>
    </w:p>
    <w:p>
      <w:pPr>
        <w:spacing w:after="0" w:line="169" w:lineRule="exact"/>
        <w:rPr>
          <w:sz w:val="20"/>
          <w:szCs w:val="20"/>
          <w:color w:val="auto"/>
        </w:rPr>
      </w:pPr>
    </w:p>
    <w:p>
      <w:pPr>
        <w:ind w:right="3020" w:firstLine="1289"/>
        <w:spacing w:after="0" w:line="302" w:lineRule="auto"/>
        <w:tabs>
          <w:tab w:leader="none" w:pos="192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is not executing this Agreement with any intent to hinder, delay or defraud any of its present or future creditor or creditors.</w:t>
      </w:r>
    </w:p>
    <w:p>
      <w:pPr>
        <w:spacing w:after="0" w:line="140"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is not engaged in any business or transaction which, after</w:t>
      </w:r>
    </w:p>
    <w:p>
      <w:pPr>
        <w:spacing w:after="0" w:line="37" w:lineRule="exact"/>
        <w:rPr>
          <w:sz w:val="20"/>
          <w:szCs w:val="20"/>
          <w:color w:val="auto"/>
        </w:rPr>
      </w:pPr>
    </w:p>
    <w:p>
      <w:pPr>
        <w:jc w:val="both"/>
        <w:ind w:hanging="8"/>
        <w:spacing w:after="0" w:line="271" w:lineRule="auto"/>
        <w:rPr>
          <w:sz w:val="20"/>
          <w:szCs w:val="20"/>
          <w:color w:val="auto"/>
        </w:rPr>
      </w:pPr>
      <w:r>
        <w:rPr>
          <w:rFonts w:ascii="Times New Roman" w:cs="Times New Roman" w:eastAsia="Times New Roman" w:hAnsi="Times New Roman"/>
          <w:sz w:val="21"/>
          <w:szCs w:val="21"/>
          <w:color w:val="auto"/>
        </w:rPr>
        <w:t>giving effect to the transaction contemplated by this Agreement, will leave it with capital or assets which are unreasonably small in relation to the business or transactions engaged in by it, and the Guarantor does not intend to engage in any such business or transaction.</w:t>
      </w:r>
    </w:p>
    <w:p>
      <w:pPr>
        <w:spacing w:after="0" w:line="173" w:lineRule="exact"/>
        <w:rPr>
          <w:sz w:val="20"/>
          <w:szCs w:val="20"/>
          <w:color w:val="auto"/>
        </w:rPr>
      </w:pPr>
    </w:p>
    <w:p>
      <w:pPr>
        <w:ind w:right="2800" w:firstLine="1289"/>
        <w:spacing w:after="0" w:line="302" w:lineRule="auto"/>
        <w:tabs>
          <w:tab w:leader="none" w:pos="1928"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does not intend to incur, nor does the Guarantor believe that it will incur, debts beyond the Guarantor’s ability to repay such debts as they mature.</w:t>
      </w:r>
    </w:p>
    <w:p>
      <w:pPr>
        <w:spacing w:after="0" w:line="1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 xml:space="preserve">ARTICLE IV. </w:t>
      </w:r>
      <w:r>
        <w:rPr>
          <w:rFonts w:ascii="Times New Roman" w:cs="Times New Roman" w:eastAsia="Times New Roman" w:hAnsi="Times New Roman"/>
          <w:sz w:val="21"/>
          <w:szCs w:val="21"/>
          <w:u w:val="single" w:color="auto"/>
          <w:color w:val="auto"/>
        </w:rPr>
        <w:t>COVENANTS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Each Guarantor hereby covenants and agrees for the benefit of Buyer as follows, as long as this Agreement remains 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w:t>
      </w:r>
    </w:p>
    <w:p>
      <w:pPr>
        <w:spacing w:after="0" w:line="201"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Maintenance of Corporate Existence</w:t>
      </w:r>
      <w:r>
        <w:rPr>
          <w:rFonts w:ascii="Times New Roman" w:cs="Times New Roman" w:eastAsia="Times New Roman" w:hAnsi="Times New Roman"/>
          <w:sz w:val="21"/>
          <w:szCs w:val="21"/>
          <w:color w:val="auto"/>
        </w:rPr>
        <w:t>. The Guarantor shall maintain and preserve its existence in good standing in the jurisdiction of its formation and its qualification to do business in each other jurisdiction where such qualification is necessary to perform its obligations hereunder and all material rights, privileges and franchises necessary in the normal conduct of its business.</w:t>
      </w:r>
    </w:p>
    <w:p>
      <w:pPr>
        <w:spacing w:after="0" w:line="139"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Consents and Approvals</w:t>
      </w:r>
      <w:r>
        <w:rPr>
          <w:rFonts w:ascii="Times New Roman" w:cs="Times New Roman" w:eastAsia="Times New Roman" w:hAnsi="Times New Roman"/>
          <w:sz w:val="21"/>
          <w:szCs w:val="21"/>
          <w:color w:val="auto"/>
        </w:rPr>
        <w:t>. The Guarantor shall maintain in full force and effect all consents and approvals of any Governmental Authority that are required to be obtained by it in order for it to perform its obligations under this Agreement. The Guarantor shall obtain any such consents and approvals that may become required in the future in order for it to perform its obligations under this Agreement as and when the same shall be so required.</w:t>
      </w:r>
    </w:p>
    <w:p>
      <w:pPr>
        <w:spacing w:after="0" w:line="164"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Guarantor shall promptly comply with all Applicable Laws, except where the failure to comply could not reasonably be expected to have a material adverse effect on the Guarantor’s ability to perform its obligations under this Agreement.</w:t>
      </w:r>
    </w:p>
    <w:p>
      <w:pPr>
        <w:spacing w:after="0" w:line="160"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Dissolution; Merger</w:t>
      </w:r>
      <w:r>
        <w:rPr>
          <w:rFonts w:ascii="Times New Roman" w:cs="Times New Roman" w:eastAsia="Times New Roman" w:hAnsi="Times New Roman"/>
          <w:sz w:val="21"/>
          <w:szCs w:val="21"/>
          <w:color w:val="auto"/>
        </w:rPr>
        <w:t xml:space="preserve">. The Guarantor shall not liquidate, wind-up or dissolve, or change its legal form;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Guarantor may merge or amalgamate with any other entity so long the Guarantor is the successor entity in such merger or amalgamation.</w:t>
      </w:r>
    </w:p>
    <w:p>
      <w:pPr>
        <w:spacing w:after="0" w:line="160"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During the Recapture Period, the Guarantor shall, (a) not later than the date that is 60 days after the end of each fiscal quarter, deliver (or make publicly available) the unaudited financial statements of Guarantor for such fiscal quarter and (b) not later than the date that is 120 days after the end of each fiscal year, deliver (or make publicly available) the audited financial statements of the Guarantor for such fiscal year.</w:t>
      </w:r>
    </w:p>
    <w:p>
      <w:pPr>
        <w:sectPr>
          <w:pgSz w:w="11900" w:h="16838" w:orient="portrait"/>
          <w:cols w:equalWidth="0" w:num="1">
            <w:col w:w="11160"/>
          </w:cols>
          <w:pgMar w:left="320" w:top="1440" w:right="419" w:bottom="1440" w:gutter="0" w:footer="0" w:header="0"/>
        </w:sectPr>
      </w:pPr>
    </w:p>
    <w:bookmarkStart w:id="176" w:name="page177"/>
    <w:bookmarkEnd w:id="176"/>
    <w:p>
      <w:pPr>
        <w:spacing w:after="0" w:line="222"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Required Credit Criteria and Required Credit Support</w:t>
      </w:r>
      <w:r>
        <w:rPr>
          <w:rFonts w:ascii="Times New Roman" w:cs="Times New Roman" w:eastAsia="Times New Roman" w:hAnsi="Times New Roman"/>
          <w:sz w:val="21"/>
          <w:szCs w:val="21"/>
          <w:color w:val="auto"/>
        </w:rPr>
        <w:t xml:space="preserve">. Without duplication of the Guaranteed Obligations related to Section 5(b)(xiv) of the Purchase Agreement, the Guarantor agrees that if a Credit Trigger has occurred, and a replacement guaranty, letter of credit or cash collateral as described in such Section 5(b)(xiv) of the Purchase Agreement has not been provided within the time period required therein, the Guarantor will (within such time period) provide such a letter of credit or cash collateral amount to Buyer (the amount of which shall be applied, reduced or returned, as applicable, from time to time as described in such Section 5(b)(xiv) of the Purchase Agreement). The Parties agree that, upon a breach of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by the Guarantor, the remedies at law of Buyer for such breach shall not be a sufficient remedy, that such breach would cause irreparable harm to Buyer, and that Buyer shall be entitled to specific performance of the obligation set forth in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to provide collateral security to Buyer, without the necessity of proving the inadequacy of money damages as a remedy, in addition to any other remedy at law or in equity. The Guarantor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ARTICLE V.</w:t>
      </w:r>
    </w:p>
    <w:p>
      <w:pPr>
        <w:spacing w:after="0" w:line="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u w:val="single" w:color="auto"/>
          <w:color w:val="auto"/>
        </w:rPr>
        <w:t>SUBORDINATION; SUBROGATION; ETC.</w:t>
      </w:r>
    </w:p>
    <w:p>
      <w:pPr>
        <w:spacing w:after="0" w:line="215"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Except as otherwise required by Applicable Laws or the Purchase Agreement, each payment required to be made by the Guarantor hereunder shall be made without deduction or withholding for or on account of taxes.</w:t>
      </w:r>
    </w:p>
    <w:p>
      <w:pPr>
        <w:spacing w:after="0" w:line="142"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Subordination</w:t>
      </w:r>
      <w:r>
        <w:rPr>
          <w:rFonts w:ascii="Times New Roman" w:cs="Times New Roman" w:eastAsia="Times New Roman" w:hAnsi="Times New Roman"/>
          <w:sz w:val="21"/>
          <w:szCs w:val="21"/>
          <w:color w:val="auto"/>
        </w:rPr>
        <w:t xml:space="preserve">. All existing and future indebtedness of, or other obligations owed by Seller to the Guarantor is hereby subordinated to all of the Guaranteed Obligations. Without the prior written consent of Buyer, such subordinated indebtedness (including interest thereon) shall not be paid or withdrawn in whole or in part, nor shall the Guarantor accept any payment of or on account of any such indebtedness, at any time in which Guaranteed Obligations are due and payable, in each case until this Agreement is terminated in accordance with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Any payment by Seller in violation of this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shall be received by the Guarantor in trust for Buyer, and the Guarantor shall cause the same to be paid to Buyer immediately upon demand by Buyer on account of the Guaranteed Obligations. The Guarantor shall not assign all or any portion of such indebtedness while this Agreement remains in effect except upon prior written notice to Seller and Buyer by which the assignee of any such indebtedness agrees that the assignment is made subject to the terms of this Agreement, and that any attempted assignment of such indebtedness in violation of the provisions hereof shall be void.</w:t>
      </w:r>
    </w:p>
    <w:p>
      <w:pPr>
        <w:spacing w:after="0" w:line="17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The Guarantor hereby unconditionally and irrevocably waives and relinquishes, to the maximum extent permitted by Applicable Law, all rights and remedies accorded to sureties or guarantors and agrees not to assert or take advantage of any such rights or remedies, including:</w:t>
      </w:r>
    </w:p>
    <w:p>
      <w:pPr>
        <w:spacing w:after="0" w:line="166" w:lineRule="exact"/>
        <w:rPr>
          <w:sz w:val="20"/>
          <w:szCs w:val="20"/>
          <w:color w:val="auto"/>
        </w:rPr>
      </w:pPr>
    </w:p>
    <w:p>
      <w:pPr>
        <w:ind w:left="1920" w:hanging="631"/>
        <w:spacing w:after="0"/>
        <w:tabs>
          <w:tab w:leader="none" w:pos="192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 to require any Person to proceed against or exhaust any security</w:t>
      </w:r>
    </w:p>
    <w:p>
      <w:pPr>
        <w:sectPr>
          <w:pgSz w:w="11900" w:h="16838" w:orient="portrait"/>
          <w:cols w:equalWidth="0" w:num="1">
            <w:col w:w="11160"/>
          </w:cols>
          <w:pgMar w:left="320" w:top="1440" w:right="419" w:bottom="1440" w:gutter="0" w:footer="0" w:header="0"/>
        </w:sectPr>
      </w:pPr>
    </w:p>
    <w:bookmarkStart w:id="177" w:name="page178"/>
    <w:bookmarkEnd w:id="177"/>
    <w:p>
      <w:pPr>
        <w:spacing w:after="0" w:line="222" w:lineRule="exact"/>
        <w:rPr>
          <w:sz w:val="20"/>
          <w:szCs w:val="20"/>
          <w:color w:val="auto"/>
        </w:rPr>
      </w:pPr>
    </w:p>
    <w:p>
      <w:pPr>
        <w:ind w:hanging="8"/>
        <w:spacing w:after="0" w:line="302" w:lineRule="auto"/>
        <w:rPr>
          <w:sz w:val="20"/>
          <w:szCs w:val="20"/>
          <w:color w:val="auto"/>
        </w:rPr>
      </w:pPr>
      <w:r>
        <w:rPr>
          <w:rFonts w:ascii="Times New Roman" w:cs="Times New Roman" w:eastAsia="Times New Roman" w:hAnsi="Times New Roman"/>
          <w:sz w:val="21"/>
          <w:szCs w:val="21"/>
          <w:color w:val="auto"/>
        </w:rPr>
        <w:t>held by Seller, Project Company or Buyer at any time or to pursue any other remedy in Seller’s, Project Company’s or Buyer’s power before proceeding against the Guarantor;</w:t>
      </w:r>
    </w:p>
    <w:p>
      <w:pPr>
        <w:spacing w:after="0" w:line="140" w:lineRule="exact"/>
        <w:rPr>
          <w:sz w:val="20"/>
          <w:szCs w:val="20"/>
          <w:color w:val="auto"/>
        </w:rPr>
      </w:pPr>
    </w:p>
    <w:p>
      <w:pPr>
        <w:ind w:left="1920" w:hanging="631"/>
        <w:spacing w:after="0"/>
        <w:tabs>
          <w:tab w:leader="none" w:pos="192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or limitation of status or of power or any defense that may arise by</w:t>
      </w:r>
    </w:p>
    <w:p>
      <w:pPr>
        <w:spacing w:after="0" w:line="37" w:lineRule="exact"/>
        <w:rPr>
          <w:sz w:val="20"/>
          <w:szCs w:val="20"/>
          <w:color w:val="auto"/>
        </w:rPr>
      </w:pPr>
    </w:p>
    <w:p>
      <w:pPr>
        <w:jc w:val="both"/>
        <w:ind w:hanging="8"/>
        <w:spacing w:after="0" w:line="265" w:lineRule="auto"/>
        <w:rPr>
          <w:sz w:val="20"/>
          <w:szCs w:val="20"/>
          <w:color w:val="auto"/>
        </w:rPr>
      </w:pPr>
      <w:r>
        <w:rPr>
          <w:rFonts w:ascii="Times New Roman" w:cs="Times New Roman" w:eastAsia="Times New Roman" w:hAnsi="Times New Roman"/>
          <w:sz w:val="21"/>
          <w:szCs w:val="21"/>
          <w:color w:val="auto"/>
        </w:rPr>
        <w:t>reason of the incapacity, lack of power or authority, death, dissolution, merger, termination or disability of the Guarantor, Seller or any other Person or any change whatsoever in the object, capital structure, constitution or business of Seller, Project Company or the Guarantor, or the failure of Seller, Project Company or Buyer to file or enforce a claim against the estate (in administration, bankruptcy or any other proceeding) of the Guarantor or any other Person;</w:t>
      </w:r>
    </w:p>
    <w:p>
      <w:pPr>
        <w:spacing w:after="0" w:line="178" w:lineRule="exact"/>
        <w:rPr>
          <w:sz w:val="20"/>
          <w:szCs w:val="20"/>
          <w:color w:val="auto"/>
        </w:rPr>
      </w:pPr>
    </w:p>
    <w:p>
      <w:pPr>
        <w:ind w:left="1920" w:hanging="631"/>
        <w:spacing w:after="0"/>
        <w:tabs>
          <w:tab w:leader="none" w:pos="19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promptness, diligence, demand, presentment, protest and notice of any kind,</w:t>
      </w:r>
    </w:p>
    <w:p>
      <w:pPr>
        <w:spacing w:after="0" w:line="39" w:lineRule="exact"/>
        <w:rPr>
          <w:sz w:val="20"/>
          <w:szCs w:val="20"/>
          <w:color w:val="auto"/>
        </w:rPr>
      </w:pPr>
    </w:p>
    <w:p>
      <w:pPr>
        <w:jc w:val="both"/>
        <w:ind w:hanging="8"/>
        <w:spacing w:after="0" w:line="268" w:lineRule="auto"/>
        <w:rPr>
          <w:sz w:val="20"/>
          <w:szCs w:val="20"/>
          <w:color w:val="auto"/>
        </w:rPr>
      </w:pPr>
      <w:r>
        <w:rPr>
          <w:rFonts w:ascii="Times New Roman" w:cs="Times New Roman" w:eastAsia="Times New Roman" w:hAnsi="Times New Roman"/>
          <w:sz w:val="21"/>
          <w:szCs w:val="21"/>
          <w:color w:val="auto"/>
        </w:rPr>
        <w:t>including notice of the existence, creation or incurring of any new or additional obligation or of an action or non-action on the part of Seller, Project Company or Buyer, any endorser or creditor of the foregoing or on the part of any other Person under this or any other instrument in connection with any obligation by Seller, Project Company or Buyer as collateral or in connection with any Guaranteed Obligation;</w:t>
      </w:r>
    </w:p>
    <w:p>
      <w:pPr>
        <w:spacing w:after="0" w:line="177" w:lineRule="exact"/>
        <w:rPr>
          <w:sz w:val="20"/>
          <w:szCs w:val="20"/>
          <w:color w:val="auto"/>
        </w:rPr>
      </w:pPr>
    </w:p>
    <w:p>
      <w:pPr>
        <w:ind w:left="1920" w:hanging="631"/>
        <w:spacing w:after="0"/>
        <w:tabs>
          <w:tab w:leader="none" w:pos="192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 election of remedies, including an election to</w:t>
      </w:r>
    </w:p>
    <w:p>
      <w:pPr>
        <w:spacing w:after="0" w:line="37" w:lineRule="exact"/>
        <w:rPr>
          <w:sz w:val="20"/>
          <w:szCs w:val="20"/>
          <w:color w:val="auto"/>
        </w:rPr>
      </w:pPr>
    </w:p>
    <w:p>
      <w:pPr>
        <w:ind w:hanging="8"/>
        <w:spacing w:after="0" w:line="291" w:lineRule="auto"/>
        <w:rPr>
          <w:sz w:val="20"/>
          <w:szCs w:val="20"/>
          <w:color w:val="auto"/>
        </w:rPr>
      </w:pPr>
      <w:r>
        <w:rPr>
          <w:rFonts w:ascii="Times New Roman" w:cs="Times New Roman" w:eastAsia="Times New Roman" w:hAnsi="Times New Roman"/>
          <w:sz w:val="21"/>
          <w:szCs w:val="21"/>
          <w:color w:val="auto"/>
        </w:rPr>
        <w:t>proceed by non-judicial rather than judicial foreclosure, which destroys or otherwise impairs the subrogation rights of the Guarantor or the right of the Guarantor to proceed against Seller or any other Person for reimbursement, or both;</w:t>
      </w:r>
    </w:p>
    <w:p>
      <w:pPr>
        <w:spacing w:after="0" w:line="151" w:lineRule="exact"/>
        <w:rPr>
          <w:sz w:val="20"/>
          <w:szCs w:val="20"/>
          <w:color w:val="auto"/>
        </w:rPr>
      </w:pPr>
    </w:p>
    <w:p>
      <w:pPr>
        <w:ind w:right="2940" w:firstLine="1289"/>
        <w:spacing w:after="0" w:line="302" w:lineRule="auto"/>
        <w:tabs>
          <w:tab w:leader="none" w:pos="1929"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on any offset against any amounts which may be owed by any Person to the Guarantor for any reason whatsoever;</w:t>
      </w:r>
    </w:p>
    <w:p>
      <w:pPr>
        <w:spacing w:after="0" w:line="140" w:lineRule="exact"/>
        <w:rPr>
          <w:rFonts w:ascii="Times New Roman" w:cs="Times New Roman" w:eastAsia="Times New Roman" w:hAnsi="Times New Roman"/>
          <w:sz w:val="21"/>
          <w:szCs w:val="21"/>
          <w:color w:val="auto"/>
        </w:rPr>
      </w:pPr>
    </w:p>
    <w:p>
      <w:pPr>
        <w:ind w:left="1940" w:hanging="651"/>
        <w:spacing w:after="0"/>
        <w:tabs>
          <w:tab w:leader="none" w:pos="194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on any act, failure to act, delay or omission whatsoever</w:t>
      </w:r>
    </w:p>
    <w:p>
      <w:pPr>
        <w:spacing w:after="0" w:line="37" w:lineRule="exact"/>
        <w:rPr>
          <w:sz w:val="20"/>
          <w:szCs w:val="20"/>
          <w:color w:val="auto"/>
        </w:rPr>
      </w:pPr>
    </w:p>
    <w:p>
      <w:pPr>
        <w:jc w:val="both"/>
        <w:ind w:hanging="8"/>
        <w:spacing w:after="0" w:line="271" w:lineRule="auto"/>
        <w:rPr>
          <w:sz w:val="20"/>
          <w:szCs w:val="20"/>
          <w:color w:val="auto"/>
        </w:rPr>
      </w:pPr>
      <w:r>
        <w:rPr>
          <w:rFonts w:ascii="Times New Roman" w:cs="Times New Roman" w:eastAsia="Times New Roman" w:hAnsi="Times New Roman"/>
          <w:sz w:val="21"/>
          <w:szCs w:val="21"/>
          <w:color w:val="auto"/>
        </w:rPr>
        <w:t>on the part of Seller, Project Company or any of their Affiliates or the failure by Seller, Project Company or any of their Affiliates to do any act or thing or to observe or perform any covenant, condition or agreement to be observed or performed by such Person under the Purchase Agreement;</w:t>
      </w:r>
    </w:p>
    <w:p>
      <w:pPr>
        <w:spacing w:after="0" w:line="173" w:lineRule="exact"/>
        <w:rPr>
          <w:sz w:val="20"/>
          <w:szCs w:val="20"/>
          <w:color w:val="auto"/>
        </w:rPr>
      </w:pPr>
    </w:p>
    <w:p>
      <w:pPr>
        <w:ind w:left="1920" w:hanging="631"/>
        <w:spacing w:after="0"/>
        <w:tabs>
          <w:tab w:leader="none" w:pos="192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statute or rule of law which provides that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obligation of a surety must be neither larger in amount nor in other respects more burdensome than that of the principal;</w:t>
      </w:r>
    </w:p>
    <w:p>
      <w:pPr>
        <w:spacing w:after="0" w:line="215" w:lineRule="exact"/>
        <w:rPr>
          <w:sz w:val="20"/>
          <w:szCs w:val="20"/>
          <w:color w:val="auto"/>
        </w:rPr>
      </w:pPr>
    </w:p>
    <w:p>
      <w:pPr>
        <w:jc w:val="both"/>
        <w:ind w:firstLine="1289"/>
        <w:spacing w:after="0" w:line="262" w:lineRule="auto"/>
        <w:tabs>
          <w:tab w:leader="none" w:pos="191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duty on the part of Seller, Project Company or Buyer to disclose to the Guarantor any facts Seller, Project Company or Buyer may now or hereafter know about Seller, Project Company or an Affiliate thereof, regardless of whether Seller, Project Company or Buyer has reason to believe that any such facts materially increase the risk beyond that which the Guarantor intends to assume, or have reason to believe that such facts are unknown to the Guarantor, or have a reasonable opportunity to communicate such facts to the Guarantor, since each Guarantor acknowledges that the Guarantor is fully responsible for being and keeping</w:t>
      </w:r>
    </w:p>
    <w:p>
      <w:pPr>
        <w:sectPr>
          <w:pgSz w:w="11900" w:h="16838" w:orient="portrait"/>
          <w:cols w:equalWidth="0" w:num="1">
            <w:col w:w="11160"/>
          </w:cols>
          <w:pgMar w:left="320" w:top="1440" w:right="419" w:bottom="1440" w:gutter="0" w:footer="0" w:header="0"/>
        </w:sectPr>
      </w:pPr>
    </w:p>
    <w:bookmarkStart w:id="178" w:name="page179"/>
    <w:bookmarkEnd w:id="178"/>
    <w:p>
      <w:pPr>
        <w:spacing w:after="0" w:line="222"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21"/>
          <w:szCs w:val="21"/>
          <w:color w:val="auto"/>
        </w:rPr>
        <w:t>informed of the financial condition of Seller and Project Company, and of all circumstances bearing on the risk of non-payment of any Guaranteed Obligation;</w:t>
      </w:r>
    </w:p>
    <w:p>
      <w:pPr>
        <w:spacing w:after="0" w:line="140" w:lineRule="exact"/>
        <w:rPr>
          <w:sz w:val="20"/>
          <w:szCs w:val="20"/>
          <w:color w:val="auto"/>
        </w:rPr>
      </w:pPr>
    </w:p>
    <w:p>
      <w:pPr>
        <w:ind w:left="1920" w:hanging="631"/>
        <w:spacing w:after="0"/>
        <w:tabs>
          <w:tab w:leader="none" w:pos="19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on any change in the time, manner or place of any</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payment under, or in any other term of, the Purchase Agreement, or any other amendment, renewal, extension, acceleration, compromise or waiver of or any consent or departure from the terms of the Purchase Agreement;</w:t>
      </w:r>
    </w:p>
    <w:p>
      <w:pPr>
        <w:spacing w:after="0" w:line="179" w:lineRule="exact"/>
        <w:rPr>
          <w:sz w:val="20"/>
          <w:szCs w:val="20"/>
          <w:color w:val="auto"/>
        </w:rPr>
      </w:pPr>
    </w:p>
    <w:p>
      <w:pPr>
        <w:ind w:left="1920" w:hanging="631"/>
        <w:spacing w:after="0"/>
        <w:tabs>
          <w:tab w:leader="none" w:pos="192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 to assert the bankruptcy or insolvency of Seller or any other Person</w:t>
      </w:r>
    </w:p>
    <w:p>
      <w:pPr>
        <w:spacing w:after="0" w:line="36" w:lineRule="exact"/>
        <w:rPr>
          <w:sz w:val="20"/>
          <w:szCs w:val="20"/>
          <w:color w:val="auto"/>
        </w:rPr>
      </w:pPr>
    </w:p>
    <w:p>
      <w:pPr>
        <w:ind w:hanging="8"/>
        <w:spacing w:after="0" w:line="278" w:lineRule="auto"/>
        <w:rPr>
          <w:sz w:val="20"/>
          <w:szCs w:val="20"/>
          <w:color w:val="auto"/>
        </w:rPr>
      </w:pPr>
      <w:r>
        <w:rPr>
          <w:rFonts w:ascii="Times New Roman" w:cs="Times New Roman" w:eastAsia="Times New Roman" w:hAnsi="Times New Roman"/>
          <w:sz w:val="21"/>
          <w:szCs w:val="21"/>
          <w:color w:val="auto"/>
        </w:rPr>
        <w:t>as a defense hereunder or as the basis for rescission hereof and any defense arising because of Buyer’s election, in any proceeding instituted under the Bankruptcy Code, of the application of Section 1111(b)(2) of the Bankruptcy Code;</w:t>
      </w:r>
    </w:p>
    <w:p>
      <w:pPr>
        <w:spacing w:after="0" w:line="138" w:lineRule="exact"/>
        <w:rPr>
          <w:sz w:val="20"/>
          <w:szCs w:val="20"/>
          <w:color w:val="auto"/>
        </w:rPr>
      </w:pPr>
    </w:p>
    <w:p>
      <w:pPr>
        <w:ind w:left="1920" w:hanging="631"/>
        <w:spacing w:after="0"/>
        <w:tabs>
          <w:tab w:leader="none" w:pos="192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borrowing or grant of a security interest under Section 364 of the Bankruptcy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Code;</w:t>
      </w:r>
    </w:p>
    <w:p>
      <w:pPr>
        <w:spacing w:after="0" w:line="228" w:lineRule="exact"/>
        <w:rPr>
          <w:sz w:val="20"/>
          <w:szCs w:val="20"/>
          <w:color w:val="auto"/>
        </w:rPr>
      </w:pPr>
    </w:p>
    <w:p>
      <w:pPr>
        <w:ind w:right="2760" w:firstLine="1289"/>
        <w:spacing w:after="0" w:line="302" w:lineRule="auto"/>
        <w:tabs>
          <w:tab w:leader="none" w:pos="192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or circumstance constituting fraud in the inducement or any other similar event or circumstances;</w:t>
      </w:r>
    </w:p>
    <w:p>
      <w:pPr>
        <w:spacing w:after="0" w:line="140"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 or omission by Seller or Project Company or any existence of or</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reliance on any representation by Seller, Project Company or Buyer that might otherwise constitute a defense available to, or discharge of, any guarantor or surety;</w:t>
      </w:r>
    </w:p>
    <w:p>
      <w:pPr>
        <w:spacing w:after="0" w:line="179" w:lineRule="exact"/>
        <w:rPr>
          <w:sz w:val="20"/>
          <w:szCs w:val="20"/>
          <w:color w:val="auto"/>
        </w:rPr>
      </w:pPr>
    </w:p>
    <w:p>
      <w:pPr>
        <w:ind w:right="2720" w:firstLine="1289"/>
        <w:spacing w:after="0" w:line="302" w:lineRule="auto"/>
        <w:tabs>
          <w:tab w:leader="none" w:pos="192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dispute between the Guarantor (or any Affiliate thereof other than Seller) and Buyer;</w:t>
      </w:r>
    </w:p>
    <w:p>
      <w:pPr>
        <w:spacing w:after="0" w:line="113"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validity or enforceability of the Guaranteed Obligations or the Purchase Agreement;</w:t>
      </w:r>
    </w:p>
    <w:p>
      <w:pPr>
        <w:spacing w:after="0" w:line="252"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assignment or transfer of any party’s interest in the Purchase Agreement;</w:t>
      </w:r>
    </w:p>
    <w:p>
      <w:pPr>
        <w:spacing w:after="0" w:line="226" w:lineRule="exact"/>
        <w:rPr>
          <w:rFonts w:ascii="Times New Roman" w:cs="Times New Roman" w:eastAsia="Times New Roman" w:hAnsi="Times New Roman"/>
          <w:sz w:val="21"/>
          <w:szCs w:val="21"/>
          <w:color w:val="auto"/>
        </w:rPr>
      </w:pPr>
    </w:p>
    <w:p>
      <w:pPr>
        <w:ind w:firstLine="1289"/>
        <w:spacing w:after="0" w:line="288" w:lineRule="auto"/>
        <w:tabs>
          <w:tab w:leader="none" w:pos="1919"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taking of or delay or failure to take any action by Buyer to enforce the Guaranteed Obligations or the Purchase Agreement, or to otherwise exercise any rights or remedies against Seller or any other Person;</w:t>
      </w:r>
    </w:p>
    <w:p>
      <w:pPr>
        <w:spacing w:after="0" w:line="141" w:lineRule="exact"/>
        <w:rPr>
          <w:rFonts w:ascii="Times New Roman" w:cs="Times New Roman" w:eastAsia="Times New Roman" w:hAnsi="Times New Roman"/>
          <w:sz w:val="21"/>
          <w:szCs w:val="21"/>
          <w:color w:val="auto"/>
        </w:rPr>
      </w:pPr>
    </w:p>
    <w:p>
      <w:pPr>
        <w:ind w:firstLine="1289"/>
        <w:spacing w:after="0" w:line="288" w:lineRule="auto"/>
        <w:tabs>
          <w:tab w:leader="none" w:pos="1923"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insolvency, bankruptcy, liquidation or dissolution of the Guarantor, Seller or Project Company, including any discharge of obligations therefrom;</w:t>
      </w:r>
    </w:p>
    <w:p>
      <w:pPr>
        <w:spacing w:after="0" w:line="15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claim, set-off, counterclaim, defense or other rights that the Guarantor</w:t>
      </w:r>
    </w:p>
    <w:p>
      <w:pPr>
        <w:spacing w:after="0" w:line="37" w:lineRule="exact"/>
        <w:rPr>
          <w:sz w:val="20"/>
          <w:szCs w:val="20"/>
          <w:color w:val="auto"/>
        </w:rPr>
      </w:pPr>
    </w:p>
    <w:p>
      <w:pPr>
        <w:ind w:hanging="8"/>
        <w:spacing w:after="0" w:line="258" w:lineRule="auto"/>
        <w:rPr>
          <w:sz w:val="20"/>
          <w:szCs w:val="20"/>
          <w:color w:val="auto"/>
        </w:rPr>
      </w:pPr>
      <w:r>
        <w:rPr>
          <w:rFonts w:ascii="Times New Roman" w:cs="Times New Roman" w:eastAsia="Times New Roman" w:hAnsi="Times New Roman"/>
          <w:sz w:val="21"/>
          <w:szCs w:val="21"/>
          <w:color w:val="auto"/>
        </w:rPr>
        <w:t>may have at any time and from time to time against Buyer, whether in connection with this transaction or any unrelated transaction;</w:t>
      </w:r>
    </w:p>
    <w:p>
      <w:pPr>
        <w:sectPr>
          <w:pgSz w:w="11900" w:h="16838" w:orient="portrait"/>
          <w:cols w:equalWidth="0" w:num="1">
            <w:col w:w="11160"/>
          </w:cols>
          <w:pgMar w:left="320" w:top="1440" w:right="419" w:bottom="1440" w:gutter="0" w:footer="0" w:header="0"/>
        </w:sectPr>
      </w:pPr>
    </w:p>
    <w:bookmarkStart w:id="179" w:name="page180"/>
    <w:bookmarkEnd w:id="179"/>
    <w:p>
      <w:pPr>
        <w:spacing w:after="0" w:line="222" w:lineRule="exact"/>
        <w:rPr>
          <w:sz w:val="20"/>
          <w:szCs w:val="20"/>
          <w:color w:val="auto"/>
        </w:rPr>
      </w:pPr>
    </w:p>
    <w:p>
      <w:pPr>
        <w:ind w:left="1920" w:hanging="631"/>
        <w:spacing w:after="0"/>
        <w:tabs>
          <w:tab w:leader="none" w:pos="192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default, failure, omission or delay, willful or otherwise, on the part of</w:t>
      </w:r>
    </w:p>
    <w:p>
      <w:pPr>
        <w:spacing w:after="0" w:line="37" w:lineRule="exact"/>
        <w:rPr>
          <w:sz w:val="20"/>
          <w:szCs w:val="20"/>
          <w:color w:val="auto"/>
        </w:rPr>
      </w:pPr>
    </w:p>
    <w:p>
      <w:pPr>
        <w:ind w:hanging="8"/>
        <w:spacing w:after="0" w:line="291" w:lineRule="auto"/>
        <w:rPr>
          <w:sz w:val="20"/>
          <w:szCs w:val="20"/>
          <w:color w:val="auto"/>
        </w:rPr>
      </w:pPr>
      <w:r>
        <w:rPr>
          <w:rFonts w:ascii="Times New Roman" w:cs="Times New Roman" w:eastAsia="Times New Roman" w:hAnsi="Times New Roman"/>
          <w:sz w:val="21"/>
          <w:szCs w:val="21"/>
          <w:color w:val="auto"/>
        </w:rPr>
        <w:t>either Seller or the Guarantor to perform or comply with, or the impossibility or illegality of performance by Seller of any of the Guaranteed Obligations;</w:t>
      </w:r>
    </w:p>
    <w:p>
      <w:pPr>
        <w:spacing w:after="0" w:line="151" w:lineRule="exact"/>
        <w:rPr>
          <w:sz w:val="20"/>
          <w:szCs w:val="20"/>
          <w:color w:val="auto"/>
        </w:rPr>
      </w:pPr>
    </w:p>
    <w:p>
      <w:pPr>
        <w:ind w:left="1920" w:hanging="631"/>
        <w:spacing w:after="0"/>
        <w:tabs>
          <w:tab w:leader="none" w:pos="192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suit or other action brought by, or any judgment in favor of, any</w:t>
      </w:r>
    </w:p>
    <w:p>
      <w:pPr>
        <w:spacing w:after="0" w:line="37" w:lineRule="exact"/>
        <w:rPr>
          <w:sz w:val="20"/>
          <w:szCs w:val="20"/>
          <w:color w:val="auto"/>
        </w:rPr>
      </w:pPr>
    </w:p>
    <w:p>
      <w:pPr>
        <w:jc w:val="both"/>
        <w:ind w:hanging="8"/>
        <w:spacing w:after="0" w:line="260" w:lineRule="auto"/>
        <w:rPr>
          <w:sz w:val="20"/>
          <w:szCs w:val="20"/>
          <w:color w:val="auto"/>
        </w:rPr>
      </w:pPr>
      <w:r>
        <w:rPr>
          <w:rFonts w:ascii="Times New Roman" w:cs="Times New Roman" w:eastAsia="Times New Roman" w:hAnsi="Times New Roman"/>
          <w:sz w:val="21"/>
          <w:szCs w:val="21"/>
          <w:color w:val="auto"/>
        </w:rPr>
        <w:t>beneficiaries or creditors of any of the Seller, the Guarantor or any other Person for any reason whatsoever, including any suit or action in any way attaching or involving any issue, matter or thing in respect of any of the Purchase Agreement, the Guaranteed Obligations or any other agreement (other than a suit or action to which Buyer is a party or by which Buyer is bound concerning the scope of the Guaranteed Obligations or concerning the provisions of this Agreement);</w:t>
      </w:r>
    </w:p>
    <w:p>
      <w:pPr>
        <w:spacing w:after="0" w:line="171" w:lineRule="exact"/>
        <w:rPr>
          <w:sz w:val="20"/>
          <w:szCs w:val="20"/>
          <w:color w:val="auto"/>
        </w:rPr>
      </w:pPr>
    </w:p>
    <w:p>
      <w:pPr>
        <w:jc w:val="both"/>
        <w:ind w:firstLine="1289"/>
        <w:spacing w:after="0" w:line="268" w:lineRule="auto"/>
        <w:tabs>
          <w:tab w:leader="none" w:pos="191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lease or transfer of any or all of the assets of Seller, Project Company or the Guarantor, including any transfer or purported transfer from Seller, Project Company or the Guarantor to any other Person, any invalidity of, illegality of, or inability to enforce, any such transfer or purported transfer, any consolidation or merger of Seller, Project Company or the Guarantor with or into any Person or any change in the ownership of Seller, Project Company or the Guarantor;</w:t>
      </w:r>
    </w:p>
    <w:p>
      <w:pPr>
        <w:spacing w:after="0" w:line="177"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or failure to act in any manner referred to in this Agreement that</w:t>
      </w:r>
    </w:p>
    <w:p>
      <w:pPr>
        <w:spacing w:after="0" w:line="36" w:lineRule="exact"/>
        <w:rPr>
          <w:sz w:val="20"/>
          <w:szCs w:val="20"/>
          <w:color w:val="auto"/>
        </w:rPr>
      </w:pPr>
    </w:p>
    <w:p>
      <w:pPr>
        <w:ind w:right="100" w:hanging="8"/>
        <w:spacing w:after="0" w:line="265" w:lineRule="auto"/>
        <w:rPr>
          <w:sz w:val="20"/>
          <w:szCs w:val="20"/>
          <w:color w:val="auto"/>
        </w:rPr>
      </w:pPr>
      <w:r>
        <w:rPr>
          <w:rFonts w:ascii="Times New Roman" w:cs="Times New Roman" w:eastAsia="Times New Roman" w:hAnsi="Times New Roman"/>
          <w:sz w:val="21"/>
          <w:szCs w:val="21"/>
          <w:color w:val="auto"/>
        </w:rPr>
        <w:t>may deprive the Guarantor of its rights to subrogation against Seller to recover full indemnity for any payments made pursuant to this Agreement or of the Guarantor’s right to contribution against any other party;</w:t>
      </w:r>
    </w:p>
    <w:p>
      <w:pPr>
        <w:spacing w:after="0" w:line="191" w:lineRule="exact"/>
        <w:rPr>
          <w:sz w:val="20"/>
          <w:szCs w:val="20"/>
          <w:color w:val="auto"/>
        </w:rPr>
      </w:pPr>
    </w:p>
    <w:p>
      <w:pPr>
        <w:ind w:left="1920" w:hanging="631"/>
        <w:spacing w:after="0"/>
        <w:tabs>
          <w:tab w:leader="none" w:pos="192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whether direct or indirect, in the Guarantor’s relation to Seller</w:t>
      </w:r>
    </w:p>
    <w:p>
      <w:pPr>
        <w:spacing w:after="0" w:line="37" w:lineRule="exact"/>
        <w:rPr>
          <w:sz w:val="20"/>
          <w:szCs w:val="20"/>
          <w:color w:val="auto"/>
        </w:rPr>
      </w:pPr>
    </w:p>
    <w:p>
      <w:pPr>
        <w:jc w:val="both"/>
        <w:ind w:hanging="8"/>
        <w:spacing w:after="0" w:line="265" w:lineRule="auto"/>
        <w:rPr>
          <w:sz w:val="20"/>
          <w:szCs w:val="20"/>
          <w:color w:val="auto"/>
        </w:rPr>
      </w:pPr>
      <w:r>
        <w:rPr>
          <w:rFonts w:ascii="Times New Roman" w:cs="Times New Roman" w:eastAsia="Times New Roman" w:hAnsi="Times New Roman"/>
          <w:sz w:val="21"/>
          <w:szCs w:val="21"/>
          <w:color w:val="auto"/>
        </w:rPr>
        <w:t>or Project Company, including any such change by reason of any merger or consolidation or any sale, transfer, issuance, spin-off, distribution or other disposition of any stock, equity interest or other security of Seller or Project Company, the Guarantor or any other entity;</w:t>
      </w:r>
    </w:p>
    <w:p>
      <w:pPr>
        <w:spacing w:after="0" w:line="164" w:lineRule="exact"/>
        <w:rPr>
          <w:sz w:val="20"/>
          <w:szCs w:val="20"/>
          <w:color w:val="auto"/>
        </w:rPr>
      </w:pPr>
    </w:p>
    <w:p>
      <w:pPr>
        <w:ind w:left="1920" w:hanging="631"/>
        <w:spacing w:after="0"/>
        <w:tabs>
          <w:tab w:leader="none" w:pos="192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settlement, compromise, release or discharge of, or acceptance or</w:t>
      </w:r>
    </w:p>
    <w:p>
      <w:pPr>
        <w:spacing w:after="0" w:line="37" w:lineRule="exact"/>
        <w:rPr>
          <w:sz w:val="20"/>
          <w:szCs w:val="20"/>
          <w:color w:val="auto"/>
        </w:rPr>
      </w:pPr>
    </w:p>
    <w:p>
      <w:pPr>
        <w:ind w:hanging="8"/>
        <w:spacing w:after="0" w:line="291" w:lineRule="auto"/>
        <w:rPr>
          <w:sz w:val="20"/>
          <w:szCs w:val="20"/>
          <w:color w:val="auto"/>
        </w:rPr>
      </w:pPr>
      <w:r>
        <w:rPr>
          <w:rFonts w:ascii="Times New Roman" w:cs="Times New Roman" w:eastAsia="Times New Roman" w:hAnsi="Times New Roman"/>
          <w:sz w:val="21"/>
          <w:szCs w:val="21"/>
          <w:color w:val="auto"/>
        </w:rPr>
        <w:t>refusal of any offer of payment with respect to, or any substitutions for, the Guaranteed Obligations or any subordination of the Guaranteed Obligations to any other obligations;</w:t>
      </w:r>
    </w:p>
    <w:p>
      <w:pPr>
        <w:spacing w:after="0" w:line="124" w:lineRule="exact"/>
        <w:rPr>
          <w:sz w:val="20"/>
          <w:szCs w:val="20"/>
          <w:color w:val="auto"/>
        </w:rPr>
      </w:pPr>
    </w:p>
    <w:p>
      <w:pPr>
        <w:ind w:left="1920" w:hanging="631"/>
        <w:spacing w:after="0"/>
        <w:tabs>
          <w:tab w:leader="none" w:pos="192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acceptance of any other guaranties or security for any of the Guaranteed Obligations;</w:t>
      </w:r>
    </w:p>
    <w:p>
      <w:pPr>
        <w:spacing w:after="0" w:line="226" w:lineRule="exact"/>
        <w:rPr>
          <w:sz w:val="20"/>
          <w:szCs w:val="20"/>
          <w:color w:val="auto"/>
        </w:rPr>
      </w:pPr>
    </w:p>
    <w:p>
      <w:pPr>
        <w:ind w:left="1920" w:hanging="631"/>
        <w:spacing w:after="0"/>
        <w:tabs>
          <w:tab w:leader="none" w:pos="192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by any other Person of a portion, but not all, of the Guaranteed Obligations; and</w:t>
      </w:r>
    </w:p>
    <w:p>
      <w:pPr>
        <w:spacing w:after="0" w:line="253" w:lineRule="exact"/>
        <w:rPr>
          <w:sz w:val="20"/>
          <w:szCs w:val="20"/>
          <w:color w:val="auto"/>
        </w:rPr>
      </w:pPr>
    </w:p>
    <w:p>
      <w:pPr>
        <w:jc w:val="both"/>
        <w:ind w:right="2780" w:firstLine="1291"/>
        <w:spacing w:after="0" w:line="302" w:lineRule="auto"/>
        <w:rPr>
          <w:sz w:val="20"/>
          <w:szCs w:val="20"/>
          <w:color w:val="auto"/>
        </w:rPr>
      </w:pPr>
      <w:r>
        <w:rPr>
          <w:rFonts w:ascii="Times New Roman" w:cs="Times New Roman" w:eastAsia="Times New Roman" w:hAnsi="Times New Roman"/>
          <w:sz w:val="21"/>
          <w:szCs w:val="21"/>
          <w:color w:val="auto"/>
        </w:rPr>
        <w:t>(ab) any other circumstances that might otherwise constitute a legal or equitable discharge or defense of a guarantor (other than payment by Seller of the Guaranteed Obligations),</w:t>
      </w:r>
    </w:p>
    <w:p>
      <w:pPr>
        <w:spacing w:after="0" w:line="127" w:lineRule="exact"/>
        <w:rPr>
          <w:sz w:val="20"/>
          <w:szCs w:val="20"/>
          <w:color w:val="auto"/>
        </w:rPr>
      </w:pPr>
    </w:p>
    <w:p>
      <w:pPr>
        <w:ind w:right="20" w:hanging="8"/>
        <w:spacing w:after="0" w:line="288" w:lineRule="auto"/>
        <w:rPr>
          <w:sz w:val="20"/>
          <w:szCs w:val="20"/>
          <w:color w:val="auto"/>
        </w:rPr>
      </w:pPr>
      <w:r>
        <w:rPr>
          <w:rFonts w:ascii="Times New Roman" w:cs="Times New Roman" w:eastAsia="Times New Roman" w:hAnsi="Times New Roman"/>
          <w:sz w:val="21"/>
          <w:szCs w:val="21"/>
          <w:color w:val="auto"/>
        </w:rPr>
        <w:t>other than, in each case, any defenses that either Seller or the Guarantor may assert with respect to its payment under the agreement under which such Guaranteed Obligations arise, or the</w:t>
      </w:r>
    </w:p>
    <w:p>
      <w:pPr>
        <w:sectPr>
          <w:pgSz w:w="11900" w:h="16838" w:orient="portrait"/>
          <w:cols w:equalWidth="0" w:num="1">
            <w:col w:w="11160"/>
          </w:cols>
          <w:pgMar w:left="320" w:top="1440" w:right="419" w:bottom="1440" w:gutter="0" w:footer="0" w:header="0"/>
        </w:sectPr>
      </w:pPr>
    </w:p>
    <w:bookmarkStart w:id="180" w:name="page181"/>
    <w:bookmarkEnd w:id="180"/>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 waiver, settlement or discharge of the Guaranteed Obligations or of this Agreement by Buyer.</w:t>
      </w:r>
    </w:p>
    <w:p>
      <w:pPr>
        <w:spacing w:after="0" w:line="226" w:lineRule="exact"/>
        <w:rPr>
          <w:sz w:val="20"/>
          <w:szCs w:val="20"/>
          <w:color w:val="auto"/>
        </w:rPr>
      </w:pPr>
    </w:p>
    <w:p>
      <w:pPr>
        <w:jc w:val="both"/>
        <w:ind w:left="640" w:firstLine="641"/>
        <w:spacing w:after="0" w:line="260"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Subrogation</w:t>
      </w:r>
      <w:r>
        <w:rPr>
          <w:rFonts w:ascii="Times New Roman" w:cs="Times New Roman" w:eastAsia="Times New Roman" w:hAnsi="Times New Roman"/>
          <w:sz w:val="21"/>
          <w:szCs w:val="21"/>
          <w:color w:val="auto"/>
        </w:rPr>
        <w:t>. Unless and until the discharge in full of all due and payable Guaranteed Obligations, (a) Guarantor shall not exercise any right of subrogation or enforce any remedy which Buyer may have now or may hereafter have against Seller, and (b) Guarantor shall not enforce any claim, right or remedy which the Guarantor may now have or may hereafter acquire against Seller that arises hereunder, from the existence or enforcement of this Agreement or from the payment by the Guarantor hereunder (including any claim, remedy or right of subrogation, reimbursement, exoneration, contribution, indemnification, or participation in any claim, right or remedy of Buyer against Seller), whether or not such claim, right or remedy arises in equity, under contract, by statute, under common law or otherwise.</w:t>
      </w:r>
    </w:p>
    <w:p>
      <w:pPr>
        <w:spacing w:after="0" w:line="173" w:lineRule="exact"/>
        <w:rPr>
          <w:sz w:val="20"/>
          <w:szCs w:val="20"/>
          <w:color w:val="auto"/>
        </w:rPr>
      </w:pPr>
    </w:p>
    <w:p>
      <w:pPr>
        <w:jc w:val="both"/>
        <w:ind w:left="640" w:firstLine="641"/>
        <w:spacing w:after="0" w:line="260"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Reinstatement</w:t>
      </w:r>
      <w:r>
        <w:rPr>
          <w:rFonts w:ascii="Times New Roman" w:cs="Times New Roman" w:eastAsia="Times New Roman" w:hAnsi="Times New Roman"/>
          <w:sz w:val="21"/>
          <w:szCs w:val="21"/>
          <w:color w:val="auto"/>
        </w:rPr>
        <w:t>. This Agreement and the obligations of the Guarantor hereunder shall continue to be effective or be automatically reinstated, as the case may be, if and to the extent that for any reason any payment by or on behalf of the Guarantor in respect of the Guaranteed Obligations is rescinded or otherwise restored to the Guarantor, whether as a result of any proceedings in bankruptcy or reorganization or otherwise, all as if such payment had not been made, and each Guarantor agrees that it will indemnify Buyer and its successors and assigns, on demand for all costs and expenses (including reasonable fees of counsel) incurred by Buyer and its successors and assigns in connection with any such rescission or restoration.</w:t>
      </w:r>
    </w:p>
    <w:p>
      <w:pPr>
        <w:spacing w:after="0" w:line="199"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jc w:val="both"/>
        <w:ind w:firstLine="4623"/>
        <w:spacing w:after="0" w:line="268" w:lineRule="auto"/>
        <w:tabs>
          <w:tab w:leader="none" w:pos="5263"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 and liability of the Guarantor under this Agreement is specifically limited to payment in respect of the Guaranteed Obligations, subject to any and all rights, set-offs, offsets, claims, counterclaims, limitations, qualifications and other defenses, solely to the extent that each of the foregoing are available to Seller under the Purchase Agreement, other than as expressly waived by each Guarantor pursuant to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4262"/>
        <w:spacing w:after="0" w:line="277" w:lineRule="auto"/>
        <w:tabs>
          <w:tab w:leader="none" w:pos="4901"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Guarantor shall not have any obligation or liability to any Person relating to, arising out of or in connection with this Agreement or the Purchase Agreement, other than as expressly set forth herein and therein.</w:t>
      </w:r>
    </w:p>
    <w:p>
      <w:pPr>
        <w:spacing w:after="0" w:line="152" w:lineRule="exact"/>
        <w:rPr>
          <w:rFonts w:ascii="Times New Roman" w:cs="Times New Roman" w:eastAsia="Times New Roman" w:hAnsi="Times New Roman"/>
          <w:sz w:val="21"/>
          <w:szCs w:val="21"/>
          <w:color w:val="auto"/>
        </w:rPr>
      </w:pPr>
    </w:p>
    <w:p>
      <w:pPr>
        <w:jc w:val="both"/>
        <w:ind w:left="720" w:firstLine="858"/>
        <w:spacing w:after="0" w:line="261" w:lineRule="auto"/>
        <w:tabs>
          <w:tab w:leader="none" w:pos="222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in no event shall (i) Buyer be entitled to recover any amounts hereunder with respect to any Guaranteed Obligation to the extent Buyer or its Affiliates has recovered such amounts in cash under the Purchase Agreement or (ii) there be any duplication of payments to or recovery by Buyer or its Affiliates under different provisions of this Agreement, or under any provision of this Agreement and any provision of the</w:t>
      </w:r>
    </w:p>
    <w:p>
      <w:pPr>
        <w:spacing w:after="0" w:line="2"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21"/>
          <w:szCs w:val="21"/>
          <w:color w:val="auto"/>
        </w:rPr>
        <w:t>Purchase Agreement.</w:t>
      </w:r>
    </w:p>
    <w:p>
      <w:pPr>
        <w:sectPr>
          <w:pgSz w:w="11900" w:h="16838" w:orient="portrait"/>
          <w:cols w:equalWidth="0" w:num="1">
            <w:col w:w="11160"/>
          </w:cols>
          <w:pgMar w:left="320" w:top="1440" w:right="419" w:bottom="1440" w:gutter="0" w:footer="0" w:header="0"/>
        </w:sectPr>
      </w:pPr>
    </w:p>
    <w:bookmarkStart w:id="181" w:name="page182"/>
    <w:bookmarkEnd w:id="181"/>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 xml:space="preserve">ARTICLE VI. </w:t>
      </w:r>
      <w:r>
        <w:rPr>
          <w:rFonts w:ascii="Times New Roman" w:cs="Times New Roman" w:eastAsia="Times New Roman" w:hAnsi="Times New Roman"/>
          <w:sz w:val="21"/>
          <w:szCs w:val="21"/>
          <w:u w:val="single" w:color="auto"/>
          <w:color w:val="auto"/>
        </w:rPr>
        <w:t>MISCELLANEOUS</w:t>
      </w:r>
    </w:p>
    <w:p>
      <w:pPr>
        <w:spacing w:after="0" w:line="226"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Successions or Assignments</w:t>
      </w:r>
      <w:r>
        <w:rPr>
          <w:rFonts w:ascii="Times New Roman" w:cs="Times New Roman" w:eastAsia="Times New Roman" w:hAnsi="Times New Roman"/>
          <w:sz w:val="21"/>
          <w:szCs w:val="21"/>
          <w:color w:val="auto"/>
        </w:rPr>
        <w:t>. This Agreement shall be binding upon and, except as provided below, inure solely to the benefit of each Party and their successors and assigns, and nothing in this Agreement, express or implied, is intended to confer upon any other Person any rights or remedies of any nature whatsoever under or by reason of this Agreement. No Party may assign any or all of its rights, privileges and obligations hereunder without the prior written consent of each other Party.</w:t>
      </w:r>
    </w:p>
    <w:p>
      <w:pPr>
        <w:spacing w:after="0" w:line="150"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Public Announcements</w:t>
      </w:r>
      <w:r>
        <w:rPr>
          <w:rFonts w:ascii="Times New Roman" w:cs="Times New Roman" w:eastAsia="Times New Roman" w:hAnsi="Times New Roman"/>
          <w:sz w:val="21"/>
          <w:szCs w:val="21"/>
          <w:color w:val="auto"/>
        </w:rPr>
        <w:t>. Subject to any requirements of Applicable Law, no Party shall issue, or permit any of their respective Affiliates to issue, any press release or otherwise make any public statements with respect to this Agreement or the transactions contemplated hereby without the prior written consent of the other Parties. Subject to any requirements of Applicable Law, each Party will be given the opportunity to review in advance, upon the request of such Party, all information relating hereto that appears in any filing made in connection with the transactions contemplated hereby.</w:t>
      </w:r>
    </w:p>
    <w:p>
      <w:pPr>
        <w:spacing w:after="0" w:line="168"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No delay or omission on the part of Buyer in exercising any of its rights (including those hereunder) and no partial or single exercise thereof and no action or non-action by Buyer with or without notice to the Guarantor, or any other Person, shall constitute a waiver of any rights or shall affect or impair this Agreement.</w:t>
      </w:r>
    </w:p>
    <w:p>
      <w:pPr>
        <w:spacing w:after="0" w:line="160"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and captions used in this Agreement are for reference purposes only and shall not affect in any way the meaning or interpretation of this Agreement.</w:t>
      </w:r>
    </w:p>
    <w:p>
      <w:pPr>
        <w:spacing w:after="0" w:line="142" w:lineRule="exact"/>
        <w:rPr>
          <w:sz w:val="20"/>
          <w:szCs w:val="20"/>
          <w:color w:val="auto"/>
        </w:rPr>
      </w:pPr>
    </w:p>
    <w:p>
      <w:pPr>
        <w:jc w:val="both"/>
        <w:ind w:firstLine="641"/>
        <w:spacing w:after="0" w:line="280"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Remedies Cumulative</w:t>
      </w:r>
      <w:r>
        <w:rPr>
          <w:rFonts w:ascii="Times New Roman" w:cs="Times New Roman" w:eastAsia="Times New Roman" w:hAnsi="Times New Roman"/>
          <w:sz w:val="21"/>
          <w:szCs w:val="21"/>
          <w:color w:val="auto"/>
        </w:rPr>
        <w:t>. Each and every right and remedy of Buyer hereunder shall be cumulative and shall be in addition to any other right or remedy given hereunder and under the Purchase Agreement, now or hereafter existing at law or in equity.</w:t>
      </w:r>
    </w:p>
    <w:p>
      <w:pPr>
        <w:spacing w:after="0" w:line="200" w:lineRule="exact"/>
        <w:rPr>
          <w:sz w:val="20"/>
          <w:szCs w:val="20"/>
          <w:color w:val="auto"/>
        </w:rPr>
      </w:pPr>
    </w:p>
    <w:p>
      <w:pPr>
        <w:spacing w:after="0" w:line="212"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contemplated herein are not affected in any manner materially adverse to any Party.</w:t>
      </w:r>
    </w:p>
    <w:p>
      <w:pPr>
        <w:spacing w:after="0" w:line="164"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This Agreement may not be amended or modified except by an instrument in writing signed by each Party hereto.</w:t>
      </w:r>
    </w:p>
    <w:p>
      <w:pPr>
        <w:spacing w:after="0" w:line="142"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Governing Law; Choice of Forum; Waiver of Jury Trial</w:t>
      </w:r>
      <w:r>
        <w:rPr>
          <w:rFonts w:ascii="Times New Roman" w:cs="Times New Roman" w:eastAsia="Times New Roman" w:hAnsi="Times New Roman"/>
          <w:sz w:val="21"/>
          <w:szCs w:val="21"/>
          <w:color w:val="auto"/>
        </w:rPr>
        <w:t>. THIS AGREEMENT SHALL IN ALL RESPECTS, INCLUDING ALL MATTERS OF CONSTRUCTION, VALIDITY AND PERFORMANCE, BE GOVERNED BY, AND CONSTRUED IN ACCORDANCE WITH, THE LAWS OF THE STATE OF NEW YORK (INCLUDING SECTIONS 5-1401 AND 5-1402 OF THE GENERAL OBLIGATIONS LAW, BUT WITHOUT REGARD TO ANY OTHER CONFLICT OF LAWS PROVISIONS THEREOF). ALL LEGAL ACTIONS OR PROCEEDINGS BROUGHT AGAINST EITHER PARTY WITH RESPECT TO THIS AGREEMENT MAY BE BROUGHT IN ANY STATE OR FEDERAL COURT OF</w:t>
      </w:r>
    </w:p>
    <w:p>
      <w:pPr>
        <w:sectPr>
          <w:pgSz w:w="11900" w:h="16838" w:orient="portrait"/>
          <w:cols w:equalWidth="0" w:num="1">
            <w:col w:w="11160"/>
          </w:cols>
          <w:pgMar w:left="320" w:top="1440" w:right="419" w:bottom="1440" w:gutter="0" w:footer="0" w:header="0"/>
        </w:sectPr>
      </w:pPr>
    </w:p>
    <w:bookmarkStart w:id="182" w:name="page183"/>
    <w:bookmarkEnd w:id="182"/>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COMPETENT JURISDICTION IN THE COUNTY OF NEW YORK, STATE OF NEW YORK, AND BY EXECUTION AND DELIVERY OF THIS AGREEMENT EACH PARTY ACCEPTS FOR ITSELF AND IN CONNECTION WITH ITS PROPERTIES, THE NON-EXCLUSIVE JURISDICTION OF THE AFORESAID COURTS, AND IRREVOCABLY AGREES TO BE BOUND BY ANY JUDGMENT RENDERED THEREBY IN CONNECTION WITH THIS AGREEMENT. EACH PARTY HEREBY EXPRESSLY AND IRREVOCABLY WAIVES ANY CLAIM OR DEFENSE IN ANY SUCH ACTION OR PROCEEDING BASED ON ANY ALLEGED LACK OF PERSONAL JURISDICTION, IMPROPER VENUE OR FORUM NON CONVENIENS OR ANY SIMILAR BASIS. EACH PARTY FURTHER IRREVOCABLY CONSENTS TO THE SERVICE OF ANY COMPLAINT, SUMMONS, NOTICE OR OTHER PROCESS RELATING TO ANY LEGAL ACTION OR PROCEEDING BY DELIVERY THEREOF TO IT BY HAND OR BY MAIL (BUT NOT BY E-MAIL) TO THE ADDRESS SET FORTH IN SECTION 6.10. NOTHING HEREIN SHALL AFFECT THE RIGHT OF ANY PARTY TO BRING PROCEEDINGS AGAINST ANY OTHER PARTY IN THE COURTS OF ANY OTHER JURISDICTION OR TO SERVE PROCESS IN ANY MANNER PERMITTED BY LAW. EACH PARTY HEREBY IRREVOCABLY AND UNCONDITIONALLY WAIVES ANY AND ALL RIGHT TO TRIAL BY JURY IN ANY ACTION, SUIT OR COUNTERCLAIM ARISING IN CONNECTION WITH THIS AGREEMENT.</w:t>
      </w:r>
    </w:p>
    <w:p>
      <w:pPr>
        <w:spacing w:after="0" w:line="173"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21"/>
          <w:szCs w:val="21"/>
          <w:color w:val="auto"/>
        </w:rPr>
        <w:t xml:space="preserve">6.9 </w:t>
      </w:r>
      <w:r>
        <w:rPr>
          <w:rFonts w:ascii="Times New Roman" w:cs="Times New Roman" w:eastAsia="Times New Roman" w:hAnsi="Times New Roman"/>
          <w:sz w:val="21"/>
          <w:szCs w:val="21"/>
          <w:u w:val="single" w:color="auto"/>
          <w:color w:val="auto"/>
        </w:rPr>
        <w:t>Entire Agreement; No Other Representations</w:t>
      </w:r>
      <w:r>
        <w:rPr>
          <w:rFonts w:ascii="Times New Roman" w:cs="Times New Roman" w:eastAsia="Times New Roman" w:hAnsi="Times New Roman"/>
          <w:sz w:val="21"/>
          <w:szCs w:val="21"/>
          <w:color w:val="auto"/>
        </w:rPr>
        <w:t xml:space="preserve">. This Agreement and the Purchase Agreement embody the entire agreement and understanding of the Parties hereto in respect of the Transaction and supersede all prior agreements, letters of intent, representations, warranties, promises, covenants, arrangements, communications and understandings, oral or written, express or implied, between the Parties with respect to the transactions contemplated hereby. There are no agreements, representations, warranties, promises, covenants, arrangements or understandings between the Parties with respect to the Transaction, other than those expressly set forth or referred to herein. The representations and warranties made under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are the sole representations and warranties of the Guarantor with respect to this Agreement and any other representations and warranties, implied or otherwise, and any reliance thereon are hereby disclaimed by the Guarantor.</w:t>
      </w:r>
    </w:p>
    <w:p>
      <w:pPr>
        <w:spacing w:after="0" w:line="173" w:lineRule="exact"/>
        <w:rPr>
          <w:sz w:val="20"/>
          <w:szCs w:val="20"/>
          <w:color w:val="auto"/>
        </w:rPr>
      </w:pPr>
    </w:p>
    <w:p>
      <w:pPr>
        <w:jc w:val="both"/>
        <w:ind w:right="20" w:firstLine="641"/>
        <w:spacing w:after="0" w:line="288"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hereunder shall be in writing and be given to the Parties at the following addresses (or at such other address for a Party as shall be specified by like notice):</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Guarantor:</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Opal Fuels Inc.</w:t>
      </w:r>
    </w:p>
    <w:p>
      <w:pPr>
        <w:spacing w:after="0" w:line="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One North Lexington Avenue</w:t>
      </w:r>
    </w:p>
    <w:p>
      <w:pPr>
        <w:spacing w:after="0" w:line="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w:t>
      </w:r>
    </w:p>
    <w:p>
      <w:pPr>
        <w:spacing w:after="0" w:line="14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White Plains, NY 10601</w:t>
      </w:r>
    </w:p>
    <w:p>
      <w:pPr>
        <w:spacing w:after="0" w:line="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E-mail: noticeofficer@opalfuels.com</w:t>
      </w:r>
    </w:p>
    <w:p>
      <w:pPr>
        <w:spacing w:after="0" w:line="2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Buyer: As specified in Schedule 7 to the Purchase Agreement.</w:t>
      </w:r>
    </w:p>
    <w:p>
      <w:pPr>
        <w:sectPr>
          <w:pgSz w:w="11900" w:h="16838" w:orient="portrait"/>
          <w:cols w:equalWidth="0" w:num="1">
            <w:col w:w="11160"/>
          </w:cols>
          <w:pgMar w:left="320" w:top="1440" w:right="419" w:bottom="1440" w:gutter="0" w:footer="0" w:header="0"/>
        </w:sectPr>
      </w:pPr>
    </w:p>
    <w:bookmarkStart w:id="183" w:name="page184"/>
    <w:bookmarkEnd w:id="183"/>
    <w:p>
      <w:pPr>
        <w:spacing w:after="0" w:line="222" w:lineRule="exact"/>
        <w:rPr>
          <w:sz w:val="20"/>
          <w:szCs w:val="20"/>
          <w:color w:val="auto"/>
        </w:rPr>
      </w:pPr>
    </w:p>
    <w:p>
      <w:pPr>
        <w:ind w:left="140"/>
        <w:spacing w:after="0"/>
        <w:tabs>
          <w:tab w:leader="none" w:pos="780" w:val="left"/>
        </w:tabs>
        <w:rPr>
          <w:sz w:val="20"/>
          <w:szCs w:val="20"/>
          <w:color w:val="auto"/>
        </w:rPr>
      </w:pPr>
      <w:r>
        <w:rPr>
          <w:rFonts w:ascii="Times New Roman" w:cs="Times New Roman" w:eastAsia="Times New Roman" w:hAnsi="Times New Roman"/>
          <w:sz w:val="21"/>
          <w:szCs w:val="21"/>
          <w:color w:val="auto"/>
        </w:rPr>
        <w:t>6.11</w:t>
      </w:r>
      <w:r>
        <w:rPr>
          <w:sz w:val="20"/>
          <w:szCs w:val="20"/>
          <w:color w:val="auto"/>
        </w:rPr>
        <w:tab/>
      </w:r>
      <w:r>
        <w:rPr>
          <w:rFonts w:ascii="Times New Roman" w:cs="Times New Roman" w:eastAsia="Times New Roman" w:hAnsi="Times New Roman"/>
          <w:sz w:val="21"/>
          <w:szCs w:val="21"/>
          <w:u w:val="single" w:color="auto"/>
          <w:color w:val="auto"/>
        </w:rPr>
        <w:t>Collection Expenses; Set-Off</w:t>
      </w:r>
      <w:r>
        <w:rPr>
          <w:rFonts w:ascii="Times New Roman" w:cs="Times New Roman" w:eastAsia="Times New Roman" w:hAnsi="Times New Roman"/>
          <w:sz w:val="21"/>
          <w:szCs w:val="21"/>
          <w:color w:val="auto"/>
        </w:rPr>
        <w:t>.</w:t>
      </w:r>
    </w:p>
    <w:p>
      <w:pPr>
        <w:spacing w:after="0" w:line="253" w:lineRule="exact"/>
        <w:rPr>
          <w:sz w:val="20"/>
          <w:szCs w:val="20"/>
          <w:color w:val="auto"/>
        </w:rPr>
      </w:pPr>
    </w:p>
    <w:p>
      <w:pPr>
        <w:jc w:val="both"/>
        <w:ind w:left="-80" w:firstLine="4412"/>
        <w:spacing w:after="0" w:line="273" w:lineRule="auto"/>
        <w:tabs>
          <w:tab w:leader="none" w:pos="4972"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regard to any limitation set forth in this Agreement, if Buyer is required to pursue any remedy against the Guarantor hereunder, the Guarantor shall pay to Buyer, upon demand therefor, all reasonable and documented attorneys’ fees and all other reasonable and documented out of pocket costs and expenses incurred by Buyer in enforcing this Agreement (and such fees, costs and expenses shall be deemed to be part of the Guaranteed Obligations).</w:t>
      </w:r>
    </w:p>
    <w:p>
      <w:pPr>
        <w:spacing w:after="0" w:line="170" w:lineRule="exact"/>
        <w:rPr>
          <w:rFonts w:ascii="Times New Roman" w:cs="Times New Roman" w:eastAsia="Times New Roman" w:hAnsi="Times New Roman"/>
          <w:sz w:val="21"/>
          <w:szCs w:val="21"/>
          <w:color w:val="auto"/>
        </w:rPr>
      </w:pPr>
    </w:p>
    <w:p>
      <w:pPr>
        <w:jc w:val="both"/>
        <w:ind w:left="-80" w:firstLine="4031"/>
        <w:spacing w:after="0" w:line="264" w:lineRule="auto"/>
        <w:tabs>
          <w:tab w:leader="none" w:pos="459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rights now or hereafter granted under Applicable Laws or otherwise, and not by way of limitation of any such rights, upon the failure of the Guarantor to make any payment as required hereunder, Buyer is hereby authorized at any time or from time to time, without presentment, demand, protest or other notice of any kind to the Guarantor, or to any other Person, any such notice being hereby expressly waived, to set-off and to appropriate and apply any and all deposits (general or special) to or for the credit or the account of the Guarantor against and on account of the obligations of the Guarantor under this Agreement.</w:t>
      </w:r>
    </w:p>
    <w:p>
      <w:pPr>
        <w:spacing w:after="0" w:line="170" w:lineRule="exact"/>
        <w:rPr>
          <w:sz w:val="20"/>
          <w:szCs w:val="20"/>
          <w:color w:val="auto"/>
        </w:rPr>
      </w:pPr>
    </w:p>
    <w:p>
      <w:pPr>
        <w:jc w:val="both"/>
        <w:ind w:left="560" w:firstLine="641"/>
        <w:spacing w:after="0" w:line="258"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and delivered (including by electronic mail transmission) in one or more counterparts, all of which shall be considered one and the same agreement and shall become effective when one or more counterparts have been signed by the Guarantor and Buyer and delivered to the other Parties, it being understood that all Parties need not sign the same counterpart. This Agreement may be executed by signatures delivered by email, and a copy hereof that is executed and delivered by a Party by email (including in .pdf format) will be binding upon 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signatures effected through DocuSign),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57" w:lineRule="exact"/>
        <w:rPr>
          <w:sz w:val="20"/>
          <w:szCs w:val="20"/>
          <w:color w:val="auto"/>
        </w:rPr>
      </w:pPr>
    </w:p>
    <w:p>
      <w:pPr>
        <w:ind w:left="1200"/>
        <w:spacing w:after="0"/>
        <w:tabs>
          <w:tab w:leader="none" w:pos="184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1"/>
          <w:szCs w:val="21"/>
          <w:u w:val="single" w:color="auto"/>
          <w:color w:val="auto"/>
        </w:rPr>
        <w:t>Time</w:t>
      </w:r>
      <w:r>
        <w:rPr>
          <w:rFonts w:ascii="Times New Roman" w:cs="Times New Roman" w:eastAsia="Times New Roman" w:hAnsi="Times New Roman"/>
          <w:sz w:val="21"/>
          <w:szCs w:val="21"/>
          <w:color w:val="auto"/>
        </w:rPr>
        <w:t>. Time is of the essence in this Agreement.</w:t>
      </w:r>
    </w:p>
    <w:p>
      <w:pPr>
        <w:spacing w:after="0" w:line="226" w:lineRule="exact"/>
        <w:rPr>
          <w:sz w:val="20"/>
          <w:szCs w:val="20"/>
          <w:color w:val="auto"/>
        </w:rPr>
      </w:pPr>
    </w:p>
    <w:p>
      <w:pPr>
        <w:jc w:val="both"/>
        <w:ind w:left="560" w:firstLine="641"/>
        <w:spacing w:after="0" w:line="260"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 xml:space="preserve">, this Agreement and all of the obligations of the Guarantor hereunder shall automatically terminate on the date of the complete payment, expiration or termination of the Guaranteed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Sections 5.2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5.5</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survive such termination of this Agreement;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obligations of the Guarantor under this Agreement shall survive any termination pursuant to this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solely with respect to any claims made by Buyer under this Agreement prior to such termination.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ectPr>
          <w:pgSz w:w="11900" w:h="16838" w:orient="portrait"/>
          <w:cols w:equalWidth="0" w:num="1">
            <w:col w:w="11080"/>
          </w:cols>
          <w:pgMar w:left="400" w:top="1440" w:right="419" w:bottom="1440" w:gutter="0" w:footer="0" w:header="0"/>
        </w:sectPr>
      </w:pPr>
    </w:p>
    <w:bookmarkStart w:id="184" w:name="page185"/>
    <w:bookmarkEnd w:id="184"/>
    <w:p>
      <w:pPr>
        <w:spacing w:after="0" w:line="347" w:lineRule="exact"/>
        <w:rPr>
          <w:sz w:val="20"/>
          <w:szCs w:val="20"/>
          <w:color w:val="auto"/>
        </w:rPr>
      </w:pPr>
    </w:p>
    <w:p>
      <w:pPr>
        <w:ind w:left="760" w:firstLine="641"/>
        <w:spacing w:after="0" w:line="262" w:lineRule="auto"/>
        <w:rPr>
          <w:sz w:val="20"/>
          <w:szCs w:val="20"/>
          <w:color w:val="auto"/>
        </w:rPr>
      </w:pPr>
      <w:r>
        <w:rPr>
          <w:rFonts w:ascii="Times New Roman" w:cs="Times New Roman" w:eastAsia="Times New Roman" w:hAnsi="Times New Roman"/>
          <w:sz w:val="20"/>
          <w:szCs w:val="20"/>
          <w:color w:val="auto"/>
        </w:rPr>
        <w:t>IN WITNESS WHEREOF, the parties hereto, by their officers duly authorized, intending to be legally bound, have caused this Agreement to be duly executed and delivered as of the date first above written.</w:t>
      </w:r>
    </w:p>
    <w:p>
      <w:pPr>
        <w:spacing w:after="0" w:line="1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OPAL FUELS INC.</w:t>
      </w:r>
      <w:r>
        <w:rPr>
          <w:rFonts w:ascii="Times New Roman" w:cs="Times New Roman" w:eastAsia="Times New Roman" w:hAnsi="Times New Roman"/>
          <w:sz w:val="20"/>
          <w:szCs w:val="20"/>
          <w:color w:val="auto"/>
        </w:rPr>
        <w:t>, a Delaware corporation, as Guarantor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Jonathan Maurer</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Jonathan Maurer</w:t>
      </w:r>
    </w:p>
    <w:p>
      <w:pPr>
        <w:spacing w:after="0" w:line="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Co-Chief Executive Officer</w:t>
      </w:r>
    </w:p>
    <w:p>
      <w:pPr>
        <w:sectPr>
          <w:pgSz w:w="11900" w:h="16838" w:orient="portrait"/>
          <w:cols w:equalWidth="0" w:num="1">
            <w:col w:w="10780"/>
          </w:cols>
          <w:pgMar w:left="540" w:top="1440" w:right="579" w:bottom="1440" w:gutter="0" w:footer="0" w:header="0"/>
        </w:sectPr>
      </w:pPr>
    </w:p>
    <w:bookmarkStart w:id="185" w:name="page186"/>
    <w:bookmarkEnd w:id="185"/>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Prince William</w:t>
      </w:r>
      <w:r>
        <w:rPr>
          <w:sz w:val="20"/>
          <w:szCs w:val="20"/>
          <w:color w:val="auto"/>
        </w:rPr>
        <w:tab/>
      </w:r>
      <w:r>
        <w:rPr>
          <w:rFonts w:ascii="Times New Roman" w:cs="Times New Roman" w:eastAsia="Times New Roman" w:hAnsi="Times New Roman"/>
          <w:sz w:val="17"/>
          <w:szCs w:val="17"/>
          <w:color w:val="auto"/>
        </w:rPr>
        <w:t>Guaranty</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Accepted:</w:t>
      </w:r>
    </w:p>
    <w:p>
      <w:pPr>
        <w:spacing w:after="0" w:line="207" w:lineRule="exact"/>
        <w:rPr>
          <w:sz w:val="20"/>
          <w:szCs w:val="20"/>
          <w:color w:val="auto"/>
        </w:rPr>
      </w:pPr>
    </w:p>
    <w:p>
      <w:pPr>
        <w:ind w:left="760" w:right="3939" w:hanging="8"/>
        <w:spacing w:after="0" w:line="292" w:lineRule="auto"/>
        <w:rPr>
          <w:sz w:val="20"/>
          <w:szCs w:val="20"/>
          <w:color w:val="auto"/>
        </w:rPr>
      </w:pPr>
      <w:r>
        <w:rPr>
          <w:rFonts w:ascii="Times New Roman" w:cs="Times New Roman" w:eastAsia="Times New Roman" w:hAnsi="Times New Roman"/>
          <w:sz w:val="21"/>
          <w:szCs w:val="21"/>
          <w:b w:val="1"/>
          <w:bCs w:val="1"/>
          <w:color w:val="auto"/>
        </w:rPr>
        <w:t>2024 TTC Aggregator L.P.</w:t>
      </w:r>
      <w:r>
        <w:rPr>
          <w:rFonts w:ascii="Times New Roman" w:cs="Times New Roman" w:eastAsia="Times New Roman" w:hAnsi="Times New Roman"/>
          <w:sz w:val="21"/>
          <w:szCs w:val="21"/>
          <w:color w:val="auto"/>
        </w:rPr>
        <w:t>, a Delaware limited partnership,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Buyer</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b w:val="1"/>
          <w:bCs w:val="1"/>
          <w:color w:val="auto"/>
        </w:rPr>
        <w:t>2024 TTC AGGREGATOR GP, LLC</w:t>
      </w:r>
      <w:r>
        <w:rPr>
          <w:rFonts w:ascii="Times New Roman" w:cs="Times New Roman" w:eastAsia="Times New Roman" w:hAnsi="Times New Roman"/>
          <w:sz w:val="21"/>
          <w:szCs w:val="21"/>
          <w:color w:val="auto"/>
        </w:rPr>
        <w:t>, its general partner</w:t>
      </w:r>
    </w:p>
    <w:p>
      <w:pPr>
        <w:spacing w:after="0" w:line="40" w:lineRule="exact"/>
        <w:rPr>
          <w:sz w:val="20"/>
          <w:szCs w:val="20"/>
          <w:color w:val="auto"/>
        </w:rPr>
      </w:pPr>
    </w:p>
    <w:p>
      <w:pPr>
        <w:ind w:left="760" w:right="799" w:hanging="8"/>
        <w:spacing w:after="0" w:line="278" w:lineRule="auto"/>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b w:val="1"/>
          <w:bCs w:val="1"/>
          <w:color w:val="auto"/>
        </w:rPr>
        <w:t>APOLLO PRINCIPAL HOLDINGS B, L.P.</w:t>
      </w:r>
      <w:r>
        <w:rPr>
          <w:rFonts w:ascii="Times New Roman" w:cs="Times New Roman" w:eastAsia="Times New Roman" w:hAnsi="Times New Roman"/>
          <w:sz w:val="21"/>
          <w:szCs w:val="21"/>
          <w:color w:val="auto"/>
        </w:rPr>
        <w:t xml:space="preserve">, its sole member By: </w:t>
      </w:r>
      <w:r>
        <w:rPr>
          <w:rFonts w:ascii="Times New Roman" w:cs="Times New Roman" w:eastAsia="Times New Roman" w:hAnsi="Times New Roman"/>
          <w:sz w:val="21"/>
          <w:szCs w:val="21"/>
          <w:b w:val="1"/>
          <w:bCs w:val="1"/>
          <w:color w:val="auto"/>
        </w:rPr>
        <w:t>APOLLO PRINCIPAL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HOLDINGS B GP, LLC</w:t>
      </w:r>
      <w:r>
        <w:rPr>
          <w:rFonts w:ascii="Times New Roman" w:cs="Times New Roman" w:eastAsia="Times New Roman" w:hAnsi="Times New Roman"/>
          <w:sz w:val="21"/>
          <w:szCs w:val="21"/>
          <w:color w:val="auto"/>
        </w:rPr>
        <w:t>,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William B. Kuesel</w:t>
      </w:r>
    </w:p>
    <w:p>
      <w:pPr>
        <w:spacing w:after="0" w:line="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William B. Kuesel</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21"/>
          <w:szCs w:val="21"/>
          <w:u w:val="single" w:color="auto"/>
          <w:color w:val="auto"/>
        </w:rPr>
        <w:t>Vice President</w:t>
      </w:r>
    </w:p>
    <w:p>
      <w:pPr>
        <w:sectPr>
          <w:pgSz w:w="11900" w:h="16838" w:orient="portrait"/>
          <w:cols w:equalWidth="0" w:num="1">
            <w:col w:w="9919"/>
          </w:cols>
          <w:pgMar w:left="540" w:top="602" w:right="1440"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120" w:right="1160"/>
        <w:spacing w:after="0" w:line="270" w:lineRule="auto"/>
        <w:rPr>
          <w:sz w:val="20"/>
          <w:szCs w:val="20"/>
          <w:color w:val="auto"/>
        </w:rPr>
      </w:pPr>
      <w:r>
        <w:rPr>
          <w:rFonts w:ascii="Times New Roman" w:cs="Times New Roman" w:eastAsia="Times New Roman" w:hAnsi="Times New Roman"/>
          <w:sz w:val="20"/>
          <w:szCs w:val="20"/>
          <w:b w:val="1"/>
          <w:bCs w:val="1"/>
          <w:color w:val="auto"/>
        </w:rPr>
        <w:t>PORTIONS OF INFORMATION CONTAINED IN THIS AGREEMENT HAVE BEEN EXCLUDED FROM THIS AGREEMENT BECAUSE THEY ARE BOTH NOT MATERIAL AND THE TYPE THAT THE REGISTRANT TREATS AS PRIVATE OR CONFIDENTIAL. EXCLUDED INFORMATION IS MARKED AS [***] BELOW</w:t>
      </w:r>
    </w:p>
    <w:p>
      <w:pPr>
        <w:spacing w:after="0" w:line="200" w:lineRule="exact"/>
        <w:rPr>
          <w:sz w:val="20"/>
          <w:szCs w:val="20"/>
          <w:color w:val="auto"/>
        </w:rPr>
      </w:pPr>
    </w:p>
    <w:p>
      <w:pPr>
        <w:spacing w:after="0" w:line="38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TAX CREDIT PURCHASE AGREEMENT</w:t>
      </w:r>
    </w:p>
    <w:p>
      <w:pPr>
        <w:spacing w:after="0" w:line="21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and between</w:t>
      </w:r>
    </w:p>
    <w:p>
      <w:pPr>
        <w:spacing w:after="0" w:line="19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EAGLEBANK</w:t>
      </w:r>
    </w:p>
    <w:p>
      <w:pPr>
        <w:spacing w:after="0" w:line="21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and</w:t>
      </w:r>
    </w:p>
    <w:p>
      <w:pPr>
        <w:spacing w:after="0" w:line="20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OPAL FUELS LLC</w:t>
      </w:r>
    </w:p>
    <w:p>
      <w:pPr>
        <w:spacing w:after="0" w:line="21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Dated as of June 20, 2025</w:t>
      </w:r>
    </w:p>
    <w:p>
      <w:pPr>
        <w:sectPr>
          <w:pgSz w:w="11900" w:h="16838" w:orient="portrait"/>
          <w:cols w:equalWidth="0" w:num="1">
            <w:col w:w="10060"/>
          </w:cols>
          <w:pgMar w:left="1440" w:top="1014" w:right="399" w:bottom="1440" w:gutter="0" w:footer="0" w:header="0"/>
        </w:sectPr>
      </w:pPr>
    </w:p>
    <w:bookmarkStart w:id="187" w:name="page188"/>
    <w:bookmarkEnd w:id="187"/>
    <w:p>
      <w:pPr>
        <w:ind w:left="448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175" w:lineRule="exact"/>
        <w:rPr>
          <w:sz w:val="20"/>
          <w:szCs w:val="20"/>
          <w:color w:val="auto"/>
        </w:rPr>
      </w:pPr>
    </w:p>
    <w:p>
      <w:pPr>
        <w:spacing w:after="0"/>
        <w:tabs>
          <w:tab w:leader="none" w:pos="1300" w:val="left"/>
          <w:tab w:leader="dot" w:pos="8180" w:val="left"/>
        </w:tabs>
        <w:rPr>
          <w:sz w:val="20"/>
          <w:szCs w:val="20"/>
          <w:color w:val="auto"/>
        </w:rPr>
      </w:pPr>
      <w:r>
        <w:rPr>
          <w:rFonts w:ascii="Times New Roman" w:cs="Times New Roman" w:eastAsia="Times New Roman" w:hAnsi="Times New Roman"/>
          <w:sz w:val="21"/>
          <w:szCs w:val="21"/>
          <w:color w:val="auto"/>
        </w:rPr>
        <w:t>SECTION 1</w:t>
        <w:tab/>
        <w:t>DEFINED TERMS; TERMS GENERALLY.</w:t>
      </w:r>
      <w:r>
        <w:rPr>
          <w:sz w:val="20"/>
          <w:szCs w:val="20"/>
          <w:color w:val="auto"/>
        </w:rPr>
        <w:tab/>
      </w:r>
      <w:r>
        <w:rPr>
          <w:rFonts w:ascii="Times New Roman" w:cs="Times New Roman" w:eastAsia="Times New Roman" w:hAnsi="Times New Roman"/>
          <w:sz w:val="21"/>
          <w:szCs w:val="21"/>
          <w:color w:val="auto"/>
        </w:rPr>
        <w:t>1</w:t>
      </w:r>
    </w:p>
    <w:p>
      <w:pPr>
        <w:spacing w:after="0" w:line="133" w:lineRule="exact"/>
        <w:rPr>
          <w:sz w:val="20"/>
          <w:szCs w:val="20"/>
          <w:color w:val="auto"/>
        </w:rPr>
      </w:pPr>
    </w:p>
    <w:p>
      <w:pPr>
        <w:ind w:left="640"/>
        <w:spacing w:after="0"/>
        <w:tabs>
          <w:tab w:leader="none" w:pos="1260" w:val="left"/>
          <w:tab w:leader="dot" w:pos="814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Defined Terms</w:t>
      </w:r>
      <w:r>
        <w:rPr>
          <w:sz w:val="20"/>
          <w:szCs w:val="20"/>
          <w:color w:val="auto"/>
        </w:rPr>
        <w:tab/>
      </w:r>
      <w:r>
        <w:rPr>
          <w:rFonts w:ascii="Times New Roman" w:cs="Times New Roman" w:eastAsia="Times New Roman" w:hAnsi="Times New Roman"/>
          <w:sz w:val="21"/>
          <w:szCs w:val="21"/>
          <w:color w:val="auto"/>
        </w:rPr>
        <w:t>1</w:t>
      </w:r>
    </w:p>
    <w:p>
      <w:pPr>
        <w:spacing w:after="0" w:line="119" w:lineRule="exact"/>
        <w:rPr>
          <w:sz w:val="20"/>
          <w:szCs w:val="20"/>
          <w:color w:val="auto"/>
        </w:rPr>
      </w:pPr>
    </w:p>
    <w:p>
      <w:pPr>
        <w:ind w:left="640"/>
        <w:spacing w:after="0"/>
        <w:tabs>
          <w:tab w:leader="none" w:pos="1260" w:val="left"/>
          <w:tab w:leader="dot" w:pos="812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Terms Generally</w:t>
      </w:r>
      <w:r>
        <w:rPr>
          <w:sz w:val="20"/>
          <w:szCs w:val="20"/>
          <w:color w:val="auto"/>
        </w:rPr>
        <w:tab/>
      </w:r>
      <w:r>
        <w:rPr>
          <w:rFonts w:ascii="Times New Roman" w:cs="Times New Roman" w:eastAsia="Times New Roman" w:hAnsi="Times New Roman"/>
          <w:sz w:val="21"/>
          <w:szCs w:val="21"/>
          <w:color w:val="auto"/>
        </w:rPr>
        <w:t>8</w:t>
      </w:r>
    </w:p>
    <w:p>
      <w:pPr>
        <w:spacing w:after="0" w:line="119" w:lineRule="exact"/>
        <w:rPr>
          <w:sz w:val="20"/>
          <w:szCs w:val="20"/>
          <w:color w:val="auto"/>
        </w:rPr>
      </w:pPr>
    </w:p>
    <w:p>
      <w:pPr>
        <w:spacing w:after="0"/>
        <w:tabs>
          <w:tab w:leader="none" w:pos="1300" w:val="left"/>
          <w:tab w:leader="dot" w:pos="8200" w:val="left"/>
        </w:tabs>
        <w:rPr>
          <w:sz w:val="20"/>
          <w:szCs w:val="20"/>
          <w:color w:val="auto"/>
        </w:rPr>
      </w:pPr>
      <w:r>
        <w:rPr>
          <w:rFonts w:ascii="Times New Roman" w:cs="Times New Roman" w:eastAsia="Times New Roman" w:hAnsi="Times New Roman"/>
          <w:sz w:val="21"/>
          <w:szCs w:val="21"/>
          <w:color w:val="auto"/>
        </w:rPr>
        <w:t>SECTION 2</w:t>
        <w:tab/>
        <w:t>PURCHASE AND SALE OF TAX CREDITS.</w:t>
      </w:r>
      <w:r>
        <w:rPr>
          <w:sz w:val="20"/>
          <w:szCs w:val="20"/>
          <w:color w:val="auto"/>
        </w:rPr>
        <w:tab/>
      </w:r>
      <w:r>
        <w:rPr>
          <w:rFonts w:ascii="Times New Roman" w:cs="Times New Roman" w:eastAsia="Times New Roman" w:hAnsi="Times New Roman"/>
          <w:sz w:val="20"/>
          <w:szCs w:val="20"/>
          <w:color w:val="auto"/>
        </w:rPr>
        <w:t>8</w:t>
      </w:r>
    </w:p>
    <w:p>
      <w:pPr>
        <w:spacing w:after="0" w:line="133" w:lineRule="exact"/>
        <w:rPr>
          <w:sz w:val="20"/>
          <w:szCs w:val="20"/>
          <w:color w:val="auto"/>
        </w:rPr>
      </w:pPr>
    </w:p>
    <w:p>
      <w:pPr>
        <w:spacing w:after="0"/>
        <w:tabs>
          <w:tab w:leader="none" w:pos="1300" w:val="left"/>
          <w:tab w:leader="dot" w:pos="8200" w:val="left"/>
        </w:tabs>
        <w:rPr>
          <w:sz w:val="20"/>
          <w:szCs w:val="20"/>
          <w:color w:val="auto"/>
        </w:rPr>
      </w:pPr>
      <w:r>
        <w:rPr>
          <w:rFonts w:ascii="Times New Roman" w:cs="Times New Roman" w:eastAsia="Times New Roman" w:hAnsi="Times New Roman"/>
          <w:sz w:val="21"/>
          <w:szCs w:val="21"/>
          <w:color w:val="auto"/>
        </w:rPr>
        <w:t>SECTION 3</w:t>
        <w:tab/>
        <w:t>CONDITIONS PRECEDENT.</w:t>
      </w:r>
      <w:r>
        <w:rPr>
          <w:sz w:val="20"/>
          <w:szCs w:val="20"/>
          <w:color w:val="auto"/>
        </w:rPr>
        <w:tab/>
      </w:r>
      <w:r>
        <w:rPr>
          <w:rFonts w:ascii="Times New Roman" w:cs="Times New Roman" w:eastAsia="Times New Roman" w:hAnsi="Times New Roman"/>
          <w:sz w:val="20"/>
          <w:szCs w:val="20"/>
          <w:color w:val="auto"/>
        </w:rPr>
        <w:t>9</w:t>
      </w:r>
    </w:p>
    <w:p>
      <w:pPr>
        <w:spacing w:after="0" w:line="133" w:lineRule="exact"/>
        <w:rPr>
          <w:sz w:val="20"/>
          <w:szCs w:val="20"/>
          <w:color w:val="auto"/>
        </w:rPr>
      </w:pPr>
    </w:p>
    <w:p>
      <w:pPr>
        <w:spacing w:after="0"/>
        <w:tabs>
          <w:tab w:leader="none" w:pos="1300" w:val="left"/>
          <w:tab w:leader="dot" w:pos="8020" w:val="left"/>
        </w:tabs>
        <w:rPr>
          <w:sz w:val="20"/>
          <w:szCs w:val="20"/>
          <w:color w:val="auto"/>
        </w:rPr>
      </w:pPr>
      <w:r>
        <w:rPr>
          <w:rFonts w:ascii="Times New Roman" w:cs="Times New Roman" w:eastAsia="Times New Roman" w:hAnsi="Times New Roman"/>
          <w:sz w:val="21"/>
          <w:szCs w:val="21"/>
          <w:color w:val="auto"/>
        </w:rPr>
        <w:t>SECTION 4</w:t>
        <w:tab/>
        <w:t>REPRESENTATIONS AND WARRANTIES</w:t>
      </w:r>
      <w:r>
        <w:rPr>
          <w:sz w:val="20"/>
          <w:szCs w:val="20"/>
          <w:color w:val="auto"/>
        </w:rPr>
        <w:tab/>
      </w:r>
      <w:r>
        <w:rPr>
          <w:rFonts w:ascii="Times New Roman" w:cs="Times New Roman" w:eastAsia="Times New Roman" w:hAnsi="Times New Roman"/>
          <w:sz w:val="20"/>
          <w:szCs w:val="20"/>
          <w:color w:val="auto"/>
        </w:rPr>
        <w:t>10</w:t>
      </w:r>
    </w:p>
    <w:p>
      <w:pPr>
        <w:spacing w:after="0" w:line="119"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Mutual Representations and Warranties of the Parties</w:t>
      </w:r>
      <w:r>
        <w:rPr>
          <w:sz w:val="20"/>
          <w:szCs w:val="20"/>
          <w:color w:val="auto"/>
        </w:rPr>
        <w:tab/>
      </w:r>
      <w:r>
        <w:rPr>
          <w:rFonts w:ascii="Times New Roman" w:cs="Times New Roman" w:eastAsia="Times New Roman" w:hAnsi="Times New Roman"/>
          <w:sz w:val="21"/>
          <w:szCs w:val="21"/>
          <w:color w:val="auto"/>
        </w:rPr>
        <w:t>10</w:t>
      </w:r>
    </w:p>
    <w:p>
      <w:pPr>
        <w:spacing w:after="0" w:line="133" w:lineRule="exact"/>
        <w:rPr>
          <w:sz w:val="20"/>
          <w:szCs w:val="20"/>
          <w:color w:val="auto"/>
        </w:rPr>
      </w:pPr>
    </w:p>
    <w:p>
      <w:pPr>
        <w:ind w:left="640"/>
        <w:spacing w:after="0"/>
        <w:tabs>
          <w:tab w:leader="none" w:pos="1260" w:val="left"/>
          <w:tab w:leader="dot" w:pos="808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Representations and Warranties of the Buyer</w:t>
      </w:r>
      <w:r>
        <w:rPr>
          <w:sz w:val="20"/>
          <w:szCs w:val="20"/>
          <w:color w:val="auto"/>
        </w:rPr>
        <w:tab/>
      </w:r>
      <w:r>
        <w:rPr>
          <w:rFonts w:ascii="Times New Roman" w:cs="Times New Roman" w:eastAsia="Times New Roman" w:hAnsi="Times New Roman"/>
          <w:sz w:val="20"/>
          <w:szCs w:val="20"/>
          <w:color w:val="auto"/>
        </w:rPr>
        <w:t>11</w:t>
      </w:r>
    </w:p>
    <w:p>
      <w:pPr>
        <w:spacing w:after="0" w:line="119"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color w:val="auto"/>
        </w:rPr>
        <w:t>Representations and Warranties of the Seller</w:t>
      </w:r>
      <w:r>
        <w:rPr>
          <w:sz w:val="20"/>
          <w:szCs w:val="20"/>
          <w:color w:val="auto"/>
        </w:rPr>
        <w:tab/>
      </w:r>
      <w:r>
        <w:rPr>
          <w:rFonts w:ascii="Times New Roman" w:cs="Times New Roman" w:eastAsia="Times New Roman" w:hAnsi="Times New Roman"/>
          <w:sz w:val="20"/>
          <w:szCs w:val="20"/>
          <w:color w:val="auto"/>
        </w:rPr>
        <w:t>11</w:t>
      </w:r>
    </w:p>
    <w:p>
      <w:pPr>
        <w:spacing w:after="0" w:line="119" w:lineRule="exact"/>
        <w:rPr>
          <w:sz w:val="20"/>
          <w:szCs w:val="20"/>
          <w:color w:val="auto"/>
        </w:rPr>
      </w:pPr>
    </w:p>
    <w:p>
      <w:pPr>
        <w:spacing w:after="0"/>
        <w:tabs>
          <w:tab w:leader="none" w:pos="1300" w:val="left"/>
          <w:tab w:leader="dot" w:pos="8100" w:val="left"/>
        </w:tabs>
        <w:rPr>
          <w:sz w:val="20"/>
          <w:szCs w:val="20"/>
          <w:color w:val="auto"/>
        </w:rPr>
      </w:pPr>
      <w:r>
        <w:rPr>
          <w:rFonts w:ascii="Times New Roman" w:cs="Times New Roman" w:eastAsia="Times New Roman" w:hAnsi="Times New Roman"/>
          <w:sz w:val="21"/>
          <w:szCs w:val="21"/>
          <w:color w:val="auto"/>
        </w:rPr>
        <w:t>SECTION 5</w:t>
        <w:tab/>
        <w:t>COVENANTS.</w:t>
      </w:r>
      <w:r>
        <w:rPr>
          <w:sz w:val="20"/>
          <w:szCs w:val="20"/>
          <w:color w:val="auto"/>
        </w:rPr>
        <w:tab/>
      </w:r>
      <w:r>
        <w:rPr>
          <w:rFonts w:ascii="Times New Roman" w:cs="Times New Roman" w:eastAsia="Times New Roman" w:hAnsi="Times New Roman"/>
          <w:sz w:val="20"/>
          <w:szCs w:val="20"/>
          <w:color w:val="auto"/>
        </w:rPr>
        <w:t>12</w:t>
      </w:r>
    </w:p>
    <w:p>
      <w:pPr>
        <w:spacing w:after="0" w:line="133" w:lineRule="exact"/>
        <w:rPr>
          <w:sz w:val="20"/>
          <w:szCs w:val="20"/>
          <w:color w:val="auto"/>
        </w:rPr>
      </w:pPr>
    </w:p>
    <w:p>
      <w:pPr>
        <w:ind w:left="640"/>
        <w:spacing w:after="0"/>
        <w:tabs>
          <w:tab w:leader="none" w:pos="1260" w:val="left"/>
          <w:tab w:leader="dot" w:pos="808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Covenants of the Buyer.</w:t>
      </w:r>
      <w:r>
        <w:rPr>
          <w:sz w:val="20"/>
          <w:szCs w:val="20"/>
          <w:color w:val="auto"/>
        </w:rPr>
        <w:tab/>
      </w:r>
      <w:r>
        <w:rPr>
          <w:rFonts w:ascii="Times New Roman" w:cs="Times New Roman" w:eastAsia="Times New Roman" w:hAnsi="Times New Roman"/>
          <w:sz w:val="21"/>
          <w:szCs w:val="21"/>
          <w:color w:val="auto"/>
        </w:rPr>
        <w:t>12</w:t>
      </w:r>
    </w:p>
    <w:p>
      <w:pPr>
        <w:spacing w:after="0" w:line="119"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Covenants of the Seller.</w:t>
      </w:r>
      <w:r>
        <w:rPr>
          <w:sz w:val="20"/>
          <w:szCs w:val="20"/>
          <w:color w:val="auto"/>
        </w:rPr>
        <w:tab/>
      </w:r>
      <w:r>
        <w:rPr>
          <w:rFonts w:ascii="Times New Roman" w:cs="Times New Roman" w:eastAsia="Times New Roman" w:hAnsi="Times New Roman"/>
          <w:sz w:val="21"/>
          <w:szCs w:val="21"/>
          <w:color w:val="auto"/>
        </w:rPr>
        <w:t>12</w:t>
      </w:r>
    </w:p>
    <w:p>
      <w:pPr>
        <w:spacing w:after="0" w:line="133" w:lineRule="exact"/>
        <w:rPr>
          <w:sz w:val="20"/>
          <w:szCs w:val="20"/>
          <w:color w:val="auto"/>
        </w:rPr>
      </w:pPr>
    </w:p>
    <w:p>
      <w:pPr>
        <w:ind w:left="640"/>
        <w:spacing w:after="0"/>
        <w:tabs>
          <w:tab w:leader="none" w:pos="1260" w:val="left"/>
          <w:tab w:leader="dot" w:pos="810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color w:val="auto"/>
        </w:rPr>
        <w:t>Transfer Election</w:t>
      </w:r>
      <w:r>
        <w:rPr>
          <w:sz w:val="20"/>
          <w:szCs w:val="20"/>
          <w:color w:val="auto"/>
        </w:rPr>
        <w:tab/>
      </w:r>
      <w:r>
        <w:rPr>
          <w:rFonts w:ascii="Times New Roman" w:cs="Times New Roman" w:eastAsia="Times New Roman" w:hAnsi="Times New Roman"/>
          <w:sz w:val="20"/>
          <w:szCs w:val="20"/>
          <w:color w:val="auto"/>
        </w:rPr>
        <w:t>16</w:t>
      </w:r>
    </w:p>
    <w:p>
      <w:pPr>
        <w:spacing w:after="0" w:line="119"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(d)</w:t>
      </w:r>
      <w:r>
        <w:rPr>
          <w:sz w:val="20"/>
          <w:szCs w:val="20"/>
          <w:color w:val="auto"/>
        </w:rPr>
        <w:tab/>
      </w:r>
      <w:r>
        <w:rPr>
          <w:rFonts w:ascii="Times New Roman" w:cs="Times New Roman" w:eastAsia="Times New Roman" w:hAnsi="Times New Roman"/>
          <w:sz w:val="21"/>
          <w:szCs w:val="21"/>
          <w:color w:val="auto"/>
        </w:rPr>
        <w:t>Further Assurances</w:t>
      </w:r>
      <w:r>
        <w:rPr>
          <w:sz w:val="20"/>
          <w:szCs w:val="20"/>
          <w:color w:val="auto"/>
        </w:rPr>
        <w:tab/>
      </w:r>
      <w:r>
        <w:rPr>
          <w:rFonts w:ascii="Times New Roman" w:cs="Times New Roman" w:eastAsia="Times New Roman" w:hAnsi="Times New Roman"/>
          <w:sz w:val="20"/>
          <w:szCs w:val="20"/>
          <w:color w:val="auto"/>
        </w:rPr>
        <w:t>16</w:t>
      </w:r>
    </w:p>
    <w:p>
      <w:pPr>
        <w:spacing w:after="0" w:line="119" w:lineRule="exact"/>
        <w:rPr>
          <w:sz w:val="20"/>
          <w:szCs w:val="20"/>
          <w:color w:val="auto"/>
        </w:rPr>
      </w:pPr>
    </w:p>
    <w:p>
      <w:pPr>
        <w:spacing w:after="0"/>
        <w:tabs>
          <w:tab w:leader="none" w:pos="1300" w:val="left"/>
          <w:tab w:leader="dot" w:pos="8100" w:val="left"/>
        </w:tabs>
        <w:rPr>
          <w:sz w:val="20"/>
          <w:szCs w:val="20"/>
          <w:color w:val="auto"/>
        </w:rPr>
      </w:pPr>
      <w:r>
        <w:rPr>
          <w:rFonts w:ascii="Times New Roman" w:cs="Times New Roman" w:eastAsia="Times New Roman" w:hAnsi="Times New Roman"/>
          <w:sz w:val="21"/>
          <w:szCs w:val="21"/>
          <w:color w:val="auto"/>
        </w:rPr>
        <w:t>SECTION 6</w:t>
        <w:tab/>
        <w:t>SELLER INDEMNIFICATION.</w:t>
      </w:r>
      <w:r>
        <w:rPr>
          <w:sz w:val="20"/>
          <w:szCs w:val="20"/>
          <w:color w:val="auto"/>
        </w:rPr>
        <w:tab/>
      </w:r>
      <w:r>
        <w:rPr>
          <w:rFonts w:ascii="Times New Roman" w:cs="Times New Roman" w:eastAsia="Times New Roman" w:hAnsi="Times New Roman"/>
          <w:sz w:val="20"/>
          <w:szCs w:val="20"/>
          <w:color w:val="auto"/>
        </w:rPr>
        <w:t>17</w:t>
      </w:r>
    </w:p>
    <w:p>
      <w:pPr>
        <w:spacing w:after="0" w:line="133" w:lineRule="exact"/>
        <w:rPr>
          <w:sz w:val="20"/>
          <w:szCs w:val="20"/>
          <w:color w:val="auto"/>
        </w:rPr>
      </w:pPr>
    </w:p>
    <w:p>
      <w:pPr>
        <w:ind w:left="640"/>
        <w:spacing w:after="0"/>
        <w:tabs>
          <w:tab w:leader="none" w:pos="1260" w:val="left"/>
          <w:tab w:leader="dot" w:pos="810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Seller Indemnification</w:t>
      </w:r>
      <w:r>
        <w:rPr>
          <w:sz w:val="20"/>
          <w:szCs w:val="20"/>
          <w:color w:val="auto"/>
        </w:rPr>
        <w:tab/>
      </w:r>
      <w:r>
        <w:rPr>
          <w:rFonts w:ascii="Times New Roman" w:cs="Times New Roman" w:eastAsia="Times New Roman" w:hAnsi="Times New Roman"/>
          <w:sz w:val="21"/>
          <w:szCs w:val="21"/>
          <w:color w:val="auto"/>
        </w:rPr>
        <w:t>17</w:t>
      </w:r>
    </w:p>
    <w:p>
      <w:pPr>
        <w:spacing w:after="0" w:line="119"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Limitations on Liability</w:t>
      </w:r>
      <w:r>
        <w:rPr>
          <w:sz w:val="20"/>
          <w:szCs w:val="20"/>
          <w:color w:val="auto"/>
        </w:rPr>
        <w:tab/>
      </w:r>
      <w:r>
        <w:rPr>
          <w:rFonts w:ascii="Times New Roman" w:cs="Times New Roman" w:eastAsia="Times New Roman" w:hAnsi="Times New Roman"/>
          <w:sz w:val="21"/>
          <w:szCs w:val="21"/>
          <w:color w:val="auto"/>
        </w:rPr>
        <w:t>17</w:t>
      </w:r>
    </w:p>
    <w:p>
      <w:pPr>
        <w:spacing w:after="0" w:line="133"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color w:val="auto"/>
        </w:rPr>
        <w:t>After-Tax Basis</w:t>
      </w:r>
      <w:r>
        <w:rPr>
          <w:sz w:val="20"/>
          <w:szCs w:val="20"/>
          <w:color w:val="auto"/>
        </w:rPr>
        <w:tab/>
      </w:r>
      <w:r>
        <w:rPr>
          <w:rFonts w:ascii="Times New Roman" w:cs="Times New Roman" w:eastAsia="Times New Roman" w:hAnsi="Times New Roman"/>
          <w:sz w:val="21"/>
          <w:szCs w:val="21"/>
          <w:color w:val="auto"/>
        </w:rPr>
        <w:t>18</w:t>
      </w:r>
    </w:p>
    <w:p>
      <w:pPr>
        <w:spacing w:after="0" w:line="119" w:lineRule="exact"/>
        <w:rPr>
          <w:sz w:val="20"/>
          <w:szCs w:val="20"/>
          <w:color w:val="auto"/>
        </w:rPr>
      </w:pPr>
    </w:p>
    <w:p>
      <w:pPr>
        <w:ind w:left="640"/>
        <w:spacing w:after="0"/>
        <w:tabs>
          <w:tab w:leader="none" w:pos="1260" w:val="left"/>
          <w:tab w:leader="dot" w:pos="8040" w:val="left"/>
        </w:tabs>
        <w:rPr>
          <w:sz w:val="20"/>
          <w:szCs w:val="20"/>
          <w:color w:val="auto"/>
        </w:rPr>
      </w:pPr>
      <w:r>
        <w:rPr>
          <w:rFonts w:ascii="Times New Roman" w:cs="Times New Roman" w:eastAsia="Times New Roman" w:hAnsi="Times New Roman"/>
          <w:sz w:val="21"/>
          <w:szCs w:val="21"/>
          <w:color w:val="auto"/>
        </w:rPr>
        <w:t>(d)</w:t>
      </w:r>
      <w:r>
        <w:rPr>
          <w:sz w:val="20"/>
          <w:szCs w:val="20"/>
          <w:color w:val="auto"/>
        </w:rPr>
        <w:tab/>
      </w:r>
      <w:r>
        <w:rPr>
          <w:rFonts w:ascii="Times New Roman" w:cs="Times New Roman" w:eastAsia="Times New Roman" w:hAnsi="Times New Roman"/>
          <w:sz w:val="21"/>
          <w:szCs w:val="21"/>
          <w:color w:val="auto"/>
        </w:rPr>
        <w:t>Tax Contests</w:t>
      </w:r>
      <w:r>
        <w:rPr>
          <w:sz w:val="20"/>
          <w:szCs w:val="20"/>
          <w:color w:val="auto"/>
        </w:rPr>
        <w:tab/>
      </w:r>
      <w:r>
        <w:rPr>
          <w:rFonts w:ascii="Times New Roman" w:cs="Times New Roman" w:eastAsia="Times New Roman" w:hAnsi="Times New Roman"/>
          <w:sz w:val="20"/>
          <w:szCs w:val="20"/>
          <w:color w:val="auto"/>
        </w:rPr>
        <w:t>18</w:t>
      </w:r>
    </w:p>
    <w:p>
      <w:pPr>
        <w:spacing w:after="0" w:line="119"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(e)</w:t>
      </w:r>
      <w:r>
        <w:rPr>
          <w:sz w:val="20"/>
          <w:szCs w:val="20"/>
          <w:color w:val="auto"/>
        </w:rPr>
        <w:tab/>
      </w:r>
      <w:r>
        <w:rPr>
          <w:rFonts w:ascii="Times New Roman" w:cs="Times New Roman" w:eastAsia="Times New Roman" w:hAnsi="Times New Roman"/>
          <w:sz w:val="21"/>
          <w:szCs w:val="21"/>
          <w:color w:val="auto"/>
        </w:rPr>
        <w:t>Survival of Representations and Warranties of the Seller</w:t>
      </w:r>
      <w:r>
        <w:rPr>
          <w:sz w:val="20"/>
          <w:szCs w:val="20"/>
          <w:color w:val="auto"/>
        </w:rPr>
        <w:tab/>
      </w:r>
      <w:r>
        <w:rPr>
          <w:rFonts w:ascii="Times New Roman" w:cs="Times New Roman" w:eastAsia="Times New Roman" w:hAnsi="Times New Roman"/>
          <w:sz w:val="20"/>
          <w:szCs w:val="20"/>
          <w:color w:val="auto"/>
        </w:rPr>
        <w:t>19</w:t>
      </w:r>
    </w:p>
    <w:p>
      <w:pPr>
        <w:spacing w:after="0" w:line="133" w:lineRule="exact"/>
        <w:rPr>
          <w:sz w:val="20"/>
          <w:szCs w:val="20"/>
          <w:color w:val="auto"/>
        </w:rPr>
      </w:pPr>
    </w:p>
    <w:p>
      <w:pPr>
        <w:ind w:left="640"/>
        <w:spacing w:after="0"/>
        <w:tabs>
          <w:tab w:leader="none" w:pos="1260" w:val="left"/>
          <w:tab w:leader="dot" w:pos="8080" w:val="left"/>
        </w:tabs>
        <w:rPr>
          <w:sz w:val="20"/>
          <w:szCs w:val="20"/>
          <w:color w:val="auto"/>
        </w:rPr>
      </w:pPr>
      <w:r>
        <w:rPr>
          <w:rFonts w:ascii="Times New Roman" w:cs="Times New Roman" w:eastAsia="Times New Roman" w:hAnsi="Times New Roman"/>
          <w:sz w:val="21"/>
          <w:szCs w:val="21"/>
          <w:color w:val="auto"/>
        </w:rPr>
        <w:t>(f)</w:t>
      </w:r>
      <w:r>
        <w:rPr>
          <w:sz w:val="20"/>
          <w:szCs w:val="20"/>
          <w:color w:val="auto"/>
        </w:rPr>
        <w:tab/>
      </w:r>
      <w:r>
        <w:rPr>
          <w:rFonts w:ascii="Times New Roman" w:cs="Times New Roman" w:eastAsia="Times New Roman" w:hAnsi="Times New Roman"/>
          <w:sz w:val="21"/>
          <w:szCs w:val="21"/>
          <w:color w:val="auto"/>
        </w:rPr>
        <w:t>Survival of Representations and Warranties of the Buyer</w:t>
      </w:r>
      <w:r>
        <w:rPr>
          <w:sz w:val="20"/>
          <w:szCs w:val="20"/>
          <w:color w:val="auto"/>
        </w:rPr>
        <w:tab/>
      </w:r>
      <w:r>
        <w:rPr>
          <w:rFonts w:ascii="Times New Roman" w:cs="Times New Roman" w:eastAsia="Times New Roman" w:hAnsi="Times New Roman"/>
          <w:sz w:val="21"/>
          <w:szCs w:val="21"/>
          <w:color w:val="auto"/>
        </w:rPr>
        <w:t>19</w:t>
      </w:r>
    </w:p>
    <w:p>
      <w:pPr>
        <w:spacing w:after="0" w:line="119"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(g)</w:t>
      </w:r>
      <w:r>
        <w:rPr>
          <w:sz w:val="20"/>
          <w:szCs w:val="20"/>
          <w:color w:val="auto"/>
        </w:rPr>
        <w:tab/>
      </w:r>
      <w:r>
        <w:rPr>
          <w:rFonts w:ascii="Times New Roman" w:cs="Times New Roman" w:eastAsia="Times New Roman" w:hAnsi="Times New Roman"/>
          <w:sz w:val="21"/>
          <w:szCs w:val="21"/>
          <w:color w:val="auto"/>
        </w:rPr>
        <w:t>Notice of Claims</w:t>
      </w:r>
      <w:r>
        <w:rPr>
          <w:sz w:val="20"/>
          <w:szCs w:val="20"/>
          <w:color w:val="auto"/>
        </w:rPr>
        <w:tab/>
      </w:r>
      <w:r>
        <w:rPr>
          <w:rFonts w:ascii="Times New Roman" w:cs="Times New Roman" w:eastAsia="Times New Roman" w:hAnsi="Times New Roman"/>
          <w:sz w:val="21"/>
          <w:szCs w:val="21"/>
          <w:color w:val="auto"/>
        </w:rPr>
        <w:t>19</w:t>
      </w:r>
    </w:p>
    <w:p>
      <w:pPr>
        <w:spacing w:after="0" w:line="119" w:lineRule="exact"/>
        <w:rPr>
          <w:sz w:val="20"/>
          <w:szCs w:val="20"/>
          <w:color w:val="auto"/>
        </w:rPr>
      </w:pPr>
    </w:p>
    <w:p>
      <w:pPr>
        <w:ind w:left="640"/>
        <w:spacing w:after="0"/>
        <w:tabs>
          <w:tab w:leader="none" w:pos="1260" w:val="left"/>
          <w:tab w:leader="dot" w:pos="8080" w:val="left"/>
        </w:tabs>
        <w:rPr>
          <w:sz w:val="20"/>
          <w:szCs w:val="20"/>
          <w:color w:val="auto"/>
        </w:rPr>
      </w:pPr>
      <w:r>
        <w:rPr>
          <w:rFonts w:ascii="Times New Roman" w:cs="Times New Roman" w:eastAsia="Times New Roman" w:hAnsi="Times New Roman"/>
          <w:sz w:val="21"/>
          <w:szCs w:val="21"/>
          <w:color w:val="auto"/>
        </w:rPr>
        <w:t>(h)</w:t>
      </w:r>
      <w:r>
        <w:rPr>
          <w:sz w:val="20"/>
          <w:szCs w:val="20"/>
          <w:color w:val="auto"/>
        </w:rPr>
        <w:tab/>
      </w:r>
      <w:r>
        <w:rPr>
          <w:rFonts w:ascii="Times New Roman" w:cs="Times New Roman" w:eastAsia="Times New Roman" w:hAnsi="Times New Roman"/>
          <w:sz w:val="21"/>
          <w:szCs w:val="21"/>
          <w:color w:val="auto"/>
        </w:rPr>
        <w:t>Indemnity Payment</w:t>
      </w:r>
      <w:r>
        <w:rPr>
          <w:sz w:val="20"/>
          <w:szCs w:val="20"/>
          <w:color w:val="auto"/>
        </w:rPr>
        <w:tab/>
      </w:r>
      <w:r>
        <w:rPr>
          <w:rFonts w:ascii="Times New Roman" w:cs="Times New Roman" w:eastAsia="Times New Roman" w:hAnsi="Times New Roman"/>
          <w:sz w:val="20"/>
          <w:szCs w:val="20"/>
          <w:color w:val="auto"/>
        </w:rPr>
        <w:t>19</w:t>
      </w:r>
    </w:p>
    <w:p>
      <w:pPr>
        <w:spacing w:after="0" w:line="133" w:lineRule="exact"/>
        <w:rPr>
          <w:sz w:val="20"/>
          <w:szCs w:val="20"/>
          <w:color w:val="auto"/>
        </w:rPr>
      </w:pPr>
    </w:p>
    <w:p>
      <w:pPr>
        <w:spacing w:after="0"/>
        <w:tabs>
          <w:tab w:leader="none" w:pos="1300" w:val="left"/>
          <w:tab w:leader="dot" w:pos="8100" w:val="left"/>
        </w:tabs>
        <w:rPr>
          <w:sz w:val="20"/>
          <w:szCs w:val="20"/>
          <w:color w:val="auto"/>
        </w:rPr>
      </w:pPr>
      <w:r>
        <w:rPr>
          <w:rFonts w:ascii="Times New Roman" w:cs="Times New Roman" w:eastAsia="Times New Roman" w:hAnsi="Times New Roman"/>
          <w:sz w:val="21"/>
          <w:szCs w:val="21"/>
          <w:color w:val="auto"/>
        </w:rPr>
        <w:t>SECTION 7</w:t>
        <w:tab/>
        <w:t>MISCELLANEOUS.</w:t>
      </w:r>
      <w:r>
        <w:rPr>
          <w:sz w:val="20"/>
          <w:szCs w:val="20"/>
          <w:color w:val="auto"/>
        </w:rPr>
        <w:tab/>
      </w:r>
      <w:r>
        <w:rPr>
          <w:rFonts w:ascii="Times New Roman" w:cs="Times New Roman" w:eastAsia="Times New Roman" w:hAnsi="Times New Roman"/>
          <w:sz w:val="21"/>
          <w:szCs w:val="21"/>
          <w:color w:val="auto"/>
        </w:rPr>
        <w:t>19</w:t>
      </w:r>
    </w:p>
    <w:p>
      <w:pPr>
        <w:spacing w:after="0" w:line="119" w:lineRule="exact"/>
        <w:rPr>
          <w:sz w:val="20"/>
          <w:szCs w:val="20"/>
          <w:color w:val="auto"/>
        </w:rPr>
      </w:pPr>
    </w:p>
    <w:p>
      <w:pPr>
        <w:ind w:left="640"/>
        <w:spacing w:after="0"/>
        <w:tabs>
          <w:tab w:leader="none" w:pos="1260" w:val="left"/>
          <w:tab w:leader="dot" w:pos="808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Amendments; Waivers</w:t>
      </w:r>
      <w:r>
        <w:rPr>
          <w:sz w:val="20"/>
          <w:szCs w:val="20"/>
          <w:color w:val="auto"/>
        </w:rPr>
        <w:tab/>
      </w:r>
      <w:r>
        <w:rPr>
          <w:rFonts w:ascii="Times New Roman" w:cs="Times New Roman" w:eastAsia="Times New Roman" w:hAnsi="Times New Roman"/>
          <w:sz w:val="20"/>
          <w:szCs w:val="20"/>
          <w:color w:val="auto"/>
        </w:rPr>
        <w:t>19</w:t>
      </w:r>
    </w:p>
    <w:p>
      <w:pPr>
        <w:spacing w:after="0" w:line="133"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Notices</w:t>
      </w:r>
      <w:r>
        <w:rPr>
          <w:sz w:val="20"/>
          <w:szCs w:val="20"/>
          <w:color w:val="auto"/>
        </w:rPr>
        <w:tab/>
      </w:r>
      <w:r>
        <w:rPr>
          <w:rFonts w:ascii="Times New Roman" w:cs="Times New Roman" w:eastAsia="Times New Roman" w:hAnsi="Times New Roman"/>
          <w:sz w:val="21"/>
          <w:szCs w:val="21"/>
          <w:color w:val="auto"/>
        </w:rPr>
        <w:t>20</w:t>
      </w:r>
    </w:p>
    <w:p>
      <w:pPr>
        <w:spacing w:after="0" w:line="119" w:lineRule="exact"/>
        <w:rPr>
          <w:sz w:val="20"/>
          <w:szCs w:val="20"/>
          <w:color w:val="auto"/>
        </w:rPr>
      </w:pP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color w:val="auto"/>
        </w:rPr>
        <w:t>Entire Agreement; No Other Representations</w:t>
      </w:r>
      <w:r>
        <w:rPr>
          <w:sz w:val="20"/>
          <w:szCs w:val="20"/>
          <w:color w:val="auto"/>
        </w:rPr>
        <w:tab/>
      </w:r>
      <w:r>
        <w:rPr>
          <w:rFonts w:ascii="Times New Roman" w:cs="Times New Roman" w:eastAsia="Times New Roman" w:hAnsi="Times New Roman"/>
          <w:sz w:val="21"/>
          <w:szCs w:val="21"/>
          <w:color w:val="auto"/>
        </w:rPr>
        <w:t>20</w:t>
      </w:r>
    </w:p>
    <w:p>
      <w:pPr>
        <w:spacing w:after="0" w:line="119" w:lineRule="exact"/>
        <w:rPr>
          <w:sz w:val="20"/>
          <w:szCs w:val="20"/>
          <w:color w:val="auto"/>
        </w:rPr>
      </w:pPr>
    </w:p>
    <w:p>
      <w:pPr>
        <w:ind w:left="640"/>
        <w:spacing w:after="0"/>
        <w:tabs>
          <w:tab w:leader="none" w:pos="1260" w:val="left"/>
          <w:tab w:leader="dot" w:pos="8080" w:val="left"/>
        </w:tabs>
        <w:rPr>
          <w:sz w:val="20"/>
          <w:szCs w:val="20"/>
          <w:color w:val="auto"/>
        </w:rPr>
      </w:pPr>
      <w:r>
        <w:rPr>
          <w:rFonts w:ascii="Times New Roman" w:cs="Times New Roman" w:eastAsia="Times New Roman" w:hAnsi="Times New Roman"/>
          <w:sz w:val="21"/>
          <w:szCs w:val="21"/>
          <w:color w:val="auto"/>
        </w:rPr>
        <w:t>(d)</w:t>
      </w:r>
      <w:r>
        <w:rPr>
          <w:sz w:val="20"/>
          <w:szCs w:val="20"/>
          <w:color w:val="auto"/>
        </w:rPr>
        <w:tab/>
      </w:r>
      <w:r>
        <w:rPr>
          <w:rFonts w:ascii="Times New Roman" w:cs="Times New Roman" w:eastAsia="Times New Roman" w:hAnsi="Times New Roman"/>
          <w:sz w:val="21"/>
          <w:szCs w:val="21"/>
          <w:color w:val="auto"/>
        </w:rPr>
        <w:t>Counterparts</w:t>
      </w:r>
      <w:r>
        <w:rPr>
          <w:sz w:val="20"/>
          <w:szCs w:val="20"/>
          <w:color w:val="auto"/>
        </w:rPr>
        <w:tab/>
      </w:r>
      <w:r>
        <w:rPr>
          <w:rFonts w:ascii="Times New Roman" w:cs="Times New Roman" w:eastAsia="Times New Roman" w:hAnsi="Times New Roman"/>
          <w:sz w:val="21"/>
          <w:szCs w:val="21"/>
          <w:color w:val="auto"/>
        </w:rPr>
        <w:t>20</w:t>
      </w:r>
    </w:p>
    <w:p>
      <w:pPr>
        <w:spacing w:after="0" w:line="133" w:lineRule="exact"/>
        <w:rPr>
          <w:sz w:val="20"/>
          <w:szCs w:val="20"/>
          <w:color w:val="auto"/>
        </w:rPr>
      </w:pPr>
    </w:p>
    <w:p>
      <w:pPr>
        <w:ind w:left="640"/>
        <w:spacing w:after="0"/>
        <w:tabs>
          <w:tab w:leader="none" w:pos="1260" w:val="left"/>
          <w:tab w:leader="dot" w:pos="8080" w:val="left"/>
        </w:tabs>
        <w:rPr>
          <w:sz w:val="20"/>
          <w:szCs w:val="20"/>
          <w:color w:val="auto"/>
        </w:rPr>
      </w:pPr>
      <w:r>
        <w:rPr>
          <w:rFonts w:ascii="Times New Roman" w:cs="Times New Roman" w:eastAsia="Times New Roman" w:hAnsi="Times New Roman"/>
          <w:sz w:val="21"/>
          <w:szCs w:val="21"/>
          <w:color w:val="auto"/>
        </w:rPr>
        <w:t>(e)</w:t>
      </w:r>
      <w:r>
        <w:rPr>
          <w:sz w:val="20"/>
          <w:szCs w:val="20"/>
          <w:color w:val="auto"/>
        </w:rPr>
        <w:tab/>
      </w:r>
      <w:r>
        <w:rPr>
          <w:rFonts w:ascii="Times New Roman" w:cs="Times New Roman" w:eastAsia="Times New Roman" w:hAnsi="Times New Roman"/>
          <w:sz w:val="21"/>
          <w:szCs w:val="21"/>
          <w:color w:val="auto"/>
        </w:rPr>
        <w:t>GOVERNING LAW</w:t>
      </w:r>
      <w:r>
        <w:rPr>
          <w:sz w:val="20"/>
          <w:szCs w:val="20"/>
          <w:color w:val="auto"/>
        </w:rPr>
        <w:tab/>
      </w:r>
      <w:r>
        <w:rPr>
          <w:rFonts w:ascii="Times New Roman" w:cs="Times New Roman" w:eastAsia="Times New Roman" w:hAnsi="Times New Roman"/>
          <w:sz w:val="21"/>
          <w:szCs w:val="21"/>
          <w:color w:val="auto"/>
        </w:rPr>
        <w:t>20</w:t>
      </w:r>
    </w:p>
    <w:p>
      <w:pPr>
        <w:sectPr>
          <w:pgSz w:w="11900" w:h="16838" w:orient="portrait"/>
          <w:cols w:equalWidth="0" w:num="1">
            <w:col w:w="11100"/>
          </w:cols>
          <w:pgMar w:left="320" w:top="1017" w:right="479" w:bottom="1440" w:gutter="0" w:footer="0" w:header="0"/>
        </w:sectPr>
      </w:pPr>
    </w:p>
    <w:bookmarkStart w:id="188" w:name="page189"/>
    <w:bookmarkEnd w:id="188"/>
    <w:p>
      <w:pPr>
        <w:ind w:left="500"/>
        <w:spacing w:after="0"/>
        <w:tabs>
          <w:tab w:leader="none" w:pos="1120" w:val="left"/>
          <w:tab w:leader="dot" w:pos="7920" w:val="left"/>
        </w:tabs>
        <w:rPr>
          <w:sz w:val="20"/>
          <w:szCs w:val="20"/>
          <w:color w:val="auto"/>
        </w:rPr>
      </w:pPr>
      <w:r>
        <w:rPr>
          <w:rFonts w:ascii="Times New Roman" w:cs="Times New Roman" w:eastAsia="Times New Roman" w:hAnsi="Times New Roman"/>
          <w:sz w:val="21"/>
          <w:szCs w:val="21"/>
          <w:color w:val="auto"/>
        </w:rPr>
        <w:t>(f)</w:t>
      </w:r>
      <w:r>
        <w:rPr>
          <w:sz w:val="20"/>
          <w:szCs w:val="20"/>
          <w:color w:val="auto"/>
        </w:rPr>
        <w:tab/>
      </w:r>
      <w:r>
        <w:rPr>
          <w:rFonts w:ascii="Times New Roman" w:cs="Times New Roman" w:eastAsia="Times New Roman" w:hAnsi="Times New Roman"/>
          <w:sz w:val="21"/>
          <w:szCs w:val="21"/>
          <w:color w:val="auto"/>
        </w:rPr>
        <w:t>WAIVER OF JURY TRIAL</w:t>
      </w:r>
      <w:r>
        <w:rPr>
          <w:sz w:val="20"/>
          <w:szCs w:val="20"/>
          <w:color w:val="auto"/>
        </w:rPr>
        <w:tab/>
      </w:r>
      <w:r>
        <w:rPr>
          <w:rFonts w:ascii="Times New Roman" w:cs="Times New Roman" w:eastAsia="Times New Roman" w:hAnsi="Times New Roman"/>
          <w:sz w:val="21"/>
          <w:szCs w:val="21"/>
          <w:color w:val="auto"/>
        </w:rPr>
        <w:t>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w:t>
      </w:r>
    </w:p>
    <w:p>
      <w:pPr>
        <w:spacing w:after="0" w:line="16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(continued)</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161" w:lineRule="exact"/>
        <w:rPr>
          <w:sz w:val="20"/>
          <w:szCs w:val="20"/>
          <w:color w:val="auto"/>
        </w:rPr>
      </w:pPr>
    </w:p>
    <w:p>
      <w:pPr>
        <w:ind w:left="500"/>
        <w:spacing w:after="0"/>
        <w:tabs>
          <w:tab w:leader="none" w:pos="1120" w:val="left"/>
          <w:tab w:leader="dot" w:pos="7940" w:val="left"/>
        </w:tabs>
        <w:rPr>
          <w:sz w:val="20"/>
          <w:szCs w:val="20"/>
          <w:color w:val="auto"/>
        </w:rPr>
      </w:pPr>
      <w:r>
        <w:rPr>
          <w:rFonts w:ascii="Times New Roman" w:cs="Times New Roman" w:eastAsia="Times New Roman" w:hAnsi="Times New Roman"/>
          <w:sz w:val="21"/>
          <w:szCs w:val="21"/>
          <w:color w:val="auto"/>
        </w:rPr>
        <w:t>(g)</w:t>
      </w:r>
      <w:r>
        <w:rPr>
          <w:sz w:val="20"/>
          <w:szCs w:val="20"/>
          <w:color w:val="auto"/>
        </w:rPr>
        <w:tab/>
      </w:r>
      <w:r>
        <w:rPr>
          <w:rFonts w:ascii="Times New Roman" w:cs="Times New Roman" w:eastAsia="Times New Roman" w:hAnsi="Times New Roman"/>
          <w:sz w:val="21"/>
          <w:szCs w:val="21"/>
          <w:color w:val="auto"/>
        </w:rPr>
        <w:t>SUBMISSION TO JURISDICTION</w:t>
      </w:r>
      <w:r>
        <w:rPr>
          <w:sz w:val="20"/>
          <w:szCs w:val="20"/>
          <w:color w:val="auto"/>
        </w:rPr>
        <w:tab/>
      </w:r>
      <w:r>
        <w:rPr>
          <w:rFonts w:ascii="Times New Roman" w:cs="Times New Roman" w:eastAsia="Times New Roman" w:hAnsi="Times New Roman"/>
          <w:sz w:val="21"/>
          <w:szCs w:val="21"/>
          <w:color w:val="auto"/>
        </w:rPr>
        <w:t>21</w:t>
      </w:r>
    </w:p>
    <w:p>
      <w:pPr>
        <w:spacing w:after="0" w:line="133" w:lineRule="exact"/>
        <w:rPr>
          <w:sz w:val="20"/>
          <w:szCs w:val="20"/>
          <w:color w:val="auto"/>
        </w:rPr>
      </w:pPr>
    </w:p>
    <w:p>
      <w:pPr>
        <w:ind w:left="500"/>
        <w:spacing w:after="0"/>
        <w:tabs>
          <w:tab w:leader="none" w:pos="1120" w:val="left"/>
          <w:tab w:leader="dot" w:pos="7920" w:val="left"/>
        </w:tabs>
        <w:rPr>
          <w:sz w:val="20"/>
          <w:szCs w:val="20"/>
          <w:color w:val="auto"/>
        </w:rPr>
      </w:pPr>
      <w:r>
        <w:rPr>
          <w:rFonts w:ascii="Times New Roman" w:cs="Times New Roman" w:eastAsia="Times New Roman" w:hAnsi="Times New Roman"/>
          <w:sz w:val="21"/>
          <w:szCs w:val="21"/>
          <w:color w:val="auto"/>
        </w:rPr>
        <w:t>(h)</w:t>
      </w:r>
      <w:r>
        <w:rPr>
          <w:sz w:val="20"/>
          <w:szCs w:val="20"/>
          <w:color w:val="auto"/>
        </w:rPr>
        <w:tab/>
      </w:r>
      <w:r>
        <w:rPr>
          <w:rFonts w:ascii="Times New Roman" w:cs="Times New Roman" w:eastAsia="Times New Roman" w:hAnsi="Times New Roman"/>
          <w:sz w:val="21"/>
          <w:szCs w:val="21"/>
          <w:color w:val="auto"/>
        </w:rPr>
        <w:t>Severability</w:t>
      </w:r>
      <w:r>
        <w:rPr>
          <w:sz w:val="20"/>
          <w:szCs w:val="20"/>
          <w:color w:val="auto"/>
        </w:rPr>
        <w:tab/>
      </w:r>
      <w:r>
        <w:rPr>
          <w:rFonts w:ascii="Times New Roman" w:cs="Times New Roman" w:eastAsia="Times New Roman" w:hAnsi="Times New Roman"/>
          <w:sz w:val="21"/>
          <w:szCs w:val="21"/>
          <w:color w:val="auto"/>
        </w:rPr>
        <w:t>21</w:t>
      </w:r>
    </w:p>
    <w:p>
      <w:pPr>
        <w:spacing w:after="0" w:line="119" w:lineRule="exact"/>
        <w:rPr>
          <w:sz w:val="20"/>
          <w:szCs w:val="20"/>
          <w:color w:val="auto"/>
        </w:rPr>
      </w:pPr>
    </w:p>
    <w:p>
      <w:pPr>
        <w:ind w:left="500"/>
        <w:spacing w:after="0"/>
        <w:tabs>
          <w:tab w:leader="none" w:pos="1120" w:val="left"/>
          <w:tab w:leader="dot" w:pos="794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color w:val="auto"/>
        </w:rPr>
        <w:t>Binding Effect; Assignment</w:t>
      </w:r>
      <w:r>
        <w:rPr>
          <w:sz w:val="20"/>
          <w:szCs w:val="20"/>
          <w:color w:val="auto"/>
        </w:rPr>
        <w:tab/>
      </w:r>
      <w:r>
        <w:rPr>
          <w:rFonts w:ascii="Times New Roman" w:cs="Times New Roman" w:eastAsia="Times New Roman" w:hAnsi="Times New Roman"/>
          <w:sz w:val="21"/>
          <w:szCs w:val="21"/>
          <w:color w:val="auto"/>
        </w:rPr>
        <w:t>21</w:t>
      </w:r>
    </w:p>
    <w:p>
      <w:pPr>
        <w:spacing w:after="0" w:line="119" w:lineRule="exact"/>
        <w:rPr>
          <w:sz w:val="20"/>
          <w:szCs w:val="20"/>
          <w:color w:val="auto"/>
        </w:rPr>
      </w:pPr>
    </w:p>
    <w:p>
      <w:pPr>
        <w:ind w:left="500"/>
        <w:spacing w:after="0"/>
        <w:tabs>
          <w:tab w:leader="none" w:pos="1120" w:val="left"/>
          <w:tab w:leader="dot" w:pos="7920" w:val="left"/>
        </w:tabs>
        <w:rPr>
          <w:sz w:val="20"/>
          <w:szCs w:val="20"/>
          <w:color w:val="auto"/>
        </w:rPr>
      </w:pPr>
      <w:r>
        <w:rPr>
          <w:rFonts w:ascii="Times New Roman" w:cs="Times New Roman" w:eastAsia="Times New Roman" w:hAnsi="Times New Roman"/>
          <w:sz w:val="21"/>
          <w:szCs w:val="21"/>
          <w:color w:val="auto"/>
        </w:rPr>
        <w:t>(j)</w:t>
      </w:r>
      <w:r>
        <w:rPr>
          <w:sz w:val="20"/>
          <w:szCs w:val="20"/>
          <w:color w:val="auto"/>
        </w:rPr>
        <w:tab/>
      </w:r>
      <w:r>
        <w:rPr>
          <w:rFonts w:ascii="Times New Roman" w:cs="Times New Roman" w:eastAsia="Times New Roman" w:hAnsi="Times New Roman"/>
          <w:sz w:val="21"/>
          <w:szCs w:val="21"/>
          <w:color w:val="auto"/>
        </w:rPr>
        <w:t>Public Announcements</w:t>
      </w:r>
      <w:r>
        <w:rPr>
          <w:sz w:val="20"/>
          <w:szCs w:val="20"/>
          <w:color w:val="auto"/>
        </w:rPr>
        <w:tab/>
      </w:r>
      <w:r>
        <w:rPr>
          <w:rFonts w:ascii="Times New Roman" w:cs="Times New Roman" w:eastAsia="Times New Roman" w:hAnsi="Times New Roman"/>
          <w:sz w:val="20"/>
          <w:szCs w:val="20"/>
          <w:color w:val="auto"/>
        </w:rPr>
        <w:t>21</w:t>
      </w:r>
    </w:p>
    <w:p>
      <w:pPr>
        <w:spacing w:after="0" w:line="133" w:lineRule="exact"/>
        <w:rPr>
          <w:sz w:val="20"/>
          <w:szCs w:val="20"/>
          <w:color w:val="auto"/>
        </w:rPr>
      </w:pPr>
    </w:p>
    <w:p>
      <w:pPr>
        <w:ind w:left="500"/>
        <w:spacing w:after="0"/>
        <w:tabs>
          <w:tab w:leader="none" w:pos="1120" w:val="left"/>
          <w:tab w:leader="dot" w:pos="7900" w:val="left"/>
        </w:tabs>
        <w:rPr>
          <w:sz w:val="20"/>
          <w:szCs w:val="20"/>
          <w:color w:val="auto"/>
        </w:rPr>
      </w:pPr>
      <w:r>
        <w:rPr>
          <w:rFonts w:ascii="Times New Roman" w:cs="Times New Roman" w:eastAsia="Times New Roman" w:hAnsi="Times New Roman"/>
          <w:sz w:val="21"/>
          <w:szCs w:val="21"/>
          <w:color w:val="auto"/>
        </w:rPr>
        <w:t>(k)</w:t>
      </w:r>
      <w:r>
        <w:rPr>
          <w:sz w:val="20"/>
          <w:szCs w:val="20"/>
          <w:color w:val="auto"/>
        </w:rPr>
        <w:tab/>
      </w:r>
      <w:r>
        <w:rPr>
          <w:rFonts w:ascii="Times New Roman" w:cs="Times New Roman" w:eastAsia="Times New Roman" w:hAnsi="Times New Roman"/>
          <w:sz w:val="21"/>
          <w:szCs w:val="21"/>
          <w:color w:val="auto"/>
        </w:rPr>
        <w:t>Confidentiality.</w:t>
      </w:r>
      <w:r>
        <w:rPr>
          <w:sz w:val="20"/>
          <w:szCs w:val="20"/>
          <w:color w:val="auto"/>
        </w:rPr>
        <w:tab/>
      </w:r>
      <w:r>
        <w:rPr>
          <w:rFonts w:ascii="Times New Roman" w:cs="Times New Roman" w:eastAsia="Times New Roman" w:hAnsi="Times New Roman"/>
          <w:sz w:val="21"/>
          <w:szCs w:val="21"/>
          <w:color w:val="auto"/>
        </w:rPr>
        <w:t>21</w:t>
      </w:r>
    </w:p>
    <w:p>
      <w:pPr>
        <w:spacing w:after="0" w:line="119" w:lineRule="exact"/>
        <w:rPr>
          <w:sz w:val="20"/>
          <w:szCs w:val="20"/>
          <w:color w:val="auto"/>
        </w:rPr>
      </w:pPr>
    </w:p>
    <w:p>
      <w:pPr>
        <w:ind w:left="500"/>
        <w:spacing w:after="0"/>
        <w:tabs>
          <w:tab w:leader="none" w:pos="1120" w:val="left"/>
          <w:tab w:leader="dot" w:pos="7940" w:val="left"/>
        </w:tabs>
        <w:rPr>
          <w:sz w:val="20"/>
          <w:szCs w:val="20"/>
          <w:color w:val="auto"/>
        </w:rPr>
      </w:pPr>
      <w:r>
        <w:rPr>
          <w:rFonts w:ascii="Times New Roman" w:cs="Times New Roman" w:eastAsia="Times New Roman" w:hAnsi="Times New Roman"/>
          <w:sz w:val="21"/>
          <w:szCs w:val="21"/>
          <w:color w:val="auto"/>
        </w:rPr>
        <w:t>(l)</w:t>
      </w:r>
      <w:r>
        <w:rPr>
          <w:sz w:val="20"/>
          <w:szCs w:val="20"/>
          <w:color w:val="auto"/>
        </w:rPr>
        <w:tab/>
      </w:r>
      <w:r>
        <w:rPr>
          <w:rFonts w:ascii="Times New Roman" w:cs="Times New Roman" w:eastAsia="Times New Roman" w:hAnsi="Times New Roman"/>
          <w:sz w:val="21"/>
          <w:szCs w:val="21"/>
          <w:color w:val="auto"/>
        </w:rPr>
        <w:t>Specific Performance</w:t>
      </w:r>
      <w:r>
        <w:rPr>
          <w:sz w:val="20"/>
          <w:szCs w:val="20"/>
          <w:color w:val="auto"/>
        </w:rPr>
        <w:tab/>
      </w:r>
      <w:r>
        <w:rPr>
          <w:rFonts w:ascii="Times New Roman" w:cs="Times New Roman" w:eastAsia="Times New Roman" w:hAnsi="Times New Roman"/>
          <w:sz w:val="20"/>
          <w:szCs w:val="20"/>
          <w:color w:val="auto"/>
        </w:rPr>
        <w:t>23</w:t>
      </w:r>
    </w:p>
    <w:p>
      <w:pPr>
        <w:spacing w:after="0" w:line="119" w:lineRule="exact"/>
        <w:rPr>
          <w:sz w:val="20"/>
          <w:szCs w:val="20"/>
          <w:color w:val="auto"/>
        </w:rPr>
      </w:pPr>
    </w:p>
    <w:p>
      <w:pPr>
        <w:ind w:left="500"/>
        <w:spacing w:after="0"/>
        <w:tabs>
          <w:tab w:leader="none" w:pos="1120" w:val="left"/>
          <w:tab w:leader="dot" w:pos="7900" w:val="left"/>
        </w:tabs>
        <w:rPr>
          <w:sz w:val="20"/>
          <w:szCs w:val="20"/>
          <w:color w:val="auto"/>
        </w:rPr>
      </w:pPr>
      <w:r>
        <w:rPr>
          <w:rFonts w:ascii="Times New Roman" w:cs="Times New Roman" w:eastAsia="Times New Roman" w:hAnsi="Times New Roman"/>
          <w:sz w:val="21"/>
          <w:szCs w:val="21"/>
          <w:color w:val="auto"/>
        </w:rPr>
        <w:t>(m)</w:t>
        <w:tab/>
        <w:t>Protection of Title; Transfers Intended as Sale; Security Interest.</w:t>
      </w:r>
      <w:r>
        <w:rPr>
          <w:sz w:val="20"/>
          <w:szCs w:val="20"/>
          <w:color w:val="auto"/>
        </w:rPr>
        <w:tab/>
      </w:r>
      <w:r>
        <w:rPr>
          <w:rFonts w:ascii="Times New Roman" w:cs="Times New Roman" w:eastAsia="Times New Roman" w:hAnsi="Times New Roman"/>
          <w:sz w:val="21"/>
          <w:szCs w:val="21"/>
          <w:color w:val="auto"/>
        </w:rPr>
        <w:t>23</w:t>
      </w:r>
    </w:p>
    <w:p>
      <w:pPr>
        <w:sectPr>
          <w:pgSz w:w="11900" w:h="16838" w:orient="portrait"/>
          <w:cols w:equalWidth="0" w:num="1">
            <w:col w:w="10960"/>
          </w:cols>
          <w:pgMar w:left="460" w:top="1020" w:right="479" w:bottom="1440" w:gutter="0" w:footer="0" w:header="0"/>
        </w:sectPr>
      </w:pPr>
    </w:p>
    <w:bookmarkStart w:id="189" w:name="page190"/>
    <w:bookmarkEnd w:id="189"/>
    <w:p>
      <w:pPr>
        <w:ind w:left="140"/>
        <w:spacing w:after="0"/>
        <w:rPr>
          <w:sz w:val="20"/>
          <w:szCs w:val="20"/>
          <w:color w:val="auto"/>
        </w:rPr>
      </w:pPr>
      <w:r>
        <w:rPr>
          <w:rFonts w:ascii="Times New Roman" w:cs="Times New Roman" w:eastAsia="Times New Roman" w:hAnsi="Times New Roman"/>
          <w:sz w:val="21"/>
          <w:szCs w:val="21"/>
          <w:color w:val="auto"/>
        </w:rPr>
        <w:t>-ii-</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Schedules and Exhibits</w:t>
            </w:r>
          </w:p>
        </w:tc>
        <w:tc>
          <w:tcPr>
            <w:tcW w:w="4840" w:type="dxa"/>
            <w:vAlign w:val="bottom"/>
          </w:tcPr>
          <w:p>
            <w:pPr>
              <w:spacing w:after="0"/>
              <w:rPr>
                <w:sz w:val="19"/>
                <w:szCs w:val="19"/>
                <w:color w:val="auto"/>
              </w:rPr>
            </w:pPr>
          </w:p>
        </w:tc>
      </w:tr>
      <w:tr>
        <w:trPr>
          <w:trHeight w:val="332"/>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1</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Seller Account</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2</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Seller Deliverables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3</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Buyer Deliverables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4</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Buyer Representations and Warranties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5</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Seller Representations and Warranties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6</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Notice Information for the Parties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7</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Real Property</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8</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Insurance</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9</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Existing Indebtedness and Liens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Schedule 10</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Material Project Documents</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Exhibit 1</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Form of Transfer Election Statement</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Exhibit 2</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Form of Continuous Operation Certificate</w:t>
            </w:r>
          </w:p>
        </w:tc>
      </w:tr>
      <w:tr>
        <w:trPr>
          <w:trHeight w:val="294"/>
        </w:trPr>
        <w:tc>
          <w:tcPr>
            <w:tcW w:w="1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Exhibit 3</w:t>
            </w:r>
          </w:p>
        </w:tc>
        <w:tc>
          <w:tcPr>
            <w:tcW w:w="4840" w:type="dxa"/>
            <w:vAlign w:val="bottom"/>
          </w:tcPr>
          <w:p>
            <w:pPr>
              <w:ind w:left="1300"/>
              <w:spacing w:after="0"/>
              <w:rPr>
                <w:sz w:val="20"/>
                <w:szCs w:val="20"/>
                <w:color w:val="auto"/>
              </w:rPr>
            </w:pPr>
            <w:r>
              <w:rPr>
                <w:rFonts w:ascii="Times New Roman" w:cs="Times New Roman" w:eastAsia="Times New Roman" w:hAnsi="Times New Roman"/>
                <w:sz w:val="20"/>
                <w:szCs w:val="20"/>
                <w:color w:val="auto"/>
                <w:w w:val="97"/>
              </w:rPr>
              <w:t>Form of Interparty (Forbearance) Agreement</w:t>
            </w:r>
          </w:p>
        </w:tc>
      </w:tr>
      <w:tr>
        <w:trPr>
          <w:trHeight w:val="797"/>
        </w:trPr>
        <w:tc>
          <w:tcPr>
            <w:tcW w:w="1840" w:type="dxa"/>
            <w:vAlign w:val="bottom"/>
          </w:tcPr>
          <w:p>
            <w:pPr>
              <w:spacing w:after="0"/>
              <w:rPr>
                <w:sz w:val="24"/>
                <w:szCs w:val="24"/>
                <w:color w:val="auto"/>
              </w:rPr>
            </w:pPr>
          </w:p>
        </w:tc>
        <w:tc>
          <w:tcPr>
            <w:tcW w:w="48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0139"/>
          </w:cols>
          <w:pgMar w:left="320" w:top="1020" w:right="1440" w:bottom="1440" w:gutter="0" w:footer="0" w:header="0"/>
        </w:sectPr>
      </w:pPr>
    </w:p>
    <w:bookmarkStart w:id="190" w:name="page191"/>
    <w:bookmarkEnd w:id="19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TAX CREDIT PURCHASE AGREEMENT</w:t>
      </w:r>
    </w:p>
    <w:p>
      <w:pPr>
        <w:spacing w:after="0" w:line="197"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TAX CREDIT PURCHASE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June 20,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xml:space="preserve">”), is entered into by and between </w:t>
      </w:r>
      <w:r>
        <w:rPr>
          <w:rFonts w:ascii="Times New Roman" w:cs="Times New Roman" w:eastAsia="Times New Roman" w:hAnsi="Times New Roman"/>
          <w:sz w:val="20"/>
          <w:szCs w:val="20"/>
          <w:b w:val="1"/>
          <w:bCs w:val="1"/>
          <w:color w:val="auto"/>
        </w:rPr>
        <w:t>EAGLEBANK</w:t>
      </w:r>
      <w:r>
        <w:rPr>
          <w:rFonts w:ascii="Times New Roman" w:cs="Times New Roman" w:eastAsia="Times New Roman" w:hAnsi="Times New Roman"/>
          <w:sz w:val="20"/>
          <w:szCs w:val="20"/>
          <w:color w:val="auto"/>
        </w:rPr>
        <w:t>, a Maryland charter commercial bank (the “</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OPAL FUELS LLC</w:t>
      </w:r>
      <w:r>
        <w:rPr>
          <w:rFonts w:ascii="Times New Roman" w:cs="Times New Roman" w:eastAsia="Times New Roman" w:hAnsi="Times New Roman"/>
          <w:sz w:val="20"/>
          <w:szCs w:val="20"/>
          <w:color w:val="auto"/>
        </w:rPr>
        <w:t>, a Delaware limited liability company (the “</w:t>
      </w:r>
      <w:r>
        <w:rPr>
          <w:rFonts w:ascii="Times New Roman" w:cs="Times New Roman" w:eastAsia="Times New Roman" w:hAnsi="Times New Roman"/>
          <w:sz w:val="20"/>
          <w:szCs w:val="20"/>
          <w:b w:val="1"/>
          <w:bCs w:val="1"/>
          <w:i w:val="1"/>
          <w:iCs w:val="1"/>
          <w:color w:val="auto"/>
        </w:rPr>
        <w:t>Seller</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RECITALS</w:t>
      </w:r>
    </w:p>
    <w:p>
      <w:pPr>
        <w:spacing w:after="0" w:line="197"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20"/>
          <w:szCs w:val="20"/>
          <w:color w:val="auto"/>
        </w:rPr>
        <w:t>WHEREAS, Seller owns indirectly 100% of the membership interests in Prince William RNG LLC, a Delaware limited liability company (the “</w:t>
      </w:r>
      <w:r>
        <w:rPr>
          <w:rFonts w:ascii="Times New Roman" w:cs="Times New Roman" w:eastAsia="Times New Roman" w:hAnsi="Times New Roman"/>
          <w:sz w:val="20"/>
          <w:szCs w:val="20"/>
          <w:b w:val="1"/>
          <w:bCs w:val="1"/>
          <w:i w:val="1"/>
          <w:iCs w:val="1"/>
          <w:color w:val="auto"/>
        </w:rPr>
        <w:t>Project Company</w:t>
      </w:r>
      <w:r>
        <w:rPr>
          <w:rFonts w:ascii="Times New Roman" w:cs="Times New Roman" w:eastAsia="Times New Roman" w:hAnsi="Times New Roman"/>
          <w:sz w:val="20"/>
          <w:szCs w:val="20"/>
          <w:color w:val="auto"/>
        </w:rPr>
        <w:t>” and, together with the Seller, collectively, the “</w:t>
      </w:r>
      <w:r>
        <w:rPr>
          <w:rFonts w:ascii="Times New Roman" w:cs="Times New Roman" w:eastAsia="Times New Roman" w:hAnsi="Times New Roman"/>
          <w:sz w:val="20"/>
          <w:szCs w:val="20"/>
          <w:b w:val="1"/>
          <w:bCs w:val="1"/>
          <w:i w:val="1"/>
          <w:iCs w:val="1"/>
          <w:color w:val="auto"/>
        </w:rPr>
        <w:t>Seller Parties</w:t>
      </w:r>
      <w:r>
        <w:rPr>
          <w:rFonts w:ascii="Times New Roman" w:cs="Times New Roman" w:eastAsia="Times New Roman" w:hAnsi="Times New Roman"/>
          <w:sz w:val="20"/>
          <w:szCs w:val="20"/>
          <w:color w:val="auto"/>
        </w:rPr>
        <w:t>”), which owns and operates the landfill renewable natural gas (“</w:t>
      </w:r>
      <w:r>
        <w:rPr>
          <w:rFonts w:ascii="Times New Roman" w:cs="Times New Roman" w:eastAsia="Times New Roman" w:hAnsi="Times New Roman"/>
          <w:sz w:val="20"/>
          <w:szCs w:val="20"/>
          <w:b w:val="1"/>
          <w:bCs w:val="1"/>
          <w:i w:val="1"/>
          <w:iCs w:val="1"/>
          <w:color w:val="auto"/>
        </w:rPr>
        <w:t>RNG</w:t>
      </w:r>
      <w:r>
        <w:rPr>
          <w:rFonts w:ascii="Times New Roman" w:cs="Times New Roman" w:eastAsia="Times New Roman" w:hAnsi="Times New Roman"/>
          <w:sz w:val="20"/>
          <w:szCs w:val="20"/>
          <w:color w:val="auto"/>
        </w:rPr>
        <w:t>”) development project with a designed capacity of approximately 6,500 standard cubic feet per minute located in Manassas County, Virginia more commonly referred to as the Prince William RNG Project (the “</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WHEREAS, Section 48(a) of the Code provides for investment tax credits (“</w:t>
      </w:r>
      <w:r>
        <w:rPr>
          <w:rFonts w:ascii="Times New Roman" w:cs="Times New Roman" w:eastAsia="Times New Roman" w:hAnsi="Times New Roman"/>
          <w:sz w:val="20"/>
          <w:szCs w:val="20"/>
          <w:b w:val="1"/>
          <w:bCs w:val="1"/>
          <w:i w:val="1"/>
          <w:iCs w:val="1"/>
          <w:color w:val="auto"/>
        </w:rPr>
        <w:t>Tax Credits</w:t>
      </w:r>
      <w:r>
        <w:rPr>
          <w:rFonts w:ascii="Times New Roman" w:cs="Times New Roman" w:eastAsia="Times New Roman" w:hAnsi="Times New Roman"/>
          <w:sz w:val="20"/>
          <w:szCs w:val="20"/>
          <w:color w:val="auto"/>
        </w:rPr>
        <w:t>”) for the taxpayer that owns and places in service for U.S. federal income tax purposes the Facility;</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the Seller became eligible to receive Tax Credits in connection with its ownership of the Facility;</w:t>
      </w:r>
    </w:p>
    <w:p>
      <w:pPr>
        <w:spacing w:after="0" w:line="211" w:lineRule="exact"/>
        <w:rPr>
          <w:sz w:val="20"/>
          <w:szCs w:val="20"/>
          <w:color w:val="auto"/>
        </w:rPr>
      </w:pPr>
    </w:p>
    <w:p>
      <w:pPr>
        <w:jc w:val="both"/>
        <w:ind w:firstLine="633"/>
        <w:spacing w:after="0" w:line="276" w:lineRule="auto"/>
        <w:rPr>
          <w:sz w:val="20"/>
          <w:szCs w:val="20"/>
          <w:color w:val="auto"/>
        </w:rPr>
      </w:pPr>
      <w:r>
        <w:rPr>
          <w:rFonts w:ascii="Times New Roman" w:cs="Times New Roman" w:eastAsia="Times New Roman" w:hAnsi="Times New Roman"/>
          <w:sz w:val="20"/>
          <w:szCs w:val="20"/>
          <w:color w:val="auto"/>
        </w:rPr>
        <w:t>WHEREAS, Section 6418 of the Code specifically authorizes an eligible taxpayer, including the Seller, to transfer Tax Credits to an unrelated Person;</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in accordance with Section 6418 of the Code, the Buyer is a Person who is unrelated to the Seller; and</w:t>
      </w:r>
    </w:p>
    <w:p>
      <w:pPr>
        <w:spacing w:after="0" w:line="211" w:lineRule="exact"/>
        <w:rPr>
          <w:sz w:val="20"/>
          <w:szCs w:val="20"/>
          <w:color w:val="auto"/>
        </w:rPr>
      </w:pPr>
    </w:p>
    <w:p>
      <w:pPr>
        <w:jc w:val="both"/>
        <w:ind w:right="20" w:firstLine="633"/>
        <w:spacing w:after="0" w:line="262" w:lineRule="auto"/>
        <w:rPr>
          <w:sz w:val="20"/>
          <w:szCs w:val="20"/>
          <w:color w:val="auto"/>
        </w:rPr>
      </w:pPr>
      <w:r>
        <w:rPr>
          <w:rFonts w:ascii="Times New Roman" w:cs="Times New Roman" w:eastAsia="Times New Roman" w:hAnsi="Times New Roman"/>
          <w:sz w:val="20"/>
          <w:szCs w:val="20"/>
          <w:color w:val="auto"/>
        </w:rPr>
        <w:t>WHEREAS, the Buyer desires to acquire Tax Credits from the Seller, and the Seller desires to sell Tax Credits to the Buyer, in each case, on the terms and conditions set forth herein.</w:t>
      </w:r>
    </w:p>
    <w:p>
      <w:pPr>
        <w:spacing w:after="0" w:line="166" w:lineRule="exact"/>
        <w:rPr>
          <w:sz w:val="20"/>
          <w:szCs w:val="20"/>
          <w:color w:val="auto"/>
        </w:rPr>
      </w:pPr>
    </w:p>
    <w:p>
      <w:pPr>
        <w:jc w:val="both"/>
        <w:ind w:firstLine="633"/>
        <w:spacing w:after="0" w:line="276" w:lineRule="auto"/>
        <w:rPr>
          <w:sz w:val="20"/>
          <w:szCs w:val="20"/>
          <w:color w:val="auto"/>
        </w:rPr>
      </w:pPr>
      <w:r>
        <w:rPr>
          <w:rFonts w:ascii="Times New Roman" w:cs="Times New Roman" w:eastAsia="Times New Roman" w:hAnsi="Times New Roman"/>
          <w:sz w:val="20"/>
          <w:szCs w:val="20"/>
          <w:color w:val="auto"/>
        </w:rPr>
        <w:t>NOW, THEREFORE, in consideration of the mutual promises contained herein and other good and valuable consideration, the receipt and sufficiency of which are hereby acknowledged, the Seller and the Buyer agree as follows:</w:t>
      </w:r>
    </w:p>
    <w:p>
      <w:pPr>
        <w:spacing w:after="0" w:line="188"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b w:val="1"/>
          <w:bCs w:val="1"/>
          <w:u w:val="single" w:color="auto"/>
          <w:color w:val="auto"/>
        </w:rPr>
        <w:t>Section 1</w:t>
      </w:r>
      <w:r>
        <w:rPr>
          <w:sz w:val="20"/>
          <w:szCs w:val="20"/>
          <w:color w:val="auto"/>
        </w:rPr>
        <w:tab/>
      </w:r>
      <w:r>
        <w:rPr>
          <w:rFonts w:ascii="Times New Roman" w:cs="Times New Roman" w:eastAsia="Times New Roman" w:hAnsi="Times New Roman"/>
          <w:sz w:val="18"/>
          <w:szCs w:val="18"/>
          <w:b w:val="1"/>
          <w:bCs w:val="1"/>
          <w:u w:val="single" w:color="auto"/>
          <w:color w:val="auto"/>
        </w:rPr>
        <w:t>Defined Terms; Terms Generally.</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207"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 specified Person, another Person that directly or indirectly controls or is controlled by or is under common control with the Person specified. For purposes of this definition, the term “control” (and correlative terms) means (a) the ownership of 20% or more of the equity interest in a Person or (b) the power, whether by contract, equity ownership or otherwise, to direct or cause the direction of the policies or management of a Person.</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has the meaning specified in the introductory paragraph.</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Anti-Corruption Laws</w:t>
      </w:r>
      <w:r>
        <w:rPr>
          <w:rFonts w:ascii="Times New Roman" w:cs="Times New Roman" w:eastAsia="Times New Roman" w:hAnsi="Times New Roman"/>
          <w:sz w:val="20"/>
          <w:szCs w:val="20"/>
          <w:color w:val="auto"/>
        </w:rPr>
        <w:t>” means all laws, regulations or orders relating to anti-bribery or anticorruption (governmental or commercial); including, without limitation, the U.S. Foreign Corrupt</w:t>
      </w:r>
    </w:p>
    <w:p>
      <w:pPr>
        <w:sectPr>
          <w:pgSz w:w="11900" w:h="16838" w:orient="portrait"/>
          <w:cols w:equalWidth="0" w:num="1">
            <w:col w:w="11200"/>
          </w:cols>
          <w:pgMar w:left="320" w:top="1181" w:right="379" w:bottom="1440" w:gutter="0" w:footer="0" w:header="0"/>
        </w:sectPr>
      </w:pPr>
    </w:p>
    <w:bookmarkStart w:id="191" w:name="page192"/>
    <w:bookmarkEnd w:id="191"/>
    <w:p>
      <w:pPr>
        <w:jc w:val="both"/>
        <w:spacing w:after="0" w:line="276" w:lineRule="auto"/>
        <w:rPr>
          <w:sz w:val="20"/>
          <w:szCs w:val="20"/>
          <w:color w:val="auto"/>
        </w:rPr>
      </w:pPr>
      <w:r>
        <w:rPr>
          <w:rFonts w:ascii="Times New Roman" w:cs="Times New Roman" w:eastAsia="Times New Roman" w:hAnsi="Times New Roman"/>
          <w:sz w:val="20"/>
          <w:szCs w:val="20"/>
          <w:color w:val="auto"/>
        </w:rPr>
        <w:t>Practices Act of 1977, the UK Bribery Act of 2010, and all applicable national and international laws enacted to implement the OECD Convention on Combating Bribery of Foreign Officials in International Business Transactions.</w:t>
      </w:r>
    </w:p>
    <w:p>
      <w:pPr>
        <w:spacing w:after="0" w:line="148"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Anti-Money Laundering Laws</w:t>
      </w:r>
      <w:r>
        <w:rPr>
          <w:rFonts w:ascii="Times New Roman" w:cs="Times New Roman" w:eastAsia="Times New Roman" w:hAnsi="Times New Roman"/>
          <w:sz w:val="20"/>
          <w:szCs w:val="20"/>
          <w:color w:val="auto"/>
        </w:rPr>
        <w:t>” means the Lender Secrecy Act, 31 U.S.C. Sections 5311 et seq. (the “</w:t>
      </w:r>
      <w:r>
        <w:rPr>
          <w:rFonts w:ascii="Times New Roman" w:cs="Times New Roman" w:eastAsia="Times New Roman" w:hAnsi="Times New Roman"/>
          <w:sz w:val="20"/>
          <w:szCs w:val="20"/>
          <w:b w:val="1"/>
          <w:bCs w:val="1"/>
          <w:i w:val="1"/>
          <w:iCs w:val="1"/>
          <w:color w:val="auto"/>
        </w:rPr>
        <w:t>BSA</w:t>
      </w:r>
      <w:r>
        <w:rPr>
          <w:rFonts w:ascii="Times New Roman" w:cs="Times New Roman" w:eastAsia="Times New Roman" w:hAnsi="Times New Roman"/>
          <w:sz w:val="20"/>
          <w:szCs w:val="20"/>
          <w:color w:val="auto"/>
        </w:rPr>
        <w:t>”), and all applicable laws, regulations and government guidance on BSA compliance and on the prevention and detection of money laundering violations under 18 U.S.C. Sections 1956 and 1957.</w:t>
      </w:r>
    </w:p>
    <w:p>
      <w:pPr>
        <w:spacing w:after="0" w:line="167"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as to any Person, any law, statute, rule, constitution, regulation, ordinance, order, code, judgment, decree, directive, injunction, writ or similar action or decision duly implementing any of the foregoing which has been enacted, issued or promulgated by any Governmental Authority, in each case, applicable to or binding upon such Person or any of its property, or to which such Person or any of its property is subject.</w:t>
      </w:r>
    </w:p>
    <w:p>
      <w:pPr>
        <w:spacing w:after="0" w:line="168" w:lineRule="exact"/>
        <w:rPr>
          <w:sz w:val="20"/>
          <w:szCs w:val="20"/>
          <w:color w:val="auto"/>
        </w:rPr>
      </w:pPr>
    </w:p>
    <w:p>
      <w:pPr>
        <w:jc w:val="both"/>
        <w:ind w:right="20"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Appraisal</w:t>
      </w:r>
      <w:r>
        <w:rPr>
          <w:rFonts w:ascii="Times New Roman" w:cs="Times New Roman" w:eastAsia="Times New Roman" w:hAnsi="Times New Roman"/>
          <w:sz w:val="20"/>
          <w:szCs w:val="20"/>
          <w:color w:val="auto"/>
        </w:rPr>
        <w:t>” means the Appraisal of the Prince William RNG Facility dated as of May 23, 2025 prepared by Marshall and Stevens Incorporated.</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Tax Credits</w:t>
      </w:r>
      <w:r>
        <w:rPr>
          <w:rFonts w:ascii="Times New Roman" w:cs="Times New Roman" w:eastAsia="Times New Roman" w:hAnsi="Times New Roman"/>
          <w:sz w:val="20"/>
          <w:szCs w:val="20"/>
          <w:color w:val="auto"/>
        </w:rPr>
        <w:t>” means $16,739,720.</w:t>
      </w:r>
    </w:p>
    <w:p>
      <w:pPr>
        <w:spacing w:after="0" w:line="211"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any calendar day other than a Saturday, Sunday or other calendar day on which banks are authorized to be closed in New York, New York.</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has the meaning specified in the introductory paragraph.</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 Deliverables</w:t>
      </w:r>
      <w:r>
        <w:rPr>
          <w:rFonts w:ascii="Times New Roman" w:cs="Times New Roman" w:eastAsia="Times New Roman" w:hAnsi="Times New Roman"/>
          <w:sz w:val="20"/>
          <w:szCs w:val="20"/>
          <w:color w:val="auto"/>
        </w:rPr>
        <w:t xml:space="preserve">” means those items identified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which are to be delivered by the Buyer to the Seller on or prior to the Effective Date.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Casualty Event</w:t>
      </w:r>
      <w:r>
        <w:rPr>
          <w:rFonts w:ascii="Times New Roman" w:cs="Times New Roman" w:eastAsia="Times New Roman" w:hAnsi="Times New Roman"/>
          <w:sz w:val="20"/>
          <w:szCs w:val="20"/>
          <w:color w:val="auto"/>
        </w:rPr>
        <w:t>” means any casualty, loss, destruction or material damage that eliminates or otherwise impairs, the Facility or the Facility Site, or any portion thereof.</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Tax Law Termination Event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3(f)</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xml:space="preserve">” means the date on which all of the conditions precedent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have been satisfied (or waived by the Parties).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Commencement of Construction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Authority</w:t>
      </w:r>
      <w:r>
        <w:rPr>
          <w:rFonts w:ascii="Times New Roman" w:cs="Times New Roman" w:eastAsia="Times New Roman" w:hAnsi="Times New Roman"/>
          <w:sz w:val="20"/>
          <w:szCs w:val="20"/>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and (g) the U.S. Securities and Exchange Commission, and similar Governmental Authorities of the United Kingdom and the European Union and its member states.</w:t>
      </w:r>
    </w:p>
    <w:p>
      <w:pPr>
        <w:spacing w:after="0" w:line="173"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Condemnation Event</w:t>
      </w:r>
      <w:r>
        <w:rPr>
          <w:rFonts w:ascii="Times New Roman" w:cs="Times New Roman" w:eastAsia="Times New Roman" w:hAnsi="Times New Roman"/>
          <w:sz w:val="20"/>
          <w:szCs w:val="20"/>
          <w:color w:val="auto"/>
        </w:rPr>
        <w:t>” means any condemnation, taking by eminent domain or similar action with respect to the Facility or the Facility Site or any portion thereof or any other material asset of any Seller Party.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7(k)(i)</w:t>
      </w:r>
      <w:r>
        <w:rPr>
          <w:rFonts w:ascii="Times New Roman" w:cs="Times New Roman" w:eastAsia="Times New Roman" w:hAnsi="Times New Roman"/>
          <w:sz w:val="20"/>
          <w:szCs w:val="20"/>
          <w:color w:val="auto"/>
        </w:rPr>
        <w:t>.</w:t>
      </w:r>
    </w:p>
    <w:p>
      <w:pPr>
        <w:sectPr>
          <w:pgSz w:w="11900" w:h="16838" w:orient="portrait"/>
          <w:cols w:equalWidth="0" w:num="1">
            <w:col w:w="11200"/>
          </w:cols>
          <w:pgMar w:left="320" w:top="1012" w:right="379" w:bottom="1440" w:gutter="0" w:footer="0" w:header="0"/>
        </w:sectPr>
      </w:pPr>
    </w:p>
    <w:bookmarkStart w:id="192" w:name="page193"/>
    <w:bookmarkEnd w:id="192"/>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Continuous Operation Certificate</w:t>
      </w:r>
      <w:r>
        <w:rPr>
          <w:rFonts w:ascii="Times New Roman" w:cs="Times New Roman" w:eastAsia="Times New Roman" w:hAnsi="Times New Roman"/>
          <w:sz w:val="20"/>
          <w:szCs w:val="20"/>
          <w:color w:val="auto"/>
        </w:rPr>
        <w:t xml:space="preserve">” means a certificate of the Seller in substantially the form of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and delivered to the Buyer from time to time pursuant to </w:t>
      </w:r>
      <w:r>
        <w:rPr>
          <w:rFonts w:ascii="Times New Roman" w:cs="Times New Roman" w:eastAsia="Times New Roman" w:hAnsi="Times New Roman"/>
          <w:sz w:val="20"/>
          <w:szCs w:val="20"/>
          <w:u w:val="single" w:color="auto"/>
          <w:color w:val="auto"/>
        </w:rPr>
        <w:t>Section 5(b)(x)</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b w:val="1"/>
          <w:bCs w:val="1"/>
          <w:i w:val="1"/>
          <w:i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under common Control with</w:t>
      </w:r>
      <w:r>
        <w:rPr>
          <w:rFonts w:ascii="Times New Roman" w:cs="Times New Roman" w:eastAsia="Times New Roman" w:hAnsi="Times New Roman"/>
          <w:sz w:val="20"/>
          <w:szCs w:val="20"/>
          <w:color w:val="auto"/>
        </w:rPr>
        <w:t>”) means the possession, direct or indirect, of the power to direct or cause the direction of the management and policies of a Person, whether through the ownership of voting securities, by contract or otherwise.</w:t>
      </w:r>
    </w:p>
    <w:p>
      <w:pPr>
        <w:spacing w:after="0" w:line="167"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Cost Segregation Report</w:t>
      </w:r>
      <w:r>
        <w:rPr>
          <w:rFonts w:ascii="Times New Roman" w:cs="Times New Roman" w:eastAsia="Times New Roman" w:hAnsi="Times New Roman"/>
          <w:sz w:val="20"/>
          <w:szCs w:val="20"/>
          <w:color w:val="auto"/>
        </w:rPr>
        <w:t>” means the report prepared by Marshall and Stevens Incorporated, dated as of May 23, 2025 for the Facility showing the tax basis that the Project Company has in its assets allocated among the various assets for cost recovery purposes and delivered to the Buyer by the Seller prior to the Effective Date.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has the meaning specified in the introductory paragraph.</w:t>
      </w:r>
    </w:p>
    <w:p>
      <w:pPr>
        <w:spacing w:after="0" w:line="211" w:lineRule="exact"/>
        <w:rPr>
          <w:sz w:val="20"/>
          <w:szCs w:val="20"/>
          <w:color w:val="auto"/>
        </w:rPr>
      </w:pPr>
    </w:p>
    <w:p>
      <w:pPr>
        <w:jc w:val="both"/>
        <w:ind w:right="20"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Credit Property</w:t>
      </w:r>
      <w:r>
        <w:rPr>
          <w:rFonts w:ascii="Times New Roman" w:cs="Times New Roman" w:eastAsia="Times New Roman" w:hAnsi="Times New Roman"/>
          <w:sz w:val="20"/>
          <w:szCs w:val="20"/>
          <w:color w:val="auto"/>
        </w:rPr>
        <w:t>” means each “energy property” within the meaning of Treasury Regulations Section 1.6418-1(d)(9)(i) included in the Facility.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EPC Contract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10</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has the meaning specified in the recitals.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 Site</w:t>
      </w:r>
      <w:r>
        <w:rPr>
          <w:rFonts w:ascii="Times New Roman" w:cs="Times New Roman" w:eastAsia="Times New Roman" w:hAnsi="Times New Roman"/>
          <w:sz w:val="20"/>
          <w:szCs w:val="20"/>
          <w:color w:val="auto"/>
        </w:rPr>
        <w:t xml:space="preserve">” means the real property described in </w:t>
      </w:r>
      <w:r>
        <w:rPr>
          <w:rFonts w:ascii="Times New Roman" w:cs="Times New Roman" w:eastAsia="Times New Roman" w:hAnsi="Times New Roman"/>
          <w:sz w:val="20"/>
          <w:szCs w:val="20"/>
          <w:u w:val="single" w:color="auto"/>
          <w:color w:val="auto"/>
        </w:rPr>
        <w:t>Schedule 7</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Final Determination</w:t>
      </w:r>
      <w:r>
        <w:rPr>
          <w:rFonts w:ascii="Times New Roman" w:cs="Times New Roman" w:eastAsia="Times New Roman" w:hAnsi="Times New Roman"/>
          <w:sz w:val="20"/>
          <w:szCs w:val="20"/>
          <w:color w:val="auto"/>
        </w:rPr>
        <w:t>” means the earlier of (a) a decision, judgment, decree or other order by any court of competent jurisdiction, which decision, judgment, decree or other order has become final, (b) a closing agreement entered into pursuant to Section 7121 of the Code or any other settlement agreement entered into in connection with an administrative or judicial proceeding, in each case, with the written consent of the Seller (such consent not to be unreasonably withheld, conditioned, or delayed), (c) the date on which the time for instituting a claim for refund has expired, or if a claim was filed, the time for instituting suit with respect thereto has expired, or (d) the date on which the eligible taxpayer (within the meaning of Section 6418 of the Code) or the Buyer has filed a tax return (or amended tax return) or other tax form (including IRS Form 4255) that reflects a recapture of the Transferred Tax Credits that was consented to by the Seller.</w:t>
      </w:r>
    </w:p>
    <w:p>
      <w:pPr>
        <w:spacing w:after="0" w:line="173"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Funds Flow Memorandum</w:t>
      </w:r>
      <w:r>
        <w:rPr>
          <w:rFonts w:ascii="Times New Roman" w:cs="Times New Roman" w:eastAsia="Times New Roman" w:hAnsi="Times New Roman"/>
          <w:sz w:val="20"/>
          <w:szCs w:val="20"/>
          <w:color w:val="auto"/>
        </w:rPr>
        <w:t>” means a memorandum detailing the sources and uses and flow of funds, including proceeds of the Purchase Price and the payment of transaction costs and expenses, including payment of the Structuring Fee, on the Payment Date, in form and substance satisfactory to the Parties.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generally accepted accounting principles in the U.S., as in effect from time to time.</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Approval</w:t>
      </w:r>
      <w:r>
        <w:rPr>
          <w:rFonts w:ascii="Times New Roman" w:cs="Times New Roman" w:eastAsia="Times New Roman" w:hAnsi="Times New Roman"/>
          <w:sz w:val="20"/>
          <w:szCs w:val="20"/>
          <w:color w:val="auto"/>
        </w:rPr>
        <w:t>” means any action, consent, filing, notification, order, certificate, determination, registration, permit, license, approval or authorization by, with, from or of any Governmental Authority or other entity pursuant to Applicable Law.</w:t>
      </w:r>
    </w:p>
    <w:p>
      <w:pPr>
        <w:spacing w:after="0" w:line="145" w:lineRule="exact"/>
        <w:rPr>
          <w:sz w:val="20"/>
          <w:szCs w:val="20"/>
          <w:color w:val="auto"/>
        </w:rPr>
      </w:pPr>
    </w:p>
    <w:p>
      <w:pPr>
        <w:jc w:val="both"/>
        <w:ind w:firstLine="633"/>
        <w:spacing w:after="0" w:line="3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the government of the U.S., any other nation or any political subdivision thereof, whether federal, state, provincial, territorial, local or otherwise, and any agency, authority, instrumentality, regulatory body, court, or other entity exercising executive, legislative, judicial, taxing, regulatory or administrative powers or functions of or pertaining to government in any jurisdiction.</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w:t>
      </w:r>
      <w:r>
        <w:rPr>
          <w:rFonts w:ascii="Times New Roman" w:cs="Times New Roman" w:eastAsia="Times New Roman" w:hAnsi="Times New Roman"/>
          <w:sz w:val="20"/>
          <w:szCs w:val="20"/>
          <w:color w:val="auto"/>
        </w:rPr>
        <w:t>” means OPAL Fuels Inc., a Delaware corporation.</w:t>
      </w:r>
    </w:p>
    <w:p>
      <w:pPr>
        <w:sectPr>
          <w:pgSz w:w="11900" w:h="16838" w:orient="portrait"/>
          <w:cols w:equalWidth="0" w:num="1">
            <w:col w:w="11200"/>
          </w:cols>
          <w:pgMar w:left="320" w:top="1008" w:right="379" w:bottom="1440" w:gutter="0" w:footer="0" w:header="0"/>
        </w:sectPr>
      </w:pPr>
    </w:p>
    <w:bookmarkStart w:id="193" w:name="page194"/>
    <w:bookmarkEnd w:id="193"/>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Guaranty</w:t>
      </w:r>
      <w:r>
        <w:rPr>
          <w:rFonts w:ascii="Times New Roman" w:cs="Times New Roman" w:eastAsia="Times New Roman" w:hAnsi="Times New Roman"/>
          <w:sz w:val="20"/>
          <w:szCs w:val="20"/>
          <w:color w:val="auto"/>
        </w:rPr>
        <w:t>” means the Guaranty Agreement dated as of the Effective Date, made by the Guarantor, in favor of the Buyer, and any Replacement Guaranty.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Indemnity Cap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Engineer</w:t>
      </w:r>
      <w:r>
        <w:rPr>
          <w:rFonts w:ascii="Times New Roman" w:cs="Times New Roman" w:eastAsia="Times New Roman" w:hAnsi="Times New Roman"/>
          <w:sz w:val="20"/>
          <w:szCs w:val="20"/>
          <w:color w:val="auto"/>
        </w:rPr>
        <w:t>” means Luminate, LLC.</w:t>
      </w:r>
    </w:p>
    <w:p>
      <w:pPr>
        <w:spacing w:after="0" w:line="211"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Engineer Report</w:t>
      </w:r>
      <w:r>
        <w:rPr>
          <w:rFonts w:ascii="Times New Roman" w:cs="Times New Roman" w:eastAsia="Times New Roman" w:hAnsi="Times New Roman"/>
          <w:sz w:val="20"/>
          <w:szCs w:val="20"/>
          <w:color w:val="auto"/>
        </w:rPr>
        <w:t>” means the report entitled “Prince William Renewable Natural Gas Production Facility Independent Engineer’s Report” dated as of August 30, 2023, and delivered by the Independent Engineer, including all exhibits, appendices and any other attachments.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Insurance Consultant</w:t>
      </w:r>
      <w:r>
        <w:rPr>
          <w:rFonts w:ascii="Times New Roman" w:cs="Times New Roman" w:eastAsia="Times New Roman" w:hAnsi="Times New Roman"/>
          <w:sz w:val="20"/>
          <w:szCs w:val="20"/>
          <w:color w:val="auto"/>
        </w:rPr>
        <w:t>” means Moore-McNeil, LLC or any other national insurance consultant as mutually agreed by the Parties.</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Insurance Consultant Report</w:t>
      </w:r>
      <w:r>
        <w:rPr>
          <w:rFonts w:ascii="Times New Roman" w:cs="Times New Roman" w:eastAsia="Times New Roman" w:hAnsi="Times New Roman"/>
          <w:sz w:val="20"/>
          <w:szCs w:val="20"/>
          <w:color w:val="auto"/>
        </w:rPr>
        <w:t>” means the Insurance Report (Prince William Project) of the Insurance Consultant dated as of March 26, 2025.</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Intermediary Company</w:t>
      </w:r>
      <w:r>
        <w:rPr>
          <w:rFonts w:ascii="Times New Roman" w:cs="Times New Roman" w:eastAsia="Times New Roman" w:hAnsi="Times New Roman"/>
          <w:sz w:val="20"/>
          <w:szCs w:val="20"/>
          <w:color w:val="auto"/>
        </w:rPr>
        <w:t>” means each of OPAL Fuels ITC Holdco II LLC and OPAL Fuels Intermediate ITC HoldCo LLC.</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means the Internal Revenue Service, or any successor agency.</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ITCs</w:t>
      </w:r>
      <w:r>
        <w:rPr>
          <w:rFonts w:ascii="Times New Roman" w:cs="Times New Roman" w:eastAsia="Times New Roman" w:hAnsi="Times New Roman"/>
          <w:sz w:val="20"/>
          <w:szCs w:val="20"/>
          <w:color w:val="auto"/>
        </w:rPr>
        <w:t>” means investment tax credits pursuant to Section 48 of the Code.</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Knowledge</w:t>
      </w:r>
      <w:r>
        <w:rPr>
          <w:rFonts w:ascii="Times New Roman" w:cs="Times New Roman" w:eastAsia="Times New Roman" w:hAnsi="Times New Roman"/>
          <w:sz w:val="20"/>
          <w:szCs w:val="20"/>
          <w:color w:val="auto"/>
        </w:rPr>
        <w:t>” means, with respect to any Person, the actual knowledge of such Person after due inquiry, into the affairs of such Person and the officers, directors and senior managers (and individuals holding similar titles) of such Person.</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means any lien, security interest, mortgage, hypothecation, encumbrance or other restriction on title or property interest.</w:t>
      </w:r>
    </w:p>
    <w:p>
      <w:pPr>
        <w:spacing w:after="0" w:line="211"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 means, with respect to a Person, a material adverse effect on (a) the ability of such Person to consummate the Transactions (to the extent such Person is involved with the Transactions), (b) the purchase or transfer of the Transferred Tax Credits as contemplated by this Agreement, (c) the business, assets, liabilities, prospects or results of operations or financial condition of such Person (or, if such Person is a Seller Party, the Facility), (d) the ability of such Person to perform its respective obligations under the Transaction Documents (to the extent such Person has obligations thereunder), or (e) the Transferred Tax Credits.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Project Documents</w:t>
      </w:r>
      <w:r>
        <w:rPr>
          <w:rFonts w:ascii="Times New Roman" w:cs="Times New Roman" w:eastAsia="Times New Roman" w:hAnsi="Times New Roman"/>
          <w:sz w:val="20"/>
          <w:szCs w:val="20"/>
          <w:color w:val="auto"/>
        </w:rPr>
        <w:t xml:space="preserve">” means the agreements and contracts set forth on </w:t>
      </w:r>
      <w:r>
        <w:rPr>
          <w:rFonts w:ascii="Times New Roman" w:cs="Times New Roman" w:eastAsia="Times New Roman" w:hAnsi="Times New Roman"/>
          <w:sz w:val="20"/>
          <w:szCs w:val="20"/>
          <w:u w:val="single" w:color="auto"/>
          <w:color w:val="auto"/>
        </w:rPr>
        <w:t>Schedule 10</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Minimum Documentation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O&amp;M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10</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means the U.S. Department of Treasury’s Office of Foreign Assets Control.</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Opal Parties</w:t>
      </w:r>
      <w:r>
        <w:rPr>
          <w:rFonts w:ascii="Times New Roman" w:cs="Times New Roman" w:eastAsia="Times New Roman" w:hAnsi="Times New Roman"/>
          <w:sz w:val="20"/>
          <w:szCs w:val="20"/>
          <w:color w:val="auto"/>
        </w:rPr>
        <w:t>” means the Seller and the Guarantor.</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means, individually, each of the Buyer and the Seller and, collectively, the Buyer and the Seller.</w:t>
      </w:r>
    </w:p>
    <w:p>
      <w:pPr>
        <w:sectPr>
          <w:pgSz w:w="11900" w:h="16838" w:orient="portrait"/>
          <w:cols w:equalWidth="0" w:num="1">
            <w:col w:w="11200"/>
          </w:cols>
          <w:pgMar w:left="320" w:top="1008" w:right="379" w:bottom="1440" w:gutter="0" w:footer="0" w:header="0"/>
        </w:sectPr>
      </w:pPr>
    </w:p>
    <w:bookmarkStart w:id="194" w:name="page195"/>
    <w:bookmarkEnd w:id="194"/>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633"/>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Equity Lien</w:t>
      </w:r>
      <w:r>
        <w:rPr>
          <w:rFonts w:ascii="Times New Roman" w:cs="Times New Roman" w:eastAsia="Times New Roman" w:hAnsi="Times New Roman"/>
          <w:sz w:val="20"/>
          <w:szCs w:val="20"/>
          <w:color w:val="auto"/>
        </w:rPr>
        <w:t>” means, with respect to the ownership interests in a Person, any contractual limitations pursuant to the operating agreement or bylaws of such Person and any restrictions on transfer of the ownership interests in a Person under any applicable federal, state or foreign securities law.</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Indebtedness</w:t>
      </w:r>
      <w:r>
        <w:rPr>
          <w:rFonts w:ascii="Times New Roman" w:cs="Times New Roman" w:eastAsia="Times New Roman" w:hAnsi="Times New Roman"/>
          <w:sz w:val="20"/>
          <w:szCs w:val="20"/>
          <w:color w:val="auto"/>
        </w:rPr>
        <w:t>” means:</w:t>
      </w:r>
    </w:p>
    <w:p>
      <w:pPr>
        <w:spacing w:after="0" w:line="188" w:lineRule="exact"/>
        <w:rPr>
          <w:sz w:val="20"/>
          <w:szCs w:val="20"/>
          <w:color w:val="auto"/>
        </w:rPr>
      </w:pPr>
    </w:p>
    <w:p>
      <w:pPr>
        <w:ind w:left="1280" w:hanging="640"/>
        <w:spacing w:after="0"/>
        <w:tabs>
          <w:tab w:leader="none" w:pos="12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Closing Date and set forth on </w:t>
      </w:r>
      <w:r>
        <w:rPr>
          <w:rFonts w:ascii="Times New Roman" w:cs="Times New Roman" w:eastAsia="Times New Roman" w:hAnsi="Times New Roman"/>
          <w:sz w:val="20"/>
          <w:szCs w:val="20"/>
          <w:u w:val="single" w:color="auto"/>
          <w:color w:val="auto"/>
        </w:rPr>
        <w:t>Schedule 9</w:t>
      </w:r>
      <w:r>
        <w:rPr>
          <w:rFonts w:ascii="Times New Roman" w:cs="Times New Roman" w:eastAsia="Times New Roman" w:hAnsi="Times New Roman"/>
          <w:sz w:val="20"/>
          <w:szCs w:val="20"/>
          <w:color w:val="auto"/>
        </w:rPr>
        <w:t xml:space="preserve"> and any replacement or refinancing thereof;</w:t>
      </w:r>
    </w:p>
    <w:p>
      <w:pPr>
        <w:spacing w:after="0" w:line="210"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or unsecured indebtedness of a Seller Party for which the Seller has delivered (or caused to be delivered) to the Buyer an interparty (forbearance) agreement in form and substance reasonably satisfactory to the Buyer among the provider of such indebtedness, the Seller Party incurring such indebtedness and the Buyer; or</w:t>
      </w:r>
    </w:p>
    <w:p>
      <w:pPr>
        <w:spacing w:after="0" w:line="185" w:lineRule="exact"/>
        <w:rPr>
          <w:rFonts w:ascii="Times New Roman" w:cs="Times New Roman" w:eastAsia="Times New Roman" w:hAnsi="Times New Roman"/>
          <w:sz w:val="20"/>
          <w:szCs w:val="20"/>
          <w:color w:val="auto"/>
        </w:rPr>
      </w:pPr>
    </w:p>
    <w:p>
      <w:pPr>
        <w:jc w:val="both"/>
        <w:ind w:firstLine="640"/>
        <w:spacing w:after="0" w:line="250" w:lineRule="auto"/>
        <w:tabs>
          <w:tab w:leader="none" w:pos="127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incurred in the ordinary course of business that is not for borrowed money, and do not have a Material Adverse Effect on any indebted Person and the foreclosure or other exercise of remedies with respect thereto could not reasonably be expected to result in (i) a recapture, loss or disallowance of all or any portion of the Transferred Tax Credits or (ii) the Facility being not eligible for ITCs under Section 48 of the Code.</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Lien</w:t>
      </w:r>
      <w:r>
        <w:rPr>
          <w:rFonts w:ascii="Times New Roman" w:cs="Times New Roman" w:eastAsia="Times New Roman" w:hAnsi="Times New Roman"/>
          <w:sz w:val="20"/>
          <w:szCs w:val="20"/>
          <w:color w:val="auto"/>
        </w:rPr>
        <w:t>” means:</w:t>
      </w:r>
    </w:p>
    <w:p>
      <w:pPr>
        <w:spacing w:after="0" w:line="201" w:lineRule="exact"/>
        <w:rPr>
          <w:sz w:val="20"/>
          <w:szCs w:val="20"/>
          <w:color w:val="auto"/>
        </w:rPr>
      </w:pPr>
    </w:p>
    <w:p>
      <w:pPr>
        <w:ind w:firstLine="640"/>
        <w:spacing w:after="0" w:line="276" w:lineRule="auto"/>
        <w:tabs>
          <w:tab w:leader="none" w:pos="127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not yet due or that are being contested in good faith by appropriate proceedings and for which adequate reserves have been established in accordance with GAAP;</w:t>
      </w:r>
    </w:p>
    <w:p>
      <w:pPr>
        <w:spacing w:after="0" w:line="152" w:lineRule="exact"/>
        <w:rPr>
          <w:rFonts w:ascii="Times New Roman" w:cs="Times New Roman" w:eastAsia="Times New Roman" w:hAnsi="Times New Roman"/>
          <w:sz w:val="20"/>
          <w:szCs w:val="20"/>
          <w:color w:val="auto"/>
        </w:rPr>
      </w:pPr>
    </w:p>
    <w:p>
      <w:pPr>
        <w:jc w:val="both"/>
        <w:ind w:firstLine="640"/>
        <w:spacing w:after="0" w:line="250" w:lineRule="auto"/>
        <w:tabs>
          <w:tab w:leader="none" w:pos="127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employees’, contractors’, operators’ or other similar Liens or charges securing the payment of expenses not yet due and payable that were incurred in the ordinary course of business or for amounts being contested in good faith and by appropriate proceedings and for which adequate reserves have been established in accordance with GAAP;</w:t>
      </w:r>
    </w:p>
    <w:p>
      <w:pPr>
        <w:spacing w:after="0" w:line="177" w:lineRule="exact"/>
        <w:rPr>
          <w:rFonts w:ascii="Times New Roman" w:cs="Times New Roman" w:eastAsia="Times New Roman" w:hAnsi="Times New Roman"/>
          <w:sz w:val="20"/>
          <w:szCs w:val="20"/>
          <w:color w:val="auto"/>
        </w:rPr>
      </w:pPr>
    </w:p>
    <w:p>
      <w:pPr>
        <w:jc w:val="both"/>
        <w:ind w:firstLine="640"/>
        <w:spacing w:after="0" w:line="263" w:lineRule="auto"/>
        <w:tabs>
          <w:tab w:leader="none" w:pos="127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or duties to any Governmental Authority not yet due and payable arising in the ordinary course of business (including under licenses and permits of the Seller or the Project Company and under all Applicable Laws or orders of any Governmental Authority);</w:t>
      </w:r>
    </w:p>
    <w:p>
      <w:pPr>
        <w:spacing w:after="0" w:line="165"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judgments or awards not in excess of $100,000 in the aggregate so long as an appeal or proceeding for review is being prosecuted in good faith and for the payment of which adequate reserve in accordance with GAAP, bonds or other security have been provided or are fully covered by insurance;</w:t>
      </w:r>
    </w:p>
    <w:p>
      <w:pPr>
        <w:spacing w:after="0" w:line="172"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Project Company, leases, other property rights and Liens of record and zoning and other land use restrictions, in each case that do not impair the value of the Facility and that do not materially interfere with the ordinary conduct of business of the Seller or the Project Company;</w:t>
      </w:r>
    </w:p>
    <w:p>
      <w:pPr>
        <w:spacing w:after="0" w:line="172"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Project Company, all easements, rights-of-way, restrictions, reservations and other similar encumbrances existing or incurred in the ordinary course of business that do not impair the value of the Facility and do not materially interfere with the ordinary conduct of the business of the Project Company;</w:t>
      </w:r>
    </w:p>
    <w:p>
      <w:pPr>
        <w:spacing w:after="0" w:line="199" w:lineRule="exact"/>
        <w:rPr>
          <w:rFonts w:ascii="Times New Roman" w:cs="Times New Roman" w:eastAsia="Times New Roman" w:hAnsi="Times New Roman"/>
          <w:sz w:val="20"/>
          <w:szCs w:val="20"/>
          <w:color w:val="auto"/>
        </w:rPr>
      </w:pPr>
    </w:p>
    <w:p>
      <w:pPr>
        <w:ind w:left="1280" w:hanging="640"/>
        <w:spacing w:after="0"/>
        <w:tabs>
          <w:tab w:leader="none" w:pos="128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Equity Liens;</w:t>
      </w:r>
    </w:p>
    <w:p>
      <w:pPr>
        <w:sectPr>
          <w:pgSz w:w="11900" w:h="16838" w:orient="portrait"/>
          <w:cols w:equalWidth="0" w:num="1">
            <w:col w:w="11200"/>
          </w:cols>
          <w:pgMar w:left="320" w:top="1008" w:right="379" w:bottom="1440" w:gutter="0" w:footer="0" w:header="0"/>
        </w:sectPr>
      </w:pPr>
    </w:p>
    <w:bookmarkStart w:id="195" w:name="page196"/>
    <w:bookmarkEnd w:id="195"/>
    <w:p>
      <w:pPr>
        <w:ind w:left="1280" w:hanging="640"/>
        <w:spacing w:after="0"/>
        <w:tabs>
          <w:tab w:leader="none" w:pos="12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and set forth on </w:t>
      </w:r>
      <w:r>
        <w:rPr>
          <w:rFonts w:ascii="Times New Roman" w:cs="Times New Roman" w:eastAsia="Times New Roman" w:hAnsi="Times New Roman"/>
          <w:sz w:val="20"/>
          <w:szCs w:val="20"/>
          <w:u w:val="single" w:color="auto"/>
          <w:color w:val="auto"/>
        </w:rPr>
        <w:t>Schedule 9</w:t>
      </w:r>
      <w:r>
        <w:rPr>
          <w:rFonts w:ascii="Times New Roman" w:cs="Times New Roman" w:eastAsia="Times New Roman" w:hAnsi="Times New Roman"/>
          <w:sz w:val="20"/>
          <w:szCs w:val="20"/>
          <w:color w:val="auto"/>
        </w:rPr>
        <w:t xml:space="preserve"> and any replacement or refinancing Lien; and</w:t>
      </w:r>
    </w:p>
    <w:p>
      <w:pPr>
        <w:spacing w:after="0" w:line="210" w:lineRule="exact"/>
        <w:rPr>
          <w:rFonts w:ascii="Times New Roman" w:cs="Times New Roman" w:eastAsia="Times New Roman" w:hAnsi="Times New Roman"/>
          <w:sz w:val="20"/>
          <w:szCs w:val="20"/>
          <w:color w:val="auto"/>
        </w:rPr>
      </w:pPr>
    </w:p>
    <w:p>
      <w:pPr>
        <w:jc w:val="both"/>
        <w:ind w:firstLine="640"/>
        <w:spacing w:after="0" w:line="263" w:lineRule="auto"/>
        <w:tabs>
          <w:tab w:leader="none" w:pos="127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Liens that are incurred in the ordinary course of business by any Person in connection with the rights of third parties to use the Facility’s facilities that are required pursuant to any open access requirements under Applicable Law, are not for borrowed money and do not have a Material Adverse Effect on such Person.</w:t>
      </w:r>
    </w:p>
    <w:p>
      <w:pPr>
        <w:spacing w:after="0" w:line="162"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natural person, corporation, limited or unlimited liability company, trust, joint venture, association, company, partnership, Governmental Authority or other entity.</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Placed in Service</w:t>
      </w:r>
      <w:r>
        <w:rPr>
          <w:rFonts w:ascii="Times New Roman" w:cs="Times New Roman" w:eastAsia="Times New Roman" w:hAnsi="Times New Roman"/>
          <w:sz w:val="20"/>
          <w:szCs w:val="20"/>
          <w:color w:val="auto"/>
        </w:rPr>
        <w:t>” means placed in service for U.S. federal income tax purposes.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Pre-Filing Registration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 Company</w:t>
      </w:r>
      <w:r>
        <w:rPr>
          <w:rFonts w:ascii="Times New Roman" w:cs="Times New Roman" w:eastAsia="Times New Roman" w:hAnsi="Times New Roman"/>
          <w:sz w:val="20"/>
          <w:szCs w:val="20"/>
          <w:color w:val="auto"/>
        </w:rPr>
        <w:t>” has the meaning specified in the recitals.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Recapture Period</w:t>
      </w:r>
      <w:r>
        <w:rPr>
          <w:rFonts w:ascii="Times New Roman" w:cs="Times New Roman" w:eastAsia="Times New Roman" w:hAnsi="Times New Roman"/>
          <w:sz w:val="18"/>
          <w:szCs w:val="18"/>
          <w:color w:val="auto"/>
        </w:rPr>
        <w:t>” means the period commencing on the date the Facility was Placed in Service and ending on the fifth anniversary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thereof.</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Replacement Guaranty</w:t>
      </w:r>
      <w:r>
        <w:rPr>
          <w:rFonts w:ascii="Times New Roman" w:cs="Times New Roman" w:eastAsia="Times New Roman" w:hAnsi="Times New Roman"/>
          <w:sz w:val="20"/>
          <w:szCs w:val="20"/>
          <w:color w:val="auto"/>
        </w:rPr>
        <w:t xml:space="preserve">” means a replacement guaranty agreement delivered in accordance with </w:t>
      </w:r>
      <w:r>
        <w:rPr>
          <w:rFonts w:ascii="Times New Roman" w:cs="Times New Roman" w:eastAsia="Times New Roman" w:hAnsi="Times New Roman"/>
          <w:sz w:val="20"/>
          <w:szCs w:val="20"/>
          <w:u w:val="single" w:color="auto"/>
          <w:color w:val="auto"/>
        </w:rPr>
        <w:t>Section 5(b)(xiii)</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Governmental Approvals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Country</w:t>
      </w:r>
      <w:r>
        <w:rPr>
          <w:rFonts w:ascii="Times New Roman" w:cs="Times New Roman" w:eastAsia="Times New Roman" w:hAnsi="Times New Roman"/>
          <w:sz w:val="20"/>
          <w:szCs w:val="20"/>
          <w:color w:val="auto"/>
        </w:rPr>
        <w:t>” means a country the subject of a Sanctions program maintained by any Compliance Authority.</w:t>
      </w:r>
    </w:p>
    <w:p>
      <w:pPr>
        <w:spacing w:after="0" w:line="211"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Person</w:t>
      </w:r>
      <w:r>
        <w:rPr>
          <w:rFonts w:ascii="Times New Roman" w:cs="Times New Roman" w:eastAsia="Times New Roman" w:hAnsi="Times New Roman"/>
          <w:sz w:val="20"/>
          <w:szCs w:val="20"/>
          <w:color w:val="auto"/>
        </w:rPr>
        <w:t>” means any individual person, group, regime, entity or thing listed or otherwise recognized as a specially designated, prohibited, sanctioned or debarred Person, or subject to any limitations or prohibitions (including but not limited to the blocking of property or rejection of transactions), including by virtue of being owned or controlled by any such person, group, regime, entity or thing, under any Sanctions order or directive.</w:t>
      </w:r>
    </w:p>
    <w:p>
      <w:pPr>
        <w:spacing w:after="0" w:line="168"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means those economic and trade sanctions and embargoes enforced or administered by any Compliance Authority, including without limitation the foreign assets control regulations of the U.S. Treasury Department (31 CFR, Subtitle B, Chapter V) or any enabling legislation or executive order relating thereto.</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Seller</w:t>
      </w:r>
      <w:r>
        <w:rPr>
          <w:rFonts w:ascii="Times New Roman" w:cs="Times New Roman" w:eastAsia="Times New Roman" w:hAnsi="Times New Roman"/>
          <w:sz w:val="20"/>
          <w:szCs w:val="20"/>
          <w:color w:val="auto"/>
        </w:rPr>
        <w:t>” has the meaning specified in the introductory paragraph.</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Seller Account</w:t>
      </w:r>
      <w:r>
        <w:rPr>
          <w:rFonts w:ascii="Times New Roman" w:cs="Times New Roman" w:eastAsia="Times New Roman" w:hAnsi="Times New Roman"/>
          <w:sz w:val="20"/>
          <w:szCs w:val="20"/>
          <w:color w:val="auto"/>
        </w:rPr>
        <w:t xml:space="preserve">” means the deposit account of the Seller or another deposit account as directed by Seller as identified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into which the Purchase Price shall be paid.</w:t>
      </w:r>
    </w:p>
    <w:p>
      <w:pPr>
        <w:spacing w:after="0" w:line="145"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Seller Deliverables</w:t>
      </w:r>
      <w:r>
        <w:rPr>
          <w:rFonts w:ascii="Times New Roman" w:cs="Times New Roman" w:eastAsia="Times New Roman" w:hAnsi="Times New Roman"/>
          <w:sz w:val="20"/>
          <w:szCs w:val="20"/>
          <w:color w:val="auto"/>
        </w:rPr>
        <w:t xml:space="preserve">” means those items identified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which are to be delivered by the Seller to the Buyer on or prior to the Effective Date.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i w:val="1"/>
          <w:iCs w:val="1"/>
          <w:color w:val="auto"/>
        </w:rPr>
        <w:t>“Seller Parties</w:t>
      </w:r>
      <w:r>
        <w:rPr>
          <w:rFonts w:ascii="Times New Roman" w:cs="Times New Roman" w:eastAsia="Times New Roman" w:hAnsi="Times New Roman"/>
          <w:sz w:val="20"/>
          <w:szCs w:val="20"/>
          <w:color w:val="auto"/>
        </w:rPr>
        <w:t>” has the meaning set forth in the Recitals.</w:t>
      </w:r>
    </w:p>
    <w:p>
      <w:pPr>
        <w:sectPr>
          <w:pgSz w:w="11900" w:h="16838" w:orient="portrait"/>
          <w:cols w:equalWidth="0" w:num="1">
            <w:col w:w="11200"/>
          </w:cols>
          <w:pgMar w:left="320" w:top="1012" w:right="379" w:bottom="1440" w:gutter="0" w:footer="0" w:header="0"/>
        </w:sectPr>
      </w:pPr>
    </w:p>
    <w:bookmarkStart w:id="196" w:name="page197"/>
    <w:bookmarkEnd w:id="196"/>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Tax Representations</w:t>
      </w:r>
      <w:r>
        <w:rPr>
          <w:rFonts w:ascii="Times New Roman" w:cs="Times New Roman" w:eastAsia="Times New Roman" w:hAnsi="Times New Roman"/>
          <w:sz w:val="20"/>
          <w:szCs w:val="20"/>
          <w:color w:val="auto"/>
        </w:rPr>
        <w:t xml:space="preserve">” means the representations and warranties of the Seller set forth in </w:t>
      </w:r>
      <w:r>
        <w:rPr>
          <w:rFonts w:ascii="Times New Roman" w:cs="Times New Roman" w:eastAsia="Times New Roman" w:hAnsi="Times New Roman"/>
          <w:sz w:val="20"/>
          <w:szCs w:val="20"/>
          <w:u w:val="single" w:color="auto"/>
          <w:color w:val="auto"/>
        </w:rPr>
        <w:t>Section 4(a)(vii)</w:t>
      </w:r>
      <w:r>
        <w:rPr>
          <w:rFonts w:ascii="Times New Roman" w:cs="Times New Roman" w:eastAsia="Times New Roman" w:hAnsi="Times New Roman"/>
          <w:sz w:val="20"/>
          <w:szCs w:val="20"/>
          <w:color w:val="auto"/>
        </w:rPr>
        <w:t xml:space="preserve"> (solely with respect to the Seller), and in </w:t>
      </w:r>
      <w:r>
        <w:rPr>
          <w:rFonts w:ascii="Times New Roman" w:cs="Times New Roman" w:eastAsia="Times New Roman" w:hAnsi="Times New Roman"/>
          <w:sz w:val="20"/>
          <w:szCs w:val="20"/>
          <w:u w:val="single" w:color="auto"/>
          <w:color w:val="auto"/>
        </w:rPr>
        <w:t>Items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 (11)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Structuring Fee</w:t>
      </w:r>
      <w:r>
        <w:rPr>
          <w:rFonts w:ascii="Times New Roman" w:cs="Times New Roman" w:eastAsia="Times New Roman" w:hAnsi="Times New Roman"/>
          <w:sz w:val="20"/>
          <w:szCs w:val="20"/>
          <w:color w:val="auto"/>
        </w:rPr>
        <w:t>” has the meaning specified in the Structuring Fee Letter.</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Structuring Fee Letter</w:t>
      </w:r>
      <w:r>
        <w:rPr>
          <w:rFonts w:ascii="Times New Roman" w:cs="Times New Roman" w:eastAsia="Times New Roman" w:hAnsi="Times New Roman"/>
          <w:sz w:val="18"/>
          <w:szCs w:val="18"/>
          <w:color w:val="auto"/>
        </w:rPr>
        <w:t>” means the Structuring Fee Letter dated as of the date hereof among Apollo Global Funding, LLC and Seller.</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Substantial Completion</w:t>
      </w:r>
      <w:r>
        <w:rPr>
          <w:rFonts w:ascii="Times New Roman" w:cs="Times New Roman" w:eastAsia="Times New Roman" w:hAnsi="Times New Roman"/>
          <w:sz w:val="20"/>
          <w:szCs w:val="20"/>
          <w:color w:val="auto"/>
        </w:rPr>
        <w:t>” means “Substantial Completion” as defined in the EPC Contract.</w:t>
      </w:r>
    </w:p>
    <w:p>
      <w:pPr>
        <w:spacing w:after="0" w:line="211"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Survival Period End Date</w:t>
      </w:r>
      <w:r>
        <w:rPr>
          <w:rFonts w:ascii="Times New Roman" w:cs="Times New Roman" w:eastAsia="Times New Roman" w:hAnsi="Times New Roman"/>
          <w:sz w:val="20"/>
          <w:szCs w:val="20"/>
          <w:color w:val="auto"/>
        </w:rPr>
        <w:t>” means the later of (a) the date that is six (6) months after the applicable statute of limitations (including extensions) expires on any IRS audit for the applicable tax year of the Buyer, and (b) the expiration of the Recapture Period.</w:t>
      </w:r>
    </w:p>
    <w:p>
      <w:pPr>
        <w:spacing w:after="0" w:line="145"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Credit Loss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Credits</w:t>
      </w:r>
      <w:r>
        <w:rPr>
          <w:rFonts w:ascii="Times New Roman" w:cs="Times New Roman" w:eastAsia="Times New Roman" w:hAnsi="Times New Roman"/>
          <w:sz w:val="20"/>
          <w:szCs w:val="20"/>
          <w:color w:val="auto"/>
        </w:rPr>
        <w:t>” has the meaning specified in the recitals.</w:t>
      </w:r>
    </w:p>
    <w:p>
      <w:pPr>
        <w:spacing w:after="0" w:line="211" w:lineRule="exact"/>
        <w:rPr>
          <w:sz w:val="20"/>
          <w:szCs w:val="20"/>
          <w:color w:val="auto"/>
        </w:rPr>
      </w:pPr>
    </w:p>
    <w:p>
      <w:pPr>
        <w:jc w:val="both"/>
        <w:ind w:firstLine="633"/>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Exempt Person</w:t>
      </w:r>
      <w:r>
        <w:rPr>
          <w:rFonts w:ascii="Times New Roman" w:cs="Times New Roman" w:eastAsia="Times New Roman" w:hAnsi="Times New Roman"/>
          <w:sz w:val="18"/>
          <w:szCs w:val="18"/>
          <w:color w:val="auto"/>
        </w:rPr>
        <w:t>” means (a) the U.S., any state or political subdivision thereof, any possession of the U.S. or any agency or instrumentality of any of the foregoing, (b) any organization which is exempt from tax imposed by the Code (including any former tax-exempt organization within the meaning of Section 168(h)(2)(E) of the Code), (c) any Person who is not a “United States person” under Section 7701(a)(30) of the Code, (d) any Indian tribal government described in Section 7701(a)(40) of the Code, (e) any entity referred to in Section 54(j)(4) of the Code, (f) any Person ineligible for ITCs in whole or in part pursuant to Section 50 of the Code and the Treasury Regulations thereunder, (g) any “tax-exempt controlled entity” under Section 168(h)(6)(F) of the Code, and (h) any partnership or other pass-through entity (including a single-member disregarded entity) any direct or indirect partner of which (or other direct or indirect holder of an equity or profits interest) is described in clauses (a) through (g), unless such Person holds its interest in the partnership or other pass-through entity indirectly through an entity taxable as a corporation for U.S. federal income tax purposes, other than a “tax-exempt controlled entity”; provided, however, that any such Person shall not be considered a Tax Exempt Person to the extent that (i) the exception under Section 168(h)</w:t>
      </w:r>
    </w:p>
    <w:p>
      <w:pPr>
        <w:spacing w:after="0" w:line="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(1)(D) of the Code applies with respect to the income from Seller for that Person, (ii) the Person is described within clause (c) of this definition, and the exception under Section 168(h)(2)(B)(i) of the Code applies with respect to the income from Seller for that Person, or (iii) such Person avoids being a “taxexempt controlled entity” under Section 168(h)(6)(F) of the Code by making an election under Section 168(h)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(6)(F)(ii) of the Code.</w:t>
      </w:r>
    </w:p>
    <w:p>
      <w:pPr>
        <w:spacing w:after="0" w:line="193"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Insurance Policy</w:t>
      </w:r>
      <w:r>
        <w:rPr>
          <w:rFonts w:ascii="Times New Roman" w:cs="Times New Roman" w:eastAsia="Times New Roman" w:hAnsi="Times New Roman"/>
          <w:sz w:val="20"/>
          <w:szCs w:val="20"/>
          <w:color w:val="auto"/>
        </w:rPr>
        <w:t>” means the tax liability insurance policy or policies with respect to the Transactions, bound and effective as of the Effective Date.</w:t>
      </w:r>
    </w:p>
    <w:p>
      <w:pPr>
        <w:spacing w:after="0" w:line="158" w:lineRule="exact"/>
        <w:rPr>
          <w:sz w:val="20"/>
          <w:szCs w:val="20"/>
          <w:color w:val="auto"/>
        </w:rPr>
      </w:pPr>
    </w:p>
    <w:p>
      <w:pPr>
        <w:ind w:left="660" w:right="100" w:hanging="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Transaction Documents</w:t>
      </w:r>
      <w:r>
        <w:rPr>
          <w:rFonts w:ascii="Times New Roman" w:cs="Times New Roman" w:eastAsia="Times New Roman" w:hAnsi="Times New Roman"/>
          <w:sz w:val="20"/>
          <w:szCs w:val="20"/>
          <w:color w:val="auto"/>
        </w:rPr>
        <w:t>” means this Agreement, the Guaranty and the Structuring Fee Letter.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means, collectively, the execution and delivery of the Transaction Documents by the parties thereto and the performance of the obligations of such parties thereunder, including the sale and transfer of the Transferred Tax Credits and the payment therefor.</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5(c)</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Election Statement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ectPr>
          <w:pgSz w:w="11900" w:h="16838" w:orient="portrait"/>
          <w:cols w:equalWidth="0" w:num="1">
            <w:col w:w="11200"/>
          </w:cols>
          <w:pgMar w:left="320" w:top="1008" w:right="379" w:bottom="1440" w:gutter="0" w:footer="0" w:header="0"/>
        </w:sectPr>
      </w:pPr>
    </w:p>
    <w:bookmarkStart w:id="197" w:name="page198"/>
    <w:bookmarkEnd w:id="197"/>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Transferred Tax Credits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Treasury</w:t>
      </w:r>
      <w:r>
        <w:rPr>
          <w:rFonts w:ascii="Times New Roman" w:cs="Times New Roman" w:eastAsia="Times New Roman" w:hAnsi="Times New Roman"/>
          <w:sz w:val="20"/>
          <w:szCs w:val="20"/>
          <w:color w:val="auto"/>
        </w:rPr>
        <w:t>” means the U.S. Department of Treasury.</w:t>
      </w:r>
    </w:p>
    <w:p>
      <w:pPr>
        <w:spacing w:after="0" w:line="211" w:lineRule="exact"/>
        <w:rPr>
          <w:sz w:val="20"/>
          <w:szCs w:val="20"/>
          <w:color w:val="auto"/>
        </w:rPr>
      </w:pPr>
    </w:p>
    <w:p>
      <w:pPr>
        <w:jc w:val="both"/>
        <w:ind w:firstLine="633"/>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Unavailable</w:t>
      </w:r>
      <w:r>
        <w:rPr>
          <w:rFonts w:ascii="Times New Roman" w:cs="Times New Roman" w:eastAsia="Times New Roman" w:hAnsi="Times New Roman"/>
          <w:sz w:val="20"/>
          <w:szCs w:val="20"/>
          <w:color w:val="auto"/>
        </w:rPr>
        <w:t>” means, with respect to any insurance required to be maintained hereunder with respect to the Facility (other than the Tax Insurance Policy), that such insurance is no longer available, commercially feasible or only available on cost prohibitive terms in the commercial insurance market for renewable natural gas projects of type and capacity similar to the Facility.</w:t>
      </w:r>
    </w:p>
    <w:p>
      <w:pPr>
        <w:spacing w:after="0" w:line="160"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Uniform Commercial Code</w:t>
      </w:r>
      <w:r>
        <w:rPr>
          <w:rFonts w:ascii="Times New Roman" w:cs="Times New Roman" w:eastAsia="Times New Roman" w:hAnsi="Times New Roman"/>
          <w:sz w:val="20"/>
          <w:szCs w:val="20"/>
          <w:color w:val="auto"/>
        </w:rPr>
        <w:t>” means the Uniform Commercial Code as in effect in New York; provided that, if by reason of mandatory provisions of law, the perfection or the effect of perfection or nonperfection of any relevant security interest is governed by the Uniform Commercial Code as in effect in a jurisdiction other than New York, such term shall mean the Uniform Commercial Code as in effect in such other jurisdiction.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means the United States of America.</w:t>
      </w:r>
    </w:p>
    <w:p>
      <w:pPr>
        <w:spacing w:after="0" w:line="215" w:lineRule="exact"/>
        <w:rPr>
          <w:sz w:val="20"/>
          <w:szCs w:val="20"/>
          <w:color w:val="auto"/>
        </w:rPr>
      </w:pPr>
    </w:p>
    <w:p>
      <w:pPr>
        <w:jc w:val="both"/>
        <w:ind w:firstLine="640"/>
        <w:spacing w:after="0" w:line="247" w:lineRule="auto"/>
        <w:tabs>
          <w:tab w:leader="none" w:pos="94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(including this Agreement),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(ii) any reference herein to any Person shall be construed to include such Person’s permitted successors and permitted assigns (subject to any restrictions on assignment set forth herein) and, in the case of any Governmental Authority, any other Governmental Authority that shall have succeeded to any or all functions thereof, (iii) the words “herein”, “hereof” and “hereunder”, and words of similar import, shall be construed to refer to this Agreement in its entirety and not to any particular provision hereof, (iv) all references herein to Sections, Exhibits and Schedules shall be construed to refer to Sections of, and Exhibits and Schedules to, this Agreement, (v) the words “asset” and “property” shall be construed to have the same meaning and effect and to refer to any and all tangible and intangible assets and properties, including cash, securities, accounts and contract rights, and (vi) any reference to any Applicable Law shall, unless otherwise specified, refer to such Applicable Law as amended, modified or supplemented from time to time and shall include all statutory and regulatory provisions consolidating, amending, replacing, supplementing, interpreting or administering such Applicable Law.</w:t>
      </w:r>
    </w:p>
    <w:p>
      <w:pPr>
        <w:spacing w:after="0" w:line="216"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b w:val="1"/>
          <w:bCs w:val="1"/>
          <w:u w:val="single" w:color="auto"/>
          <w:color w:val="auto"/>
        </w:rPr>
        <w:t>Section 2</w:t>
      </w:r>
      <w:r>
        <w:rPr>
          <w:sz w:val="20"/>
          <w:szCs w:val="20"/>
          <w:color w:val="auto"/>
        </w:rPr>
        <w:tab/>
      </w:r>
      <w:r>
        <w:rPr>
          <w:rFonts w:ascii="Times New Roman" w:cs="Times New Roman" w:eastAsia="Times New Roman" w:hAnsi="Times New Roman"/>
          <w:sz w:val="18"/>
          <w:szCs w:val="18"/>
          <w:b w:val="1"/>
          <w:bCs w:val="1"/>
          <w:u w:val="single" w:color="auto"/>
          <w:color w:val="auto"/>
        </w:rPr>
        <w:t>Purchase and Sale of Tax Credits.</w:t>
      </w:r>
    </w:p>
    <w:p>
      <w:pPr>
        <w:spacing w:after="0" w:line="215" w:lineRule="exact"/>
        <w:rPr>
          <w:sz w:val="20"/>
          <w:szCs w:val="20"/>
          <w:color w:val="auto"/>
        </w:rPr>
      </w:pPr>
    </w:p>
    <w:p>
      <w:pPr>
        <w:jc w:val="both"/>
        <w:ind w:firstLine="640"/>
        <w:spacing w:after="0" w:line="250" w:lineRule="auto"/>
        <w:tabs>
          <w:tab w:leader="none" w:pos="127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satisfaction of the conditions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the Seller hereby agrees to assign, transfer and convey to the Buyer, and the Buyer hereby agrees to purchase from the Seller, on the Closing Date, $13,500,000 of Tax Credits generated by the Seller placing the Facility in service for U.S. federal income tax purposes (such Tax Credits, the “</w:t>
      </w:r>
      <w:r>
        <w:rPr>
          <w:rFonts w:ascii="Times New Roman" w:cs="Times New Roman" w:eastAsia="Times New Roman" w:hAnsi="Times New Roman"/>
          <w:sz w:val="20"/>
          <w:szCs w:val="20"/>
          <w:b w:val="1"/>
          <w:bCs w:val="1"/>
          <w:i w:val="1"/>
          <w:iCs w:val="1"/>
          <w:color w:val="auto"/>
        </w:rPr>
        <w:t>Transferred Tax Credits</w:t>
      </w:r>
      <w:r>
        <w:rPr>
          <w:rFonts w:ascii="Times New Roman" w:cs="Times New Roman" w:eastAsia="Times New Roman" w:hAnsi="Times New Roman"/>
          <w:sz w:val="20"/>
          <w:szCs w:val="20"/>
          <w:color w:val="auto"/>
        </w:rPr>
        <w:t>”), for a purchase price equal to [***] (the “</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The Transferred Tax Credits represent all of the Tax Credits that, but for this Agreement, would be claimed by the Seller from its ownership interest in the Project Company.</w:t>
      </w:r>
    </w:p>
    <w:p>
      <w:pPr>
        <w:spacing w:after="0" w:line="178"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pay the Purchase Price to the Seller, in immediately available funds, in U.S. Dollars on or before the date that is three (3) Business Days after the Closing Date (such payment date, the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The payment of the Purchase Price shall be made by wire transfer of the</w:t>
      </w:r>
    </w:p>
    <w:p>
      <w:pPr>
        <w:sectPr>
          <w:pgSz w:w="11900" w:h="16838" w:orient="portrait"/>
          <w:cols w:equalWidth="0" w:num="1">
            <w:col w:w="11200"/>
          </w:cols>
          <w:pgMar w:left="320" w:top="1007" w:right="3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0"/>
          <w:szCs w:val="20"/>
          <w:color w:val="auto"/>
        </w:rPr>
        <w:t>Purchase Price on the Payment Date to the Seller Account in accordance with the Funds Flow Memorandum.</w:t>
      </w:r>
    </w:p>
    <w:p>
      <w:pPr>
        <w:spacing w:after="0" w:line="247"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b w:val="1"/>
          <w:bCs w:val="1"/>
          <w:u w:val="single" w:color="auto"/>
          <w:color w:val="auto"/>
        </w:rPr>
        <w:t>Section 3</w:t>
      </w:r>
      <w:r>
        <w:rPr>
          <w:sz w:val="20"/>
          <w:szCs w:val="20"/>
          <w:color w:val="auto"/>
        </w:rPr>
        <w:tab/>
      </w:r>
      <w:r>
        <w:rPr>
          <w:rFonts w:ascii="Times New Roman" w:cs="Times New Roman" w:eastAsia="Times New Roman" w:hAnsi="Times New Roman"/>
          <w:sz w:val="18"/>
          <w:szCs w:val="18"/>
          <w:b w:val="1"/>
          <w:bCs w:val="1"/>
          <w:u w:val="single" w:color="auto"/>
          <w:color w:val="auto"/>
        </w:rPr>
        <w:t>Conditions Precedent.</w:t>
      </w:r>
    </w:p>
    <w:p>
      <w:pPr>
        <w:spacing w:after="0" w:line="215"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0"/>
          <w:szCs w:val="20"/>
          <w:color w:val="auto"/>
        </w:rPr>
        <w:t>The effectiveness of this Agreement and the obligations of the Buyer and the Seller under this Agreement shall be subject to the satisfaction of each of the following conditions, any of which may be waived, in whole or in part, by the Party to whose benefit the conditions inures, in its sole discretion:</w:t>
      </w:r>
    </w:p>
    <w:p>
      <w:pPr>
        <w:spacing w:after="0" w:line="172" w:lineRule="exact"/>
        <w:rPr>
          <w:sz w:val="20"/>
          <w:szCs w:val="20"/>
          <w:color w:val="auto"/>
        </w:rPr>
      </w:pPr>
    </w:p>
    <w:p>
      <w:pPr>
        <w:jc w:val="both"/>
        <w:ind w:firstLine="640"/>
        <w:spacing w:after="0" w:line="283" w:lineRule="auto"/>
        <w:tabs>
          <w:tab w:leader="none" w:pos="127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and the Seller shall each receive executed counterparts of this Agreement, duly executed by an officer or other authorized representative of such Party. The Buyer shall have received an executed copy of the Guaranty duly executed by an officer or other authorized representative of the Guarantor. The Buyer and the Seller shall each receive an executed copy of the Structuring Fee Letter. The Buyer and the Seller shall have each received an executed copy of the interparty (forbearance) agreement by and among OPAL Fuels Intermediate HoldCo LLC, a Delaware limited liability company, the Seller, the Buyer and Bank of America, N.A., in its capacity as collateral agent for the secured parties under the Credit and Guarantee Agreement described in Schedule 9, substantially in the form of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w:t>
      </w:r>
    </w:p>
    <w:p>
      <w:pPr>
        <w:spacing w:after="0" w:line="151"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Parties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be true and correct in all respects.</w:t>
      </w:r>
    </w:p>
    <w:p>
      <w:pPr>
        <w:spacing w:after="0" w:line="210" w:lineRule="exact"/>
        <w:rPr>
          <w:rFonts w:ascii="Times New Roman" w:cs="Times New Roman" w:eastAsia="Times New Roman" w:hAnsi="Times New Roman"/>
          <w:sz w:val="20"/>
          <w:szCs w:val="20"/>
          <w:color w:val="auto"/>
        </w:rPr>
      </w:pPr>
    </w:p>
    <w:p>
      <w:pPr>
        <w:ind w:left="1280" w:hanging="640"/>
        <w:spacing w:after="0"/>
        <w:tabs>
          <w:tab w:leader="none" w:pos="12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have received each of the Seller Deliverables and the Seller shall have received each of the Buyer</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Deliverables.</w:t>
      </w:r>
    </w:p>
    <w:p>
      <w:pPr>
        <w:spacing w:after="0" w:line="202"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have (i) satisfactorily completed its due diligence of the Facility and its qualification for the Transferred Tax Credits and the eligibility of the Seller to transfer the Transferred Tax Credits to the Buyer under Section 6418 of the Code and (ii) received all necessary internal credit and management approvals with respect to the purchase of the Transferred Tax Credits.</w:t>
      </w:r>
    </w:p>
    <w:p>
      <w:pPr>
        <w:spacing w:after="0" w:line="172" w:lineRule="exact"/>
        <w:rPr>
          <w:rFonts w:ascii="Times New Roman" w:cs="Times New Roman" w:eastAsia="Times New Roman" w:hAnsi="Times New Roman"/>
          <w:sz w:val="20"/>
          <w:szCs w:val="20"/>
          <w:color w:val="auto"/>
        </w:rPr>
      </w:pPr>
    </w:p>
    <w:p>
      <w:pPr>
        <w:ind w:firstLine="640"/>
        <w:spacing w:after="0" w:line="262" w:lineRule="auto"/>
        <w:tabs>
          <w:tab w:leader="none" w:pos="127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have received a tax opinion from Mayer Brown LLP, as tax counsel to the Buyer, in form and substance reasonably satisfactory to Buyer.</w:t>
      </w:r>
    </w:p>
    <w:p>
      <w:pPr>
        <w:spacing w:after="0" w:line="165" w:lineRule="exact"/>
        <w:rPr>
          <w:rFonts w:ascii="Times New Roman" w:cs="Times New Roman" w:eastAsia="Times New Roman" w:hAnsi="Times New Roman"/>
          <w:sz w:val="20"/>
          <w:szCs w:val="20"/>
          <w:color w:val="auto"/>
        </w:rPr>
      </w:pPr>
    </w:p>
    <w:p>
      <w:pPr>
        <w:jc w:val="both"/>
        <w:ind w:firstLine="640"/>
        <w:spacing w:after="0" w:line="250" w:lineRule="auto"/>
        <w:tabs>
          <w:tab w:leader="none" w:pos="127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federal income tax law, regulation or guidance shall have been enacted, promulgated, proposed, issued, published, changed, revoked or repealed and no Governmental Authority has ruled with respect to any Applicable Law, regulation or guidance in a manner that (i) is reasonably likely to limit, restrict, reduce, or disallow the Transferred Tax Credits or the transfer thereof as contemplated hereby or (ii) creates a reasonable likelihood that the Transferred Tax Credits or the transfer thereof will not be allowed, be reduced or be recaptured (a “</w:t>
      </w:r>
      <w:r>
        <w:rPr>
          <w:rFonts w:ascii="Times New Roman" w:cs="Times New Roman" w:eastAsia="Times New Roman" w:hAnsi="Times New Roman"/>
          <w:sz w:val="20"/>
          <w:szCs w:val="20"/>
          <w:b w:val="1"/>
          <w:bCs w:val="1"/>
          <w:i w:val="1"/>
          <w:iCs w:val="1"/>
          <w:color w:val="auto"/>
        </w:rPr>
        <w:t>Change in Tax Law Termination Event</w:t>
      </w:r>
      <w:r>
        <w:rPr>
          <w:rFonts w:ascii="Times New Roman" w:cs="Times New Roman" w:eastAsia="Times New Roman" w:hAnsi="Times New Roman"/>
          <w:sz w:val="20"/>
          <w:szCs w:val="20"/>
          <w:color w:val="auto"/>
        </w:rPr>
        <w:t>”), in each case, excluding any item affecting whether the Buyer has sufficient tax liability to efficiently utilize the Transferred Tax Credits.</w:t>
      </w:r>
    </w:p>
    <w:p>
      <w:pPr>
        <w:spacing w:after="0" w:line="178" w:lineRule="exact"/>
        <w:rPr>
          <w:rFonts w:ascii="Times New Roman" w:cs="Times New Roman" w:eastAsia="Times New Roman" w:hAnsi="Times New Roman"/>
          <w:sz w:val="20"/>
          <w:szCs w:val="20"/>
          <w:color w:val="auto"/>
        </w:rPr>
      </w:pPr>
    </w:p>
    <w:p>
      <w:pPr>
        <w:jc w:val="both"/>
        <w:ind w:firstLine="640"/>
        <w:spacing w:after="0" w:line="254" w:lineRule="auto"/>
        <w:tabs>
          <w:tab w:leader="none" w:pos="127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Condemnation Event shall have occurred, is pending, or threatened in writing, that is material to the ownership or operation of the Facility or the sale of RNG therefrom, and no unrepaired Casualty Event shall exist that is material to the ownership or operation of the Facility or the sale of RNG therefrom unless, in the opinion of the Independent Engineer, such Casualty Event is capable of repair in a time frame that is reasonably satisfactory to the Buyer.</w:t>
      </w:r>
    </w:p>
    <w:p>
      <w:pPr>
        <w:spacing w:after="0" w:line="175"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be satisfied that the transfer provisions and mechanics in this Agreement and any other applicable provisions of this Agreement have been updated to comply with any guidance the IRS or Treasury issued under Section 6418 of the Code, in a manner satisfactory to both Parties.</w:t>
      </w:r>
    </w:p>
    <w:p>
      <w:pPr>
        <w:sectPr>
          <w:pgSz w:w="11900" w:h="16838" w:orient="portrait"/>
          <w:cols w:equalWidth="0" w:num="1">
            <w:col w:w="11200"/>
          </w:cols>
          <w:pgMar w:left="320" w:top="1012" w:right="379" w:bottom="1440" w:gutter="0" w:footer="0" w:header="0"/>
        </w:sectPr>
      </w:pPr>
    </w:p>
    <w:bookmarkStart w:id="199" w:name="page200"/>
    <w:bookmarkEnd w:id="199"/>
    <w:p>
      <w:pPr>
        <w:ind w:left="1280" w:hanging="640"/>
        <w:spacing w:after="0"/>
        <w:tabs>
          <w:tab w:leader="none" w:pos="12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have agreed on a final Funds Flow Memorandum.</w:t>
      </w:r>
    </w:p>
    <w:p>
      <w:pPr>
        <w:spacing w:after="0" w:line="210" w:lineRule="exact"/>
        <w:rPr>
          <w:rFonts w:ascii="Times New Roman" w:cs="Times New Roman" w:eastAsia="Times New Roman" w:hAnsi="Times New Roman"/>
          <w:sz w:val="20"/>
          <w:szCs w:val="20"/>
          <w:color w:val="auto"/>
        </w:rPr>
      </w:pPr>
    </w:p>
    <w:p>
      <w:pPr>
        <w:ind w:left="1280" w:hanging="640"/>
        <w:spacing w:after="0"/>
        <w:tabs>
          <w:tab w:leader="none" w:pos="12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shall have occurred and be continuing with respect to the Buyer, any Opal Party, any Seller Party</w:t>
      </w:r>
    </w:p>
    <w:p>
      <w:pPr>
        <w:spacing w:after="0" w:line="4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or the Facility.</w:t>
      </w:r>
    </w:p>
    <w:p>
      <w:pPr>
        <w:spacing w:after="0" w:line="196" w:lineRule="exact"/>
        <w:rPr>
          <w:rFonts w:ascii="Times New Roman" w:cs="Times New Roman" w:eastAsia="Times New Roman" w:hAnsi="Times New Roman"/>
          <w:sz w:val="18"/>
          <w:szCs w:val="18"/>
          <w:color w:val="auto"/>
        </w:rPr>
      </w:pPr>
    </w:p>
    <w:p>
      <w:pPr>
        <w:ind w:right="20" w:firstLine="640"/>
        <w:spacing w:after="0" w:line="276" w:lineRule="auto"/>
        <w:tabs>
          <w:tab w:leader="none" w:pos="127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have delivered prior written notice to the Buyer at least five Business Days (or such shorter time as approved by Buyer, such approval not to be unreasonably withheld, delayed or conditioned) prior to the proposed Closing Date.</w:t>
      </w:r>
    </w:p>
    <w:p>
      <w:pPr>
        <w:spacing w:after="0" w:line="152" w:lineRule="exact"/>
        <w:rPr>
          <w:rFonts w:ascii="Times New Roman" w:cs="Times New Roman" w:eastAsia="Times New Roman" w:hAnsi="Times New Roman"/>
          <w:sz w:val="20"/>
          <w:szCs w:val="20"/>
          <w:color w:val="auto"/>
        </w:rPr>
      </w:pPr>
    </w:p>
    <w:p>
      <w:pPr>
        <w:jc w:val="both"/>
        <w:ind w:firstLine="640"/>
        <w:spacing w:after="0" w:line="256" w:lineRule="auto"/>
        <w:tabs>
          <w:tab w:leader="none" w:pos="127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Opal Parties will (on a joint and several basis) have paid or arranged to pay in the Funds Flow Memorandum the legal fees and expenses incurred by Buyer in connection with the Transaction and the negotiation, execution and delivery of the Transaction Documents and the other documents related thereto.</w:t>
      </w:r>
    </w:p>
    <w:p>
      <w:pPr>
        <w:spacing w:after="0" w:line="209"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b w:val="1"/>
          <w:bCs w:val="1"/>
          <w:u w:val="single" w:color="auto"/>
          <w:color w:val="auto"/>
        </w:rPr>
        <w:t>Section 4</w:t>
      </w:r>
      <w:r>
        <w:rPr>
          <w:sz w:val="20"/>
          <w:szCs w:val="20"/>
          <w:color w:val="auto"/>
        </w:rPr>
        <w:tab/>
      </w:r>
      <w:r>
        <w:rPr>
          <w:rFonts w:ascii="Times New Roman" w:cs="Times New Roman" w:eastAsia="Times New Roman" w:hAnsi="Times New Roman"/>
          <w:sz w:val="18"/>
          <w:szCs w:val="18"/>
          <w:b w:val="1"/>
          <w:bCs w:val="1"/>
          <w:u w:val="single" w:color="auto"/>
          <w:color w:val="auto"/>
        </w:rPr>
        <w:t>Representations and Warranties.</w:t>
      </w:r>
    </w:p>
    <w:p>
      <w:pPr>
        <w:spacing w:after="0" w:line="201" w:lineRule="exact"/>
        <w:rPr>
          <w:sz w:val="20"/>
          <w:szCs w:val="20"/>
          <w:color w:val="auto"/>
        </w:rPr>
      </w:pPr>
    </w:p>
    <w:p>
      <w:pPr>
        <w:ind w:firstLine="640"/>
        <w:spacing w:after="0" w:line="276" w:lineRule="auto"/>
        <w:tabs>
          <w:tab w:leader="none" w:pos="127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Representations and Warranties of the Parties</w:t>
      </w:r>
      <w:r>
        <w:rPr>
          <w:rFonts w:ascii="Times New Roman" w:cs="Times New Roman" w:eastAsia="Times New Roman" w:hAnsi="Times New Roman"/>
          <w:sz w:val="20"/>
          <w:szCs w:val="20"/>
          <w:color w:val="auto"/>
        </w:rPr>
        <w:t>. Each of the Buyer and the Seller represents and warrants, as to itself (except as otherwise provided below), to the other Party on and as of the Effective Date as follows:</w:t>
      </w:r>
    </w:p>
    <w:p>
      <w:pPr>
        <w:spacing w:after="0" w:line="152" w:lineRule="exact"/>
        <w:rPr>
          <w:rFonts w:ascii="Times New Roman" w:cs="Times New Roman" w:eastAsia="Times New Roman" w:hAnsi="Times New Roman"/>
          <w:sz w:val="20"/>
          <w:szCs w:val="20"/>
          <w:color w:val="auto"/>
        </w:rPr>
      </w:pPr>
    </w:p>
    <w:p>
      <w:pPr>
        <w:jc w:val="both"/>
        <w:ind w:left="640" w:firstLine="641"/>
        <w:spacing w:after="0" w:line="250" w:lineRule="auto"/>
        <w:tabs>
          <w:tab w:leader="none" w:pos="191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and Authority</w:t>
      </w:r>
      <w:r>
        <w:rPr>
          <w:rFonts w:ascii="Times New Roman" w:cs="Times New Roman" w:eastAsia="Times New Roman" w:hAnsi="Times New Roman"/>
          <w:sz w:val="20"/>
          <w:szCs w:val="20"/>
          <w:color w:val="auto"/>
        </w:rPr>
        <w:t>. Such Party is a limited liability company, partnership or corporation, as the case may be, validly existing and in good standing under the laws of the State of such Party’s organization or incorporation, as the case may be, and such Party has all requisite limited liability, partnership or corporate, as the case may be, power and authority to execute and deliver this Agreement and the other Transaction Documents to which it is a party and to consummate the Transactions and to perform its obligations under this Agreement and the other Transaction Documents to which it is a party.</w:t>
      </w:r>
    </w:p>
    <w:p>
      <w:pPr>
        <w:spacing w:after="0" w:line="178" w:lineRule="exact"/>
        <w:rPr>
          <w:rFonts w:ascii="Times New Roman" w:cs="Times New Roman" w:eastAsia="Times New Roman" w:hAnsi="Times New Roman"/>
          <w:sz w:val="20"/>
          <w:szCs w:val="20"/>
          <w:color w:val="auto"/>
        </w:rPr>
      </w:pPr>
    </w:p>
    <w:p>
      <w:pPr>
        <w:jc w:val="both"/>
        <w:ind w:left="640" w:firstLine="641"/>
        <w:spacing w:after="0" w:line="253" w:lineRule="auto"/>
        <w:tabs>
          <w:tab w:leader="none" w:pos="1913"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and Execution</w:t>
      </w:r>
      <w:r>
        <w:rPr>
          <w:rFonts w:ascii="Times New Roman" w:cs="Times New Roman" w:eastAsia="Times New Roman" w:hAnsi="Times New Roman"/>
          <w:sz w:val="20"/>
          <w:szCs w:val="20"/>
          <w:color w:val="auto"/>
        </w:rPr>
        <w:t>. Each Transaction Document to which such Party is a party has been duly and validly authorized, executed and delivered by such Party and (assuming due authorization, execution and delivery by each other party thereto) constitutes the legal, valid and binding obligation of such Party, enforceable against such Party in accordance with its terms, subject to the effects of bankruptcy, insolvency, reorganization, moratorium and similar laws from time to time in effect relating to the rights and remedies of creditors as well as to general principles of equity whether considered at law or in equity.</w:t>
      </w:r>
    </w:p>
    <w:p>
      <w:pPr>
        <w:spacing w:after="0" w:line="177" w:lineRule="exact"/>
        <w:rPr>
          <w:rFonts w:ascii="Times New Roman" w:cs="Times New Roman" w:eastAsia="Times New Roman" w:hAnsi="Times New Roman"/>
          <w:sz w:val="20"/>
          <w:szCs w:val="20"/>
          <w:color w:val="auto"/>
        </w:rPr>
      </w:pPr>
    </w:p>
    <w:p>
      <w:pPr>
        <w:jc w:val="both"/>
        <w:ind w:left="640" w:firstLine="641"/>
        <w:spacing w:after="0" w:line="248" w:lineRule="auto"/>
        <w:tabs>
          <w:tab w:leader="none" w:pos="191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Violation</w:t>
      </w:r>
      <w:r>
        <w:rPr>
          <w:rFonts w:ascii="Times New Roman" w:cs="Times New Roman" w:eastAsia="Times New Roman" w:hAnsi="Times New Roman"/>
          <w:sz w:val="20"/>
          <w:szCs w:val="20"/>
          <w:color w:val="auto"/>
        </w:rPr>
        <w:t>. Neither the execution and delivery of this Agreement or any other Transaction Document by such Party nor the performance of such Party’s obligations hereunder or thereunder will (A) conflict with, or result in a breach of, any provision of the organizational documents of such Party, (B) violate or conflict with (or give rise to any right of termination, cancellation or acceleration under) any of the terms, conditions or provisions of any material contract or other material instrument, agreement or obligation to which such Party is a party or by which such Party or such Party’s assets are bound or (C) violate any Applicable Law or any license, franchise, permit or other authorization applicable to or affecting such Party or any of its assets (or result in the imposition of a Lien, other than Permitted Liens, upon any such assets) except for any of the foregoing that would not reasonably be expected to have a Material Adverse Effect on such Party.</w:t>
      </w:r>
    </w:p>
    <w:p>
      <w:pPr>
        <w:spacing w:after="0" w:line="182" w:lineRule="exact"/>
        <w:rPr>
          <w:rFonts w:ascii="Times New Roman" w:cs="Times New Roman" w:eastAsia="Times New Roman" w:hAnsi="Times New Roman"/>
          <w:sz w:val="20"/>
          <w:szCs w:val="20"/>
          <w:color w:val="auto"/>
        </w:rPr>
      </w:pPr>
    </w:p>
    <w:p>
      <w:pPr>
        <w:jc w:val="both"/>
        <w:ind w:left="640" w:firstLine="641"/>
        <w:spacing w:after="0" w:line="256" w:lineRule="auto"/>
        <w:tabs>
          <w:tab w:leader="none" w:pos="1916"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Consents</w:t>
      </w:r>
      <w:r>
        <w:rPr>
          <w:rFonts w:ascii="Times New Roman" w:cs="Times New Roman" w:eastAsia="Times New Roman" w:hAnsi="Times New Roman"/>
          <w:sz w:val="20"/>
          <w:szCs w:val="20"/>
          <w:color w:val="auto"/>
        </w:rPr>
        <w:t>. All third party consents, approvals and filings, including Governmental Approvals, required to be obtained or made by such Party to execute, deliver and perform its obligations under this Agreement and the other Transaction Documents to which it is a party and to consummate the Transactions contemplated by this Agreement and the other</w:t>
      </w:r>
    </w:p>
    <w:p>
      <w:pPr>
        <w:sectPr>
          <w:pgSz w:w="11900" w:h="16838" w:orient="portrait"/>
          <w:cols w:equalWidth="0" w:num="1">
            <w:col w:w="11200"/>
          </w:cols>
          <w:pgMar w:left="320" w:top="1012" w:right="379" w:bottom="1440" w:gutter="0" w:footer="0" w:header="0"/>
        </w:sectPr>
      </w:pPr>
    </w:p>
    <w:bookmarkStart w:id="200" w:name="page201"/>
    <w:bookmarkEnd w:id="200"/>
    <w:p>
      <w:pPr>
        <w:ind w:left="420"/>
        <w:spacing w:after="0"/>
        <w:rPr>
          <w:sz w:val="20"/>
          <w:szCs w:val="20"/>
          <w:color w:val="auto"/>
        </w:rPr>
      </w:pPr>
      <w:r>
        <w:rPr>
          <w:rFonts w:ascii="Times New Roman" w:cs="Times New Roman" w:eastAsia="Times New Roman" w:hAnsi="Times New Roman"/>
          <w:sz w:val="20"/>
          <w:szCs w:val="20"/>
          <w:color w:val="auto"/>
        </w:rPr>
        <w:t>Transaction Documents to which it is a party have been obtained or made and are in full force and effect.</w:t>
      </w:r>
    </w:p>
    <w:p>
      <w:pPr>
        <w:spacing w:after="0" w:line="211" w:lineRule="exact"/>
        <w:rPr>
          <w:sz w:val="20"/>
          <w:szCs w:val="20"/>
          <w:color w:val="auto"/>
        </w:rPr>
      </w:pPr>
    </w:p>
    <w:p>
      <w:pPr>
        <w:jc w:val="both"/>
        <w:ind w:left="420" w:firstLine="641"/>
        <w:spacing w:after="0" w:line="253" w:lineRule="auto"/>
        <w:tabs>
          <w:tab w:leader="none" w:pos="1695"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Proceedings</w:t>
      </w:r>
      <w:r>
        <w:rPr>
          <w:rFonts w:ascii="Times New Roman" w:cs="Times New Roman" w:eastAsia="Times New Roman" w:hAnsi="Times New Roman"/>
          <w:sz w:val="20"/>
          <w:szCs w:val="20"/>
          <w:color w:val="auto"/>
        </w:rPr>
        <w:t>. There are no pending or, to the Knowledge of such Party, threatened in writing, disputes, governmental investigations, suits, actions (including non-judicial real or personal property foreclosure actions), arbitrations, legal, administrative or other proceedings of any nature, domestic or foreign, criminal or civil, at law or in equity, by or against such Party that (A) disputes the enforceability or validity of this Agreement, any other Transaction Document or any Material Project Document or (B) could reasonably be expected to have a Material Adverse Effect on such Party.</w:t>
      </w:r>
    </w:p>
    <w:p>
      <w:pPr>
        <w:spacing w:after="0" w:line="177" w:lineRule="exact"/>
        <w:rPr>
          <w:rFonts w:ascii="Times New Roman" w:cs="Times New Roman" w:eastAsia="Times New Roman" w:hAnsi="Times New Roman"/>
          <w:sz w:val="20"/>
          <w:szCs w:val="20"/>
          <w:color w:val="auto"/>
        </w:rPr>
      </w:pPr>
    </w:p>
    <w:p>
      <w:pPr>
        <w:jc w:val="both"/>
        <w:ind w:left="420" w:firstLine="641"/>
        <w:spacing w:after="0" w:line="256" w:lineRule="auto"/>
        <w:tabs>
          <w:tab w:leader="none" w:pos="1696"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w:t>
      </w:r>
      <w:r>
        <w:rPr>
          <w:rFonts w:ascii="Times New Roman" w:cs="Times New Roman" w:eastAsia="Times New Roman" w:hAnsi="Times New Roman"/>
          <w:sz w:val="20"/>
          <w:szCs w:val="20"/>
          <w:color w:val="auto"/>
        </w:rPr>
        <w:t>. No voluntary actions or, to the Knowledge of such Party, involuntary actions are pending or threatened against such Party (and, with respect to this representation as made by the Seller, no such actions are pending or threatened against any Seller Party) under the insolvency or bankruptcy laws of the U.S. or any other jurisdiction.</w:t>
      </w:r>
    </w:p>
    <w:p>
      <w:pPr>
        <w:spacing w:after="0" w:line="172" w:lineRule="exact"/>
        <w:rPr>
          <w:rFonts w:ascii="Times New Roman" w:cs="Times New Roman" w:eastAsia="Times New Roman" w:hAnsi="Times New Roman"/>
          <w:sz w:val="20"/>
          <w:szCs w:val="20"/>
          <w:color w:val="auto"/>
        </w:rPr>
      </w:pPr>
    </w:p>
    <w:p>
      <w:pPr>
        <w:ind w:left="420" w:firstLine="641"/>
        <w:spacing w:after="0" w:line="276" w:lineRule="auto"/>
        <w:tabs>
          <w:tab w:leader="none" w:pos="1697"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Related Party</w:t>
      </w:r>
      <w:r>
        <w:rPr>
          <w:rFonts w:ascii="Times New Roman" w:cs="Times New Roman" w:eastAsia="Times New Roman" w:hAnsi="Times New Roman"/>
          <w:sz w:val="20"/>
          <w:szCs w:val="20"/>
          <w:color w:val="auto"/>
        </w:rPr>
        <w:t>. To the Knowledge of such Party, the Buyer is not related to the Seller within the meaning of Section 267(b) or 707(b)(1) of the Code.</w:t>
      </w:r>
    </w:p>
    <w:p>
      <w:pPr>
        <w:spacing w:after="0" w:line="152" w:lineRule="exact"/>
        <w:rPr>
          <w:rFonts w:ascii="Times New Roman" w:cs="Times New Roman" w:eastAsia="Times New Roman" w:hAnsi="Times New Roman"/>
          <w:sz w:val="20"/>
          <w:szCs w:val="20"/>
          <w:color w:val="auto"/>
        </w:rPr>
      </w:pPr>
    </w:p>
    <w:p>
      <w:pPr>
        <w:jc w:val="both"/>
        <w:ind w:left="420" w:firstLine="641"/>
        <w:spacing w:after="0" w:line="248" w:lineRule="auto"/>
        <w:tabs>
          <w:tab w:leader="none" w:pos="169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 Foreign Assets Control Regulations</w:t>
      </w:r>
      <w:r>
        <w:rPr>
          <w:rFonts w:ascii="Times New Roman" w:cs="Times New Roman" w:eastAsia="Times New Roman" w:hAnsi="Times New Roman"/>
          <w:sz w:val="20"/>
          <w:szCs w:val="20"/>
          <w:color w:val="auto"/>
        </w:rPr>
        <w:t>. The purchase and sale of the Transferred Tax Credits by the Buyer (with respect to the representations made by the Buyer) and the Seller (with respect to the representations made by the Seller) does not violate any Sanctions. Neither the Buyer (with respect to the representations made by the Buyer) nor the Seller (with respect to the representations made by the Seller) (A) is a Sanctioned Person or otherwise a Person described or designated in the Specially Designated Nationals and Blocked Persons List of the Office of Foreign Assets Control or otherwise a Sanctioned Person, (B) has any of its assets in a Sanctioned Country or in the possession, custody or control of a Sanctioned Person, (C) violated nor is in violation of Sanctions, and (D) does business in or with, or derives any of its operating income from investments in or transactions with, any Sanctioned Country or Sanctioned Person.</w:t>
      </w:r>
    </w:p>
    <w:p>
      <w:pPr>
        <w:spacing w:after="0" w:line="182" w:lineRule="exact"/>
        <w:rPr>
          <w:rFonts w:ascii="Times New Roman" w:cs="Times New Roman" w:eastAsia="Times New Roman" w:hAnsi="Times New Roman"/>
          <w:sz w:val="20"/>
          <w:szCs w:val="20"/>
          <w:color w:val="auto"/>
        </w:rPr>
      </w:pPr>
    </w:p>
    <w:p>
      <w:pPr>
        <w:jc w:val="both"/>
        <w:ind w:left="-220" w:firstLine="640"/>
        <w:spacing w:after="0" w:line="256" w:lineRule="auto"/>
        <w:tabs>
          <w:tab w:leader="none" w:pos="105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Buyer</w:t>
      </w:r>
      <w:r>
        <w:rPr>
          <w:rFonts w:ascii="Times New Roman" w:cs="Times New Roman" w:eastAsia="Times New Roman" w:hAnsi="Times New Roman"/>
          <w:sz w:val="20"/>
          <w:szCs w:val="20"/>
          <w:color w:val="auto"/>
        </w:rPr>
        <w:t xml:space="preserve">. To induce the Seller to enter into this Agreement and to consummate the Transactions contemplated by this Agreement and the other Transaction Documents, the Buyer makes the representations and warranties set forth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to the Seller on and as of the Effective Date.</w:t>
      </w:r>
    </w:p>
    <w:p>
      <w:pPr>
        <w:spacing w:after="0" w:line="172" w:lineRule="exact"/>
        <w:rPr>
          <w:rFonts w:ascii="Times New Roman" w:cs="Times New Roman" w:eastAsia="Times New Roman" w:hAnsi="Times New Roman"/>
          <w:sz w:val="20"/>
          <w:szCs w:val="20"/>
          <w:color w:val="auto"/>
        </w:rPr>
      </w:pPr>
    </w:p>
    <w:p>
      <w:pPr>
        <w:jc w:val="both"/>
        <w:ind w:left="-220" w:firstLine="640"/>
        <w:spacing w:after="0" w:line="256" w:lineRule="auto"/>
        <w:tabs>
          <w:tab w:leader="none" w:pos="105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Seller</w:t>
      </w:r>
      <w:r>
        <w:rPr>
          <w:rFonts w:ascii="Times New Roman" w:cs="Times New Roman" w:eastAsia="Times New Roman" w:hAnsi="Times New Roman"/>
          <w:sz w:val="20"/>
          <w:szCs w:val="20"/>
          <w:color w:val="auto"/>
        </w:rPr>
        <w:t xml:space="preserve">. To induce the Buyer to enter into this Agreement and to consummate the Transactions contemplated by this Agreement and the other Transaction Documents, the Seller makes the representations and warranties set forth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to the Buyer on and as of the Effective Date.</w:t>
      </w:r>
    </w:p>
    <w:p>
      <w:pPr>
        <w:spacing w:after="0" w:line="18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u w:val="single" w:color="auto"/>
          <w:color w:val="auto"/>
        </w:rPr>
        <w:t>Section 5</w:t>
      </w:r>
      <w:r>
        <w:rPr>
          <w:sz w:val="20"/>
          <w:szCs w:val="20"/>
          <w:color w:val="auto"/>
        </w:rPr>
        <w:tab/>
      </w:r>
      <w:r>
        <w:rPr>
          <w:rFonts w:ascii="Times New Roman" w:cs="Times New Roman" w:eastAsia="Times New Roman" w:hAnsi="Times New Roman"/>
          <w:sz w:val="18"/>
          <w:szCs w:val="18"/>
          <w:b w:val="1"/>
          <w:bCs w:val="1"/>
          <w:u w:val="single" w:color="auto"/>
          <w:color w:val="auto"/>
        </w:rPr>
        <w:t>Covenants.</w:t>
      </w:r>
    </w:p>
    <w:p>
      <w:pPr>
        <w:spacing w:after="0" w:line="242" w:lineRule="exact"/>
        <w:rPr>
          <w:sz w:val="20"/>
          <w:szCs w:val="20"/>
          <w:color w:val="auto"/>
        </w:rPr>
      </w:pPr>
    </w:p>
    <w:p>
      <w:pPr>
        <w:ind w:left="1060" w:hanging="332"/>
        <w:spacing w:after="0"/>
        <w:tabs>
          <w:tab w:leader="none" w:pos="106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of the Buyer</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0"/>
          <w:szCs w:val="20"/>
          <w:color w:val="auto"/>
        </w:rPr>
      </w:pPr>
    </w:p>
    <w:p>
      <w:pPr>
        <w:ind w:left="420" w:right="20" w:firstLine="641"/>
        <w:spacing w:after="0" w:line="262" w:lineRule="auto"/>
        <w:tabs>
          <w:tab w:leader="none" w:pos="169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Transfer of the Transferred Tax Credits</w:t>
      </w:r>
      <w:r>
        <w:rPr>
          <w:rFonts w:ascii="Times New Roman" w:cs="Times New Roman" w:eastAsia="Times New Roman" w:hAnsi="Times New Roman"/>
          <w:sz w:val="20"/>
          <w:szCs w:val="20"/>
          <w:color w:val="auto"/>
        </w:rPr>
        <w:t>. The Buyer shall not make an election under Section 6418(a) of the Code to transfer any of the Transferred Tax Credits to another Person.</w:t>
      </w:r>
    </w:p>
    <w:p>
      <w:pPr>
        <w:spacing w:after="0" w:line="165" w:lineRule="exact"/>
        <w:rPr>
          <w:rFonts w:ascii="Times New Roman" w:cs="Times New Roman" w:eastAsia="Times New Roman" w:hAnsi="Times New Roman"/>
          <w:sz w:val="20"/>
          <w:szCs w:val="20"/>
          <w:color w:val="auto"/>
        </w:rPr>
      </w:pPr>
    </w:p>
    <w:p>
      <w:pPr>
        <w:ind w:left="420" w:right="20" w:firstLine="641"/>
        <w:spacing w:after="0" w:line="276" w:lineRule="auto"/>
        <w:tabs>
          <w:tab w:leader="none" w:pos="1693"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Related Person</w:t>
      </w:r>
      <w:r>
        <w:rPr>
          <w:rFonts w:ascii="Times New Roman" w:cs="Times New Roman" w:eastAsia="Times New Roman" w:hAnsi="Times New Roman"/>
          <w:sz w:val="20"/>
          <w:szCs w:val="20"/>
          <w:color w:val="auto"/>
        </w:rPr>
        <w:t>. The Buyer shall not, and shall cause its Affiliates to not, take any affirmative action to become related to the Seller within the meaning of Section 267(b) or 707(b)(1) of the Code.</w:t>
      </w:r>
    </w:p>
    <w:p>
      <w:pPr>
        <w:sectPr>
          <w:pgSz w:w="11900" w:h="16838" w:orient="portrait"/>
          <w:cols w:equalWidth="0" w:num="1">
            <w:col w:w="10980"/>
          </w:cols>
          <w:pgMar w:left="540" w:top="1012" w:right="379" w:bottom="1440" w:gutter="0" w:footer="0" w:header="0"/>
        </w:sectPr>
      </w:pPr>
    </w:p>
    <w:bookmarkStart w:id="201" w:name="page202"/>
    <w:bookmarkEnd w:id="201"/>
    <w:p>
      <w:pPr>
        <w:jc w:val="both"/>
        <w:ind w:left="-308" w:firstLine="641"/>
        <w:spacing w:after="0" w:line="256" w:lineRule="auto"/>
        <w:tabs>
          <w:tab w:leader="none" w:pos="966"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IRS Audits</w:t>
      </w:r>
      <w:r>
        <w:rPr>
          <w:rFonts w:ascii="Times New Roman" w:cs="Times New Roman" w:eastAsia="Times New Roman" w:hAnsi="Times New Roman"/>
          <w:sz w:val="20"/>
          <w:szCs w:val="20"/>
          <w:color w:val="auto"/>
        </w:rPr>
        <w:t>. If the IRS audits the right of the Buyer to claim, receive or use the Transferred Tax Credits, or to accept or buy the Transferred Tax Credits, the Buyer shall promptly notify the Seller upon becoming aware of such audit and provide a reasonably detailed description thereof.</w:t>
      </w:r>
    </w:p>
    <w:p>
      <w:pPr>
        <w:spacing w:after="0" w:line="185" w:lineRule="exact"/>
        <w:rPr>
          <w:rFonts w:ascii="Times New Roman" w:cs="Times New Roman" w:eastAsia="Times New Roman" w:hAnsi="Times New Roman"/>
          <w:sz w:val="20"/>
          <w:szCs w:val="20"/>
          <w:color w:val="auto"/>
        </w:rPr>
      </w:pPr>
    </w:p>
    <w:p>
      <w:pPr>
        <w:jc w:val="both"/>
        <w:ind w:left="-308" w:firstLine="641"/>
        <w:spacing w:after="0" w:line="250" w:lineRule="auto"/>
        <w:tabs>
          <w:tab w:leader="none" w:pos="968"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U.S. federal income tax return filed with respect to the tax year in which the Transferred Tax Credits are generated, the Buyer shall timely file such tax return and include (A) IRS Form 3800, General Business Credit, which shall include all of the registration numbers of the Eligible Credit Property associated with the Transferred Tax Credits and (B) the Transfer Election Statement.</w:t>
      </w:r>
    </w:p>
    <w:p>
      <w:pPr>
        <w:spacing w:after="0" w:line="177" w:lineRule="exact"/>
        <w:rPr>
          <w:rFonts w:ascii="Times New Roman" w:cs="Times New Roman" w:eastAsia="Times New Roman" w:hAnsi="Times New Roman"/>
          <w:sz w:val="20"/>
          <w:szCs w:val="20"/>
          <w:color w:val="auto"/>
        </w:rPr>
      </w:pPr>
    </w:p>
    <w:p>
      <w:pPr>
        <w:jc w:val="both"/>
        <w:ind w:left="-308" w:firstLine="641"/>
        <w:spacing w:after="0" w:line="263" w:lineRule="auto"/>
        <w:tabs>
          <w:tab w:leader="none" w:pos="967"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receipt of the Transfer Election Statement from the Seller executed by the Seller, the Buyer shall provide written consent with respect to the Transfer Election Statement in accordance with Treasury Regulation Section 1.6418-2(b)(5)(i), provided that such Transfer Election Statement reflects the comments of Buyer described in </w:t>
      </w:r>
      <w:r>
        <w:rPr>
          <w:rFonts w:ascii="Times New Roman" w:cs="Times New Roman" w:eastAsia="Times New Roman" w:hAnsi="Times New Roman"/>
          <w:sz w:val="20"/>
          <w:szCs w:val="20"/>
          <w:u w:val="single" w:color="auto"/>
          <w:color w:val="auto"/>
        </w:rPr>
        <w:t>Section 5(b)(iv)(D)</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of the Seller</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0"/>
          <w:szCs w:val="20"/>
          <w:color w:val="auto"/>
        </w:rPr>
      </w:pPr>
    </w:p>
    <w:p>
      <w:pPr>
        <w:jc w:val="both"/>
        <w:ind w:left="-308" w:firstLine="641"/>
        <w:spacing w:after="0" w:line="248" w:lineRule="auto"/>
        <w:tabs>
          <w:tab w:leader="none" w:pos="96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Claiming of Transferred Tax Credits</w:t>
      </w:r>
      <w:r>
        <w:rPr>
          <w:rFonts w:ascii="Times New Roman" w:cs="Times New Roman" w:eastAsia="Times New Roman" w:hAnsi="Times New Roman"/>
          <w:sz w:val="20"/>
          <w:szCs w:val="20"/>
          <w:color w:val="auto"/>
        </w:rPr>
        <w:t>. The Seller shall not, and shall not cause or permit the Project Company to, (A) claim on its federal income tax return the benefits of (x) any Transferred Tax Credits or (y) any bonus Tax Credits pursuant to Sections 48(a)(12) or 48(a)(14) of the Code unless otherwise consented to in writing by the Buyer, or (B) take any position for any purpose inconsistent with a sale or transfer of the Transferred Tax Credits hereunder. Other than the Transferred Tax Credits purchased hereunder, the Seller shall not, and shall not cause or permit the Project Company to sell, contribute or otherwise transfer any ITCs or other tax credits attributable to the Facility to any Person other than the Buyer; it being understood by and between the Parties that (x) all of the ITCs with respect to the Facility are being sold pursuant to this Agreement as noted above in Section 2(a) and (y) projects other than the Facility owned by the Seller or that may be owned in the future by the Seller may qualify for ITCs that may be sold to a different party pursuant to a separate agreement.</w:t>
      </w:r>
    </w:p>
    <w:p>
      <w:pPr>
        <w:spacing w:after="0" w:line="185" w:lineRule="exact"/>
        <w:rPr>
          <w:rFonts w:ascii="Times New Roman" w:cs="Times New Roman" w:eastAsia="Times New Roman" w:hAnsi="Times New Roman"/>
          <w:sz w:val="20"/>
          <w:szCs w:val="20"/>
          <w:color w:val="auto"/>
        </w:rPr>
      </w:pPr>
    </w:p>
    <w:p>
      <w:pPr>
        <w:ind w:left="-308" w:firstLine="641"/>
        <w:spacing w:after="0" w:line="262" w:lineRule="auto"/>
        <w:tabs>
          <w:tab w:leader="none" w:pos="96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Related Person</w:t>
      </w:r>
      <w:r>
        <w:rPr>
          <w:rFonts w:ascii="Times New Roman" w:cs="Times New Roman" w:eastAsia="Times New Roman" w:hAnsi="Times New Roman"/>
          <w:sz w:val="20"/>
          <w:szCs w:val="20"/>
          <w:color w:val="auto"/>
        </w:rPr>
        <w:t>. The Seller shall not, and shall cause its Affiliates to not, take any affirmative action to become related to the Buyer within the meaning of Section 267(b) or 707(b)(1) of the Code.</w:t>
      </w:r>
    </w:p>
    <w:p>
      <w:pPr>
        <w:spacing w:after="0" w:line="165" w:lineRule="exact"/>
        <w:rPr>
          <w:rFonts w:ascii="Times New Roman" w:cs="Times New Roman" w:eastAsia="Times New Roman" w:hAnsi="Times New Roman"/>
          <w:sz w:val="20"/>
          <w:szCs w:val="20"/>
          <w:color w:val="auto"/>
        </w:rPr>
      </w:pPr>
    </w:p>
    <w:p>
      <w:pPr>
        <w:jc w:val="both"/>
        <w:ind w:left="-308" w:firstLine="641"/>
        <w:spacing w:after="0" w:line="263" w:lineRule="auto"/>
        <w:tabs>
          <w:tab w:leader="none" w:pos="96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IRS Audits</w:t>
      </w:r>
      <w:r>
        <w:rPr>
          <w:rFonts w:ascii="Times New Roman" w:cs="Times New Roman" w:eastAsia="Times New Roman" w:hAnsi="Times New Roman"/>
          <w:sz w:val="20"/>
          <w:szCs w:val="20"/>
          <w:color w:val="auto"/>
        </w:rPr>
        <w:t>. If the IRS audits the right of the Seller to claim or receive the Transferred Tax Credits, or to sell or transfer the Transferred Tax Credits, the Seller shall promptly notify the Buyer upon becoming aware of such audit and provide a reasonably detailed description thereof.</w:t>
      </w:r>
    </w:p>
    <w:p>
      <w:pPr>
        <w:spacing w:after="0" w:line="165" w:lineRule="exact"/>
        <w:rPr>
          <w:rFonts w:ascii="Times New Roman" w:cs="Times New Roman" w:eastAsia="Times New Roman" w:hAnsi="Times New Roman"/>
          <w:sz w:val="20"/>
          <w:szCs w:val="20"/>
          <w:color w:val="auto"/>
        </w:rPr>
      </w:pPr>
    </w:p>
    <w:p>
      <w:pPr>
        <w:jc w:val="both"/>
        <w:ind w:left="-308" w:firstLine="641"/>
        <w:spacing w:after="0" w:line="247" w:lineRule="auto"/>
        <w:tabs>
          <w:tab w:leader="none" w:pos="96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Requirements</w:t>
      </w:r>
      <w:r>
        <w:rPr>
          <w:rFonts w:ascii="Times New Roman" w:cs="Times New Roman" w:eastAsia="Times New Roman" w:hAnsi="Times New Roman"/>
          <w:sz w:val="20"/>
          <w:szCs w:val="20"/>
          <w:color w:val="auto"/>
        </w:rPr>
        <w:t>. The Seller shall comply with all reporting requirements required by the IRS, Treasury, Applicable Law or this Agreement (consistent with current and future guidance issued under Section 6418 of the Code) as necessary to effectuate the transfer of the Transferred Tax Credits. In the U.S. federal income tax return filed with respect to the tax year in which Transferred Tax Credits are generated, the Seller shall include (A) a properly completed IRS Form 3468 with respect to the Transferred Tax Credits, (B) IRS Form 3800, General Business Credit, which shall include all of the registration numbers of the Eligible Credit Property associated with the Transferred Tax Credits, (C) a statement attached to IRS Form 3800 that shows the amount of the Transferred Tax Credits for each Eligible Credit Property, (D) the Transfer Election Statement (provided that prior to submission of such Transfer Election Statement, the Seller shall provide Buyer a draft of such Transfer Election Statement, Buyer shall review and provide the Seller with any comments to such Transfer Election Statement within</w:t>
      </w:r>
    </w:p>
    <w:p>
      <w:pPr>
        <w:sectPr>
          <w:pgSz w:w="11900" w:h="16838" w:orient="portrait"/>
          <w:cols w:equalWidth="0" w:num="1">
            <w:col w:w="10252"/>
          </w:cols>
          <w:pgMar w:left="1268" w:top="1012" w:right="379" w:bottom="1440" w:gutter="0" w:footer="0" w:header="0"/>
        </w:sectPr>
      </w:pPr>
    </w:p>
    <w:bookmarkStart w:id="202" w:name="page203"/>
    <w:bookmarkEnd w:id="202"/>
    <w:p>
      <w:pPr>
        <w:spacing w:after="0" w:line="276" w:lineRule="auto"/>
        <w:rPr>
          <w:sz w:val="20"/>
          <w:szCs w:val="20"/>
          <w:color w:val="auto"/>
        </w:rPr>
      </w:pPr>
      <w:r>
        <w:rPr>
          <w:rFonts w:ascii="Times New Roman" w:cs="Times New Roman" w:eastAsia="Times New Roman" w:hAnsi="Times New Roman"/>
          <w:sz w:val="20"/>
          <w:szCs w:val="20"/>
          <w:color w:val="auto"/>
        </w:rPr>
        <w:t>three (3) days of the Buyer’s receipt of such Transfer Election Statement, and the Seller will consider Buyer’s comments in good faith and update the Transfer Election Statement accordingly), and (E) any other information required by the IRS.</w:t>
      </w:r>
    </w:p>
    <w:p>
      <w:pPr>
        <w:spacing w:after="0" w:line="152" w:lineRule="exact"/>
        <w:rPr>
          <w:sz w:val="20"/>
          <w:szCs w:val="20"/>
          <w:color w:val="auto"/>
        </w:rPr>
      </w:pPr>
    </w:p>
    <w:p>
      <w:pPr>
        <w:ind w:right="20" w:firstLine="641"/>
        <w:spacing w:after="0" w:line="276" w:lineRule="auto"/>
        <w:tabs>
          <w:tab w:leader="none" w:pos="127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Pre-Filing Registration</w:t>
      </w:r>
      <w:r>
        <w:rPr>
          <w:rFonts w:ascii="Times New Roman" w:cs="Times New Roman" w:eastAsia="Times New Roman" w:hAnsi="Times New Roman"/>
          <w:sz w:val="20"/>
          <w:szCs w:val="20"/>
          <w:color w:val="auto"/>
        </w:rPr>
        <w:t>. The Seller shall make any required amendment to the PreFiling Registration (or, if required, submit a new Pre-Filing Registration) in accordance with Treasury Regulation Section 1.6418-4(c)(4).</w:t>
      </w:r>
    </w:p>
    <w:p>
      <w:pPr>
        <w:spacing w:after="0" w:line="152" w:lineRule="exact"/>
        <w:rPr>
          <w:rFonts w:ascii="Times New Roman" w:cs="Times New Roman" w:eastAsia="Times New Roman" w:hAnsi="Times New Roman"/>
          <w:sz w:val="20"/>
          <w:szCs w:val="20"/>
          <w:color w:val="auto"/>
        </w:rPr>
      </w:pPr>
    </w:p>
    <w:p>
      <w:pPr>
        <w:jc w:val="both"/>
        <w:ind w:firstLine="641"/>
        <w:spacing w:after="0" w:line="250" w:lineRule="auto"/>
        <w:tabs>
          <w:tab w:leader="none" w:pos="127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Documentation</w:t>
      </w:r>
      <w:r>
        <w:rPr>
          <w:rFonts w:ascii="Times New Roman" w:cs="Times New Roman" w:eastAsia="Times New Roman" w:hAnsi="Times New Roman"/>
          <w:sz w:val="20"/>
          <w:szCs w:val="20"/>
          <w:color w:val="auto"/>
        </w:rPr>
        <w:t>. The Seller shall provide the IRS and the Buyer, as applicable, with any additional information or registration required by the IRS under Section 6418(g)(1) of the Code as a condition to, and prior to, any transfer of the Transferred Tax Credits for the purpose of preventing duplication, fraud, improper payments or excessive payments, including such Minimum Documentation required pursuant to Treasury Regulations Section 1.6418-2(b)(5)(iv).</w:t>
      </w:r>
    </w:p>
    <w:p>
      <w:pPr>
        <w:spacing w:after="0" w:line="177" w:lineRule="exact"/>
        <w:rPr>
          <w:rFonts w:ascii="Times New Roman" w:cs="Times New Roman" w:eastAsia="Times New Roman" w:hAnsi="Times New Roman"/>
          <w:sz w:val="20"/>
          <w:szCs w:val="20"/>
          <w:color w:val="auto"/>
        </w:rPr>
      </w:pPr>
    </w:p>
    <w:p>
      <w:pPr>
        <w:jc w:val="both"/>
        <w:ind w:firstLine="641"/>
        <w:spacing w:after="0" w:line="247" w:lineRule="auto"/>
        <w:tabs>
          <w:tab w:leader="none" w:pos="1277"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Recapture</w:t>
      </w:r>
      <w:r>
        <w:rPr>
          <w:rFonts w:ascii="Times New Roman" w:cs="Times New Roman" w:eastAsia="Times New Roman" w:hAnsi="Times New Roman"/>
          <w:sz w:val="20"/>
          <w:szCs w:val="20"/>
          <w:color w:val="auto"/>
        </w:rPr>
        <w:t xml:space="preserve">. Prior to the end of the Recapture Period, (A) the Seller shall not, and shall cause the Project Company not to, (i) take any action or fail to take any action or suffer to exist any event or condition that would reasonably be expected to result in a recapture, loss or disallowance of all or any portion of the Transferred Tax Credits or cause the Facility to be considered to have been taken out of service for federal income tax purposes, in each case, other than actions in response to a Casualty Event or Condemnation Event or event of force majeure or as necessary to comply with Applicable Laws or (ii) directly or indirectly transfer any direct or indirect interest in any Seller Party or any interest in the Facility in a manner that could reasonably be expected to result in recapture of any Transferred Tax Credit in accordance with Sections 50 and 6418 of the Code and (B) the Seller shall maintain the Facility’s eligibility for ITCs under Section 48 of the Code; provided, however, that this </w:t>
      </w:r>
      <w:r>
        <w:rPr>
          <w:rFonts w:ascii="Times New Roman" w:cs="Times New Roman" w:eastAsia="Times New Roman" w:hAnsi="Times New Roman"/>
          <w:sz w:val="20"/>
          <w:szCs w:val="20"/>
          <w:u w:val="single" w:color="auto"/>
          <w:color w:val="auto"/>
        </w:rPr>
        <w:t>clause (vii)</w:t>
      </w:r>
      <w:r>
        <w:rPr>
          <w:rFonts w:ascii="Times New Roman" w:cs="Times New Roman" w:eastAsia="Times New Roman" w:hAnsi="Times New Roman"/>
          <w:sz w:val="20"/>
          <w:szCs w:val="20"/>
          <w:color w:val="auto"/>
        </w:rPr>
        <w:t xml:space="preserve"> shall not prohibit any such action (or inaction) to the extent that it results in a Tax Credit Loss that is fully insured, and for which Buyer is made whole, pursuant to the Tax Insurance Policy (but notwithstanding the foregoing, in no event shall this </w:t>
      </w:r>
      <w:r>
        <w:rPr>
          <w:rFonts w:ascii="Times New Roman" w:cs="Times New Roman" w:eastAsia="Times New Roman" w:hAnsi="Times New Roman"/>
          <w:sz w:val="20"/>
          <w:szCs w:val="20"/>
          <w:u w:val="single" w:color="auto"/>
          <w:color w:val="auto"/>
        </w:rPr>
        <w:t>clause (vii)</w:t>
      </w:r>
      <w:r>
        <w:rPr>
          <w:rFonts w:ascii="Times New Roman" w:cs="Times New Roman" w:eastAsia="Times New Roman" w:hAnsi="Times New Roman"/>
          <w:sz w:val="20"/>
          <w:szCs w:val="20"/>
          <w:color w:val="auto"/>
        </w:rPr>
        <w:t xml:space="preserve"> limit Seller’s indemnification obligations for such recapture, loss or disallowance under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41"/>
        <w:spacing w:after="0" w:line="306" w:lineRule="auto"/>
        <w:tabs>
          <w:tab w:leader="none" w:pos="127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Recapture Notification</w:t>
      </w:r>
      <w:r>
        <w:rPr>
          <w:rFonts w:ascii="Times New Roman" w:cs="Times New Roman" w:eastAsia="Times New Roman" w:hAnsi="Times New Roman"/>
          <w:sz w:val="18"/>
          <w:szCs w:val="18"/>
          <w:color w:val="auto"/>
        </w:rPr>
        <w:t>. The Seller shall promptly notify the Buyer in writing of the occurrence of any recapture of the Transferred Tax Credits or any event that would reasonably be expected to result in such recapture (in each case, no later than thirty days after obtaining Knowledge thereof), including a reasonably detailed description of the events giving rise to such recapture.</w:t>
      </w:r>
    </w:p>
    <w:p>
      <w:pPr>
        <w:spacing w:after="0" w:line="130" w:lineRule="exact"/>
        <w:rPr>
          <w:rFonts w:ascii="Times New Roman" w:cs="Times New Roman" w:eastAsia="Times New Roman" w:hAnsi="Times New Roman"/>
          <w:sz w:val="18"/>
          <w:szCs w:val="18"/>
          <w:color w:val="auto"/>
        </w:rPr>
      </w:pPr>
    </w:p>
    <w:p>
      <w:pPr>
        <w:jc w:val="both"/>
        <w:ind w:firstLine="641"/>
        <w:spacing w:after="0" w:line="250" w:lineRule="auto"/>
        <w:tabs>
          <w:tab w:leader="none" w:pos="127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Insurance</w:t>
      </w:r>
      <w:r>
        <w:rPr>
          <w:rFonts w:ascii="Times New Roman" w:cs="Times New Roman" w:eastAsia="Times New Roman" w:hAnsi="Times New Roman"/>
          <w:sz w:val="20"/>
          <w:szCs w:val="20"/>
          <w:color w:val="auto"/>
        </w:rPr>
        <w:t xml:space="preserve">. During the Recapture Period, the Seller shall maintain the Tax Insurance Policy and cause the Project Company to maintain property and casualty insurance on the Facility consistent with the Facility’s insurance coverage as of the Closing Date and in compliance with the requirements set forth on </w:t>
      </w:r>
      <w:r>
        <w:rPr>
          <w:rFonts w:ascii="Times New Roman" w:cs="Times New Roman" w:eastAsia="Times New Roman" w:hAnsi="Times New Roman"/>
          <w:sz w:val="20"/>
          <w:szCs w:val="20"/>
          <w:u w:val="single" w:color="auto"/>
          <w:color w:val="auto"/>
        </w:rPr>
        <w:t>Schedule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(and only for so long as) such property and casualty insurance is Unavailable, as confirmed by the Insurance Consultant along with a reasonably detailed written explanation of the basis for such conclusion, the Seller shall not be required to cause the Project Company to maintain such Unavailable insurance.</w:t>
      </w:r>
    </w:p>
    <w:p>
      <w:pPr>
        <w:spacing w:after="0" w:line="178" w:lineRule="exact"/>
        <w:rPr>
          <w:rFonts w:ascii="Times New Roman" w:cs="Times New Roman" w:eastAsia="Times New Roman" w:hAnsi="Times New Roman"/>
          <w:sz w:val="20"/>
          <w:szCs w:val="20"/>
          <w:color w:val="auto"/>
        </w:rPr>
      </w:pPr>
    </w:p>
    <w:p>
      <w:pPr>
        <w:jc w:val="both"/>
        <w:ind w:firstLine="641"/>
        <w:spacing w:after="0" w:line="250" w:lineRule="auto"/>
        <w:tabs>
          <w:tab w:leader="none" w:pos="127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Continuous Operation Certificate</w:t>
      </w:r>
      <w:r>
        <w:rPr>
          <w:rFonts w:ascii="Times New Roman" w:cs="Times New Roman" w:eastAsia="Times New Roman" w:hAnsi="Times New Roman"/>
          <w:sz w:val="20"/>
          <w:szCs w:val="20"/>
          <w:color w:val="auto"/>
        </w:rPr>
        <w:t>. During the Recapture Period, the Seller shall deliver to the Buyer, on or before the date that is ten Business Days after date of each anniversary of the Closing Date, a Continuous Operation Certificate, certifying that the Facility remains in continued operation (except for scheduled maintenance downtime or any downtime attributable to a Casualty Event or Condemnation Event or event of force majeure), no recapture of Transferred Tax Credits has occurred (or, if a recapture has occurred, a reasonably detailed report of such</w:t>
      </w:r>
    </w:p>
    <w:p>
      <w:pPr>
        <w:sectPr>
          <w:pgSz w:w="11900" w:h="16838" w:orient="portrait"/>
          <w:cols w:equalWidth="0" w:num="1">
            <w:col w:w="10560"/>
          </w:cols>
          <w:pgMar w:left="960" w:top="1012" w:right="3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color w:val="auto"/>
        </w:rPr>
        <w:t xml:space="preserve">recapture), and the Facility’s insurance coverage (subject to the terms of </w:t>
      </w:r>
      <w:r>
        <w:rPr>
          <w:rFonts w:ascii="Times New Roman" w:cs="Times New Roman" w:eastAsia="Times New Roman" w:hAnsi="Times New Roman"/>
          <w:sz w:val="20"/>
          <w:szCs w:val="20"/>
          <w:u w:val="single" w:color="auto"/>
          <w:color w:val="auto"/>
        </w:rPr>
        <w:t>Section 5(b)(ix)</w:t>
      </w:r>
      <w:r>
        <w:rPr>
          <w:rFonts w:ascii="Times New Roman" w:cs="Times New Roman" w:eastAsia="Times New Roman" w:hAnsi="Times New Roman"/>
          <w:sz w:val="20"/>
          <w:szCs w:val="20"/>
          <w:color w:val="auto"/>
        </w:rPr>
        <w:t>) remains in place.</w:t>
      </w:r>
    </w:p>
    <w:p>
      <w:pPr>
        <w:spacing w:after="0" w:line="211" w:lineRule="exact"/>
        <w:rPr>
          <w:sz w:val="20"/>
          <w:szCs w:val="20"/>
          <w:color w:val="auto"/>
        </w:rPr>
      </w:pPr>
    </w:p>
    <w:p>
      <w:pPr>
        <w:jc w:val="both"/>
        <w:ind w:firstLine="641"/>
        <w:spacing w:after="0" w:line="254" w:lineRule="auto"/>
        <w:tabs>
          <w:tab w:leader="none" w:pos="127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Indebtedness and Liens</w:t>
      </w:r>
      <w:r>
        <w:rPr>
          <w:rFonts w:ascii="Times New Roman" w:cs="Times New Roman" w:eastAsia="Times New Roman" w:hAnsi="Times New Roman"/>
          <w:sz w:val="20"/>
          <w:szCs w:val="20"/>
          <w:color w:val="auto"/>
        </w:rPr>
        <w:t xml:space="preserve">. During the Recapture Period, the Seller shall not, and shall cause the Seller Parties to not, incur or suffer to exist any (A) Liens except Permitted Liens; (B) secured or unsecured indebtedness except Permitted Indebtedness; provided, however, that this </w:t>
      </w:r>
      <w:r>
        <w:rPr>
          <w:rFonts w:ascii="Times New Roman" w:cs="Times New Roman" w:eastAsia="Times New Roman" w:hAnsi="Times New Roman"/>
          <w:sz w:val="20"/>
          <w:szCs w:val="20"/>
          <w:u w:val="single" w:color="auto"/>
          <w:color w:val="auto"/>
        </w:rPr>
        <w:t>clause (xi)</w:t>
      </w:r>
      <w:r>
        <w:rPr>
          <w:rFonts w:ascii="Times New Roman" w:cs="Times New Roman" w:eastAsia="Times New Roman" w:hAnsi="Times New Roman"/>
          <w:sz w:val="20"/>
          <w:szCs w:val="20"/>
          <w:color w:val="auto"/>
        </w:rPr>
        <w:t xml:space="preserve"> shall not prohibit any such action (or inaction) to the extent that it results in a Tax Credit Loss that is fully insured, and for which Buyer is made whole, pursuant to the Tax Insurance Policy.</w:t>
      </w:r>
    </w:p>
    <w:p>
      <w:pPr>
        <w:spacing w:after="0" w:line="175" w:lineRule="exact"/>
        <w:rPr>
          <w:rFonts w:ascii="Times New Roman" w:cs="Times New Roman" w:eastAsia="Times New Roman" w:hAnsi="Times New Roman"/>
          <w:sz w:val="20"/>
          <w:szCs w:val="20"/>
          <w:color w:val="auto"/>
        </w:rPr>
      </w:pPr>
    </w:p>
    <w:p>
      <w:pPr>
        <w:ind w:left="1280" w:hanging="639"/>
        <w:spacing w:after="0"/>
        <w:tabs>
          <w:tab w:leader="none" w:pos="12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Year Election</w:t>
      </w:r>
      <w:r>
        <w:rPr>
          <w:rFonts w:ascii="Times New Roman" w:cs="Times New Roman" w:eastAsia="Times New Roman" w:hAnsi="Times New Roman"/>
          <w:sz w:val="20"/>
          <w:szCs w:val="20"/>
          <w:color w:val="auto"/>
        </w:rPr>
        <w:t>. The Seller shall not make any election to change its taxable year for U.S. federal income tax</w:t>
      </w:r>
    </w:p>
    <w:p>
      <w:pPr>
        <w:spacing w:after="0" w:line="2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purposes.</w:t>
      </w:r>
    </w:p>
    <w:p>
      <w:pPr>
        <w:spacing w:after="0" w:line="196" w:lineRule="exact"/>
        <w:rPr>
          <w:rFonts w:ascii="Times New Roman" w:cs="Times New Roman" w:eastAsia="Times New Roman" w:hAnsi="Times New Roman"/>
          <w:sz w:val="20"/>
          <w:szCs w:val="20"/>
          <w:color w:val="auto"/>
        </w:rPr>
      </w:pPr>
    </w:p>
    <w:p>
      <w:pPr>
        <w:jc w:val="both"/>
        <w:ind w:firstLine="641"/>
        <w:spacing w:after="0" w:line="254" w:lineRule="auto"/>
        <w:tabs>
          <w:tab w:leader="none" w:pos="127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Guaranty</w:t>
      </w:r>
      <w:r>
        <w:rPr>
          <w:rFonts w:ascii="Times New Roman" w:cs="Times New Roman" w:eastAsia="Times New Roman" w:hAnsi="Times New Roman"/>
          <w:sz w:val="20"/>
          <w:szCs w:val="20"/>
          <w:color w:val="auto"/>
        </w:rPr>
        <w:t>. Until the Survival Period End Date, the Seller shall not replace the Guaranty or the Guarantor without the Buyer’s prior written consent (such consent not to be unreasonably withheld, conditioned, or delayed), unless the following conditions are satisfied, in which case the consent of the Buyer shall not be required and the replacement guarantor shall be the successor to the Guarantor that it has replaced hereunder:</w:t>
      </w:r>
    </w:p>
    <w:p>
      <w:pPr>
        <w:spacing w:after="0" w:line="175" w:lineRule="exact"/>
        <w:rPr>
          <w:sz w:val="20"/>
          <w:szCs w:val="20"/>
          <w:color w:val="auto"/>
        </w:rPr>
      </w:pPr>
    </w:p>
    <w:p>
      <w:pPr>
        <w:ind w:left="1920" w:hanging="638"/>
        <w:spacing w:after="0"/>
        <w:tabs>
          <w:tab w:leader="none" w:pos="19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replacement guarantor either (i) has a rating not less than “BBB” from S&amp;P or “Baa2” from Moody’s or</w:t>
      </w:r>
    </w:p>
    <w:p>
      <w:pPr>
        <w:spacing w:after="0" w:line="42" w:lineRule="exact"/>
        <w:rPr>
          <w:rFonts w:ascii="Times New Roman" w:cs="Times New Roman" w:eastAsia="Times New Roman" w:hAnsi="Times New Roman"/>
          <w:sz w:val="18"/>
          <w:szCs w:val="18"/>
          <w:color w:val="auto"/>
        </w:rPr>
      </w:pPr>
    </w:p>
    <w:p>
      <w:pPr>
        <w:ind w:left="940" w:hanging="291"/>
        <w:spacing w:after="0"/>
        <w:tabs>
          <w:tab w:leader="none" w:pos="9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tangible net worth of at least five hundred million dollars ($500,000,000), calculated based on the most recent annual</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audited or quarterly unaudited financial statements of such replacement guarantor;</w:t>
      </w:r>
    </w:p>
    <w:p>
      <w:pPr>
        <w:spacing w:after="0" w:line="197" w:lineRule="exact"/>
        <w:rPr>
          <w:sz w:val="20"/>
          <w:szCs w:val="20"/>
          <w:color w:val="auto"/>
        </w:rPr>
      </w:pPr>
    </w:p>
    <w:p>
      <w:pPr>
        <w:ind w:left="640" w:firstLine="642"/>
        <w:spacing w:after="0" w:line="262" w:lineRule="auto"/>
        <w:tabs>
          <w:tab w:leader="none" w:pos="192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replacement guarantor becomes a party to the existing Guaranty or delivers a replacement guaranty (i) in the same form as such Guaranty or (ii) in such other form and on such other terms satisfactory to the Buyer;</w:t>
      </w:r>
    </w:p>
    <w:p>
      <w:pPr>
        <w:spacing w:after="0" w:line="179" w:lineRule="exact"/>
        <w:rPr>
          <w:rFonts w:ascii="Times New Roman" w:cs="Times New Roman" w:eastAsia="Times New Roman" w:hAnsi="Times New Roman"/>
          <w:sz w:val="20"/>
          <w:szCs w:val="20"/>
          <w:color w:val="auto"/>
        </w:rPr>
      </w:pPr>
    </w:p>
    <w:p>
      <w:pPr>
        <w:jc w:val="both"/>
        <w:ind w:left="640" w:firstLine="642"/>
        <w:spacing w:after="0" w:line="256" w:lineRule="auto"/>
        <w:tabs>
          <w:tab w:leader="none" w:pos="192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has received at least ten Business Days’ prior notice of such replacement and all documentation and information requested by the Buyer to comply with the requirements of the USA PATRIOT Act of 2001 and all applicable “know your customer” rules and regulations and Anti-Corruption Laws;</w:t>
      </w:r>
    </w:p>
    <w:p>
      <w:pPr>
        <w:spacing w:after="0" w:line="172" w:lineRule="exact"/>
        <w:rPr>
          <w:rFonts w:ascii="Times New Roman" w:cs="Times New Roman" w:eastAsia="Times New Roman" w:hAnsi="Times New Roman"/>
          <w:sz w:val="20"/>
          <w:szCs w:val="20"/>
          <w:color w:val="auto"/>
        </w:rPr>
      </w:pPr>
    </w:p>
    <w:p>
      <w:pPr>
        <w:ind w:left="640" w:firstLine="642"/>
        <w:spacing w:after="0" w:line="262" w:lineRule="auto"/>
        <w:tabs>
          <w:tab w:leader="none" w:pos="191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replacement guarantor is an Affiliate of the Seller, and the Buyer shall have received evidence reasonably satisfactory to it showing the relationship between the Seller and such replacement guarantor; and</w:t>
      </w:r>
    </w:p>
    <w:p>
      <w:pPr>
        <w:spacing w:after="0" w:line="165" w:lineRule="exact"/>
        <w:rPr>
          <w:rFonts w:ascii="Times New Roman" w:cs="Times New Roman" w:eastAsia="Times New Roman" w:hAnsi="Times New Roman"/>
          <w:sz w:val="20"/>
          <w:szCs w:val="20"/>
          <w:color w:val="auto"/>
        </w:rPr>
      </w:pPr>
    </w:p>
    <w:p>
      <w:pPr>
        <w:jc w:val="both"/>
        <w:ind w:left="640" w:firstLine="642"/>
        <w:spacing w:after="0" w:line="254" w:lineRule="auto"/>
        <w:tabs>
          <w:tab w:leader="none" w:pos="191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replacement guarantor provides a legal opinion in form and substance reasonably satisfactory to the Buyer covering enforceability of the replacement guaranty and certain related New York law matters substantially similar to the opinion letter delivered pursuant to clause (5)(a) of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and covering certain corporate matters substantially similar to the opinion letter delivered pursuant to clause (5b) or (5c), as applicable, of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960" w:firstLine="630"/>
        <w:spacing w:after="0" w:line="250" w:lineRule="auto"/>
        <w:tabs>
          <w:tab w:leader="none" w:pos="2575"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Trigger</w:t>
      </w:r>
      <w:r>
        <w:rPr>
          <w:rFonts w:ascii="Times New Roman" w:cs="Times New Roman" w:eastAsia="Times New Roman" w:hAnsi="Times New Roman"/>
          <w:sz w:val="20"/>
          <w:szCs w:val="20"/>
          <w:color w:val="auto"/>
        </w:rPr>
        <w:t>. If a Credit Trigger (as defined in the Guaranty) has occurred, the Seller will within twenty days provide a Replacement Guaranty or collateral security to Buyer in the form of cash or a letter of credit (from a financial institution rated at least “A3” from Moody’s and “A-” from S&amp;P and in form and substance reasonably acceptable to Buyer). Such collateral security shall be in an amount equal to 110% of the Purchase Price (provided that the Purchase Price, for purposes of such calculation, shall be reduced by 20% upon the expiration of the statute of limitations (including extensions) for assessment and collection of tax by</w:t>
      </w:r>
    </w:p>
    <w:p>
      <w:pPr>
        <w:sectPr>
          <w:pgSz w:w="11900" w:h="16838" w:orient="portrait"/>
          <w:cols w:equalWidth="0" w:num="1">
            <w:col w:w="10560"/>
          </w:cols>
          <w:pgMar w:left="960" w:top="1012" w:right="379" w:bottom="1440" w:gutter="0" w:footer="0" w:header="0"/>
        </w:sectPr>
      </w:pPr>
    </w:p>
    <w:bookmarkStart w:id="204" w:name="page205"/>
    <w:bookmarkEnd w:id="204"/>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 xml:space="preserve">the IRS with respect to tax returns filed by the Buyer for the first year of the Recapture Period, and then by an additional 20% each annual anniversary thereafter). The Parties agree that, upon a breach of this </w:t>
      </w:r>
      <w:r>
        <w:rPr>
          <w:rFonts w:ascii="Times New Roman" w:cs="Times New Roman" w:eastAsia="Times New Roman" w:hAnsi="Times New Roman"/>
          <w:sz w:val="20"/>
          <w:szCs w:val="20"/>
          <w:u w:val="single" w:color="auto"/>
          <w:color w:val="auto"/>
        </w:rPr>
        <w:t>Section 5(b)(xiv)</w:t>
      </w:r>
      <w:r>
        <w:rPr>
          <w:rFonts w:ascii="Times New Roman" w:cs="Times New Roman" w:eastAsia="Times New Roman" w:hAnsi="Times New Roman"/>
          <w:sz w:val="20"/>
          <w:szCs w:val="20"/>
          <w:color w:val="auto"/>
        </w:rPr>
        <w:t xml:space="preserve"> by the Seller, the remedies at law of Buyer for such breach shall not be a sufficient remedy, that such breach would cause irreparable harm to Buyer, and that Buyer shall be entitled to specific performance of the obligation set forth in this </w:t>
      </w:r>
      <w:r>
        <w:rPr>
          <w:rFonts w:ascii="Times New Roman" w:cs="Times New Roman" w:eastAsia="Times New Roman" w:hAnsi="Times New Roman"/>
          <w:sz w:val="20"/>
          <w:szCs w:val="20"/>
          <w:u w:val="single" w:color="auto"/>
          <w:color w:val="auto"/>
        </w:rPr>
        <w:t>Section 5(b)(xiv)</w:t>
      </w:r>
      <w:r>
        <w:rPr>
          <w:rFonts w:ascii="Times New Roman" w:cs="Times New Roman" w:eastAsia="Times New Roman" w:hAnsi="Times New Roman"/>
          <w:sz w:val="20"/>
          <w:szCs w:val="20"/>
          <w:color w:val="auto"/>
        </w:rPr>
        <w:t xml:space="preserve"> to provide collateral security to Buyer, without the necessity of proving the inadequacy of money damages as a remedy, in addition to any other remedy at law or in equity. The Seller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 w:cs="Times New Roman" w:eastAsia="Times New Roman" w:hAnsi="Times New Roman"/>
          <w:sz w:val="20"/>
          <w:szCs w:val="20"/>
          <w:u w:val="single" w:color="auto"/>
          <w:color w:val="auto"/>
        </w:rPr>
        <w:t>Section 5(b)(xiv)</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480" w:firstLine="630"/>
        <w:spacing w:after="0" w:line="250" w:lineRule="auto"/>
        <w:tabs>
          <w:tab w:leader="none" w:pos="1452"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Generally</w:t>
      </w:r>
      <w:r>
        <w:rPr>
          <w:rFonts w:ascii="Times New Roman" w:cs="Times New Roman" w:eastAsia="Times New Roman" w:hAnsi="Times New Roman"/>
          <w:sz w:val="20"/>
          <w:szCs w:val="20"/>
          <w:color w:val="auto"/>
        </w:rPr>
        <w:t xml:space="preserve">. Until the Survival Period End Date and upon the reasonable request of the Buyer, the Seller shall provide the Buyer, within a reasonable time (not to exceed ten Business Days) after such request, with such additional information material to the operation of the Facility (other than any such information relating to the design of the Facility) as requested by the Buyer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information is reasonably available to the Seller and the provision thereof to the Buyer would not result in a material burden to the Seller.</w:t>
      </w:r>
    </w:p>
    <w:p>
      <w:pPr>
        <w:spacing w:after="0" w:line="191" w:lineRule="exact"/>
        <w:rPr>
          <w:rFonts w:ascii="Times New Roman" w:cs="Times New Roman" w:eastAsia="Times New Roman" w:hAnsi="Times New Roman"/>
          <w:sz w:val="20"/>
          <w:szCs w:val="20"/>
          <w:color w:val="auto"/>
        </w:rPr>
      </w:pPr>
    </w:p>
    <w:p>
      <w:pPr>
        <w:jc w:val="both"/>
        <w:ind w:left="480" w:firstLine="630"/>
        <w:spacing w:after="0" w:line="247" w:lineRule="auto"/>
        <w:tabs>
          <w:tab w:leader="none" w:pos="209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Seller shall not use the proceeds of the Purchase Price: (A) in furtherance of an offer, payment, promise to pay, or authorization of the payment or giving of money, or anything else of value, to any Person in violation of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U.S.; or (C) in any manner that would result in the violation of any Sanctions applicable to the Seller or any Seller Party.</w:t>
      </w:r>
    </w:p>
    <w:p>
      <w:pPr>
        <w:spacing w:after="0" w:line="196" w:lineRule="exact"/>
        <w:rPr>
          <w:rFonts w:ascii="Times New Roman" w:cs="Times New Roman" w:eastAsia="Times New Roman" w:hAnsi="Times New Roman"/>
          <w:sz w:val="20"/>
          <w:szCs w:val="20"/>
          <w:color w:val="auto"/>
        </w:rPr>
      </w:pPr>
    </w:p>
    <w:p>
      <w:pPr>
        <w:jc w:val="both"/>
        <w:ind w:left="480" w:firstLine="630"/>
        <w:spacing w:after="0" w:line="246" w:lineRule="auto"/>
        <w:tabs>
          <w:tab w:leader="none" w:pos="2082"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Condemnation Events and Casualty Events</w:t>
      </w:r>
      <w:r>
        <w:rPr>
          <w:rFonts w:ascii="Times New Roman" w:cs="Times New Roman" w:eastAsia="Times New Roman" w:hAnsi="Times New Roman"/>
          <w:sz w:val="20"/>
          <w:szCs w:val="20"/>
          <w:color w:val="auto"/>
        </w:rPr>
        <w:t xml:space="preserve">. During the Recapture Period, if a Condemnation Event shall be threatened in writing or occur, or a Casualty Event shall occur with respect to any material portion of the Facility or the Facility Site, the Seller shall cause the Seller Parties to (A) promptly upon discovery or receipt of notice of any such threat or occurrence provide written notice thereof to the Buyer; (B) diligently pursue all of its rights to compensation against the relevant Governmental Authority or insurer in respect of such event; (C) not, without the written consent of the Buyer, compromise or settle any claim against such Governmental Authority or insurer; and (D) except to the extent restricted or otherwise governed by the terms of any Permitted Indebtedness, not distribute any eminent domain or insurance proceeds unless and until all amounts payable to Buyer hereunder resulting or reasonably likely to result from such event have been paid to the Buyer (or reserved in an escrow account for the benefit of the Buyer in an amount and subject to release conditions acceptable to the Buyer in its sole discretion); provided, however, that this </w:t>
      </w:r>
      <w:r>
        <w:rPr>
          <w:rFonts w:ascii="Times New Roman" w:cs="Times New Roman" w:eastAsia="Times New Roman" w:hAnsi="Times New Roman"/>
          <w:sz w:val="20"/>
          <w:szCs w:val="20"/>
          <w:u w:val="single" w:color="auto"/>
          <w:color w:val="auto"/>
        </w:rPr>
        <w:t>clause (xvii)</w:t>
      </w:r>
      <w:r>
        <w:rPr>
          <w:rFonts w:ascii="Times New Roman" w:cs="Times New Roman" w:eastAsia="Times New Roman" w:hAnsi="Times New Roman"/>
          <w:sz w:val="20"/>
          <w:szCs w:val="20"/>
          <w:color w:val="auto"/>
        </w:rPr>
        <w:t xml:space="preserve"> shall not prohibit any such action (or inaction) to the extent that it results in a Tax Credit Loss that is fully insured, and for which Buyer is made whole, pursuant to the Tax Insurance Policy.</w:t>
      </w:r>
    </w:p>
    <w:p>
      <w:pPr>
        <w:spacing w:after="0" w:line="190" w:lineRule="exact"/>
        <w:rPr>
          <w:rFonts w:ascii="Times New Roman" w:cs="Times New Roman" w:eastAsia="Times New Roman" w:hAnsi="Times New Roman"/>
          <w:sz w:val="20"/>
          <w:szCs w:val="20"/>
          <w:color w:val="auto"/>
        </w:rPr>
      </w:pPr>
    </w:p>
    <w:p>
      <w:pPr>
        <w:jc w:val="both"/>
        <w:ind w:left="480" w:firstLine="630"/>
        <w:spacing w:after="0" w:line="256" w:lineRule="auto"/>
        <w:tabs>
          <w:tab w:leader="none" w:pos="2083"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w:t>
      </w:r>
      <w:r>
        <w:rPr>
          <w:rFonts w:ascii="Times New Roman" w:cs="Times New Roman" w:eastAsia="Times New Roman" w:hAnsi="Times New Roman"/>
          <w:sz w:val="20"/>
          <w:szCs w:val="20"/>
          <w:color w:val="auto"/>
        </w:rPr>
        <w:t>. The Seller shall (A) maintain and preserve its existence as a limited liability company, in its respective jurisdiction of organization and all material rights, privileges and franchises necessary or desirable in the normal</w:t>
      </w:r>
    </w:p>
    <w:p>
      <w:pPr>
        <w:sectPr>
          <w:pgSz w:w="11900" w:h="16838" w:orient="portrait"/>
          <w:cols w:equalWidth="0" w:num="1">
            <w:col w:w="10080"/>
          </w:cols>
          <w:pgMar w:left="1440" w:top="1012" w:right="379" w:bottom="1440" w:gutter="0" w:footer="0" w:header="0"/>
        </w:sectPr>
      </w:pPr>
    </w:p>
    <w:bookmarkStart w:id="205" w:name="page206"/>
    <w:bookmarkEnd w:id="205"/>
    <w:p>
      <w:pPr>
        <w:jc w:val="both"/>
        <w:ind w:left="652"/>
        <w:spacing w:after="0" w:line="249" w:lineRule="auto"/>
        <w:rPr>
          <w:sz w:val="20"/>
          <w:szCs w:val="20"/>
          <w:color w:val="auto"/>
        </w:rPr>
      </w:pPr>
      <w:r>
        <w:rPr>
          <w:rFonts w:ascii="Times New Roman" w:cs="Times New Roman" w:eastAsia="Times New Roman" w:hAnsi="Times New Roman"/>
          <w:sz w:val="20"/>
          <w:szCs w:val="20"/>
          <w:color w:val="auto"/>
        </w:rPr>
        <w:t xml:space="preserve">conduct of its business; (B) perform all of their material contractual obligations under the Material Project Documents and all other material agreements and contracts by which each is bound; (C) maintain its properties and assets in good repair and working order and condition in accordance with prudent industry practices; and (D) maintain in full force and effect all Required Governmental Approvals and any other material Governmental Approvals that are necessary and advisable to conduct its business and to own, insure, operate and maintain the Facility in the manner contemplated by the Material Project Documents, in each case except to the extent that the failure to comply with the foregoing that would not reasonably be expected to cause a recapture of the Transferred Tax Credits or cause Project to be considered to have been taken out of service for federal income tax purposes; provided, however, that this </w:t>
      </w:r>
      <w:r>
        <w:rPr>
          <w:rFonts w:ascii="Times New Roman" w:cs="Times New Roman" w:eastAsia="Times New Roman" w:hAnsi="Times New Roman"/>
          <w:sz w:val="20"/>
          <w:szCs w:val="20"/>
          <w:u w:val="single" w:color="auto"/>
          <w:color w:val="auto"/>
        </w:rPr>
        <w:t>clause (xviii)</w:t>
      </w:r>
      <w:r>
        <w:rPr>
          <w:rFonts w:ascii="Times New Roman" w:cs="Times New Roman" w:eastAsia="Times New Roman" w:hAnsi="Times New Roman"/>
          <w:sz w:val="20"/>
          <w:szCs w:val="20"/>
          <w:color w:val="auto"/>
        </w:rPr>
        <w:t xml:space="preserve"> shall not prohibit any such action (or inaction) to the extent that it results in a Tax Credit Loss that is fully insured, and for which Buyer is made whole, pursuant to the Tax Insurance Policy.</w:t>
      </w:r>
    </w:p>
    <w:p>
      <w:pPr>
        <w:spacing w:after="0" w:line="179" w:lineRule="exact"/>
        <w:rPr>
          <w:sz w:val="20"/>
          <w:szCs w:val="20"/>
          <w:color w:val="auto"/>
        </w:rPr>
      </w:pPr>
    </w:p>
    <w:p>
      <w:pPr>
        <w:jc w:val="both"/>
        <w:ind w:left="652" w:firstLine="630"/>
        <w:spacing w:after="0" w:line="283" w:lineRule="auto"/>
        <w:tabs>
          <w:tab w:leader="none" w:pos="226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Insurance Policy</w:t>
      </w:r>
      <w:r>
        <w:rPr>
          <w:rFonts w:ascii="Times New Roman" w:cs="Times New Roman" w:eastAsia="Times New Roman" w:hAnsi="Times New Roman"/>
          <w:sz w:val="18"/>
          <w:szCs w:val="18"/>
          <w:color w:val="auto"/>
        </w:rPr>
        <w:t>. The Seller shall cause the Seller Parties to (A) promptly notify the Buyer of any correspondence received from the insurer under the Tax Insurance Policy, (B) use best efforts to assist the Buyer in its efforts to comply with the terms and conditions of the Tax Insurance Policy, and (C) not take any action, or fail to take any action, that could cause any loss of coverage thereunder to the Buyer or any Insured (as defined in the Tax Insurance Policy). The Seller shall pay (or cause to be paid) all premiums, fees, expenses and other amounts payable under the Tax Insurance Policy at least five Business Days before the same are due and shall provide written notice to the Buyer thereof.</w:t>
      </w:r>
    </w:p>
    <w:p>
      <w:pPr>
        <w:spacing w:after="0" w:line="151" w:lineRule="exact"/>
        <w:rPr>
          <w:rFonts w:ascii="Times New Roman" w:cs="Times New Roman" w:eastAsia="Times New Roman" w:hAnsi="Times New Roman"/>
          <w:sz w:val="18"/>
          <w:szCs w:val="18"/>
          <w:color w:val="auto"/>
        </w:rPr>
      </w:pPr>
    </w:p>
    <w:p>
      <w:pPr>
        <w:ind w:left="-628" w:right="140" w:firstLine="628"/>
        <w:spacing w:after="0" w:line="277" w:lineRule="auto"/>
        <w:tabs>
          <w:tab w:leader="none" w:pos="34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Election</w:t>
      </w:r>
      <w:r>
        <w:rPr>
          <w:rFonts w:ascii="Times New Roman" w:cs="Times New Roman" w:eastAsia="Times New Roman" w:hAnsi="Times New Roman"/>
          <w:sz w:val="18"/>
          <w:szCs w:val="18"/>
          <w:color w:val="auto"/>
        </w:rPr>
        <w:t>. With respect to the Transferred Tax Credits, the Seller shall (i) file an election to transfer the Transferred Tax Credits to the Buyer not later than the due date (including extensions, and as such date may be extended by the IRS or Treasury) for the tax return of the Seller for the taxable year for which such Transferred Tax Credits are determined and otherwise in the time and manner required by the IRS or Treasury, Applicable Laws and this Agreement, consistent with current and future guidance issued under Section 6418 of the Code (a “</w:t>
      </w:r>
      <w:r>
        <w:rPr>
          <w:rFonts w:ascii="Times New Roman" w:cs="Times New Roman" w:eastAsia="Times New Roman" w:hAnsi="Times New Roman"/>
          <w:sz w:val="18"/>
          <w:szCs w:val="18"/>
          <w:b w:val="1"/>
          <w:bCs w:val="1"/>
          <w:i w:val="1"/>
          <w:iCs w:val="1"/>
          <w:color w:val="auto"/>
        </w:rPr>
        <w:t>Transfer Election</w:t>
      </w:r>
      <w:r>
        <w:rPr>
          <w:rFonts w:ascii="Times New Roman" w:cs="Times New Roman" w:eastAsia="Times New Roman" w:hAnsi="Times New Roman"/>
          <w:sz w:val="18"/>
          <w:szCs w:val="18"/>
          <w:color w:val="auto"/>
        </w:rPr>
        <w:t xml:space="preserve">”) and (ii) provide the Buyer with the relevant portions of the Transfer Election (with redactions solely of information that is not relevant to the Transfer Election if such redactions are deemed necessary or reasonably appropriate by the Seller) and verification from the Seller’s federal income tax return preparer that the Transfer Election was properly made and the Transferred Tax Credits were properly transferred to the Buyer in the amount described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Seller is unable to provide such verification, the Seller shall provide other evidence, reasonably satisfactory to the Buyer, that the Transfer Election was properly made and the Transferred Tax Credits were transferred to the Buyer. No later than seven (7) days after the Closing Date, the Seller shall deliver an executed Transfer Election Statement in substantially the form attached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(and otherwise consistent with, and including the information required by, Treasury Regulations Section 1.6418-2(b)(5) (or any updated, finalized, superseding or successor provision)) duly executed by or on behalf of the Seller.</w:t>
      </w:r>
    </w:p>
    <w:p>
      <w:pPr>
        <w:spacing w:after="0" w:line="392" w:lineRule="exact"/>
        <w:rPr>
          <w:rFonts w:ascii="Times New Roman" w:cs="Times New Roman" w:eastAsia="Times New Roman" w:hAnsi="Times New Roman"/>
          <w:sz w:val="18"/>
          <w:szCs w:val="18"/>
          <w:color w:val="auto"/>
        </w:rPr>
      </w:pPr>
    </w:p>
    <w:p>
      <w:pPr>
        <w:ind w:left="-628" w:right="40" w:firstLine="628"/>
        <w:spacing w:after="0" w:line="250" w:lineRule="auto"/>
        <w:tabs>
          <w:tab w:leader="none" w:pos="3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Subject to the terms and conditions of this Agreement, each Party shall use commercially reasonable efforts to take, or cause to be taken, all actions and to do, or cause to be done, all things necessary to consummate and make effective the Transactions. At any time, or from time to time after the Effective Date, each Party shall, at the other Party’s reasonable request, and at the Seller’s sole cost and expense, execute and deliver such instruments of transfer, conveyance, assignment and assumption, in addition to this Agreement, and take such other actions (including</w:t>
      </w:r>
    </w:p>
    <w:p>
      <w:pPr>
        <w:sectPr>
          <w:pgSz w:w="11900" w:h="16838" w:orient="portrait"/>
          <w:cols w:equalWidth="0" w:num="1">
            <w:col w:w="10252"/>
          </w:cols>
          <w:pgMar w:left="1268" w:top="1012" w:right="379" w:bottom="1440" w:gutter="0" w:footer="0" w:header="0"/>
        </w:sectPr>
      </w:pPr>
    </w:p>
    <w:bookmarkStart w:id="206" w:name="page207"/>
    <w:bookmarkEnd w:id="206"/>
    <w:p>
      <w:pPr>
        <w:ind w:left="100"/>
        <w:spacing w:after="0"/>
        <w:rPr>
          <w:sz w:val="20"/>
          <w:szCs w:val="20"/>
          <w:color w:val="auto"/>
        </w:rPr>
      </w:pPr>
      <w:r>
        <w:rPr>
          <w:rFonts w:ascii="Times New Roman" w:cs="Times New Roman" w:eastAsia="Times New Roman" w:hAnsi="Times New Roman"/>
          <w:sz w:val="20"/>
          <w:szCs w:val="20"/>
          <w:color w:val="auto"/>
        </w:rPr>
        <w:t>making regulatory or other filings) as any Party may reasonably request in order to further evidence and effectuate the Transactions.</w:t>
      </w:r>
    </w:p>
    <w:p>
      <w:pPr>
        <w:spacing w:after="0" w:line="2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u w:val="single" w:color="auto"/>
          <w:color w:val="auto"/>
        </w:rPr>
        <w:t>Section 6</w:t>
      </w:r>
      <w:r>
        <w:rPr>
          <w:sz w:val="20"/>
          <w:szCs w:val="20"/>
          <w:color w:val="auto"/>
        </w:rPr>
        <w:tab/>
      </w:r>
      <w:r>
        <w:rPr>
          <w:rFonts w:ascii="Times New Roman" w:cs="Times New Roman" w:eastAsia="Times New Roman" w:hAnsi="Times New Roman"/>
          <w:sz w:val="18"/>
          <w:szCs w:val="18"/>
          <w:b w:val="1"/>
          <w:bCs w:val="1"/>
          <w:u w:val="single" w:color="auto"/>
          <w:color w:val="auto"/>
        </w:rPr>
        <w:t>Seller Indemnification.</w:t>
      </w:r>
    </w:p>
    <w:p>
      <w:pPr>
        <w:spacing w:after="0" w:line="215" w:lineRule="exact"/>
        <w:rPr>
          <w:sz w:val="20"/>
          <w:szCs w:val="20"/>
          <w:color w:val="auto"/>
        </w:rPr>
      </w:pPr>
    </w:p>
    <w:p>
      <w:pPr>
        <w:jc w:val="both"/>
        <w:ind w:left="740" w:firstLine="629"/>
        <w:spacing w:after="0" w:line="246" w:lineRule="auto"/>
        <w:tabs>
          <w:tab w:leader="none" w:pos="171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Seller Indemnification</w:t>
      </w:r>
      <w:r>
        <w:rPr>
          <w:rFonts w:ascii="Times New Roman" w:cs="Times New Roman" w:eastAsia="Times New Roman" w:hAnsi="Times New Roman"/>
          <w:sz w:val="20"/>
          <w:szCs w:val="20"/>
          <w:color w:val="auto"/>
        </w:rPr>
        <w:t>. The Seller agrees to indemnify and make whole the Buyer and its Affiliates, officers, employees and agents (collectively, the “</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xml:space="preserve">”) against (i) any inability of the Buyer to claim, or any reduction, recapture, loss or disallowance of, all or any portion of the Transferred Tax Credits,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additions to tax, interest and penalties imposed on the Buyer Indemnified Parties in respect thereof (including any penalty under Section 6418(g)(2)(A) of the Code) and any legal or other expenses incurred in connection with any tax audit or tax controversy with respect to the Transferred Tax Credits, (ii) any other losses, claims, damages, liabilities and related expenses, including the reasonable fees, charges and disbursements of any counsel for any Buyer Indemnified Party, incurred by or asserted against any Buyer Indemnified Party arising out of, in connection with, or as a result of any breach of a representation, warranty or covenant of the Seller, and (iii) to the extent a Change in Tax Law Termination Event occurs after the Closing Date, any losses (including recapture, loss, disallowance, reduction, additions to tax, penalties or interest) incurred by the Buyer with respect to the Transferred Tax Credits as a result of such Change in Tax Law Termination Event (collectively, a “</w:t>
      </w:r>
      <w:r>
        <w:rPr>
          <w:rFonts w:ascii="Times New Roman" w:cs="Times New Roman" w:eastAsia="Times New Roman" w:hAnsi="Times New Roman"/>
          <w:sz w:val="20"/>
          <w:szCs w:val="20"/>
          <w:b w:val="1"/>
          <w:bCs w:val="1"/>
          <w:i w:val="1"/>
          <w:iCs w:val="1"/>
          <w:color w:val="auto"/>
        </w:rPr>
        <w:t>Tax Credit Loss</w:t>
      </w:r>
      <w:r>
        <w:rPr>
          <w:rFonts w:ascii="Times New Roman" w:cs="Times New Roman" w:eastAsia="Times New Roman" w:hAnsi="Times New Roman"/>
          <w:sz w:val="20"/>
          <w:szCs w:val="20"/>
          <w:color w:val="auto"/>
        </w:rPr>
        <w:t>”), other than any Tax Credit Loss that is solely attributable to (A) a breach by the Buyer of any representation, warranty or covenant contained herein, (B) the inability of the Buyer to utilize or otherwise benefit from the Transferred Tax Credits due to the Buyer having an insufficient tax liability in the year in respect of which the Transferred Tax Credits are transferred, (C) the failure by any Buyer Indemnified Party to properly claim any Transferred Tax Credits (unless such failure was attributable to information provided by the Seller, or otherwise results from acts or omissions of the Seller), (D) the Buyer making any election to change its taxable year for U.S. federal income tax purposes, or (E) the gross negligence, willful misconduct or fraud undertaken by any Buyer Indemnified Party. The Buyer further acknowledges and agrees that the Buyer’s sole recourse for any indemnification pursuant to or arising from this Agreement is to the Seller or, if applicable, to the Guarantor pursuant to the Guaranty, and not under any circumstance to the Project Company or any of Seller’s members, and the Buyer waives any claim it may have against the Project Company or any of the Seller’s other subsidiaries for any indemnification pursuant to or arising from or otherwise with respect to this Agreement and the transactions contemplated hereby.</w:t>
      </w:r>
    </w:p>
    <w:p>
      <w:pPr>
        <w:spacing w:after="0" w:line="184" w:lineRule="exact"/>
        <w:rPr>
          <w:rFonts w:ascii="Times New Roman" w:cs="Times New Roman" w:eastAsia="Times New Roman" w:hAnsi="Times New Roman"/>
          <w:sz w:val="20"/>
          <w:szCs w:val="20"/>
          <w:color w:val="auto"/>
        </w:rPr>
      </w:pPr>
    </w:p>
    <w:p>
      <w:pPr>
        <w:jc w:val="both"/>
        <w:ind w:left="740" w:firstLine="629"/>
        <w:spacing w:after="0" w:line="279" w:lineRule="auto"/>
        <w:tabs>
          <w:tab w:leader="none" w:pos="17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xml:space="preserve">. The Seller’s aggregate indemnity obligation to the Buyer Indemnified Parties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w:t>
      </w:r>
      <w:r>
        <w:rPr>
          <w:rFonts w:ascii="Times New Roman" w:cs="Times New Roman" w:eastAsia="Times New Roman" w:hAnsi="Times New Roman"/>
          <w:sz w:val="18"/>
          <w:szCs w:val="18"/>
          <w:color w:val="auto"/>
        </w:rPr>
        <w:t xml:space="preserve"> shall not exceed the sum of (i) an amount equal to 100% of the Transferred Tax Credits, (ii) additions to tax, interest and penalties imposed on, and including legal and other service costs incurred by the Buyer Indemnified Parties in connection with</w:t>
      </w:r>
    </w:p>
    <w:p>
      <w:pPr>
        <w:ind w:left="740"/>
        <w:spacing w:after="0"/>
        <w:rPr>
          <w:sz w:val="20"/>
          <w:szCs w:val="20"/>
          <w:color w:val="auto"/>
        </w:rPr>
      </w:pPr>
      <w:r>
        <w:rPr>
          <w:rFonts w:ascii="Times New Roman" w:cs="Times New Roman" w:eastAsia="Times New Roman" w:hAnsi="Times New Roman"/>
          <w:sz w:val="18"/>
          <w:szCs w:val="18"/>
          <w:color w:val="auto"/>
        </w:rPr>
        <w:t>any resulting underpayment or the excessive transfer of Transferred Tax Credits, including any penalty under Section 6418(g)(2)</w:t>
      </w:r>
    </w:p>
    <w:p>
      <w:pPr>
        <w:spacing w:after="0" w:line="28" w:lineRule="exact"/>
        <w:rPr>
          <w:sz w:val="20"/>
          <w:szCs w:val="20"/>
          <w:color w:val="auto"/>
        </w:rPr>
      </w:pPr>
    </w:p>
    <w:p>
      <w:pPr>
        <w:jc w:val="both"/>
        <w:ind w:left="740" w:hanging="4"/>
        <w:spacing w:after="0" w:line="246" w:lineRule="auto"/>
        <w:tabs>
          <w:tab w:leader="none" w:pos="1079"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Code, (iii) all costs incurred by each applicable Buyer Indemnified Party in connection with enforcing its rights and remedies hereunder or in defending itself from any IRS or other adverse action caused hereby, and (iv) any tax gross-up amount payable pursuant to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Indemnity Cap</w:t>
      </w:r>
      <w:r>
        <w:rPr>
          <w:rFonts w:ascii="Times New Roman" w:cs="Times New Roman" w:eastAsia="Times New Roman" w:hAnsi="Times New Roman"/>
          <w:sz w:val="20"/>
          <w:szCs w:val="20"/>
          <w:color w:val="auto"/>
        </w:rPr>
        <w:t>”), except the Indemnity Cap shall not apply to any claims of or attributable to the fraud, gross negligence or willful misconduct of the Seller or Affiliate of the Seller or to any third party claims. In no event shall the Seller have any liability under this Agreement for or in respect of any punitive, consequential, special, incidental, or exemplary damages or any nature, including damages for lost profits or revenues or the loss or use of such profits or revenues, damages to reputation, and damages for lost opportunities, in each case to the extent</w:t>
      </w:r>
    </w:p>
    <w:p>
      <w:pPr>
        <w:sectPr>
          <w:pgSz w:w="11900" w:h="16838" w:orient="portrait"/>
          <w:cols w:equalWidth="0" w:num="1">
            <w:col w:w="10980"/>
          </w:cols>
          <w:pgMar w:left="540" w:top="1012" w:right="379" w:bottom="1440" w:gutter="0" w:footer="0" w:header="0"/>
        </w:sectPr>
      </w:pPr>
    </w:p>
    <w:bookmarkStart w:id="207" w:name="page208"/>
    <w:bookmarkEnd w:id="207"/>
    <w:p>
      <w:pPr>
        <w:jc w:val="both"/>
        <w:ind w:left="4"/>
        <w:spacing w:after="0" w:line="248" w:lineRule="auto"/>
        <w:rPr>
          <w:sz w:val="20"/>
          <w:szCs w:val="20"/>
          <w:color w:val="auto"/>
        </w:rPr>
      </w:pPr>
      <w:r>
        <w:rPr>
          <w:rFonts w:ascii="Times New Roman" w:cs="Times New Roman" w:eastAsia="Times New Roman" w:hAnsi="Times New Roman"/>
          <w:sz w:val="20"/>
          <w:szCs w:val="20"/>
          <w:color w:val="auto"/>
        </w:rPr>
        <w:t xml:space="preserve">constituting consequential damages, regardless of whether such claim is based upon contract, warranty, tort (including negligence and strict liability) or other theory of law (but not any such damages to the extent required to be paid by a Buyer Indemnified Party pursuant to a judgment obtained by a third party against the Buyer for a claim for which the Seller is required to provide an indemnity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Tax Credit Loss for which the Seller is obligated to indemnify the Buyer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shall be recoverable as damages subject to the limitations described in the first sentence of this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 xml:space="preserve"> and shall not constitute excludable punitive, consequential, special, incidental or exemplary damages. Each Buyer Indemnified Party (other than the Buyer) shall be an express third-party beneficiary of this Agreement for purposes of enforcing its rights pursuant to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left="4" w:firstLine="629"/>
        <w:spacing w:after="0" w:line="247" w:lineRule="auto"/>
        <w:tabs>
          <w:tab w:leader="none" w:pos="97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After-Tax Basis</w:t>
      </w:r>
      <w:r>
        <w:rPr>
          <w:rFonts w:ascii="Times New Roman" w:cs="Times New Roman" w:eastAsia="Times New Roman" w:hAnsi="Times New Roman"/>
          <w:sz w:val="20"/>
          <w:szCs w:val="20"/>
          <w:color w:val="auto"/>
        </w:rPr>
        <w:t xml:space="preserve">. For tax reporting purposes and except as otherwise provided in this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each Party will treat and report indemnification payments paid under any of the provisions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as a nontaxable reimbursement or purchase price adjustment, as the case may be; provided, however, the Parties agree that (A) (i) the Buyer’s profit from the purchase of Tax Credits under this Agreement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if the Buyer paid $0.95 for $1.00 of Tax Credits, its profit would have been $0.05) related to such indemnification payment and (ii) penalties and interest imposed by the IRS related to such indemnification payment shall be grossed up for U.S. federal, state and local income taxes, using the highest marginal U.S. federal, state and local income tax rate applicable to corporations provided for in Section 11 of the Code (or such other Applicable Law with respect to state and local taxes) as of the date of the payment and (B) if Buyer delivers to the Seller an opinion of Mayer Brown LLP or another nationally recognized counsel reasonably agreed by the Parties that for U.S. federal, state or local income tax purposes such indemnity payment is “more likely than not” taxable income, then such indemnification payment shall be grossed up for such income taxes, using the highest marginal U.S. federal, state and local income tax rate applicable to corporations provided for in Section 11 of the Code (or such other Applicable Law with respect to state and local taxes) as of the date of the payment. In the event that any indemnification payment treated as a nontaxable reimbursement or Purchase Price adjustment is subsequently determined in a Final Determination to be includable as income of the recipient for U.S. federal, state or local income tax purposes, such indemnification payment shall also be grossed up for such taxes, using the highest marginal U.S. federal, state and local income tax rate applicable to corporations provided for in Section 11 of the Code (or such other Applicable Law with respect to state and local taxes) as of the date of the payment.</w:t>
      </w:r>
    </w:p>
    <w:p>
      <w:pPr>
        <w:spacing w:after="0" w:line="184" w:lineRule="exact"/>
        <w:rPr>
          <w:rFonts w:ascii="Times New Roman" w:cs="Times New Roman" w:eastAsia="Times New Roman" w:hAnsi="Times New Roman"/>
          <w:sz w:val="20"/>
          <w:szCs w:val="20"/>
          <w:color w:val="auto"/>
        </w:rPr>
      </w:pPr>
    </w:p>
    <w:p>
      <w:pPr>
        <w:jc w:val="both"/>
        <w:ind w:left="4" w:firstLine="629"/>
        <w:spacing w:after="0" w:line="276" w:lineRule="auto"/>
        <w:tabs>
          <w:tab w:leader="none" w:pos="97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xml:space="preserve">. The Buyer shall conduct the defense of any tax controversy relating to the Transferred Tax Credits except to the extent (i) the Seller has agreed in writing (subject to the Indemnity Cap) to indemnify the Buyer Indemnified Parties for any loss (including the loss of the Transferred Tax Credits,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additions to tax, interest and penalties imposed on the Buyer Indemnified Parties in respect thereof) arising as a result therefrom, (ii) the Seller has demonstrated to the reasonable satisfaction of the applicable Buyer Indemnified Party the wherewithal of the Opal Parties, to pay such indemnity, (iii) Buyer reasonably determines that Seller can conduct the defense of the tax controversy in its own name and not in Buyer’s name, and</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Buyer Indemnified Party does not affirmatively waive in writing its right to indemnification pursuant to </w:t>
      </w:r>
      <w:r>
        <w:rPr>
          <w:rFonts w:ascii="Times New Roman" w:cs="Times New Roman" w:eastAsia="Times New Roman" w:hAnsi="Times New Roman"/>
          <w:sz w:val="18"/>
          <w:szCs w:val="18"/>
          <w:u w:val="single" w:color="auto"/>
          <w:color w:val="auto"/>
        </w:rPr>
        <w:t>Section</w:t>
      </w:r>
    </w:p>
    <w:p>
      <w:pPr>
        <w:spacing w:after="0" w:line="28" w:lineRule="exact"/>
        <w:rPr>
          <w:rFonts w:ascii="Times New Roman" w:cs="Times New Roman" w:eastAsia="Times New Roman" w:hAnsi="Times New Roman"/>
          <w:sz w:val="18"/>
          <w:szCs w:val="18"/>
          <w:color w:val="auto"/>
        </w:rPr>
      </w:pPr>
    </w:p>
    <w:p>
      <w:pPr>
        <w:jc w:val="both"/>
        <w:ind w:left="4"/>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6(a)</w:t>
      </w:r>
      <w:r>
        <w:rPr>
          <w:rFonts w:ascii="Times New Roman" w:cs="Times New Roman" w:eastAsia="Times New Roman" w:hAnsi="Times New Roman"/>
          <w:sz w:val="20"/>
          <w:szCs w:val="20"/>
          <w:color w:val="auto"/>
        </w:rPr>
        <w:t xml:space="preserve"> with respect to such Transferred Tax Credits. If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in the preceding sentence are satisfied, then the Seller, or a representative of the Seller, will conduct the defense of the audit, and any subsequent contest of IRS claims for which the Seller would be obligated to indemnify the Buyer Indemnified Parties, at the Seller’s expense; provided, that the applicable Buyer Indemnified Party shall have the right to control the defense of such tax controversy if the Buyer affirmatively waives in writing its right to indemnification pursuant to </w:t>
      </w:r>
      <w:r>
        <w:rPr>
          <w:rFonts w:ascii="Times New Roman" w:cs="Times New Roman" w:eastAsia="Times New Roman" w:hAnsi="Times New Roman"/>
          <w:sz w:val="20"/>
          <w:szCs w:val="20"/>
          <w:u w:val="single" w:color="auto"/>
          <w:color w:val="auto"/>
        </w:rPr>
        <w:t>Section 6(a)</w:t>
      </w:r>
    </w:p>
    <w:p>
      <w:pPr>
        <w:sectPr>
          <w:pgSz w:w="11900" w:h="16838" w:orient="portrait"/>
          <w:cols w:equalWidth="0" w:num="1">
            <w:col w:w="10244"/>
          </w:cols>
          <w:pgMar w:left="1276" w:top="1012" w:right="379" w:bottom="1440" w:gutter="0" w:footer="0" w:header="0"/>
        </w:sectPr>
      </w:pPr>
    </w:p>
    <w:bookmarkStart w:id="208" w:name="page209"/>
    <w:bookmarkEnd w:id="208"/>
    <w:p>
      <w:pPr>
        <w:jc w:val="both"/>
        <w:ind w:left="320"/>
        <w:spacing w:after="0" w:line="277" w:lineRule="auto"/>
        <w:rPr>
          <w:sz w:val="20"/>
          <w:szCs w:val="20"/>
          <w:color w:val="auto"/>
        </w:rPr>
      </w:pPr>
      <w:r>
        <w:rPr>
          <w:rFonts w:ascii="Times New Roman" w:cs="Times New Roman" w:eastAsia="Times New Roman" w:hAnsi="Times New Roman"/>
          <w:sz w:val="18"/>
          <w:szCs w:val="18"/>
          <w:color w:val="auto"/>
        </w:rPr>
        <w:t xml:space="preserve">with respect to the applicable Transferred Tax Credits. In such an instance, the Seller shall keep the applicable Buyer Indemnified Party informed of any developments in such audit or contest to the extent relevant to the Transferred Tax Credits and allow the applicable Buyer Indemnified Party to participate in such audit or contest, at the expense of such Buyer Indemnified Party, and such Buyer Indemnified Party shall cooperate with the Seller in connection with such audit or contest. In the event that the Buyer conducts the defense of any tax controversy relating to the Transferred Tax Credits in accordance with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(1) the Seller shall cooperate with the Buyer in connection with such tax controversy and (2) Buyer shall not settle, compromise, abandon or appeal such tax controversy without the Seller’s consent (such consent not to be unreasonably withheld, conditioned or delayed); provided that in no event shall Buyer be required to pursue any judicial remedy (or otherwise pursue any remedy other than federal administrative remedies) in connection with such tax controversy. In connection with any such tax controversy or defense or contest thereof, for any matter that is not related to the Transferred Tax Credits, (y) no Buyer Indemnified Party shall have any right to participate in or control any audit or controversy that is between the IRS and the Seller (or any Affiliate of the Seller) and to which such Buyer Indemnified Party is not a party, and shall have no consent rights over any such audits, settlements, or controversies and (z) the Seller shall have no right to participate in or control any audit or controversy that is between the IRS and the Buyer (or any Buyer Indemnified Party) and to which the Seller or any Affiliate of the Seller is not a party, and shall have no consent rights over any such audits, settlements, or controversies.</w:t>
      </w:r>
    </w:p>
    <w:p>
      <w:pPr>
        <w:spacing w:after="0" w:line="396" w:lineRule="exact"/>
        <w:rPr>
          <w:sz w:val="20"/>
          <w:szCs w:val="20"/>
          <w:color w:val="auto"/>
        </w:rPr>
      </w:pPr>
    </w:p>
    <w:p>
      <w:pPr>
        <w:jc w:val="both"/>
        <w:ind w:left="320" w:firstLine="629"/>
        <w:spacing w:after="0" w:line="256" w:lineRule="auto"/>
        <w:tabs>
          <w:tab w:leader="none" w:pos="129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Representations and Warranties of the Seller</w:t>
      </w:r>
      <w:r>
        <w:rPr>
          <w:rFonts w:ascii="Times New Roman" w:cs="Times New Roman" w:eastAsia="Times New Roman" w:hAnsi="Times New Roman"/>
          <w:sz w:val="20"/>
          <w:szCs w:val="20"/>
          <w:color w:val="auto"/>
        </w:rPr>
        <w:t xml:space="preserve">. Without limiting the Seller’s indemnification obligations set forth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all claims of the Buyer for breaches of any representation or warranty of the Seller must be made within 18 months after the Payment Date, other than any of the following claims:</w:t>
      </w:r>
    </w:p>
    <w:p>
      <w:pPr>
        <w:spacing w:after="0" w:line="172" w:lineRule="exact"/>
        <w:rPr>
          <w:rFonts w:ascii="Times New Roman" w:cs="Times New Roman" w:eastAsia="Times New Roman" w:hAnsi="Times New Roman"/>
          <w:sz w:val="20"/>
          <w:szCs w:val="20"/>
          <w:color w:val="auto"/>
        </w:rPr>
      </w:pPr>
    </w:p>
    <w:p>
      <w:pPr>
        <w:ind w:left="860" w:firstLine="636"/>
        <w:spacing w:after="0" w:line="251" w:lineRule="auto"/>
        <w:tabs>
          <w:tab w:leader="none" w:pos="1918"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for breaches of the representations and warranties of the Seller set forth in </w:t>
      </w:r>
      <w:r>
        <w:rPr>
          <w:rFonts w:ascii="Times New Roman" w:cs="Times New Roman" w:eastAsia="Times New Roman" w:hAnsi="Times New Roman"/>
          <w:sz w:val="20"/>
          <w:szCs w:val="20"/>
          <w:u w:val="single" w:color="auto"/>
          <w:color w:val="auto"/>
        </w:rPr>
        <w:t>Section 4(a)(i)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Organization and Authority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Authorization and Execution</w:t>
      </w:r>
      <w:r>
        <w:rPr>
          <w:rFonts w:ascii="Times New Roman" w:cs="Times New Roman" w:eastAsia="Times New Roman" w:hAnsi="Times New Roman"/>
          <w:sz w:val="20"/>
          <w:szCs w:val="20"/>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 Violation</w:t>
      </w:r>
      <w:r>
        <w:rPr>
          <w:rFonts w:ascii="Times New Roman" w:cs="Times New Roman" w:eastAsia="Times New Roman" w:hAnsi="Times New Roman"/>
          <w:sz w:val="20"/>
          <w:szCs w:val="20"/>
          <w:color w:val="auto"/>
        </w:rPr>
        <w:t>) shall survive indefinitely; and</w:t>
      </w:r>
    </w:p>
    <w:p>
      <w:pPr>
        <w:spacing w:after="0" w:line="197" w:lineRule="exact"/>
        <w:rPr>
          <w:sz w:val="20"/>
          <w:szCs w:val="20"/>
          <w:color w:val="auto"/>
        </w:rPr>
      </w:pPr>
    </w:p>
    <w:p>
      <w:pPr>
        <w:ind w:left="1920" w:hanging="424"/>
        <w:spacing w:after="0"/>
        <w:tabs>
          <w:tab w:leader="none" w:pos="192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breaches of the Specified Tax Representations shall survive until the Survival Period End Date.</w:t>
      </w:r>
    </w:p>
    <w:p>
      <w:pPr>
        <w:spacing w:after="0" w:line="210" w:lineRule="exact"/>
        <w:rPr>
          <w:rFonts w:ascii="Times New Roman" w:cs="Times New Roman" w:eastAsia="Times New Roman" w:hAnsi="Times New Roman"/>
          <w:sz w:val="20"/>
          <w:szCs w:val="20"/>
          <w:color w:val="auto"/>
        </w:rPr>
      </w:pPr>
    </w:p>
    <w:p>
      <w:pPr>
        <w:ind w:left="320" w:firstLine="629"/>
        <w:spacing w:after="0" w:line="276" w:lineRule="auto"/>
        <w:tabs>
          <w:tab w:leader="none" w:pos="1282"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Representations and Warranties of the Buyer</w:t>
      </w:r>
      <w:r>
        <w:rPr>
          <w:rFonts w:ascii="Times New Roman" w:cs="Times New Roman" w:eastAsia="Times New Roman" w:hAnsi="Times New Roman"/>
          <w:sz w:val="20"/>
          <w:szCs w:val="20"/>
          <w:color w:val="auto"/>
        </w:rPr>
        <w:t>. All claims of the Seller for breaches of any representation or warranty of the Buyer must be made within 18 months after the Payment Date, other than any of the following claims:</w:t>
      </w:r>
    </w:p>
    <w:p>
      <w:pPr>
        <w:spacing w:after="0" w:line="152" w:lineRule="exact"/>
        <w:rPr>
          <w:rFonts w:ascii="Times New Roman" w:cs="Times New Roman" w:eastAsia="Times New Roman" w:hAnsi="Times New Roman"/>
          <w:sz w:val="20"/>
          <w:szCs w:val="20"/>
          <w:color w:val="auto"/>
        </w:rPr>
      </w:pPr>
    </w:p>
    <w:p>
      <w:pPr>
        <w:jc w:val="both"/>
        <w:ind w:left="860" w:firstLine="636"/>
        <w:spacing w:after="0" w:line="256" w:lineRule="auto"/>
        <w:tabs>
          <w:tab w:leader="none" w:pos="1918"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for breaches of the representations and warranties of the Buyer set forth in </w:t>
      </w:r>
      <w:r>
        <w:rPr>
          <w:rFonts w:ascii="Times New Roman" w:cs="Times New Roman" w:eastAsia="Times New Roman" w:hAnsi="Times New Roman"/>
          <w:sz w:val="20"/>
          <w:szCs w:val="20"/>
          <w:u w:val="single" w:color="auto"/>
          <w:color w:val="auto"/>
        </w:rPr>
        <w:t>Section 4(a)(i)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Organization and Authority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Authorization and Execution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 Violation</w:t>
      </w:r>
      <w:r>
        <w:rPr>
          <w:rFonts w:ascii="Times New Roman" w:cs="Times New Roman" w:eastAsia="Times New Roman" w:hAnsi="Times New Roman"/>
          <w:sz w:val="20"/>
          <w:szCs w:val="20"/>
          <w:color w:val="auto"/>
        </w:rPr>
        <w:t>) shall survive indefinitely; and</w:t>
      </w:r>
    </w:p>
    <w:p>
      <w:pPr>
        <w:spacing w:after="0" w:line="170" w:lineRule="exact"/>
        <w:rPr>
          <w:sz w:val="20"/>
          <w:szCs w:val="20"/>
          <w:color w:val="auto"/>
        </w:rPr>
      </w:pPr>
    </w:p>
    <w:p>
      <w:pPr>
        <w:jc w:val="both"/>
        <w:ind w:left="860" w:firstLine="636"/>
        <w:spacing w:after="0" w:line="257" w:lineRule="auto"/>
        <w:tabs>
          <w:tab w:leader="none" w:pos="1919"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for breaches of the representations and warranties of the Buyer set forth in </w:t>
      </w:r>
      <w:r>
        <w:rPr>
          <w:rFonts w:ascii="Times New Roman" w:cs="Times New Roman" w:eastAsia="Times New Roman" w:hAnsi="Times New Roman"/>
          <w:sz w:val="20"/>
          <w:szCs w:val="20"/>
          <w:u w:val="single" w:color="auto"/>
          <w:color w:val="auto"/>
        </w:rPr>
        <w:t>Section 4(a)(vii)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Related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Party</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Item (1)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survive until the date that is six months after the applicable statute of limitations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expires on any IRS audit for the applicable tax year of the Seller.</w:t>
      </w:r>
    </w:p>
    <w:p>
      <w:pPr>
        <w:spacing w:after="0" w:line="171" w:lineRule="exact"/>
        <w:rPr>
          <w:rFonts w:ascii="Times New Roman" w:cs="Times New Roman" w:eastAsia="Times New Roman" w:hAnsi="Times New Roman"/>
          <w:sz w:val="20"/>
          <w:szCs w:val="20"/>
          <w:color w:val="auto"/>
        </w:rPr>
      </w:pPr>
    </w:p>
    <w:p>
      <w:pPr>
        <w:ind w:left="320" w:firstLine="629"/>
        <w:spacing w:after="0" w:line="276" w:lineRule="auto"/>
        <w:tabs>
          <w:tab w:leader="none" w:pos="128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Claims</w:t>
      </w:r>
      <w:r>
        <w:rPr>
          <w:rFonts w:ascii="Times New Roman" w:cs="Times New Roman" w:eastAsia="Times New Roman" w:hAnsi="Times New Roman"/>
          <w:sz w:val="20"/>
          <w:szCs w:val="20"/>
          <w:color w:val="auto"/>
        </w:rPr>
        <w:t>. If written notice of a claim for indemnification is given by the Buyer prior to the last day of the applicable survival period (as determined pursuant to</w:t>
      </w:r>
    </w:p>
    <w:p>
      <w:pPr>
        <w:sectPr>
          <w:pgSz w:w="11900" w:h="16838" w:orient="portrait"/>
          <w:cols w:equalWidth="0" w:num="1">
            <w:col w:w="10560"/>
          </w:cols>
          <w:pgMar w:left="960" w:top="1012" w:right="379" w:bottom="1440" w:gutter="0" w:footer="0" w:header="0"/>
        </w:sectPr>
      </w:pPr>
    </w:p>
    <w:bookmarkStart w:id="209" w:name="page210"/>
    <w:bookmarkEnd w:id="209"/>
    <w:p>
      <w:pPr>
        <w:ind w:left="740"/>
        <w:spacing w:after="0"/>
        <w:rPr>
          <w:sz w:val="20"/>
          <w:szCs w:val="20"/>
          <w:color w:val="auto"/>
        </w:rPr>
      </w:pPr>
      <w:r>
        <w:rPr>
          <w:rFonts w:ascii="Times New Roman" w:cs="Times New Roman" w:eastAsia="Times New Roman" w:hAnsi="Times New Roman"/>
          <w:sz w:val="20"/>
          <w:szCs w:val="20"/>
          <w:u w:val="single" w:color="auto"/>
          <w:color w:val="auto"/>
        </w:rPr>
        <w:t>Section 6(e)</w:t>
      </w:r>
      <w:r>
        <w:rPr>
          <w:rFonts w:ascii="Times New Roman" w:cs="Times New Roman" w:eastAsia="Times New Roman" w:hAnsi="Times New Roman"/>
          <w:sz w:val="20"/>
          <w:szCs w:val="20"/>
          <w:color w:val="auto"/>
        </w:rPr>
        <w:t>), then the indemnification obligations of the Seller will survive until the final resolution of such claim.</w:t>
      </w:r>
    </w:p>
    <w:p>
      <w:pPr>
        <w:spacing w:after="0" w:line="211" w:lineRule="exact"/>
        <w:rPr>
          <w:sz w:val="20"/>
          <w:szCs w:val="20"/>
          <w:color w:val="auto"/>
        </w:rPr>
      </w:pPr>
    </w:p>
    <w:p>
      <w:pPr>
        <w:jc w:val="both"/>
        <w:ind w:left="740" w:firstLine="629"/>
        <w:spacing w:after="0" w:line="254" w:lineRule="auto"/>
        <w:tabs>
          <w:tab w:leader="none" w:pos="170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 Payment</w:t>
      </w:r>
      <w:r>
        <w:rPr>
          <w:rFonts w:ascii="Times New Roman" w:cs="Times New Roman" w:eastAsia="Times New Roman" w:hAnsi="Times New Roman"/>
          <w:sz w:val="20"/>
          <w:szCs w:val="20"/>
          <w:color w:val="auto"/>
        </w:rPr>
        <w:t xml:space="preserve">. Indemnification payments made pursuant to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be due in respect of any claim (i) within twenty days after the date on which Seller has been notified by Buyer of such indemnification claim if such claim is not being contested in accordance with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 xml:space="preserve"> or (ii) within ten Business Days of a Final Determination if such claim is being contested in accordance with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u w:val="single" w:color="auto"/>
          <w:color w:val="auto"/>
        </w:rPr>
        <w:t>Section 7</w:t>
      </w:r>
      <w:r>
        <w:rPr>
          <w:sz w:val="20"/>
          <w:szCs w:val="20"/>
          <w:color w:val="auto"/>
        </w:rPr>
        <w:tab/>
      </w:r>
      <w:r>
        <w:rPr>
          <w:rFonts w:ascii="Times New Roman" w:cs="Times New Roman" w:eastAsia="Times New Roman" w:hAnsi="Times New Roman"/>
          <w:sz w:val="18"/>
          <w:szCs w:val="18"/>
          <w:b w:val="1"/>
          <w:bCs w:val="1"/>
          <w:u w:val="single" w:color="auto"/>
          <w:color w:val="auto"/>
        </w:rPr>
        <w:t>Miscellaneous.</w:t>
      </w:r>
    </w:p>
    <w:p>
      <w:pPr>
        <w:spacing w:after="0" w:line="215" w:lineRule="exact"/>
        <w:rPr>
          <w:sz w:val="20"/>
          <w:szCs w:val="20"/>
          <w:color w:val="auto"/>
        </w:rPr>
      </w:pPr>
    </w:p>
    <w:p>
      <w:pPr>
        <w:jc w:val="both"/>
        <w:ind w:left="420" w:firstLine="641"/>
        <w:spacing w:after="0" w:line="248" w:lineRule="auto"/>
        <w:tabs>
          <w:tab w:leader="none" w:pos="169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This Agreement may not be amended or modified except by an instrument in writing signed by each Party hereto. No failure or delay by any Party in exercising any right or power under this Agreement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hereunder are cumulative and are not exclusive of any rights or remedies that such Party would otherwise have. No waiver of any provision of this Agreement consent to any departure by any Party therefrom shall in any event be effective unless the same shall be in writing and executed by both Parties, and then such waiver or consent shall be effective only in the specific instance and for the purpose for which given.</w:t>
      </w:r>
    </w:p>
    <w:p>
      <w:pPr>
        <w:spacing w:after="0" w:line="182" w:lineRule="exact"/>
        <w:rPr>
          <w:rFonts w:ascii="Times New Roman" w:cs="Times New Roman" w:eastAsia="Times New Roman" w:hAnsi="Times New Roman"/>
          <w:sz w:val="20"/>
          <w:szCs w:val="20"/>
          <w:color w:val="auto"/>
        </w:rPr>
      </w:pPr>
    </w:p>
    <w:p>
      <w:pPr>
        <w:jc w:val="both"/>
        <w:ind w:left="420" w:firstLine="641"/>
        <w:spacing w:after="0" w:line="247" w:lineRule="auto"/>
        <w:tabs>
          <w:tab w:leader="none" w:pos="169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and other communications hereunder shall be in writing and given to the Parties at the addresses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or at such other address as any Party hereafter may designate to the others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7(b)</w:t>
      </w:r>
      <w:r>
        <w:rPr>
          <w:rFonts w:ascii="Times New Roman" w:cs="Times New Roman" w:eastAsia="Times New Roman" w:hAnsi="Times New Roman"/>
          <w:sz w:val="20"/>
          <w:szCs w:val="20"/>
          <w:color w:val="auto"/>
        </w:rPr>
        <w:t>. Unless otherwise provided herein, any notice or other communication required or permitted to be given hereunder (a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xml:space="preserve">”), shall be in writing and delivered (i) in person, (ii) by registered or certified mail with postage prepaid and return receipt requested, (iii) by recognized overnight courier service with charges prepaid or (iv) by e-mail. A Notice or other communication will be deemed delivered on the earliest to occur of (A) its actual receipt when delivered in person, (B) the fifth Business Day following its deposit in registered or certified mail, with postage prepaid, and return receipt requested, (C) the second Business Day following its deposit with a recognized overnight courier service, or (D) the date upon which the receiving Party responds to a Notice sent by e-mail confirming that it has received such e-mail, or, if such date of receipt is not a Business Day, the next Business Day following such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sender of such e-mail Notice does not receive such a response, then that e-mail Notice shall not be deemed delivered unless such Notice is also delivered by one of the methodologies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Any Notice or other communication received on a day that is not a Business Day or later than 5:00 p.m. (Eastern time) on a Business Day shall be deemed to be received on the next Business Day.</w:t>
      </w:r>
    </w:p>
    <w:p>
      <w:pPr>
        <w:spacing w:after="0" w:line="182" w:lineRule="exact"/>
        <w:rPr>
          <w:rFonts w:ascii="Times New Roman" w:cs="Times New Roman" w:eastAsia="Times New Roman" w:hAnsi="Times New Roman"/>
          <w:sz w:val="20"/>
          <w:szCs w:val="20"/>
          <w:color w:val="auto"/>
        </w:rPr>
      </w:pPr>
    </w:p>
    <w:p>
      <w:pPr>
        <w:jc w:val="both"/>
        <w:ind w:left="420" w:firstLine="641"/>
        <w:spacing w:after="0" w:line="248" w:lineRule="auto"/>
        <w:tabs>
          <w:tab w:leader="none" w:pos="169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No Other Representations</w:t>
      </w:r>
      <w:r>
        <w:rPr>
          <w:rFonts w:ascii="Times New Roman" w:cs="Times New Roman" w:eastAsia="Times New Roman" w:hAnsi="Times New Roman"/>
          <w:sz w:val="20"/>
          <w:szCs w:val="20"/>
          <w:color w:val="auto"/>
        </w:rPr>
        <w:t xml:space="preserve">. The Transaction Documents embody the entire agreement and understanding of the Parties hereto in respect of the Transactions and supersede all prior agreements, letters of intent, representations, warranties, promises, covenants, arrangements, communications and understandings, oral or written, express or implied, between the Parties with respect to the Transactions. There are no agreements, representations, warranties, promises, covenants, arrangements or understandings between the Parties with respect to the Transactions, other than those expressly set forth or referred to herein. The representations and warranties made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are the sole representations and warranties of the Parties with respect to the Transactions and any other representations and warranties, implied or otherwise, and any reliance thereon are hereby disclaimed by both Parties.</w:t>
      </w:r>
    </w:p>
    <w:p>
      <w:pPr>
        <w:sectPr>
          <w:pgSz w:w="11900" w:h="16838" w:orient="portrait"/>
          <w:cols w:equalWidth="0" w:num="1">
            <w:col w:w="10980"/>
          </w:cols>
          <w:pgMar w:left="540" w:top="1012" w:right="379" w:bottom="1440" w:gutter="0" w:footer="0" w:header="0"/>
        </w:sectPr>
      </w:pPr>
    </w:p>
    <w:bookmarkStart w:id="210" w:name="page211"/>
    <w:bookmarkEnd w:id="210"/>
    <w:p>
      <w:pPr>
        <w:jc w:val="both"/>
        <w:ind w:left="-480" w:firstLine="641"/>
        <w:spacing w:after="0" w:line="247" w:lineRule="auto"/>
        <w:tabs>
          <w:tab w:leader="none" w:pos="79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and delivered (including by electronic mail transmission) in one or more counterparts, all of which shall be considered one and the same agreement and shall become effective when one or more counterparts have been signed by each of the Seller and the Buyer and delivered to the other Party, it being understood that all Parties need not sign the same counterpart. This Agreement may be executed by signatures delivered by email, and a copy hereof that is executed and delivered by a Party by email (including in .pdf format) will be binding upon 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signatures effected through DocuSign),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rFonts w:ascii="Times New Roman" w:cs="Times New Roman" w:eastAsia="Times New Roman" w:hAnsi="Times New Roman"/>
          <w:sz w:val="20"/>
          <w:szCs w:val="20"/>
          <w:color w:val="auto"/>
        </w:rPr>
      </w:pPr>
    </w:p>
    <w:p>
      <w:pPr>
        <w:jc w:val="both"/>
        <w:ind w:left="-480" w:firstLine="641"/>
        <w:spacing w:after="0" w:line="298" w:lineRule="auto"/>
        <w:tabs>
          <w:tab w:leader="none" w:pos="79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(INCLUDING SECTIONS 5-1401 AND 5-1402 OF THE GENERAL OBLIGATIONS LAW, BUT WITHOUT REGARD TO ANY OTHER CONFLICT OF LAWS PROVISIONS THEREOF).</w:t>
      </w:r>
    </w:p>
    <w:p>
      <w:pPr>
        <w:spacing w:after="0" w:line="150" w:lineRule="exact"/>
        <w:rPr>
          <w:rFonts w:ascii="Times New Roman" w:cs="Times New Roman" w:eastAsia="Times New Roman" w:hAnsi="Times New Roman"/>
          <w:sz w:val="18"/>
          <w:szCs w:val="18"/>
          <w:color w:val="auto"/>
        </w:rPr>
      </w:pPr>
    </w:p>
    <w:p>
      <w:pPr>
        <w:jc w:val="both"/>
        <w:ind w:left="-480" w:firstLine="641"/>
        <w:spacing w:after="0" w:line="256" w:lineRule="auto"/>
        <w:tabs>
          <w:tab w:leader="none" w:pos="79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HEREBY IRREVOCABLY AND UNCONDITIONALLY WAIVES ANY AND ALL RIGHT TO TRIAL BY JURY IN ANY ACTION, SUIT OR COUNTERCLAIM ARISING IN CONNECTION WITH THIS AGREEMENT.</w:t>
      </w:r>
    </w:p>
    <w:p>
      <w:pPr>
        <w:spacing w:after="0" w:line="172" w:lineRule="exact"/>
        <w:rPr>
          <w:rFonts w:ascii="Times New Roman" w:cs="Times New Roman" w:eastAsia="Times New Roman" w:hAnsi="Times New Roman"/>
          <w:sz w:val="20"/>
          <w:szCs w:val="20"/>
          <w:color w:val="auto"/>
        </w:rPr>
      </w:pPr>
    </w:p>
    <w:p>
      <w:pPr>
        <w:jc w:val="both"/>
        <w:ind w:left="-480" w:firstLine="641"/>
        <w:spacing w:after="0" w:line="247" w:lineRule="auto"/>
        <w:tabs>
          <w:tab w:leader="none" w:pos="79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xml:space="preserve">. ALL ACTIONS OR PROCEEDINGS BROUGHT AGAINST EITHER PARTY WITH RESPECT TO THIS AGREEMENT OR THE TRANSACTIONS MAY ONLY BE BROUGHT IN ANY STATE OR FEDERAL COURT OF COMPETENT JURISDICTION IN THE COUNTY OF NEW YORK, STATE OF NEW YORK, AND BY EXECUTION AND DELIVERY OF THIS AGREEMENT EACH PARTY ACCEPTS FOR ITSELF AND IN CONNECTION WITH ITS PROPERTIES, THE EXCLUSIVE JURISDICTION OF THE AFORESAID COURTS, AND IRREVOCABLY AGREES TO BE BOUND BY ANY JUDGMENT RENDERED THEREBY IN CONNECTION WITH THIS AGREEMENT. EACH PARTY HEREBY EXPRESSLY AND IRREVOCABLY WAIVES ANY CLAIM OR DEFENSE IN ANY SUCH ACTION OR PROCEEDING BASED ON ANY ALLEGED LACK OF PERSONAL JURISDICTION, IMPROPER VENUE OR FORUM NON CONVENIENS OR ANY SIMILAR BASIS. EACH PARTY FURTHER IRREVOCABLY CONSENTS TO THE SERVICE OF ANY COMPLAINT, SUMMONS, NOTICE OR OTHER PROCESS RELATING TO ANY LEGAL ACTION OR PROCEEDING BY DELIVERY THEREOF TO IT BY HAND OR BY MAIL (BUT NOT BY E-MAIL) TO THE ADDRESS SET FORTH IN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NOTHING HEREIN SHALL AFFECT THE RIGHT OF EITHER PARTY TO SERVE PROCESS IN ANY MANNER PERMITTED BY LAW.</w:t>
      </w:r>
    </w:p>
    <w:p>
      <w:pPr>
        <w:spacing w:after="0" w:line="182" w:lineRule="exact"/>
        <w:rPr>
          <w:rFonts w:ascii="Times New Roman" w:cs="Times New Roman" w:eastAsia="Times New Roman" w:hAnsi="Times New Roman"/>
          <w:sz w:val="20"/>
          <w:szCs w:val="20"/>
          <w:color w:val="auto"/>
        </w:rPr>
      </w:pPr>
    </w:p>
    <w:p>
      <w:pPr>
        <w:jc w:val="both"/>
        <w:ind w:left="-480" w:firstLine="641"/>
        <w:spacing w:after="0" w:line="254" w:lineRule="auto"/>
        <w:tabs>
          <w:tab w:leader="none" w:pos="79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are not affected in any manner materially adverse to any Party.</w:t>
      </w:r>
    </w:p>
    <w:p>
      <w:pPr>
        <w:sectPr>
          <w:pgSz w:w="11900" w:h="16838" w:orient="portrait"/>
          <w:cols w:equalWidth="0" w:num="1">
            <w:col w:w="10080"/>
          </w:cols>
          <w:pgMar w:left="1440" w:top="1012" w:right="379" w:bottom="1440" w:gutter="0" w:footer="0" w:header="0"/>
        </w:sectPr>
      </w:pPr>
    </w:p>
    <w:bookmarkStart w:id="211" w:name="page212"/>
    <w:bookmarkEnd w:id="211"/>
    <w:p>
      <w:pPr>
        <w:jc w:val="both"/>
        <w:ind w:firstLine="641"/>
        <w:spacing w:after="0" w:line="250" w:lineRule="auto"/>
        <w:tabs>
          <w:tab w:leader="none" w:pos="127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Assignment</w:t>
      </w:r>
      <w:r>
        <w:rPr>
          <w:rFonts w:ascii="Times New Roman" w:cs="Times New Roman" w:eastAsia="Times New Roman" w:hAnsi="Times New Roman"/>
          <w:sz w:val="20"/>
          <w:szCs w:val="20"/>
          <w:color w:val="auto"/>
        </w:rPr>
        <w:t>. This Agreement shall be binding upon and, except as provided below, inure solely to the benefit of each Party and their successors and assigns, and nothing in this Agreement, express or implied, is intended to confer upon any other Person any rights or remedies of any nature whatsoever under or by reason of this Agreement. Neither Party may assign any or all of its rights, privileges and obligations hereunder without the prior written consent of the other Party, except Buyer may assign all of its rights, obligations and liabilities hereunder to an Affiliate of Buyer that has similar or better creditworthiness than the Buyer upon notice of such assignment to the Seller.</w:t>
      </w:r>
    </w:p>
    <w:p>
      <w:pPr>
        <w:spacing w:after="0" w:line="178" w:lineRule="exact"/>
        <w:rPr>
          <w:rFonts w:ascii="Times New Roman" w:cs="Times New Roman" w:eastAsia="Times New Roman" w:hAnsi="Times New Roman"/>
          <w:sz w:val="20"/>
          <w:szCs w:val="20"/>
          <w:color w:val="auto"/>
        </w:rPr>
      </w:pPr>
    </w:p>
    <w:p>
      <w:pPr>
        <w:jc w:val="both"/>
        <w:ind w:firstLine="641"/>
        <w:spacing w:after="0" w:line="253" w:lineRule="auto"/>
        <w:tabs>
          <w:tab w:leader="none" w:pos="127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Announcements</w:t>
      </w:r>
      <w:r>
        <w:rPr>
          <w:rFonts w:ascii="Times New Roman" w:cs="Times New Roman" w:eastAsia="Times New Roman" w:hAnsi="Times New Roman"/>
          <w:sz w:val="20"/>
          <w:szCs w:val="20"/>
          <w:color w:val="auto"/>
        </w:rPr>
        <w:t>. Subject to any requirements of Applicable Law, neither Party shall issue, or permit any of their respective Affiliates to issue, any press release or otherwise make any public statements with respect to this Agreement or the Transactions without the prior written consent of the other Party. Subject to any requirements of Applicable Law, each Party will be given the opportunity to review in advance, upon the request of such Party, all information relating to the Transactions that appears in any filing made in connection with the Transactions.</w:t>
      </w:r>
    </w:p>
    <w:p>
      <w:pPr>
        <w:spacing w:after="0" w:line="203" w:lineRule="exact"/>
        <w:rPr>
          <w:rFonts w:ascii="Times New Roman" w:cs="Times New Roman" w:eastAsia="Times New Roman" w:hAnsi="Times New Roman"/>
          <w:sz w:val="20"/>
          <w:szCs w:val="20"/>
          <w:color w:val="auto"/>
        </w:rPr>
      </w:pPr>
    </w:p>
    <w:p>
      <w:pPr>
        <w:ind w:left="1280" w:hanging="639"/>
        <w:spacing w:after="0"/>
        <w:tabs>
          <w:tab w:leader="none" w:pos="128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641"/>
        <w:spacing w:after="0" w:line="276" w:lineRule="auto"/>
        <w:tabs>
          <w:tab w:leader="none" w:pos="127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necessary for the exercise of rights and remedies and the performance of its obligations under this Agreement, the Buyer shall, and shall cause its Affiliates and their respective stockholders, members, subsidiaries and representatives to, hold confidential all information they may have or obtain concerning the Seller and the Seller Parties, and their respective assets, business, operations or prospects, the Facility or this Agreement (collectively, the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Confidential Information shall not include any information that (A) becomes generally available to the public other than as a result of a disclosure by the Buyer or any of its representatives, (B) becomes available to the Buyer or any of its representatives on a non-confidential basis and through no willful breach of any Applicable Laws or a knowing breach of any contractual confidentiality obligations prior to its disclosure by the Seller or a Seller Party or their representatives, (C) is required or requested to be disclosed by the Buyer or any of its Affiliates or respective stockholders, members, subsidiaries or representatives as a result of any applicable legal requirement or rule or regulation of any stock exchange, the National Association of Insurance Commissioners or other regulatory authority having jurisdiction over the Buyer or any of its Affiliates or respective stockholders, members, subsidiaries or representatives, (D) is required or requested by the IRS in connection with the Facility or Tax Credits relating thereto, including in connection with a request for any private letter ruling, any determination letter or any audit or (E) is independently developed by the Buyer or any of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if such Confidential Information remains or is reasonably believed to remain generally unavailable to the public, such information will remain Confidential Information in all other respects and for all other purposes. Each Party acknowledges that disclosures pursuant to </w:t>
      </w:r>
      <w:r>
        <w:rPr>
          <w:rFonts w:ascii="Times New Roman" w:cs="Times New Roman" w:eastAsia="Times New Roman" w:hAnsi="Times New Roman"/>
          <w:sz w:val="18"/>
          <w:szCs w:val="18"/>
          <w:u w:val="single" w:color="auto"/>
          <w:color w:val="auto"/>
        </w:rPr>
        <w:t>clause</w:t>
      </w:r>
    </w:p>
    <w:p>
      <w:pPr>
        <w:spacing w:after="0" w:line="20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may be subject to the Freedom of Information Act, 5 U.S.C. Section 552. If any Party becomes compelled by legal or</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administrative process to disclose any Confidential Information, such Party will provide the other Party with prompt Notice so that the other Party may seek a protective order or other appropriate remedy or waive compliance with the non-disclosure provisions of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xml:space="preserve"> with respect to the information required to be disclosed. If such protective order or other remedy is not obtained, or such other Party waives compliance with the non-disclosure provisions of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xml:space="preserve"> with respect to the information required to be disclosed, the first Party will furnish only that portion of such information that it is advised, by opinion of counsel, is legally required to be furnished and will exercise reasonable efforts, at the other Party’s expense, to obtain reliable assurance that confidential treatment will be accorded</w:t>
      </w:r>
    </w:p>
    <w:p>
      <w:pPr>
        <w:sectPr>
          <w:pgSz w:w="11900" w:h="16838" w:orient="portrait"/>
          <w:cols w:equalWidth="0" w:num="1">
            <w:col w:w="10560"/>
          </w:cols>
          <w:pgMar w:left="960" w:top="1012" w:right="379" w:bottom="1440" w:gutter="0" w:footer="0" w:header="0"/>
        </w:sectPr>
      </w:pPr>
    </w:p>
    <w:bookmarkStart w:id="212" w:name="page213"/>
    <w:bookmarkEnd w:id="212"/>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such information, including, in the case of disclosures to the IRS described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above, to obtain reliable assurance that, to the maximum extent permitted by applicable legal requirements, such information will not be made available for public inspection pursuant to Section 6110 of the Code.</w:t>
      </w:r>
    </w:p>
    <w:p>
      <w:pPr>
        <w:spacing w:after="0" w:line="186" w:lineRule="exact"/>
        <w:rPr>
          <w:sz w:val="20"/>
          <w:szCs w:val="20"/>
          <w:color w:val="auto"/>
        </w:rPr>
      </w:pPr>
    </w:p>
    <w:p>
      <w:pPr>
        <w:jc w:val="both"/>
        <w:ind w:firstLine="641"/>
        <w:spacing w:after="0" w:line="247" w:lineRule="auto"/>
        <w:tabs>
          <w:tab w:leader="none" w:pos="1273"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necessary for the exercise of its rights and remedies and the performance of its obligations under this Agreement, the Seller and its Affiliates will hold confidential and not disclose directly or indirectly, any of the economic terms particular to this Agreement, including the amount of the Purchase Price or the identity of the Buyer other than with respect to the disclosures of the type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0"/>
          <w:szCs w:val="20"/>
          <w:u w:val="single" w:color="auto"/>
          <w:color w:val="auto"/>
        </w:rPr>
        <w:t>Section 7(k)(i)</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7(k)(iii)</w:t>
      </w:r>
      <w:r>
        <w:rPr>
          <w:rFonts w:ascii="Times New Roman" w:cs="Times New Roman" w:eastAsia="Times New Roman" w:hAnsi="Times New Roman"/>
          <w:sz w:val="20"/>
          <w:szCs w:val="20"/>
          <w:color w:val="auto"/>
        </w:rPr>
        <w:t>. The foregoing shall not restrict the Seller or the Project Company (or any Affiliate) from using project data related to the Facility in connection with the development of other renewable energy or other projects by the Seller or the Project Company (or any Affiliate).</w:t>
      </w:r>
    </w:p>
    <w:p>
      <w:pPr>
        <w:spacing w:after="0" w:line="196" w:lineRule="exact"/>
        <w:rPr>
          <w:rFonts w:ascii="Times New Roman" w:cs="Times New Roman" w:eastAsia="Times New Roman" w:hAnsi="Times New Roman"/>
          <w:sz w:val="20"/>
          <w:szCs w:val="20"/>
          <w:color w:val="auto"/>
        </w:rPr>
      </w:pPr>
    </w:p>
    <w:p>
      <w:pPr>
        <w:jc w:val="both"/>
        <w:ind w:firstLine="641"/>
        <w:spacing w:after="0" w:line="256" w:lineRule="auto"/>
        <w:tabs>
          <w:tab w:leader="none" w:pos="127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Applicable Laws, no Party shall make any public announcements concerning this Agreement or the Transactions without the prior written consent of the other Party and if any Party shall make any such public announcement as required by Applicable Laws, it shall provide notice of such announcement to the other Party as soon as reasonably possible.</w:t>
      </w:r>
    </w:p>
    <w:p>
      <w:pPr>
        <w:spacing w:after="0" w:line="172" w:lineRule="exact"/>
        <w:rPr>
          <w:rFonts w:ascii="Times New Roman" w:cs="Times New Roman" w:eastAsia="Times New Roman" w:hAnsi="Times New Roman"/>
          <w:sz w:val="20"/>
          <w:szCs w:val="20"/>
          <w:color w:val="auto"/>
        </w:rPr>
      </w:pPr>
    </w:p>
    <w:p>
      <w:pPr>
        <w:jc w:val="both"/>
        <w:ind w:firstLine="641"/>
        <w:spacing w:after="0" w:line="254" w:lineRule="auto"/>
        <w:tabs>
          <w:tab w:leader="none" w:pos="1276"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set forth in this Agreement, the Seller, the Seller Parties and their Affiliates shall be permitted to share Confidential Information with their representatives and prospective purchasers, transferees or assignees of the equity interests in the Seller Parties;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Persons agree to keep such information confidential in accordance with the terms of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41"/>
        <w:spacing w:after="0" w:line="250" w:lineRule="auto"/>
        <w:tabs>
          <w:tab w:leader="none" w:pos="1275"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contained in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xml:space="preserve"> shall be construed so as to prohibit a Party from using any Confidential Information in connection with (A) any claim against the other Party, (B) any exercise by such Party of any of its rights hereunder (including the ownership, operation and administration of the Project Company and the Facility) or (C) a disposition by the Seller or its Affiliates of all or a portion of its interest in the Project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potential purchaser shall have entered into a confidentiality agreement with respect to Confidential Information on customary terms used in confidentiality agreements in connection with corporate acquisitions before any such information may be disclosed.</w:t>
      </w:r>
    </w:p>
    <w:p>
      <w:pPr>
        <w:spacing w:after="0" w:line="178" w:lineRule="exact"/>
        <w:rPr>
          <w:rFonts w:ascii="Times New Roman" w:cs="Times New Roman" w:eastAsia="Times New Roman" w:hAnsi="Times New Roman"/>
          <w:sz w:val="20"/>
          <w:szCs w:val="20"/>
          <w:color w:val="auto"/>
        </w:rPr>
      </w:pPr>
    </w:p>
    <w:p>
      <w:pPr>
        <w:jc w:val="both"/>
        <w:ind w:firstLine="641"/>
        <w:spacing w:after="0" w:line="247" w:lineRule="auto"/>
        <w:tabs>
          <w:tab w:leader="none" w:pos="1276"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each Party hereby acknowledges that the U.S. federal securities laws and applicable European securities laws, among other things, prohibit certain Persons in possession of material, non-public information concerning companies or securities from buying or selling securities issued by those companies or disclosing that material, non-public information to others who buy or sell those securities while in possession of that information (or disclose that information to others who buy or sell). Notwithstanding anything herein to the contrary, the Parties and their respective representatives may disclose to any and all Persons, without limitation of any kind, the U.S. federal income tax treatment and tax structure of the transaction and all materials of any kind (including opinions and other tax analyses) that are provided to such party relating to such tax treatment and tax structure, except where confidentiality is reasonably necessary to comply with securities laws. For this purpose, “tax structure” is limited to facts relevant to the U.S. federal income tax treatment of the transaction and does not include information (A) relating to the identity of the Parties, their Affiliates, agents, or advisors or (B) the operation or design of the Facility.</w:t>
      </w:r>
    </w:p>
    <w:p>
      <w:pPr>
        <w:spacing w:after="0" w:line="184" w:lineRule="exact"/>
        <w:rPr>
          <w:rFonts w:ascii="Times New Roman" w:cs="Times New Roman" w:eastAsia="Times New Roman" w:hAnsi="Times New Roman"/>
          <w:sz w:val="20"/>
          <w:szCs w:val="20"/>
          <w:color w:val="auto"/>
        </w:rPr>
      </w:pPr>
    </w:p>
    <w:p>
      <w:pPr>
        <w:ind w:left="-320" w:right="60" w:firstLine="628"/>
        <w:spacing w:after="0" w:line="276" w:lineRule="auto"/>
        <w:tabs>
          <w:tab w:leader="none" w:pos="645"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xml:space="preserve">. In the event of a breach by a Party of the provisions of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the other Party will have the right to seek specific performance and</w:t>
      </w:r>
    </w:p>
    <w:p>
      <w:pPr>
        <w:sectPr>
          <w:pgSz w:w="11900" w:h="16838" w:orient="portrait"/>
          <w:cols w:equalWidth="0" w:num="1">
            <w:col w:w="10560"/>
          </w:cols>
          <w:pgMar w:left="960" w:top="1012" w:right="379" w:bottom="1440" w:gutter="0" w:footer="0" w:header="0"/>
        </w:sectPr>
      </w:pPr>
    </w:p>
    <w:bookmarkStart w:id="213" w:name="page214"/>
    <w:bookmarkEnd w:id="213"/>
    <w:p>
      <w:pPr>
        <w:spacing w:after="0" w:line="254" w:lineRule="auto"/>
        <w:rPr>
          <w:sz w:val="20"/>
          <w:szCs w:val="20"/>
          <w:color w:val="auto"/>
        </w:rPr>
      </w:pPr>
      <w:r>
        <w:rPr>
          <w:rFonts w:ascii="Times New Roman" w:cs="Times New Roman" w:eastAsia="Times New Roman" w:hAnsi="Times New Roman"/>
          <w:sz w:val="20"/>
          <w:szCs w:val="20"/>
          <w:color w:val="auto"/>
        </w:rPr>
        <w:t>injunctive relief giving effect to its rights under this Agreement, in addition to any and all other rights and remedies at law or in equity, and all such rights and remedies will be cumulative. The Parties hereto agree that any such breach would cause irreparable injury, that the remedies at law for any such breach, including monetary damages, are inadequate compensation for any loss and that any defense in any action for specific performance that a remedy at law would be adequate is waived.</w:t>
      </w:r>
    </w:p>
    <w:p>
      <w:pPr>
        <w:spacing w:after="0" w:line="215" w:lineRule="exact"/>
        <w:rPr>
          <w:sz w:val="20"/>
          <w:szCs w:val="20"/>
          <w:color w:val="auto"/>
        </w:rPr>
      </w:pPr>
    </w:p>
    <w:p>
      <w:pPr>
        <w:ind w:left="960" w:hanging="332"/>
        <w:spacing w:after="0"/>
        <w:tabs>
          <w:tab w:leader="none" w:pos="96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Protection of Title; Transfers Intended as Sale; Security Interest</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left="320" w:firstLine="642"/>
        <w:spacing w:after="0" w:line="254" w:lineRule="auto"/>
        <w:tabs>
          <w:tab w:leader="none" w:pos="159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express intent of the parties hereto that each transfer of Transferred Tax Credits by the Seller to the Buyer, as contemplated by this Agreement be, and be treated as, a sale by the Seller to the Buyer. It is, further, not the intention of the Parties that any such transfer be, or be deemed, a pledge of the Transferred Tax Credits by the Seller to the Buyer to secure a debt or other obligation of the Seller.</w:t>
      </w:r>
    </w:p>
    <w:p>
      <w:pPr>
        <w:spacing w:after="0" w:line="175" w:lineRule="exact"/>
        <w:rPr>
          <w:rFonts w:ascii="Times New Roman" w:cs="Times New Roman" w:eastAsia="Times New Roman" w:hAnsi="Times New Roman"/>
          <w:sz w:val="20"/>
          <w:szCs w:val="20"/>
          <w:color w:val="auto"/>
        </w:rPr>
      </w:pPr>
    </w:p>
    <w:p>
      <w:pPr>
        <w:jc w:val="both"/>
        <w:ind w:left="320" w:firstLine="642"/>
        <w:spacing w:after="0" w:line="247" w:lineRule="auto"/>
        <w:tabs>
          <w:tab w:leader="none" w:pos="1593"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notwithstanding the intent of the Parties, the Transferred Tax Credits are held by a court to continue to be property of the Seller then (A) this Agreement shall be deemed to be a security agreement within the meaning of Articles 8 and 9 of the applicable Uniform Commercial Code and (B) the transfer of Transferred Tax Credits provided for herein shall be deemed to be a grant by the Seller, and the Seller does hereby grant, to the Buyer a first-priority security interest in all of the Seller’s right, title and interest in, to and under the following, whether now owned or existing or hereafter arising and wherever located: (1) the Transferred Tax Credits and the Minimum Documentation and (2) all Proceeds (as defined in the Uniform Commercial Code), voluntary or involuntary, of the foregoing. Each of the Parties shall, to the extent consistent with this Agreement, take such actions as may be reasonably necessary to ensure that, if this Agreement were deemed to create a security interest in the Transferred Tax Credits, such security interest would be deemed to be a perfected security interest of first priority under Applicable Law, including that the Seller hereby authorizes the filing of financing statements or continuation statements, and amendments to financing statements, in any jurisdictions and with any filing office as the Buyer may determine, in its sole discretion, are necessary or advisable, to the extent this Agreement were deemed to create a security interest in the Transferred Tax Credits, to perfect (or maintain) any such security interest granted to the Buyer in connection herewith. Such statements may name the Seller or any Seller Party that owns the Project Company as “debtor” and the Buyer as “secured party”.</w:t>
      </w:r>
    </w:p>
    <w:p>
      <w:pPr>
        <w:spacing w:after="0" w:line="186" w:lineRule="exact"/>
        <w:rPr>
          <w:rFonts w:ascii="Times New Roman" w:cs="Times New Roman" w:eastAsia="Times New Roman" w:hAnsi="Times New Roman"/>
          <w:sz w:val="20"/>
          <w:szCs w:val="20"/>
          <w:color w:val="auto"/>
        </w:rPr>
      </w:pPr>
    </w:p>
    <w:p>
      <w:pPr>
        <w:jc w:val="both"/>
        <w:ind w:left="320" w:firstLine="642"/>
        <w:spacing w:after="0" w:line="248" w:lineRule="auto"/>
        <w:tabs>
          <w:tab w:leader="none" w:pos="159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hereby represents and warrants that as of the date hereof: (A) the full and correct legal name of the Seller is Opal Fuels LLC, (B) its type of organization is a limited liability company, (C) its jurisdiction of organization is Delaware, (D) the Seller’s mailing address and place of business (or, if the Seller has more than one place of business, the location of the chief executive office of the Seller) is One North Lexington Avenue, Suite 1450, White Plains, NY 10601, and (E) the Seller has not, since its formation, changed its “location” (as defined in Section 9-307 of the Uniform Commercial Code), changed its name or become a “new debtor” (as defined in Section 9-102(a)(56) of the Uniform Commercial Code) with respect to a currently effective security agreement previously entered into by any other Person.</w:t>
      </w:r>
    </w:p>
    <w:p>
      <w:pPr>
        <w:spacing w:after="0" w:line="179" w:lineRule="exact"/>
        <w:rPr>
          <w:rFonts w:ascii="Times New Roman" w:cs="Times New Roman" w:eastAsia="Times New Roman" w:hAnsi="Times New Roman"/>
          <w:sz w:val="20"/>
          <w:szCs w:val="20"/>
          <w:color w:val="auto"/>
        </w:rPr>
      </w:pPr>
    </w:p>
    <w:p>
      <w:pPr>
        <w:jc w:val="both"/>
        <w:ind w:left="320" w:firstLine="642"/>
        <w:spacing w:after="0" w:line="253" w:lineRule="auto"/>
        <w:tabs>
          <w:tab w:leader="none" w:pos="1596"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shall notify the Buyer in writing within ten days following the occurrence of (A) any change in the Seller’s type of organization or jurisdiction of organization, (B) any change in the Seller’s “location” (within the meaning of Section 9-307 of the Unform Commercial Code), and (C) any change in the Seller’s name, and shall take all action prior to making such change reasonably necessary or advisable in the opinion of the Buyer to amend all previously filed financing statements or continuation statements described in this </w:t>
      </w:r>
      <w:r>
        <w:rPr>
          <w:rFonts w:ascii="Times New Roman" w:cs="Times New Roman" w:eastAsia="Times New Roman" w:hAnsi="Times New Roman"/>
          <w:sz w:val="20"/>
          <w:szCs w:val="20"/>
          <w:u w:val="single" w:color="auto"/>
          <w:color w:val="auto"/>
        </w:rPr>
        <w:t>Section 7(m)</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ectPr>
          <w:pgSz w:w="11900" w:h="16838" w:orient="portrait"/>
          <w:cols w:equalWidth="0" w:num="1">
            <w:col w:w="10880"/>
          </w:cols>
          <w:pgMar w:left="640" w:top="1012" w:right="379"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0" w:firstLine="1282"/>
        <w:spacing w:after="0" w:line="262" w:lineRule="auto"/>
        <w:rPr>
          <w:sz w:val="20"/>
          <w:szCs w:val="20"/>
          <w:color w:val="auto"/>
        </w:rPr>
      </w:pPr>
      <w:r>
        <w:rPr>
          <w:rFonts w:ascii="Times New Roman" w:cs="Times New Roman" w:eastAsia="Times New Roman" w:hAnsi="Times New Roman"/>
          <w:sz w:val="20"/>
          <w:szCs w:val="20"/>
          <w:color w:val="auto"/>
        </w:rPr>
        <w:t>IN WITNESS WHEREOF, the Seller and the Buyer have executed this Tax Credit Purchase Agreement as of the date first above written.</w:t>
      </w:r>
    </w:p>
    <w:p>
      <w:pPr>
        <w:spacing w:after="0" w:line="2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b w:val="1"/>
          <w:bCs w:val="1"/>
          <w:color w:val="auto"/>
        </w:rPr>
        <w:t xml:space="preserve"> OPAL FUELS LLC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Jonathan Maurer</w:t>
      </w:r>
    </w:p>
    <w:p>
      <w:pPr>
        <w:spacing w:after="0" w:line="13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Name: Jonathan Maurer</w:t>
      </w:r>
    </w:p>
    <w:p>
      <w:pPr>
        <w:spacing w:after="0" w:line="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Title: Co-Chief Executive Officer</w:t>
      </w:r>
    </w:p>
    <w:p>
      <w:pPr>
        <w:sectPr>
          <w:pgSz w:w="11900" w:h="16838" w:orient="portrait"/>
          <w:cols w:equalWidth="0" w:num="1">
            <w:col w:w="10460"/>
          </w:cols>
          <w:pgMar w:left="960" w:top="1440" w:right="479" w:bottom="144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Seller and the Buyer have executed this Tax Credit Purchase Agreement as of the date first above written.</w:t>
      </w:r>
    </w:p>
    <w:p>
      <w:pPr>
        <w:sectPr>
          <w:pgSz w:w="11900" w:h="16838" w:orient="portrait"/>
          <w:cols w:equalWidth="0" w:num="1">
            <w:col w:w="10740"/>
          </w:cols>
          <w:pgMar w:left="320" w:top="1440" w:right="839" w:bottom="1440" w:gutter="0" w:footer="0" w:header="0"/>
        </w:sectPr>
      </w:pPr>
    </w:p>
    <w:p>
      <w:pPr>
        <w:spacing w:after="0" w:line="28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p>
    <w:p>
      <w:pPr>
        <w:spacing w:after="0" w:line="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EAGLEBANK</w:t>
      </w:r>
    </w:p>
    <w:p>
      <w:pPr>
        <w:spacing w:after="0" w:line="2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Charles Levingston</w:t>
      </w:r>
    </w:p>
    <w:p>
      <w:pPr>
        <w:spacing w:after="0" w:line="4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Charles Levingston</w:t>
      </w:r>
    </w:p>
    <w:p>
      <w:pPr>
        <w:spacing w:after="0" w:line="4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CFO</w:t>
      </w:r>
    </w:p>
    <w:p>
      <w:pPr>
        <w:sectPr>
          <w:pgSz w:w="11900" w:h="16838" w:orient="portrait"/>
          <w:cols w:equalWidth="0" w:num="1">
            <w:col w:w="10740"/>
          </w:cols>
          <w:pgMar w:left="320" w:top="1440" w:right="839" w:bottom="1440" w:gutter="0" w:footer="0" w:header="0"/>
          <w:type w:val="continuous"/>
        </w:sectPr>
      </w:pPr>
    </w:p>
    <w:bookmarkStart w:id="216" w:name="page217"/>
    <w:bookmarkEnd w:id="216"/>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GUARANTY</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by</w:t>
      </w:r>
    </w:p>
    <w:p>
      <w:pPr>
        <w:spacing w:after="0" w:line="26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OPAL FUELS INC., a Delaware corporation, in favor of</w:t>
      </w:r>
    </w:p>
    <w:p>
      <w:pPr>
        <w:spacing w:after="0" w:line="17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EAGLEBANK,</w:t>
      </w:r>
    </w:p>
    <w:p>
      <w:pPr>
        <w:spacing w:after="0" w:line="11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a Maryland charter commercial bank dated as of June 20, 2025</w:t>
      </w:r>
    </w:p>
    <w:p>
      <w:pPr>
        <w:sectPr>
          <w:pgSz w:w="11900" w:h="16838" w:orient="portrait"/>
          <w:cols w:equalWidth="0" w:num="1">
            <w:col w:w="10120"/>
          </w:cols>
          <w:pgMar w:left="1440" w:top="1021" w:right="3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41"/>
        </w:trPr>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760" w:type="dxa"/>
            <w:vAlign w:val="bottom"/>
            <w:gridSpan w:val="2"/>
          </w:tcPr>
          <w:p>
            <w:pPr>
              <w:jc w:val="center"/>
              <w:ind w:right="48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3560" w:type="dxa"/>
            <w:vAlign w:val="bottom"/>
          </w:tcPr>
          <w:p>
            <w:pPr>
              <w:spacing w:after="0"/>
              <w:rPr>
                <w:sz w:val="21"/>
                <w:szCs w:val="2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w w:val="97"/>
              </w:rPr>
              <w:t>Page</w:t>
            </w:r>
          </w:p>
        </w:tc>
        <w:tc>
          <w:tcPr>
            <w:tcW w:w="0" w:type="dxa"/>
            <w:vAlign w:val="bottom"/>
          </w:tcPr>
          <w:p>
            <w:pPr>
              <w:spacing w:after="0"/>
              <w:rPr>
                <w:sz w:val="1"/>
                <w:szCs w:val="1"/>
                <w:color w:val="auto"/>
              </w:rPr>
            </w:pPr>
          </w:p>
        </w:tc>
      </w:tr>
      <w:tr>
        <w:trPr>
          <w:trHeight w:val="252"/>
        </w:trPr>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8"/>
        </w:trPr>
        <w:tc>
          <w:tcPr>
            <w:tcW w:w="4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72"/>
              </w:rPr>
              <w:t>ARTICLE I. DEFINITIONS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373"/>
              <w:spacing w:after="0"/>
              <w:rPr>
                <w:sz w:val="20"/>
                <w:szCs w:val="20"/>
                <w:color w:val="auto"/>
              </w:rPr>
            </w:pPr>
            <w:r>
              <w:rPr>
                <w:rFonts w:ascii="Times New Roman" w:cs="Times New Roman" w:eastAsia="Times New Roman" w:hAnsi="Times New Roman"/>
                <w:sz w:val="21"/>
                <w:szCs w:val="21"/>
                <w:color w:val="auto"/>
              </w:rPr>
              <w:t>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1.1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Defined Terms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93"/>
              <w:spacing w:after="0"/>
              <w:rPr>
                <w:sz w:val="20"/>
                <w:szCs w:val="20"/>
                <w:color w:val="auto"/>
              </w:rPr>
            </w:pPr>
            <w:r>
              <w:rPr>
                <w:rFonts w:ascii="Times New Roman" w:cs="Times New Roman" w:eastAsia="Times New Roman" w:hAnsi="Times New Roman"/>
                <w:sz w:val="21"/>
                <w:szCs w:val="21"/>
                <w:color w:val="auto"/>
              </w:rPr>
              <w:t>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1.2</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General Definitions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1.3</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Rules of Interpretation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72"/>
              </w:rPr>
              <w:t>ARTICLE II. GUARANTY.............................................................................................................</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39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2.1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2"/>
              </w:rPr>
              <w:t>Guaranty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2.2</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Obligations Absolute and Unconditional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24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w w:val="89"/>
              </w:rPr>
              <w:t>ARTICLE III. REPRESENTATIONS AND WARRANTIES ......................................................</w:t>
            </w:r>
          </w:p>
        </w:tc>
        <w:tc>
          <w:tcPr>
            <w:tcW w:w="3560" w:type="dxa"/>
            <w:vAlign w:val="bottom"/>
          </w:tcPr>
          <w:p>
            <w:pPr>
              <w:ind w:left="840"/>
              <w:spacing w:after="0"/>
              <w:rPr>
                <w:sz w:val="20"/>
                <w:szCs w:val="20"/>
                <w:color w:val="auto"/>
              </w:rPr>
            </w:pPr>
            <w:r>
              <w:rPr>
                <w:rFonts w:ascii="Times New Roman" w:cs="Times New Roman" w:eastAsia="Times New Roman" w:hAnsi="Times New Roman"/>
                <w:sz w:val="21"/>
                <w:szCs w:val="21"/>
                <w:color w:val="auto"/>
              </w:rPr>
              <w:t>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3.1</w:t>
            </w:r>
          </w:p>
        </w:tc>
        <w:tc>
          <w:tcPr>
            <w:tcW w:w="660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95"/>
              </w:rPr>
              <w:t>Guarantor’s Representations and Warranties ...........................................................</w:t>
            </w: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72"/>
              </w:rPr>
              <w:t>ARTICLE IV. COVENANTS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ind w:left="920"/>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4.1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Maintenance of Corporate Existence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
                <w:szCs w:val="1"/>
                <w:color w:val="auto"/>
                <w:w w:val="83"/>
                <w:vertAlign w:val="superscript"/>
              </w:rPr>
              <w:t>4.</w:t>
            </w:r>
            <w:r>
              <w:rPr>
                <w:rFonts w:ascii="Times New Roman" w:cs="Times New Roman" w:eastAsia="Times New Roman" w:hAnsi="Times New Roman"/>
                <w:sz w:val="1"/>
                <w:szCs w:val="1"/>
                <w:color w:val="auto"/>
                <w:w w:val="83"/>
              </w:rPr>
              <w:t>..............................................................................................</w:t>
            </w:r>
            <w:r>
              <w:rPr>
                <w:rFonts w:ascii="Times New Roman" w:cs="Times New Roman" w:eastAsia="Times New Roman" w:hAnsi="Times New Roman"/>
                <w:sz w:val="1"/>
                <w:szCs w:val="1"/>
                <w:color w:val="auto"/>
                <w:w w:val="83"/>
                <w:vertAlign w:val="subscript"/>
              </w:rPr>
              <w:t>.................................................................................................</w:t>
            </w:r>
            <w:r>
              <w:rPr>
                <w:rFonts w:ascii="Times New Roman" w:cs="Times New Roman" w:eastAsia="Times New Roman" w:hAnsi="Times New Roman"/>
                <w:sz w:val="1"/>
                <w:szCs w:val="1"/>
                <w:color w:val="auto"/>
                <w:w w:val="83"/>
                <w:vertAlign w:val="superscript"/>
              </w:rPr>
              <w:t>2</w:t>
            </w:r>
          </w:p>
        </w:tc>
        <w:tc>
          <w:tcPr>
            <w:tcW w:w="36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0"/>
              </w:rPr>
              <w:t>Consents and Approvals</w:t>
            </w:r>
            <w:r>
              <w:rPr>
                <w:rFonts w:ascii="Times New Roman" w:cs="Times New Roman" w:eastAsia="Times New Roman" w:hAnsi="Times New Roman"/>
                <w:sz w:val="11"/>
                <w:szCs w:val="11"/>
                <w:color w:val="auto"/>
                <w:w w:val="70"/>
                <w:vertAlign w:val="subscript"/>
              </w:rPr>
              <w:t>...................................................................................................</w:t>
            </w:r>
            <w:r>
              <w:rPr>
                <w:rFonts w:ascii="Times New Roman" w:cs="Times New Roman" w:eastAsia="Times New Roman" w:hAnsi="Times New Roman"/>
                <w:sz w:val="10"/>
                <w:szCs w:val="10"/>
                <w:color w:val="auto"/>
                <w:w w:val="70"/>
              </w:rPr>
              <w:t>............................................................................................</w:t>
            </w:r>
          </w:p>
        </w:tc>
        <w:tc>
          <w:tcPr>
            <w:tcW w:w="2280" w:type="dxa"/>
            <w:vAlign w:val="bottom"/>
            <w:vMerge w:val="restart"/>
          </w:tcPr>
          <w:p>
            <w:pPr>
              <w:jc w:val="right"/>
              <w:ind w:right="993"/>
              <w:spacing w:after="0"/>
              <w:rPr>
                <w:sz w:val="20"/>
                <w:szCs w:val="20"/>
                <w:color w:val="auto"/>
              </w:rPr>
            </w:pPr>
            <w:r>
              <w:rPr>
                <w:rFonts w:ascii="Times New Roman" w:cs="Times New Roman" w:eastAsia="Times New Roman" w:hAnsi="Times New Roman"/>
                <w:sz w:val="21"/>
                <w:szCs w:val="21"/>
                <w:color w:val="auto"/>
              </w:rPr>
              <w:t>7</w:t>
            </w:r>
          </w:p>
        </w:tc>
        <w:tc>
          <w:tcPr>
            <w:tcW w:w="480" w:type="dxa"/>
            <w:vAlign w:val="bottom"/>
          </w:tcPr>
          <w:p>
            <w:pPr>
              <w:spacing w:after="0"/>
              <w:rPr>
                <w:sz w:val="24"/>
                <w:szCs w:val="24"/>
                <w:color w:val="auto"/>
              </w:rPr>
            </w:pPr>
          </w:p>
        </w:tc>
        <w:tc>
          <w:tcPr>
            <w:tcW w:w="4000" w:type="dxa"/>
            <w:vAlign w:val="bottom"/>
            <w:gridSpan w:val="2"/>
          </w:tcPr>
          <w:p>
            <w:pPr>
              <w:ind w:left="880"/>
              <w:spacing w:after="0"/>
              <w:rPr>
                <w:sz w:val="20"/>
                <w:szCs w:val="20"/>
                <w:color w:val="auto"/>
              </w:rPr>
            </w:pPr>
            <w:r>
              <w:rPr>
                <w:rFonts w:ascii="Times New Roman" w:cs="Times New Roman" w:eastAsia="Times New Roman" w:hAnsi="Times New Roman"/>
                <w:sz w:val="21"/>
                <w:szCs w:val="21"/>
                <w:color w:val="auto"/>
              </w:rPr>
              <w:t>7 4.3   Compliance with Laws</w:t>
            </w:r>
          </w:p>
        </w:tc>
        <w:tc>
          <w:tcPr>
            <w:tcW w:w="0" w:type="dxa"/>
            <w:vAlign w:val="bottom"/>
          </w:tcPr>
          <w:p>
            <w:pPr>
              <w:spacing w:after="0"/>
              <w:rPr>
                <w:sz w:val="1"/>
                <w:szCs w:val="1"/>
                <w:color w:val="auto"/>
              </w:rPr>
            </w:pPr>
          </w:p>
        </w:tc>
      </w:tr>
      <w:tr>
        <w:trPr>
          <w:trHeight w:val="64"/>
        </w:trPr>
        <w:tc>
          <w:tcPr>
            <w:tcW w:w="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21"/>
                <w:szCs w:val="21"/>
                <w:color w:val="auto"/>
              </w:rPr>
              <w:t>4.4</w:t>
            </w:r>
          </w:p>
        </w:tc>
        <w:tc>
          <w:tcPr>
            <w:tcW w:w="3600" w:type="dxa"/>
            <w:vAlign w:val="bottom"/>
            <w:vMerge w:val="restart"/>
          </w:tcPr>
          <w:p>
            <w:pPr>
              <w:jc w:val="right"/>
              <w:ind w:right="1617"/>
              <w:spacing w:after="0"/>
              <w:rPr>
                <w:sz w:val="20"/>
                <w:szCs w:val="20"/>
                <w:color w:val="auto"/>
              </w:rPr>
            </w:pPr>
            <w:r>
              <w:rPr>
                <w:rFonts w:ascii="Times New Roman" w:cs="Times New Roman" w:eastAsia="Times New Roman" w:hAnsi="Times New Roman"/>
                <w:sz w:val="21"/>
                <w:szCs w:val="21"/>
                <w:color w:val="auto"/>
              </w:rPr>
              <w:t>Dissolution; Merger</w:t>
            </w:r>
          </w:p>
        </w:tc>
        <w:tc>
          <w:tcPr>
            <w:tcW w:w="22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000" w:type="dxa"/>
            <w:vAlign w:val="bottom"/>
            <w:gridSpan w:val="2"/>
            <w:vMerge w:val="restart"/>
          </w:tcPr>
          <w:p>
            <w:pPr>
              <w:ind w:left="880"/>
              <w:spacing w:after="0"/>
              <w:rPr>
                <w:sz w:val="20"/>
                <w:szCs w:val="20"/>
                <w:color w:val="auto"/>
              </w:rPr>
            </w:pPr>
            <w:r>
              <w:rPr>
                <w:rFonts w:ascii="Times New Roman" w:cs="Times New Roman" w:eastAsia="Times New Roman" w:hAnsi="Times New Roman"/>
                <w:sz w:val="21"/>
                <w:szCs w:val="21"/>
                <w:color w:val="auto"/>
              </w:rPr>
              <w:t>7 4.5   Financial Statements</w:t>
            </w:r>
          </w:p>
        </w:tc>
        <w:tc>
          <w:tcPr>
            <w:tcW w:w="0" w:type="dxa"/>
            <w:vAlign w:val="bottom"/>
          </w:tcPr>
          <w:p>
            <w:pPr>
              <w:spacing w:after="0"/>
              <w:rPr>
                <w:sz w:val="1"/>
                <w:szCs w:val="1"/>
                <w:color w:val="auto"/>
              </w:rPr>
            </w:pPr>
          </w:p>
        </w:tc>
      </w:tr>
      <w:tr>
        <w:trPr>
          <w:trHeight w:val="267"/>
        </w:trPr>
        <w:tc>
          <w:tcPr>
            <w:tcW w:w="880" w:type="dxa"/>
            <w:vAlign w:val="bottom"/>
            <w:gridSpan w:val="2"/>
            <w:vMerge w:val="continue"/>
          </w:tcPr>
          <w:p>
            <w:pPr>
              <w:spacing w:after="0"/>
              <w:rPr>
                <w:sz w:val="23"/>
                <w:szCs w:val="23"/>
                <w:color w:val="auto"/>
              </w:rPr>
            </w:pPr>
          </w:p>
        </w:tc>
        <w:tc>
          <w:tcPr>
            <w:tcW w:w="3600" w:type="dxa"/>
            <w:vAlign w:val="bottom"/>
            <w:vMerge w:val="continue"/>
          </w:tcPr>
          <w:p>
            <w:pPr>
              <w:spacing w:after="0"/>
              <w:rPr>
                <w:sz w:val="23"/>
                <w:szCs w:val="23"/>
                <w:color w:val="auto"/>
              </w:rPr>
            </w:pPr>
          </w:p>
        </w:tc>
        <w:tc>
          <w:tcPr>
            <w:tcW w:w="2280" w:type="dxa"/>
            <w:vAlign w:val="bottom"/>
            <w:vMerge w:val="restart"/>
          </w:tcPr>
          <w:p>
            <w:pPr>
              <w:jc w:val="right"/>
              <w:ind w:right="833"/>
              <w:spacing w:after="0"/>
              <w:rPr>
                <w:sz w:val="20"/>
                <w:szCs w:val="20"/>
                <w:color w:val="auto"/>
              </w:rPr>
            </w:pPr>
            <w:r>
              <w:rPr>
                <w:rFonts w:ascii="Times New Roman" w:cs="Times New Roman" w:eastAsia="Times New Roman" w:hAnsi="Times New Roman"/>
                <w:sz w:val="21"/>
                <w:szCs w:val="21"/>
                <w:color w:val="auto"/>
              </w:rPr>
              <w:t>7</w:t>
            </w:r>
          </w:p>
        </w:tc>
        <w:tc>
          <w:tcPr>
            <w:tcW w:w="480" w:type="dxa"/>
            <w:vAlign w:val="bottom"/>
          </w:tcPr>
          <w:p>
            <w:pPr>
              <w:spacing w:after="0"/>
              <w:rPr>
                <w:sz w:val="23"/>
                <w:szCs w:val="23"/>
                <w:color w:val="auto"/>
              </w:rPr>
            </w:pPr>
          </w:p>
        </w:tc>
        <w:tc>
          <w:tcPr>
            <w:tcW w:w="40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28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4.6</w:t>
            </w:r>
          </w:p>
        </w:tc>
        <w:tc>
          <w:tcPr>
            <w:tcW w:w="660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95"/>
              </w:rPr>
              <w:t>Required Credit Criteria and Required Credit Support ............................................</w:t>
            </w: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24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w w:val="89"/>
              </w:rPr>
              <w:t>ARTICLE V. SUBORDINATION; SUBROGATION; ETC. ........................................................</w:t>
            </w:r>
          </w:p>
        </w:tc>
        <w:tc>
          <w:tcPr>
            <w:tcW w:w="3560" w:type="dxa"/>
            <w:vAlign w:val="bottom"/>
          </w:tcPr>
          <w:p>
            <w:pPr>
              <w:ind w:left="900"/>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Taxes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5.2</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Subordination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5.3</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Waiver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5.4</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Subrogation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5.5</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Reinstatement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11</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5.6</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Limitations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71"/>
              </w:rPr>
              <w:t>ARTICLE VI. MISCELLANEOUS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61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6.1</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Successions or Assignments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6.2</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Public Announcements ..........................................................................................</w:t>
            </w:r>
          </w:p>
        </w:tc>
        <w:tc>
          <w:tcPr>
            <w:tcW w:w="2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640" w:type="dxa"/>
            <w:vAlign w:val="bottom"/>
          </w:tcPr>
          <w:p>
            <w:pPr>
              <w:spacing w:after="0"/>
              <w:rPr>
                <w:sz w:val="24"/>
                <w:szCs w:val="24"/>
                <w:color w:val="auto"/>
              </w:rPr>
            </w:pP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6"/>
                <w:szCs w:val="6"/>
                <w:color w:val="auto"/>
                <w:w w:val="72"/>
                <w:vertAlign w:val="superscript"/>
              </w:rPr>
              <w:t>6.................................................................................................................</w:t>
            </w:r>
            <w:r>
              <w:rPr>
                <w:rFonts w:ascii="Times New Roman" w:cs="Times New Roman" w:eastAsia="Times New Roman" w:hAnsi="Times New Roman"/>
                <w:sz w:val="6"/>
                <w:szCs w:val="6"/>
                <w:color w:val="auto"/>
                <w:w w:val="72"/>
                <w:vertAlign w:val="subscript"/>
              </w:rPr>
              <w:t>............................................................................................................</w:t>
            </w:r>
            <w:r>
              <w:rPr>
                <w:rFonts w:ascii="Times New Roman" w:cs="Times New Roman" w:eastAsia="Times New Roman" w:hAnsi="Times New Roman"/>
                <w:sz w:val="6"/>
                <w:szCs w:val="6"/>
                <w:color w:val="auto"/>
                <w:w w:val="72"/>
                <w:vertAlign w:val="superscript"/>
              </w:rPr>
              <w:t>3NoWaiver..............................................................................................................</w:t>
            </w:r>
            <w:r>
              <w:rPr>
                <w:rFonts w:ascii="Times New Roman" w:cs="Times New Roman" w:eastAsia="Times New Roman" w:hAnsi="Times New Roman"/>
                <w:sz w:val="6"/>
                <w:szCs w:val="6"/>
                <w:color w:val="auto"/>
                <w:w w:val="72"/>
                <w:vertAlign w:val="subscript"/>
              </w:rPr>
              <w:t>..........................................................................................................</w:t>
            </w:r>
            <w:r>
              <w:rPr>
                <w:rFonts w:ascii="Times New Roman" w:cs="Times New Roman" w:eastAsia="Times New Roman" w:hAnsi="Times New Roman"/>
                <w:sz w:val="3"/>
                <w:szCs w:val="3"/>
                <w:color w:val="auto"/>
                <w:w w:val="72"/>
              </w:rPr>
              <w:t>............................................................................................</w:t>
            </w:r>
          </w:p>
        </w:tc>
        <w:tc>
          <w:tcPr>
            <w:tcW w:w="27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21"/>
                <w:szCs w:val="21"/>
                <w:color w:val="auto"/>
              </w:rPr>
              <w:t>12</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21"/>
                <w:szCs w:val="21"/>
                <w:color w:val="auto"/>
              </w:rPr>
              <w:t>12 6.4 Headings</w:t>
            </w:r>
          </w:p>
        </w:tc>
        <w:tc>
          <w:tcPr>
            <w:tcW w:w="0" w:type="dxa"/>
            <w:vAlign w:val="bottom"/>
          </w:tcPr>
          <w:p>
            <w:pPr>
              <w:spacing w:after="0"/>
              <w:rPr>
                <w:sz w:val="1"/>
                <w:szCs w:val="1"/>
                <w:color w:val="auto"/>
              </w:rPr>
            </w:pPr>
          </w:p>
        </w:tc>
      </w:tr>
      <w:tr>
        <w:trPr>
          <w:trHeight w:val="64"/>
        </w:trPr>
        <w:tc>
          <w:tcPr>
            <w:tcW w:w="640" w:type="dxa"/>
            <w:vAlign w:val="bottom"/>
          </w:tcPr>
          <w:p>
            <w:pPr>
              <w:spacing w:after="0"/>
              <w:rPr>
                <w:sz w:val="5"/>
                <w:szCs w:val="5"/>
                <w:color w:val="auto"/>
              </w:rPr>
            </w:pPr>
          </w:p>
        </w:tc>
        <w:tc>
          <w:tcPr>
            <w:tcW w:w="3840" w:type="dxa"/>
            <w:vAlign w:val="bottom"/>
            <w:gridSpan w:val="2"/>
            <w:vMerge w:val="restart"/>
          </w:tcPr>
          <w:p>
            <w:pPr>
              <w:jc w:val="right"/>
              <w:ind w:right="1537"/>
              <w:spacing w:after="0"/>
              <w:rPr>
                <w:sz w:val="20"/>
                <w:szCs w:val="20"/>
                <w:color w:val="auto"/>
              </w:rPr>
            </w:pPr>
            <w:r>
              <w:rPr>
                <w:rFonts w:ascii="Times New Roman" w:cs="Times New Roman" w:eastAsia="Times New Roman" w:hAnsi="Times New Roman"/>
                <w:sz w:val="21"/>
                <w:szCs w:val="21"/>
                <w:color w:val="auto"/>
              </w:rPr>
              <w:t>6.5 Remedies Cumulative</w:t>
            </w:r>
          </w:p>
        </w:tc>
        <w:tc>
          <w:tcPr>
            <w:tcW w:w="2760" w:type="dxa"/>
            <w:vAlign w:val="bottom"/>
            <w:gridSpan w:val="2"/>
            <w:vMerge w:val="continue"/>
          </w:tcPr>
          <w:p>
            <w:pPr>
              <w:spacing w:after="0"/>
              <w:rPr>
                <w:sz w:val="5"/>
                <w:szCs w:val="5"/>
                <w:color w:val="auto"/>
              </w:rPr>
            </w:pPr>
          </w:p>
        </w:tc>
        <w:tc>
          <w:tcPr>
            <w:tcW w:w="4000" w:type="dxa"/>
            <w:vAlign w:val="bottom"/>
            <w:gridSpan w:val="2"/>
            <w:vMerge w:val="restart"/>
          </w:tcPr>
          <w:p>
            <w:pPr>
              <w:ind w:left="600"/>
              <w:spacing w:after="0"/>
              <w:rPr>
                <w:sz w:val="20"/>
                <w:szCs w:val="20"/>
                <w:color w:val="auto"/>
              </w:rPr>
            </w:pPr>
            <w:r>
              <w:rPr>
                <w:rFonts w:ascii="Times New Roman" w:cs="Times New Roman" w:eastAsia="Times New Roman" w:hAnsi="Times New Roman"/>
                <w:sz w:val="21"/>
                <w:szCs w:val="21"/>
                <w:color w:val="auto"/>
              </w:rPr>
              <w:t>13 6.6 Severability</w:t>
            </w:r>
          </w:p>
        </w:tc>
        <w:tc>
          <w:tcPr>
            <w:tcW w:w="0" w:type="dxa"/>
            <w:vAlign w:val="bottom"/>
          </w:tcPr>
          <w:p>
            <w:pPr>
              <w:spacing w:after="0"/>
              <w:rPr>
                <w:sz w:val="1"/>
                <w:szCs w:val="1"/>
                <w:color w:val="auto"/>
              </w:rPr>
            </w:pPr>
          </w:p>
        </w:tc>
      </w:tr>
      <w:tr>
        <w:trPr>
          <w:trHeight w:val="254"/>
        </w:trPr>
        <w:tc>
          <w:tcPr>
            <w:tcW w:w="640" w:type="dxa"/>
            <w:vAlign w:val="bottom"/>
          </w:tcPr>
          <w:p>
            <w:pPr>
              <w:spacing w:after="0"/>
              <w:rPr>
                <w:sz w:val="22"/>
                <w:szCs w:val="22"/>
                <w:color w:val="auto"/>
              </w:rPr>
            </w:pPr>
          </w:p>
        </w:tc>
        <w:tc>
          <w:tcPr>
            <w:tcW w:w="3840" w:type="dxa"/>
            <w:vAlign w:val="bottom"/>
            <w:gridSpan w:val="2"/>
            <w:vMerge w:val="continue"/>
          </w:tcPr>
          <w:p>
            <w:pPr>
              <w:spacing w:after="0"/>
              <w:rPr>
                <w:sz w:val="22"/>
                <w:szCs w:val="22"/>
                <w:color w:val="auto"/>
              </w:rPr>
            </w:pPr>
          </w:p>
        </w:tc>
        <w:tc>
          <w:tcPr>
            <w:tcW w:w="2280" w:type="dxa"/>
            <w:vAlign w:val="bottom"/>
            <w:vMerge w:val="restart"/>
          </w:tcPr>
          <w:p>
            <w:pPr>
              <w:jc w:val="right"/>
              <w:ind w:right="13"/>
              <w:spacing w:after="0"/>
              <w:rPr>
                <w:sz w:val="20"/>
                <w:szCs w:val="20"/>
                <w:color w:val="auto"/>
              </w:rPr>
            </w:pPr>
            <w:r>
              <w:rPr>
                <w:rFonts w:ascii="Times New Roman" w:cs="Times New Roman" w:eastAsia="Times New Roman" w:hAnsi="Times New Roman"/>
                <w:sz w:val="21"/>
                <w:szCs w:val="21"/>
                <w:color w:val="auto"/>
              </w:rPr>
              <w:t>13</w:t>
            </w:r>
          </w:p>
        </w:tc>
        <w:tc>
          <w:tcPr>
            <w:tcW w:w="480" w:type="dxa"/>
            <w:vAlign w:val="bottom"/>
          </w:tcPr>
          <w:p>
            <w:pPr>
              <w:spacing w:after="0"/>
              <w:rPr>
                <w:sz w:val="22"/>
                <w:szCs w:val="22"/>
                <w:color w:val="auto"/>
              </w:rPr>
            </w:pPr>
          </w:p>
        </w:tc>
        <w:tc>
          <w:tcPr>
            <w:tcW w:w="4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21"/>
                <w:szCs w:val="21"/>
                <w:color w:val="auto"/>
              </w:rPr>
              <w:t>6.7</w:t>
            </w:r>
          </w:p>
        </w:tc>
        <w:tc>
          <w:tcPr>
            <w:tcW w:w="3840" w:type="dxa"/>
            <w:vAlign w:val="bottom"/>
            <w:gridSpan w:val="2"/>
            <w:vMerge w:val="restart"/>
          </w:tcPr>
          <w:p>
            <w:pPr>
              <w:jc w:val="right"/>
              <w:ind w:right="2497"/>
              <w:spacing w:after="0"/>
              <w:rPr>
                <w:sz w:val="20"/>
                <w:szCs w:val="20"/>
                <w:color w:val="auto"/>
              </w:rPr>
            </w:pPr>
            <w:r>
              <w:rPr>
                <w:rFonts w:ascii="Times New Roman" w:cs="Times New Roman" w:eastAsia="Times New Roman" w:hAnsi="Times New Roman"/>
                <w:sz w:val="21"/>
                <w:szCs w:val="21"/>
                <w:color w:val="auto"/>
              </w:rPr>
              <w:t>Amendments</w:t>
            </w:r>
          </w:p>
        </w:tc>
        <w:tc>
          <w:tcPr>
            <w:tcW w:w="228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vMerge w:val="restart"/>
          </w:tcPr>
          <w:p>
            <w:pPr>
              <w:jc w:val="right"/>
              <w:ind w:right="2853"/>
              <w:spacing w:after="0"/>
              <w:rPr>
                <w:sz w:val="20"/>
                <w:szCs w:val="20"/>
                <w:color w:val="auto"/>
              </w:rPr>
            </w:pPr>
            <w:r>
              <w:rPr>
                <w:rFonts w:ascii="Times New Roman" w:cs="Times New Roman" w:eastAsia="Times New Roman" w:hAnsi="Times New Roman"/>
                <w:sz w:val="21"/>
                <w:szCs w:val="21"/>
                <w:color w:val="auto"/>
              </w:rPr>
              <w:t>13</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40" w:type="dxa"/>
            <w:vAlign w:val="bottom"/>
            <w:vMerge w:val="continue"/>
          </w:tcPr>
          <w:p>
            <w:pPr>
              <w:spacing w:after="0"/>
              <w:rPr>
                <w:sz w:val="22"/>
                <w:szCs w:val="22"/>
                <w:color w:val="auto"/>
              </w:rPr>
            </w:pPr>
          </w:p>
        </w:tc>
        <w:tc>
          <w:tcPr>
            <w:tcW w:w="3840" w:type="dxa"/>
            <w:vAlign w:val="bottom"/>
            <w:gridSpan w:val="2"/>
            <w:vMerge w:val="continue"/>
          </w:tcPr>
          <w:p>
            <w:pPr>
              <w:spacing w:after="0"/>
              <w:rPr>
                <w:sz w:val="22"/>
                <w:szCs w:val="22"/>
                <w:color w:val="auto"/>
              </w:rPr>
            </w:pPr>
          </w:p>
        </w:tc>
        <w:tc>
          <w:tcPr>
            <w:tcW w:w="2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56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24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6.8   Governing Law; Choice of Forum; Waiver of Jury Trial ......................................</w:t>
            </w:r>
          </w:p>
        </w:tc>
        <w:tc>
          <w:tcPr>
            <w:tcW w:w="40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13 6.9   Entire Agreement; No Other</w:t>
            </w:r>
          </w:p>
        </w:tc>
        <w:tc>
          <w:tcPr>
            <w:tcW w:w="0" w:type="dxa"/>
            <w:vAlign w:val="bottom"/>
          </w:tcPr>
          <w:p>
            <w:pPr>
              <w:spacing w:after="0"/>
              <w:rPr>
                <w:sz w:val="1"/>
                <w:szCs w:val="1"/>
                <w:color w:val="auto"/>
              </w:rPr>
            </w:pPr>
          </w:p>
        </w:tc>
      </w:tr>
      <w:tr>
        <w:trPr>
          <w:trHeight w:val="267"/>
        </w:trPr>
        <w:tc>
          <w:tcPr>
            <w:tcW w:w="448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Representations .......................................................</w:t>
            </w:r>
          </w:p>
        </w:tc>
        <w:tc>
          <w:tcPr>
            <w:tcW w:w="2280" w:type="dxa"/>
            <w:vAlign w:val="bottom"/>
          </w:tcPr>
          <w:p>
            <w:pPr>
              <w:jc w:val="right"/>
              <w:ind w:right="1553"/>
              <w:spacing w:after="0"/>
              <w:rPr>
                <w:sz w:val="20"/>
                <w:szCs w:val="20"/>
                <w:color w:val="auto"/>
              </w:rPr>
            </w:pPr>
            <w:r>
              <w:rPr>
                <w:rFonts w:ascii="Times New Roman" w:cs="Times New Roman" w:eastAsia="Times New Roman" w:hAnsi="Times New Roman"/>
                <w:sz w:val="21"/>
                <w:szCs w:val="21"/>
                <w:color w:val="auto"/>
              </w:rPr>
              <w:t>13</w:t>
            </w:r>
          </w:p>
        </w:tc>
        <w:tc>
          <w:tcPr>
            <w:tcW w:w="4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640" w:type="dxa"/>
            <w:vAlign w:val="bottom"/>
          </w:tcPr>
          <w:p>
            <w:pPr>
              <w:spacing w:after="0"/>
              <w:rPr>
                <w:sz w:val="24"/>
                <w:szCs w:val="24"/>
                <w:color w:val="auto"/>
              </w:rPr>
            </w:pP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5"/>
                <w:vertAlign w:val="superscript"/>
              </w:rPr>
              <w:t>6.</w:t>
            </w:r>
            <w:r>
              <w:rPr>
                <w:rFonts w:ascii="Times New Roman" w:cs="Times New Roman" w:eastAsia="Times New Roman" w:hAnsi="Times New Roman"/>
                <w:sz w:val="5"/>
                <w:szCs w:val="5"/>
                <w:color w:val="auto"/>
                <w:w w:val="75"/>
              </w:rPr>
              <w:t>.................................................................................</w:t>
            </w:r>
            <w:r>
              <w:rPr>
                <w:rFonts w:ascii="Times New Roman" w:cs="Times New Roman" w:eastAsia="Times New Roman" w:hAnsi="Times New Roman"/>
                <w:sz w:val="10"/>
                <w:szCs w:val="10"/>
                <w:color w:val="auto"/>
                <w:w w:val="75"/>
                <w:vertAlign w:val="superscript"/>
              </w:rPr>
              <w:t>10Notices...................................................................................................................</w:t>
            </w:r>
            <w:r>
              <w:rPr>
                <w:rFonts w:ascii="Times New Roman" w:cs="Times New Roman" w:eastAsia="Times New Roman" w:hAnsi="Times New Roman"/>
                <w:sz w:val="10"/>
                <w:szCs w:val="10"/>
                <w:color w:val="auto"/>
                <w:w w:val="75"/>
                <w:vertAlign w:val="subscript"/>
              </w:rPr>
              <w:t>...........................................................................................................</w:t>
            </w:r>
          </w:p>
        </w:tc>
        <w:tc>
          <w:tcPr>
            <w:tcW w:w="2280" w:type="dxa"/>
            <w:vAlign w:val="bottom"/>
            <w:vMerge w:val="restart"/>
          </w:tcPr>
          <w:p>
            <w:pPr>
              <w:jc w:val="right"/>
              <w:ind w:right="1453"/>
              <w:spacing w:after="0"/>
              <w:rPr>
                <w:sz w:val="20"/>
                <w:szCs w:val="20"/>
                <w:color w:val="auto"/>
              </w:rPr>
            </w:pPr>
            <w:r>
              <w:rPr>
                <w:rFonts w:ascii="Times New Roman" w:cs="Times New Roman" w:eastAsia="Times New Roman" w:hAnsi="Times New Roman"/>
                <w:sz w:val="21"/>
                <w:szCs w:val="21"/>
                <w:color w:val="auto"/>
              </w:rPr>
              <w:t>14</w:t>
            </w:r>
          </w:p>
        </w:tc>
        <w:tc>
          <w:tcPr>
            <w:tcW w:w="480" w:type="dxa"/>
            <w:vAlign w:val="bottom"/>
          </w:tcPr>
          <w:p>
            <w:pPr>
              <w:spacing w:after="0"/>
              <w:rPr>
                <w:sz w:val="24"/>
                <w:szCs w:val="24"/>
                <w:color w:val="auto"/>
              </w:rPr>
            </w:pPr>
          </w:p>
        </w:tc>
        <w:tc>
          <w:tcPr>
            <w:tcW w:w="4000" w:type="dxa"/>
            <w:vAlign w:val="bottom"/>
            <w:gridSpan w:val="2"/>
          </w:tcPr>
          <w:p>
            <w:pPr>
              <w:ind w:left="680"/>
              <w:spacing w:after="0"/>
              <w:rPr>
                <w:sz w:val="20"/>
                <w:szCs w:val="20"/>
                <w:color w:val="auto"/>
              </w:rPr>
            </w:pPr>
            <w:r>
              <w:rPr>
                <w:rFonts w:ascii="Times New Roman" w:cs="Times New Roman" w:eastAsia="Times New Roman" w:hAnsi="Times New Roman"/>
                <w:sz w:val="21"/>
                <w:szCs w:val="21"/>
                <w:color w:val="auto"/>
              </w:rPr>
              <w:t>14 6.11 Collection Expenses; Set-Off</w:t>
            </w:r>
          </w:p>
        </w:tc>
        <w:tc>
          <w:tcPr>
            <w:tcW w:w="0" w:type="dxa"/>
            <w:vAlign w:val="bottom"/>
          </w:tcPr>
          <w:p>
            <w:pPr>
              <w:spacing w:after="0"/>
              <w:rPr>
                <w:sz w:val="1"/>
                <w:szCs w:val="1"/>
                <w:color w:val="auto"/>
              </w:rPr>
            </w:pPr>
          </w:p>
        </w:tc>
      </w:tr>
      <w:tr>
        <w:trPr>
          <w:trHeight w:val="64"/>
        </w:trPr>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21"/>
                <w:szCs w:val="21"/>
                <w:color w:val="auto"/>
              </w:rPr>
              <w:t>6.12</w:t>
            </w:r>
          </w:p>
        </w:tc>
        <w:tc>
          <w:tcPr>
            <w:tcW w:w="240" w:type="dxa"/>
            <w:vAlign w:val="bottom"/>
          </w:tcPr>
          <w:p>
            <w:pPr>
              <w:spacing w:after="0"/>
              <w:rPr>
                <w:sz w:val="5"/>
                <w:szCs w:val="5"/>
                <w:color w:val="auto"/>
              </w:rPr>
            </w:pPr>
          </w:p>
        </w:tc>
        <w:tc>
          <w:tcPr>
            <w:tcW w:w="3600" w:type="dxa"/>
            <w:vAlign w:val="bottom"/>
            <w:vMerge w:val="restart"/>
          </w:tcPr>
          <w:p>
            <w:pPr>
              <w:jc w:val="right"/>
              <w:ind w:right="2417"/>
              <w:spacing w:after="0"/>
              <w:rPr>
                <w:sz w:val="20"/>
                <w:szCs w:val="20"/>
                <w:color w:val="auto"/>
              </w:rPr>
            </w:pPr>
            <w:r>
              <w:rPr>
                <w:rFonts w:ascii="Times New Roman" w:cs="Times New Roman" w:eastAsia="Times New Roman" w:hAnsi="Times New Roman"/>
                <w:sz w:val="21"/>
                <w:szCs w:val="21"/>
                <w:color w:val="auto"/>
                <w:w w:val="99"/>
              </w:rPr>
              <w:t>Counterparts</w:t>
            </w:r>
          </w:p>
        </w:tc>
        <w:tc>
          <w:tcPr>
            <w:tcW w:w="22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560" w:type="dxa"/>
            <w:vAlign w:val="bottom"/>
            <w:vMerge w:val="restart"/>
          </w:tcPr>
          <w:p>
            <w:pPr>
              <w:jc w:val="right"/>
              <w:ind w:right="2733"/>
              <w:spacing w:after="0"/>
              <w:rPr>
                <w:sz w:val="20"/>
                <w:szCs w:val="20"/>
                <w:color w:val="auto"/>
              </w:rPr>
            </w:pPr>
            <w:r>
              <w:rPr>
                <w:rFonts w:ascii="Times New Roman" w:cs="Times New Roman" w:eastAsia="Times New Roman" w:hAnsi="Times New Roman"/>
                <w:sz w:val="21"/>
                <w:szCs w:val="21"/>
                <w:color w:val="auto"/>
              </w:rPr>
              <w:t>14</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3600" w:type="dxa"/>
            <w:vAlign w:val="bottom"/>
            <w:vMerge w:val="continue"/>
          </w:tcPr>
          <w:p>
            <w:pPr>
              <w:spacing w:after="0"/>
              <w:rPr>
                <w:sz w:val="22"/>
                <w:szCs w:val="22"/>
                <w:color w:val="auto"/>
              </w:rPr>
            </w:pPr>
          </w:p>
        </w:tc>
        <w:tc>
          <w:tcPr>
            <w:tcW w:w="2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56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6.13</w:t>
            </w:r>
          </w:p>
        </w:tc>
        <w:tc>
          <w:tcPr>
            <w:tcW w:w="24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4"/>
              </w:rPr>
              <w:t>Time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753"/>
              <w:spacing w:after="0"/>
              <w:rPr>
                <w:sz w:val="20"/>
                <w:szCs w:val="20"/>
                <w:color w:val="auto"/>
              </w:rPr>
            </w:pPr>
            <w:r>
              <w:rPr>
                <w:rFonts w:ascii="Times New Roman" w:cs="Times New Roman" w:eastAsia="Times New Roman" w:hAnsi="Times New Roman"/>
                <w:sz w:val="21"/>
                <w:szCs w:val="21"/>
                <w:color w:val="auto"/>
              </w:rPr>
              <w:t>15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6.14</w:t>
            </w:r>
          </w:p>
        </w:tc>
        <w:tc>
          <w:tcPr>
            <w:tcW w:w="24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4"/>
              </w:rPr>
              <w:t>Termination ............................................................................................................</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733"/>
              <w:spacing w:after="0"/>
              <w:rPr>
                <w:sz w:val="20"/>
                <w:szCs w:val="20"/>
                <w:color w:val="auto"/>
              </w:rPr>
            </w:pPr>
            <w:r>
              <w:rPr>
                <w:rFonts w:ascii="Times New Roman" w:cs="Times New Roman" w:eastAsia="Times New Roman" w:hAnsi="Times New Roman"/>
                <w:sz w:val="21"/>
                <w:szCs w:val="21"/>
                <w:color w:val="auto"/>
              </w:rPr>
              <w:t>15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07" w:right="339" w:bottom="1440" w:gutter="0" w:footer="0" w:header="0"/>
        </w:sectPr>
      </w:pPr>
    </w:p>
    <w:bookmarkStart w:id="218" w:name="page219"/>
    <w:bookmarkEnd w:id="218"/>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GUARANTY</w:t>
      </w:r>
    </w:p>
    <w:p>
      <w:pPr>
        <w:spacing w:after="0" w:line="224"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GUARANTY</w:t>
      </w:r>
      <w:r>
        <w:rPr>
          <w:rFonts w:ascii="Times New Roman" w:cs="Times New Roman" w:eastAsia="Times New Roman" w:hAnsi="Times New Roman"/>
          <w:sz w:val="21"/>
          <w:szCs w:val="21"/>
          <w:color w:val="auto"/>
        </w:rPr>
        <w:t>, dated as of June 20, 2025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(as amended, amended and restated, supplemented or otherwise modified from time to time,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entered by OPAL FUELS INC., a Delaware corporation, (the “</w:t>
      </w:r>
      <w:r>
        <w:rPr>
          <w:rFonts w:ascii="Times New Roman" w:cs="Times New Roman" w:eastAsia="Times New Roman" w:hAnsi="Times New Roman"/>
          <w:sz w:val="21"/>
          <w:szCs w:val="21"/>
          <w:b w:val="1"/>
          <w:bCs w:val="1"/>
          <w:i w:val="1"/>
          <w:iCs w:val="1"/>
          <w:color w:val="auto"/>
        </w:rPr>
        <w:t>Guarantor</w:t>
      </w:r>
      <w:r>
        <w:rPr>
          <w:rFonts w:ascii="Times New Roman" w:cs="Times New Roman" w:eastAsia="Times New Roman" w:hAnsi="Times New Roman"/>
          <w:sz w:val="21"/>
          <w:szCs w:val="21"/>
          <w:color w:val="auto"/>
        </w:rPr>
        <w:t>”), in favor of EagleBank, a Maryland charter commercial bank (“</w:t>
      </w:r>
      <w:r>
        <w:rPr>
          <w:rFonts w:ascii="Times New Roman" w:cs="Times New Roman" w:eastAsia="Times New Roman" w:hAnsi="Times New Roman"/>
          <w:sz w:val="21"/>
          <w:szCs w:val="21"/>
          <w:b w:val="1"/>
          <w:bCs w:val="1"/>
          <w:i w:val="1"/>
          <w:iCs w:val="1"/>
          <w:color w:val="auto"/>
        </w:rPr>
        <w:t>Buyer</w:t>
      </w:r>
      <w:r>
        <w:rPr>
          <w:rFonts w:ascii="Times New Roman" w:cs="Times New Roman" w:eastAsia="Times New Roman" w:hAnsi="Times New Roman"/>
          <w:sz w:val="21"/>
          <w:szCs w:val="21"/>
          <w:color w:val="auto"/>
        </w:rPr>
        <w:t>” and, together with the Guarantor, collectively,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26" w:lineRule="exact"/>
        <w:rPr>
          <w:sz w:val="20"/>
          <w:szCs w:val="20"/>
          <w:color w:val="auto"/>
        </w:rPr>
      </w:pPr>
    </w:p>
    <w:p>
      <w:pPr>
        <w:ind w:left="1280" w:hanging="632"/>
        <w:spacing w:after="0"/>
        <w:tabs>
          <w:tab w:leader="none" w:pos="128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owns 100% of the Class A Units in Opal Fuels, LLC, a Delaware limited liability company</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Seller</w:t>
      </w:r>
      <w:r>
        <w:rPr>
          <w:rFonts w:ascii="Times New Roman" w:cs="Times New Roman" w:eastAsia="Times New Roman" w:hAnsi="Times New Roman"/>
          <w:sz w:val="21"/>
          <w:szCs w:val="21"/>
          <w:color w:val="auto"/>
        </w:rPr>
        <w:t>”).</w:t>
      </w:r>
    </w:p>
    <w:p>
      <w:pPr>
        <w:spacing w:after="0" w:line="202" w:lineRule="exact"/>
        <w:rPr>
          <w:rFonts w:ascii="Times New Roman" w:cs="Times New Roman" w:eastAsia="Times New Roman" w:hAnsi="Times New Roman"/>
          <w:sz w:val="21"/>
          <w:szCs w:val="21"/>
          <w:color w:val="auto"/>
        </w:rPr>
      </w:pPr>
    </w:p>
    <w:p>
      <w:pPr>
        <w:jc w:val="both"/>
        <w:ind w:right="80" w:firstLine="648"/>
        <w:spacing w:after="0" w:line="262" w:lineRule="auto"/>
        <w:tabs>
          <w:tab w:leader="none" w:pos="1278"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has entered into that certain Tax Credit Purchase Agreement, dated as of the date hereof (as the same may be amended, modified or supplemented from time to time, the “</w:t>
      </w:r>
      <w:r>
        <w:rPr>
          <w:rFonts w:ascii="Times New Roman" w:cs="Times New Roman" w:eastAsia="Times New Roman" w:hAnsi="Times New Roman"/>
          <w:sz w:val="21"/>
          <w:szCs w:val="21"/>
          <w:b w:val="1"/>
          <w:bCs w:val="1"/>
          <w:i w:val="1"/>
          <w:iCs w:val="1"/>
          <w:color w:val="auto"/>
        </w:rPr>
        <w:t>Purchase Agreement</w:t>
      </w:r>
      <w:r>
        <w:rPr>
          <w:rFonts w:ascii="Times New Roman" w:cs="Times New Roman" w:eastAsia="Times New Roman" w:hAnsi="Times New Roman"/>
          <w:sz w:val="21"/>
          <w:szCs w:val="21"/>
          <w:color w:val="auto"/>
        </w:rPr>
        <w:t>”), by and between Seller and Buyer pursuant to which, among other things, Buyer will purchase certain renewable energy investment tax credits provided under Section 48 of the Internal Revenue Code of 1986 (“</w:t>
      </w:r>
      <w:r>
        <w:rPr>
          <w:rFonts w:ascii="Times New Roman" w:cs="Times New Roman" w:eastAsia="Times New Roman" w:hAnsi="Times New Roman"/>
          <w:sz w:val="21"/>
          <w:szCs w:val="21"/>
          <w:b w:val="1"/>
          <w:bCs w:val="1"/>
          <w:i w:val="1"/>
          <w:iCs w:val="1"/>
          <w:color w:val="auto"/>
        </w:rPr>
        <w:t>ITCs</w:t>
      </w:r>
      <w:r>
        <w:rPr>
          <w:rFonts w:ascii="Times New Roman" w:cs="Times New Roman" w:eastAsia="Times New Roman" w:hAnsi="Times New Roman"/>
          <w:sz w:val="21"/>
          <w:szCs w:val="21"/>
          <w:color w:val="auto"/>
        </w:rPr>
        <w:t>”) and generated by the project producing renewable natural gas from landfill gas more commonly referred to as Prince William RNG located in Manassas County, Virginia owned by Seller’s subsidiary Prince William RNG LLC, a Delaware limited liability company.</w:t>
      </w:r>
    </w:p>
    <w:p>
      <w:pPr>
        <w:spacing w:after="0" w:line="168" w:lineRule="exact"/>
        <w:rPr>
          <w:rFonts w:ascii="Times New Roman" w:cs="Times New Roman" w:eastAsia="Times New Roman" w:hAnsi="Times New Roman"/>
          <w:sz w:val="21"/>
          <w:szCs w:val="21"/>
          <w:color w:val="auto"/>
        </w:rPr>
      </w:pPr>
    </w:p>
    <w:p>
      <w:pPr>
        <w:ind w:right="100" w:firstLine="648"/>
        <w:spacing w:after="0" w:line="288" w:lineRule="auto"/>
        <w:tabs>
          <w:tab w:leader="none" w:pos="1278"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will derive economic benefit from the purchase of ITCs made by Buyer from the Seller (at the direction of the Seller) pursuant to the Purchase Agreement.</w:t>
      </w:r>
    </w:p>
    <w:p>
      <w:pPr>
        <w:spacing w:after="0" w:line="141" w:lineRule="exact"/>
        <w:rPr>
          <w:rFonts w:ascii="Times New Roman" w:cs="Times New Roman" w:eastAsia="Times New Roman" w:hAnsi="Times New Roman"/>
          <w:sz w:val="21"/>
          <w:szCs w:val="21"/>
          <w:color w:val="auto"/>
        </w:rPr>
      </w:pPr>
    </w:p>
    <w:p>
      <w:pPr>
        <w:ind w:right="100" w:firstLine="648"/>
        <w:spacing w:after="0" w:line="288" w:lineRule="auto"/>
        <w:tabs>
          <w:tab w:leader="none" w:pos="1276"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a condition precedent to the effectiveness of the Purchase Agreement that the Guarantor shall have executed and delivered this Agreement.</w:t>
      </w:r>
    </w:p>
    <w:p>
      <w:pPr>
        <w:spacing w:after="0" w:line="142" w:lineRule="exact"/>
        <w:rPr>
          <w:sz w:val="20"/>
          <w:szCs w:val="20"/>
          <w:color w:val="auto"/>
        </w:rPr>
      </w:pPr>
    </w:p>
    <w:p>
      <w:pPr>
        <w:jc w:val="both"/>
        <w:ind w:right="100" w:firstLine="641"/>
        <w:spacing w:after="0" w:line="270" w:lineRule="auto"/>
        <w:rPr>
          <w:sz w:val="20"/>
          <w:szCs w:val="20"/>
          <w:color w:val="auto"/>
        </w:rPr>
      </w:pPr>
      <w:r>
        <w:rPr>
          <w:rFonts w:ascii="Times New Roman" w:cs="Times New Roman" w:eastAsia="Times New Roman" w:hAnsi="Times New Roman"/>
          <w:sz w:val="21"/>
          <w:szCs w:val="21"/>
          <w:color w:val="auto"/>
        </w:rPr>
        <w:t>NOW, THEREFORE, in consideration of the promises contained herein, and to induce Buyer to enter into the Purchase Agreement and to consummate the transactions contemplated under the Purchase Agreement, and for other good and valuable consideration, the receipt and adequacy of which are hereby acknowledged, the Guarantor hereby agrees as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ARTICLE I. </w:t>
      </w:r>
      <w:r>
        <w:rPr>
          <w:rFonts w:ascii="Times New Roman" w:cs="Times New Roman" w:eastAsia="Times New Roman" w:hAnsi="Times New Roman"/>
          <w:sz w:val="21"/>
          <w:szCs w:val="21"/>
          <w:u w:val="single" w:color="auto"/>
          <w:color w:val="auto"/>
        </w:rPr>
        <w:t>DEFINITIONS</w:t>
      </w:r>
    </w:p>
    <w:p>
      <w:pPr>
        <w:spacing w:after="0" w:line="213" w:lineRule="exact"/>
        <w:rPr>
          <w:sz w:val="20"/>
          <w:szCs w:val="20"/>
          <w:color w:val="auto"/>
        </w:rPr>
      </w:pPr>
    </w:p>
    <w:p>
      <w:pPr>
        <w:jc w:val="both"/>
        <w:ind w:right="100" w:firstLine="641"/>
        <w:spacing w:after="0" w:line="302"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The following terms (whether or not underscored) when used in this Agreement, including its preamble and recitals, shall have the following meanings: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given in the p</w:t>
      </w:r>
      <w:r>
        <w:rPr>
          <w:rFonts w:ascii="Times New Roman" w:cs="Times New Roman" w:eastAsia="Times New Roman" w:hAnsi="Times New Roman"/>
          <w:sz w:val="21"/>
          <w:szCs w:val="21"/>
          <w:u w:val="single" w:color="auto"/>
          <w:color w:val="auto"/>
        </w:rPr>
        <w:t>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jc w:val="both"/>
        <w:ind w:right="100" w:firstLine="641"/>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means Title 11, United States Code, and any other state or federal insolvency, reorganization, moratorium or similar law for the relief of debtors.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jc w:val="both"/>
        <w:ind w:right="100" w:firstLine="641"/>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Credit Trigger</w:t>
      </w:r>
      <w:r>
        <w:rPr>
          <w:rFonts w:ascii="Times New Roman" w:cs="Times New Roman" w:eastAsia="Times New Roman" w:hAnsi="Times New Roman"/>
          <w:sz w:val="21"/>
          <w:szCs w:val="21"/>
          <w:color w:val="auto"/>
        </w:rPr>
        <w:t>” means (a) a 15% (or greater) decline in the Net Worth of the Guarantor from the Net Worth of the Guarantor as of the Effective Date, (b) the Guarantor takes any</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22"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1"/>
          <w:szCs w:val="21"/>
          <w:color w:val="auto"/>
        </w:rPr>
        <w:t>affirmative action to terminate, cancel or repudiate this Agreement or any of its material obligations hereunder (except in accordance with the express terms hereof), or (c) the Guarantor (i) institutes a voluntary case seeking liquidation or reorganization under the Bankruptcy Code or consents to the institution of an involuntary case thereunder against it, (ii) is generally not paying, or admits in writing its inability to pay, its debts generally as they become due, (iii)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(iv) makes a general assignment for the benefit of its creditors, (v) applies for or consents to the appointment of a custodian, receiver, trustee or other officer with similar powers with respect to it or with respect to any substantial part of its property, (vi) is adjudicated as insolvent or to be liquidated by a court of competent jurisdiction, or (vii) takes corporate action for the purpose of any of the foregoing.</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Guaranteed Obligations</w:t>
      </w:r>
      <w:r>
        <w:rPr>
          <w:rFonts w:ascii="Times New Roman" w:cs="Times New Roman" w:eastAsia="Times New Roman" w:hAnsi="Times New Roman"/>
          <w:sz w:val="21"/>
          <w:szCs w:val="21"/>
          <w:color w:val="auto"/>
        </w:rPr>
        <w:t xml:space="preserve">” has the meaning given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of this Agreement.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Guarantor</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ITCs</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 xml:space="preserve"> to this Agreement.</w:t>
      </w:r>
    </w:p>
    <w:p>
      <w:pPr>
        <w:spacing w:after="0" w:line="159" w:lineRule="exact"/>
        <w:rPr>
          <w:sz w:val="20"/>
          <w:szCs w:val="20"/>
          <w:color w:val="auto"/>
        </w:rPr>
      </w:pPr>
    </w:p>
    <w:p>
      <w:pPr>
        <w:ind w:firstLine="631"/>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Worth</w:t>
      </w:r>
      <w:r>
        <w:rPr>
          <w:rFonts w:ascii="Times New Roman" w:cs="Times New Roman" w:eastAsia="Times New Roman" w:hAnsi="Times New Roman"/>
          <w:sz w:val="21"/>
          <w:szCs w:val="21"/>
          <w:color w:val="auto"/>
        </w:rPr>
        <w:t>” means, at any time, the total assets less total liabilities of the Guarantor set forth on the Guarantor’s then most recent quarterly or annual balance sheet. As of the Effective Date, the Net Worth of the Guarantor is $464,000,000.</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xml:space="preserve">” have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Purchase Agreement</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 xml:space="preserve"> to this Agreement.</w:t>
      </w:r>
    </w:p>
    <w:p>
      <w:pPr>
        <w:spacing w:after="0" w:line="230" w:lineRule="exact"/>
        <w:rPr>
          <w:sz w:val="20"/>
          <w:szCs w:val="20"/>
          <w:color w:val="auto"/>
        </w:rPr>
      </w:pPr>
    </w:p>
    <w:p>
      <w:pPr>
        <w:jc w:val="both"/>
        <w:ind w:right="80" w:firstLine="641"/>
        <w:spacing w:after="0" w:line="28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General Definitions</w:t>
      </w:r>
      <w:r>
        <w:rPr>
          <w:rFonts w:ascii="Times New Roman" w:cs="Times New Roman" w:eastAsia="Times New Roman" w:hAnsi="Times New Roman"/>
          <w:sz w:val="21"/>
          <w:szCs w:val="21"/>
          <w:color w:val="auto"/>
        </w:rPr>
        <w:t>. Unless otherwise defined herein or unless the context otherwise requires, capitalized terms used in this Agreement, including its preamble and recitals, have the respective meanings set forth in the Purchase Agreement.</w:t>
      </w:r>
    </w:p>
    <w:p>
      <w:pPr>
        <w:spacing w:after="0" w:line="142" w:lineRule="exact"/>
        <w:rPr>
          <w:sz w:val="20"/>
          <w:szCs w:val="20"/>
          <w:color w:val="auto"/>
        </w:rPr>
      </w:pPr>
    </w:p>
    <w:p>
      <w:pPr>
        <w:jc w:val="both"/>
        <w:ind w:right="60" w:firstLine="641"/>
        <w:spacing w:after="0" w:line="288"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Rules of Interpretation</w:t>
      </w:r>
      <w:r>
        <w:rPr>
          <w:rFonts w:ascii="Times New Roman" w:cs="Times New Roman" w:eastAsia="Times New Roman" w:hAnsi="Times New Roman"/>
          <w:sz w:val="21"/>
          <w:szCs w:val="21"/>
          <w:color w:val="auto"/>
        </w:rPr>
        <w:t>. Unless otherwise provided herein, the rules of interpretation set forth in Section 6.2 of the Purchase Agreement shall apply to this Agreement, including its preamble and recitals.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xml:space="preserve">ARTICLE II. </w:t>
      </w:r>
      <w:r>
        <w:rPr>
          <w:rFonts w:ascii="Times New Roman" w:cs="Times New Roman" w:eastAsia="Times New Roman" w:hAnsi="Times New Roman"/>
          <w:sz w:val="21"/>
          <w:szCs w:val="21"/>
          <w:u w:val="single" w:color="auto"/>
          <w:color w:val="auto"/>
        </w:rPr>
        <w:t>GUARANTY</w:t>
      </w:r>
    </w:p>
    <w:p>
      <w:pPr>
        <w:spacing w:after="0" w:line="213" w:lineRule="exact"/>
        <w:rPr>
          <w:sz w:val="20"/>
          <w:szCs w:val="20"/>
          <w:color w:val="auto"/>
        </w:rPr>
      </w:pPr>
    </w:p>
    <w:p>
      <w:pPr>
        <w:jc w:val="both"/>
        <w:ind w:right="80" w:firstLine="641"/>
        <w:spacing w:after="0" w:line="277"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 The Guarantor hereby unconditionally, absolutely and irrevocably guarantees as primary obligor and not merely as surety, to Buyer the due, punctual and complete payment and performance by Seller of its obligations under the Purchase Agreement (collectively, the “</w:t>
      </w:r>
      <w:r>
        <w:rPr>
          <w:rFonts w:ascii="Times New Roman" w:cs="Times New Roman" w:eastAsia="Times New Roman" w:hAnsi="Times New Roman"/>
          <w:sz w:val="21"/>
          <w:szCs w:val="21"/>
          <w:b w:val="1"/>
          <w:bCs w:val="1"/>
          <w:i w:val="1"/>
          <w:iCs w:val="1"/>
          <w:color w:val="auto"/>
        </w:rPr>
        <w:t>Guaranteed Obligations</w:t>
      </w:r>
      <w:r>
        <w:rPr>
          <w:rFonts w:ascii="Times New Roman" w:cs="Times New Roman" w:eastAsia="Times New Roman" w:hAnsi="Times New Roman"/>
          <w:sz w:val="21"/>
          <w:szCs w:val="21"/>
          <w:color w:val="auto"/>
        </w:rPr>
        <w:t>”).</w:t>
      </w:r>
    </w:p>
    <w:p>
      <w:pPr>
        <w:sectPr>
          <w:pgSz w:w="11900" w:h="16838" w:orient="portrait"/>
          <w:cols w:equalWidth="0" w:num="1">
            <w:col w:w="11220"/>
          </w:cols>
          <w:pgMar w:left="320" w:top="1440" w:right="359" w:bottom="1440" w:gutter="0" w:footer="0" w:header="0"/>
        </w:sectPr>
      </w:pPr>
    </w:p>
    <w:bookmarkStart w:id="220" w:name="page221"/>
    <w:bookmarkEnd w:id="220"/>
    <w:p>
      <w:pPr>
        <w:spacing w:after="0" w:line="222" w:lineRule="exact"/>
        <w:rPr>
          <w:sz w:val="20"/>
          <w:szCs w:val="20"/>
          <w:color w:val="auto"/>
        </w:rPr>
      </w:pPr>
    </w:p>
    <w:p>
      <w:pPr>
        <w:jc w:val="both"/>
        <w:ind w:right="20" w:hanging="8"/>
        <w:spacing w:after="0" w:line="277" w:lineRule="auto"/>
        <w:rPr>
          <w:sz w:val="20"/>
          <w:szCs w:val="20"/>
          <w:color w:val="auto"/>
        </w:rPr>
      </w:pPr>
      <w:r>
        <w:rPr>
          <w:rFonts w:ascii="Times New Roman" w:cs="Times New Roman" w:eastAsia="Times New Roman" w:hAnsi="Times New Roman"/>
          <w:sz w:val="21"/>
          <w:szCs w:val="21"/>
          <w:color w:val="auto"/>
        </w:rPr>
        <w:t>The Guaranteed Obligations described above shall be due and payable by the Guarantor on demand (and in any event, no later than five Business Days after receipt of such written demand) in immediately available funds upon delivery by Buyer to Guarantor of a notice of failure by Seller to pay such Guaranteed Obligations.</w:t>
      </w:r>
    </w:p>
    <w:p>
      <w:pPr>
        <w:spacing w:after="0" w:line="166"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u w:val="single" w:color="auto"/>
          <w:color w:val="auto"/>
        </w:rPr>
        <w:t>Obligations Absolute and Unconditional</w:t>
      </w:r>
      <w:r>
        <w:rPr>
          <w:rFonts w:ascii="Times New Roman" w:cs="Times New Roman" w:eastAsia="Times New Roman" w:hAnsi="Times New Roman"/>
          <w:sz w:val="21"/>
          <w:szCs w:val="21"/>
          <w:color w:val="auto"/>
        </w:rPr>
        <w:t>.</w:t>
      </w:r>
    </w:p>
    <w:p>
      <w:pPr>
        <w:spacing w:after="0" w:line="253" w:lineRule="exact"/>
        <w:rPr>
          <w:sz w:val="20"/>
          <w:szCs w:val="20"/>
          <w:color w:val="auto"/>
        </w:rPr>
      </w:pPr>
    </w:p>
    <w:p>
      <w:pPr>
        <w:jc w:val="both"/>
        <w:ind w:firstLine="4110"/>
        <w:spacing w:after="0" w:line="258" w:lineRule="auto"/>
        <w:tabs>
          <w:tab w:leader="none" w:pos="4750"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Guarantor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are primary obligations of the Guarantor and are an absolute, unconditional, continuing and irrevocable guarantee of the Guaranteed Obligations and not of collectability, and are in no way conditioned on or contingent upon any attempt to enforce in whole or in part Seller’s or any other Person’s liabilities and obligations to Buyer. The obligations of the Guarantor shall constitute a guaranty of payment and not of collection, binding upon the Guarantor and its successors and assigns and irrevocable without regard to: (i) the genuineness, validity, legality or enforceability of the Purchase Agreement, (ii) the lack of power or authority of Seller or Project Company to enter into the Purchase Agreement or to consummate the transactions contemplated thereby, (iii) any substitution, release or exchange of any other guaranty or any other security for any of the Guaranteed Obligations or any of the obligations under the Purchase Agreement, or (iv) any other circumstance whatsoever that might otherwise constitute a legal or equitable discharge of a surety or guarantor other than the defense that the Guaranteed Obligations have been paid or otherwise discharged in full. The Guarantor shall forthwith pay each Guaranteed Obligation in immediately available funds as and when it is due. Each failure by the Guarantor to pay a Guaranteed Obligation or any other obligation hereunder shall give rise to a separate cause of action herewith, and separate suits may be brought hereunder as each cause of action arises whether or not any action is brought or prosecuted against Seller or any other Person and whether or not Seller or any other Person is joined in any action under this Agreement. Nothing herein shall prevent or preclude Buyer from delivering a demand for payment of any Guaranteed Obligation pursuant hereto concurrently with delivery to Seller of a Notice of a claim for indemnification under the Purchase Agreement.</w:t>
      </w:r>
    </w:p>
    <w:p>
      <w:pPr>
        <w:spacing w:after="0" w:line="187" w:lineRule="exact"/>
        <w:rPr>
          <w:rFonts w:ascii="Times New Roman" w:cs="Times New Roman" w:eastAsia="Times New Roman" w:hAnsi="Times New Roman"/>
          <w:sz w:val="21"/>
          <w:szCs w:val="21"/>
          <w:color w:val="auto"/>
        </w:rPr>
      </w:pPr>
    </w:p>
    <w:p>
      <w:pPr>
        <w:jc w:val="both"/>
        <w:ind w:firstLine="4239"/>
        <w:spacing w:after="0" w:line="283" w:lineRule="auto"/>
        <w:tabs>
          <w:tab w:leader="none" w:pos="4877"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the Guarantor shall have no right to terminate this Agreement, or to be released, relieved or discharged from its obligations hereunder except as provided herein.</w:t>
      </w:r>
    </w:p>
    <w:p>
      <w:pPr>
        <w:spacing w:after="0" w:line="160" w:lineRule="exact"/>
        <w:rPr>
          <w:rFonts w:ascii="Times New Roman" w:cs="Times New Roman" w:eastAsia="Times New Roman" w:hAnsi="Times New Roman"/>
          <w:sz w:val="21"/>
          <w:szCs w:val="21"/>
          <w:color w:val="auto"/>
        </w:rPr>
      </w:pPr>
    </w:p>
    <w:p>
      <w:pPr>
        <w:jc w:val="both"/>
        <w:ind w:firstLine="4022"/>
        <w:spacing w:after="0" w:line="263" w:lineRule="auto"/>
        <w:tabs>
          <w:tab w:leader="none" w:pos="4662"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waives (i) notice of acceptance of this Agreement, (ii) notice of all defaults or disputes with Seller, (iii) demand or presentment for payment to Seller or the making of any protest, (iv) notice of the amount of the Guaranteed Obligations outstanding at any time, (v) notice of any amendment, modification or waiver of or under the Purchase Agreement, and (vi) all other notices or demands not explicitly required hereunder. Each of Buyer and Seller (and their successors and assigns) may, at any time and from time to time (whether or not after revocation or termination of this Agreement) without the consent of or notice to the Guarantor, but solely in accordance with the Purchase Agreement, except such notice as may be required by Applicable Law which cannot be waived, without impairing or releasing the obligations of the Guarantor hereunder, upon or without any terms or conditions and in whole or in part:</w:t>
      </w:r>
    </w:p>
    <w:p>
      <w:pPr>
        <w:sectPr>
          <w:pgSz w:w="11900" w:h="16838" w:orient="portrait"/>
          <w:cols w:equalWidth="0" w:num="1">
            <w:col w:w="11160"/>
          </w:cols>
          <w:pgMar w:left="320" w:top="1440" w:right="419" w:bottom="1440" w:gutter="0" w:footer="0" w:header="0"/>
        </w:sectPr>
      </w:pPr>
    </w:p>
    <w:bookmarkStart w:id="221" w:name="page222"/>
    <w:bookmarkEnd w:id="221"/>
    <w:p>
      <w:pPr>
        <w:spacing w:after="0" w:line="222" w:lineRule="exact"/>
        <w:rPr>
          <w:sz w:val="20"/>
          <w:szCs w:val="20"/>
          <w:color w:val="auto"/>
        </w:rPr>
      </w:pPr>
    </w:p>
    <w:p>
      <w:pPr>
        <w:ind w:left="1920" w:hanging="630"/>
        <w:spacing w:after="0"/>
        <w:tabs>
          <w:tab w:leader="none" w:pos="192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consent to any change in the manner or place and terms of payment</w:t>
      </w:r>
    </w:p>
    <w:p>
      <w:pPr>
        <w:spacing w:after="0" w:line="39" w:lineRule="exact"/>
        <w:rPr>
          <w:sz w:val="20"/>
          <w:szCs w:val="20"/>
          <w:color w:val="auto"/>
        </w:rPr>
      </w:pPr>
    </w:p>
    <w:p>
      <w:pPr>
        <w:jc w:val="both"/>
        <w:ind w:left="20" w:right="20" w:hanging="8"/>
        <w:spacing w:after="0" w:line="264" w:lineRule="auto"/>
        <w:rPr>
          <w:sz w:val="20"/>
          <w:szCs w:val="20"/>
          <w:color w:val="auto"/>
        </w:rPr>
      </w:pPr>
      <w:r>
        <w:rPr>
          <w:rFonts w:ascii="Times New Roman" w:cs="Times New Roman" w:eastAsia="Times New Roman" w:hAnsi="Times New Roman"/>
          <w:sz w:val="21"/>
          <w:szCs w:val="21"/>
          <w:color w:val="auto"/>
        </w:rPr>
        <w:t>of, or renew or alter, any Guaranteed Obligation, or any obligations and liabilities (including any of those hereunder) incurred directly or indirectly in respect thereof or hereof, and the agreements herein made shall apply to the Guaranteed Obligations or such other obligations as so changed, extended, renewed, modified, amended, supplemented or altered in any manner;</w:t>
      </w:r>
    </w:p>
    <w:p>
      <w:pPr>
        <w:spacing w:after="0" w:line="193" w:lineRule="exact"/>
        <w:rPr>
          <w:sz w:val="20"/>
          <w:szCs w:val="20"/>
          <w:color w:val="auto"/>
        </w:rPr>
      </w:pPr>
    </w:p>
    <w:p>
      <w:pPr>
        <w:ind w:left="1920" w:hanging="630"/>
        <w:spacing w:after="0"/>
        <w:tabs>
          <w:tab w:leader="none" w:pos="192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amend or modify the Purchase Agreement pursuant to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terms thereof;</w:t>
      </w:r>
    </w:p>
    <w:p>
      <w:pPr>
        <w:spacing w:after="0" w:line="228" w:lineRule="exact"/>
        <w:rPr>
          <w:sz w:val="20"/>
          <w:szCs w:val="20"/>
          <w:color w:val="auto"/>
        </w:rPr>
      </w:pPr>
    </w:p>
    <w:p>
      <w:pPr>
        <w:ind w:right="3260" w:firstLine="1290"/>
        <w:spacing w:after="0" w:line="302" w:lineRule="auto"/>
        <w:tabs>
          <w:tab w:leader="none" w:pos="1919"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or refrain from exercising any rights against others or otherwise act or refrain from acting;</w:t>
      </w:r>
    </w:p>
    <w:p>
      <w:pPr>
        <w:spacing w:after="0" w:line="140" w:lineRule="exact"/>
        <w:rPr>
          <w:rFonts w:ascii="Times New Roman" w:cs="Times New Roman" w:eastAsia="Times New Roman" w:hAnsi="Times New Roman"/>
          <w:sz w:val="21"/>
          <w:szCs w:val="21"/>
          <w:color w:val="auto"/>
        </w:rPr>
      </w:pPr>
    </w:p>
    <w:p>
      <w:pPr>
        <w:ind w:left="1920" w:hanging="630"/>
        <w:spacing w:after="0"/>
        <w:tabs>
          <w:tab w:leader="none" w:pos="192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 any guarantor or release any other guarantor from its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obligations, in each case, without affecting or impairing the obligations of the Guarantor hereunder;</w:t>
      </w:r>
    </w:p>
    <w:p>
      <w:pPr>
        <w:spacing w:after="0" w:line="242" w:lineRule="exact"/>
        <w:rPr>
          <w:sz w:val="20"/>
          <w:szCs w:val="20"/>
          <w:color w:val="auto"/>
        </w:rPr>
      </w:pPr>
    </w:p>
    <w:p>
      <w:pPr>
        <w:ind w:left="1920" w:hanging="630"/>
        <w:spacing w:after="0"/>
        <w:tabs>
          <w:tab w:leader="none" w:pos="192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settle or compromise any Guaranteed Obligations or any obligations</w:t>
      </w:r>
    </w:p>
    <w:p>
      <w:pPr>
        <w:spacing w:after="0" w:line="36" w:lineRule="exact"/>
        <w:rPr>
          <w:sz w:val="20"/>
          <w:szCs w:val="20"/>
          <w:color w:val="auto"/>
        </w:rPr>
      </w:pPr>
    </w:p>
    <w:p>
      <w:pPr>
        <w:jc w:val="both"/>
        <w:ind w:left="20" w:right="20" w:hanging="8"/>
        <w:spacing w:after="0" w:line="265" w:lineRule="auto"/>
        <w:rPr>
          <w:sz w:val="20"/>
          <w:szCs w:val="20"/>
          <w:color w:val="auto"/>
        </w:rPr>
      </w:pPr>
      <w:r>
        <w:rPr>
          <w:rFonts w:ascii="Times New Roman" w:cs="Times New Roman" w:eastAsia="Times New Roman" w:hAnsi="Times New Roman"/>
          <w:sz w:val="21"/>
          <w:szCs w:val="21"/>
          <w:color w:val="auto"/>
        </w:rPr>
        <w:t>and liabilities (including any of those hereunder) incurred directly or indirectly in respect thereof or hereof, and may subordinate the payment of all or any part thereof to the payment of any obligations and liabilities which may be due to Buyer;</w:t>
      </w:r>
    </w:p>
    <w:p>
      <w:pPr>
        <w:spacing w:after="0" w:line="178" w:lineRule="exact"/>
        <w:rPr>
          <w:sz w:val="20"/>
          <w:szCs w:val="20"/>
          <w:color w:val="auto"/>
        </w:rPr>
      </w:pPr>
    </w:p>
    <w:p>
      <w:pPr>
        <w:ind w:left="1920" w:hanging="630"/>
        <w:spacing w:after="0"/>
        <w:tabs>
          <w:tab w:leader="none" w:pos="192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apply any sums by whomsoever paid or howsoever realized to any</w:t>
      </w:r>
    </w:p>
    <w:p>
      <w:pPr>
        <w:spacing w:after="0" w:line="37" w:lineRule="exact"/>
        <w:rPr>
          <w:sz w:val="20"/>
          <w:szCs w:val="20"/>
          <w:color w:val="auto"/>
        </w:rPr>
      </w:pPr>
    </w:p>
    <w:p>
      <w:pPr>
        <w:ind w:left="20" w:hanging="8"/>
        <w:spacing w:after="0" w:line="277" w:lineRule="auto"/>
        <w:rPr>
          <w:sz w:val="20"/>
          <w:szCs w:val="20"/>
          <w:color w:val="auto"/>
        </w:rPr>
      </w:pPr>
      <w:r>
        <w:rPr>
          <w:rFonts w:ascii="Times New Roman" w:cs="Times New Roman" w:eastAsia="Times New Roman" w:hAnsi="Times New Roman"/>
          <w:sz w:val="21"/>
          <w:szCs w:val="21"/>
          <w:color w:val="auto"/>
        </w:rPr>
        <w:t>obligations and liabilities of Seller to Buyer under the Purchase Agreement in the manner provided therein regardless of what obligations and liabilities remain unpaid; and</w:t>
      </w:r>
    </w:p>
    <w:p>
      <w:pPr>
        <w:spacing w:after="0" w:line="179" w:lineRule="exact"/>
        <w:rPr>
          <w:sz w:val="20"/>
          <w:szCs w:val="20"/>
          <w:color w:val="auto"/>
        </w:rPr>
      </w:pPr>
    </w:p>
    <w:p>
      <w:pPr>
        <w:ind w:left="1920" w:hanging="630"/>
        <w:spacing w:after="0"/>
        <w:tabs>
          <w:tab w:leader="none" w:pos="192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or fail to act in any manner referred to in this Agreement which</w:t>
      </w:r>
    </w:p>
    <w:p>
      <w:pPr>
        <w:spacing w:after="0" w:line="37" w:lineRule="exact"/>
        <w:rPr>
          <w:sz w:val="20"/>
          <w:szCs w:val="20"/>
          <w:color w:val="auto"/>
        </w:rPr>
      </w:pPr>
    </w:p>
    <w:p>
      <w:pPr>
        <w:ind w:left="20" w:right="20" w:hanging="8"/>
        <w:spacing w:after="0" w:line="277" w:lineRule="auto"/>
        <w:rPr>
          <w:sz w:val="20"/>
          <w:szCs w:val="20"/>
          <w:color w:val="auto"/>
        </w:rPr>
      </w:pPr>
      <w:r>
        <w:rPr>
          <w:rFonts w:ascii="Times New Roman" w:cs="Times New Roman" w:eastAsia="Times New Roman" w:hAnsi="Times New Roman"/>
          <w:sz w:val="21"/>
          <w:szCs w:val="21"/>
          <w:color w:val="auto"/>
        </w:rPr>
        <w:t>may deprive the Guarantor of its right to subrogation against Seller to recover full indemnity for any payments made pursuant to this Agreement or of its right of contribution against any other party.</w:t>
      </w:r>
    </w:p>
    <w:p>
      <w:pPr>
        <w:spacing w:after="0" w:line="166" w:lineRule="exact"/>
        <w:rPr>
          <w:sz w:val="20"/>
          <w:szCs w:val="20"/>
          <w:color w:val="auto"/>
        </w:rPr>
      </w:pPr>
    </w:p>
    <w:p>
      <w:pPr>
        <w:jc w:val="both"/>
        <w:ind w:left="-640" w:firstLine="3969"/>
        <w:spacing w:after="0" w:line="263" w:lineRule="auto"/>
        <w:tabs>
          <w:tab w:leader="none" w:pos="3967"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is a continuing agreement and all obligations to which it applies or may apply under the terms hereof shall be conclusively presumed to have been created in reliance hereon. The amount of the Guarantor’s liability and all rights, powers and remedies of Buyer hereunder shall be cumulative and not alternative and such rights, powers and remedies shall be in addition to all rights, powers and remedies given to Buyer under the Purchase Agreement. The liability of the Guarantor under this Guaranty is independent of the obligations of any other Person, which may be initially or otherwise responsible for performance or payment of the obligations hereunder, and, in the event of any default hereunder, a separate action or actions may be brought and prosecuted against the Guarantor, whether or not any other Person is joined therein or a separate action or actions are brought against the Guarantor or any other Person.</w:t>
      </w:r>
    </w:p>
    <w:p>
      <w:pPr>
        <w:sectPr>
          <w:pgSz w:w="11900" w:h="16838" w:orient="portrait"/>
          <w:cols w:equalWidth="0" w:num="1">
            <w:col w:w="10520"/>
          </w:cols>
          <w:pgMar w:left="960" w:top="1440" w:right="419" w:bottom="1440" w:gutter="0" w:footer="0" w:header="0"/>
        </w:sectPr>
      </w:pPr>
    </w:p>
    <w:bookmarkStart w:id="222" w:name="page223"/>
    <w:bookmarkEnd w:id="222"/>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 xml:space="preserve">ARTICLE III. </w:t>
      </w:r>
      <w:r>
        <w:rPr>
          <w:rFonts w:ascii="Times New Roman" w:cs="Times New Roman" w:eastAsia="Times New Roman" w:hAnsi="Times New Roman"/>
          <w:sz w:val="21"/>
          <w:szCs w:val="21"/>
          <w:u w:val="single" w:color="auto"/>
          <w:color w:val="auto"/>
        </w:rPr>
        <w:t>REPRESENTATIONS AND WARRANTIES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Guarantor’s Representations and Warranties</w:t>
      </w:r>
      <w:r>
        <w:rPr>
          <w:rFonts w:ascii="Times New Roman" w:cs="Times New Roman" w:eastAsia="Times New Roman" w:hAnsi="Times New Roman"/>
          <w:sz w:val="21"/>
          <w:szCs w:val="21"/>
          <w:color w:val="auto"/>
        </w:rPr>
        <w:t>. The Guarantor represents and warrants to and in favor of Buyer, as of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 that:</w:t>
      </w:r>
    </w:p>
    <w:p>
      <w:pPr>
        <w:spacing w:after="0" w:line="202" w:lineRule="exact"/>
        <w:rPr>
          <w:sz w:val="20"/>
          <w:szCs w:val="20"/>
          <w:color w:val="auto"/>
        </w:rPr>
      </w:pPr>
    </w:p>
    <w:p>
      <w:pPr>
        <w:jc w:val="both"/>
        <w:ind w:firstLine="4256"/>
        <w:spacing w:after="0" w:line="277"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 The Guarantor is (a) a corporation duly incorporated, validly existing and in good standing under the laws of the jurisdiction of its incorporation and (b) duly qualified, authorized to do business and in good standing in each jurisdiction in which such qualification is necessary to execute, deliver and perform this Agreement.</w:t>
      </w:r>
    </w:p>
    <w:p>
      <w:pPr>
        <w:spacing w:after="0" w:line="200" w:lineRule="exact"/>
        <w:rPr>
          <w:sz w:val="20"/>
          <w:szCs w:val="20"/>
          <w:color w:val="auto"/>
        </w:rPr>
      </w:pPr>
    </w:p>
    <w:p>
      <w:pPr>
        <w:spacing w:after="0" w:line="220" w:lineRule="exact"/>
        <w:rPr>
          <w:sz w:val="20"/>
          <w:szCs w:val="20"/>
          <w:color w:val="auto"/>
        </w:rPr>
      </w:pPr>
    </w:p>
    <w:p>
      <w:pPr>
        <w:jc w:val="both"/>
        <w:ind w:firstLine="4299"/>
        <w:spacing w:after="0" w:line="259" w:lineRule="auto"/>
        <w:rPr>
          <w:sz w:val="20"/>
          <w:szCs w:val="20"/>
          <w:color w:val="auto"/>
        </w:rPr>
      </w:pPr>
      <w:r>
        <w:rPr>
          <w:rFonts w:ascii="Times New Roman" w:cs="Times New Roman" w:eastAsia="Times New Roman" w:hAnsi="Times New Roman"/>
          <w:sz w:val="21"/>
          <w:szCs w:val="21"/>
          <w:color w:val="auto"/>
        </w:rPr>
        <w:t xml:space="preserve">3.1.2 </w:t>
      </w:r>
      <w:r>
        <w:rPr>
          <w:rFonts w:ascii="Times New Roman" w:cs="Times New Roman" w:eastAsia="Times New Roman" w:hAnsi="Times New Roman"/>
          <w:sz w:val="21"/>
          <w:szCs w:val="21"/>
          <w:u w:val="single" w:color="auto"/>
          <w:color w:val="auto"/>
        </w:rPr>
        <w:t>Power and Authorization; Enforceable Obligations</w:t>
      </w:r>
      <w:r>
        <w:rPr>
          <w:rFonts w:ascii="Times New Roman" w:cs="Times New Roman" w:eastAsia="Times New Roman" w:hAnsi="Times New Roman"/>
          <w:sz w:val="21"/>
          <w:szCs w:val="21"/>
          <w:color w:val="auto"/>
        </w:rPr>
        <w:t>. The Guarantor has the full corporate power and authority to execute, deliver and perform this Agreement and to take all action as may be necessary to complete the transactions contemplated hereunder. The Guarantor has taken all necessary corporate action to authorize the execution, delivery and performance of this Agreement and to complete the transactions contemplated hereby. No consent or authorization of, filing with, or other act by or in respect of any other Person or Governmental Authority is required in connection with the execution, delivery or performance by the Guarantor, or the validity or enforceability as to the Guarantor, of this Agreement. This Agreement has been duly executed and delivered by the Guarantor and constitutes a legal, valid and binding obligation of the Guarantor enforceable against it in accordance with its terms, except as enforceability may be limited by applicable bankruptcy, insolvency, reorganization, moratorium or similar laws affecting the rights of creditors generally and by general principles of equity.</w:t>
      </w:r>
    </w:p>
    <w:p>
      <w:pPr>
        <w:spacing w:after="0" w:line="173" w:lineRule="exact"/>
        <w:rPr>
          <w:sz w:val="20"/>
          <w:szCs w:val="20"/>
          <w:color w:val="auto"/>
        </w:rPr>
      </w:pPr>
    </w:p>
    <w:p>
      <w:pPr>
        <w:jc w:val="both"/>
        <w:ind w:firstLine="4377"/>
        <w:spacing w:after="0" w:line="264" w:lineRule="auto"/>
        <w:rPr>
          <w:sz w:val="20"/>
          <w:szCs w:val="20"/>
          <w:color w:val="auto"/>
        </w:rPr>
      </w:pPr>
      <w:r>
        <w:rPr>
          <w:rFonts w:ascii="Times New Roman" w:cs="Times New Roman" w:eastAsia="Times New Roman" w:hAnsi="Times New Roman"/>
          <w:sz w:val="21"/>
          <w:szCs w:val="21"/>
          <w:color w:val="auto"/>
        </w:rPr>
        <w:t xml:space="preserve">3.1.3 </w:t>
      </w:r>
      <w:r>
        <w:rPr>
          <w:rFonts w:ascii="Times New Roman" w:cs="Times New Roman" w:eastAsia="Times New Roman" w:hAnsi="Times New Roman"/>
          <w:sz w:val="21"/>
          <w:szCs w:val="21"/>
          <w:u w:val="single" w:color="auto"/>
          <w:color w:val="auto"/>
        </w:rPr>
        <w:t>No Legal Bar</w:t>
      </w:r>
      <w:r>
        <w:rPr>
          <w:rFonts w:ascii="Times New Roman" w:cs="Times New Roman" w:eastAsia="Times New Roman" w:hAnsi="Times New Roman"/>
          <w:sz w:val="21"/>
          <w:szCs w:val="21"/>
          <w:color w:val="auto"/>
        </w:rPr>
        <w:t>. The execution, delivery and performance by the Guarantor of this Agreement and the consummation of the transactions contemplated hereby will not violate any Applicable Law, the organizational documents of the Guarantor, or any material contractual obligation of the Guarantor and will not result in, or require, the creation or imposition of any Lien on any of the properties or revenues of the Guarantor pursuant to any Applicable Law or any such contractual obligation except, in each case, where such violation, creation or imposition could not reasonably be expected to have a material adverse effect on the Guarantor’s ability to perform its obligations under this Agreement.</w:t>
      </w:r>
    </w:p>
    <w:p>
      <w:pPr>
        <w:spacing w:after="0" w:line="170" w:lineRule="exact"/>
        <w:rPr>
          <w:sz w:val="20"/>
          <w:szCs w:val="20"/>
          <w:color w:val="auto"/>
        </w:rPr>
      </w:pPr>
    </w:p>
    <w:p>
      <w:pPr>
        <w:jc w:val="both"/>
        <w:ind w:right="20" w:firstLine="1282"/>
        <w:spacing w:after="0" w:line="270" w:lineRule="auto"/>
        <w:rPr>
          <w:sz w:val="20"/>
          <w:szCs w:val="20"/>
          <w:color w:val="auto"/>
        </w:rPr>
      </w:pPr>
      <w:r>
        <w:rPr>
          <w:rFonts w:ascii="Times New Roman" w:cs="Times New Roman" w:eastAsia="Times New Roman" w:hAnsi="Times New Roman"/>
          <w:sz w:val="21"/>
          <w:szCs w:val="21"/>
          <w:color w:val="auto"/>
        </w:rPr>
        <w:t xml:space="preserve">3.1.4 </w:t>
      </w: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Guarantor is in compliance with all Applicable Laws, except any such non-compliance that could not reasonably be expected to have a material adverse effect on the Guarantor’s ability to perform its obligations under this Agreement.</w:t>
      </w:r>
    </w:p>
    <w:p>
      <w:pPr>
        <w:spacing w:after="0" w:line="160" w:lineRule="exact"/>
        <w:rPr>
          <w:sz w:val="20"/>
          <w:szCs w:val="20"/>
          <w:color w:val="auto"/>
        </w:rPr>
      </w:pPr>
    </w:p>
    <w:p>
      <w:pPr>
        <w:jc w:val="both"/>
        <w:ind w:firstLine="4300"/>
        <w:spacing w:after="0" w:line="265" w:lineRule="auto"/>
        <w:rPr>
          <w:sz w:val="20"/>
          <w:szCs w:val="20"/>
          <w:color w:val="auto"/>
        </w:rPr>
      </w:pPr>
      <w:r>
        <w:rPr>
          <w:rFonts w:ascii="Times New Roman" w:cs="Times New Roman" w:eastAsia="Times New Roman" w:hAnsi="Times New Roman"/>
          <w:sz w:val="21"/>
          <w:szCs w:val="21"/>
          <w:color w:val="auto"/>
        </w:rPr>
        <w:t xml:space="preserve">3.1.5 </w:t>
      </w:r>
      <w:r>
        <w:rPr>
          <w:rFonts w:ascii="Times New Roman" w:cs="Times New Roman" w:eastAsia="Times New Roman" w:hAnsi="Times New Roman"/>
          <w:sz w:val="21"/>
          <w:szCs w:val="21"/>
          <w:u w:val="single" w:color="auto"/>
          <w:color w:val="auto"/>
        </w:rPr>
        <w:t>No Litigation; Bankruptcy</w:t>
      </w:r>
      <w:r>
        <w:rPr>
          <w:rFonts w:ascii="Times New Roman" w:cs="Times New Roman" w:eastAsia="Times New Roman" w:hAnsi="Times New Roman"/>
          <w:sz w:val="21"/>
          <w:szCs w:val="21"/>
          <w:color w:val="auto"/>
        </w:rPr>
        <w:t>. (a) There are no pending or, to the Guarantor’s knowledge, threatened actions, suits, proceedings or investigations of any kind, including actions or proceedings of or before any Governmental Authority, to which the Guarantor is a party or is subject, or by which it or its properties are bound that, if adversely determined to or against the Guarantor could reasonably be expected to have a material adverse effect on the Guarantor’s ability to perform its obligations under this Agreement. (b) No voluntary actions or, to the Knowledge of the Guarantor, involuntary actions are pending or threatened against the Guarantor under the insolvency or bankruptcy laws of the U.S. or any other jurisdiction.</w:t>
      </w:r>
    </w:p>
    <w:p>
      <w:pPr>
        <w:sectPr>
          <w:pgSz w:w="11900" w:h="16838" w:orient="portrait"/>
          <w:cols w:equalWidth="0" w:num="1">
            <w:col w:w="11160"/>
          </w:cols>
          <w:pgMar w:left="320" w:top="1440" w:right="419" w:bottom="1440" w:gutter="0" w:footer="0" w:header="0"/>
        </w:sectPr>
      </w:pPr>
    </w:p>
    <w:bookmarkStart w:id="223" w:name="page224"/>
    <w:bookmarkEnd w:id="223"/>
    <w:p>
      <w:pPr>
        <w:spacing w:after="0" w:line="222" w:lineRule="exact"/>
        <w:rPr>
          <w:sz w:val="20"/>
          <w:szCs w:val="20"/>
          <w:color w:val="auto"/>
        </w:rPr>
      </w:pPr>
    </w:p>
    <w:p>
      <w:pPr>
        <w:jc w:val="both"/>
        <w:ind w:firstLine="4226"/>
        <w:spacing w:after="0" w:line="260" w:lineRule="auto"/>
        <w:rPr>
          <w:sz w:val="20"/>
          <w:szCs w:val="20"/>
          <w:color w:val="auto"/>
        </w:rPr>
      </w:pPr>
      <w:r>
        <w:rPr>
          <w:rFonts w:ascii="Times New Roman" w:cs="Times New Roman" w:eastAsia="Times New Roman" w:hAnsi="Times New Roman"/>
          <w:sz w:val="21"/>
          <w:szCs w:val="21"/>
          <w:color w:val="auto"/>
        </w:rPr>
        <w:t xml:space="preserve">3.1.6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Guarantor has timely filed all federal, state and local tax returns that it is required to file (except where a failure to file such local tax return could not reasonably be expected to have a material adverse effect on the Guarantor’s ability to perform its obligations under this Agreement), has paid all taxes it is required to pay to the extent due (other than those taxes that it is contesting in good faith and by appropriate proceedings, with adequate reserves established in accordance with GAAP for such taxes) and, to the extent such taxes are not due, has established reserves that are adequate for the payment thereof to the extent required by GAAP. The Guarantor does not know of any proposed tax assessment against it which could reasonably be expected to have a material adverse effect on the Guarantor’s ability to perform its obligations under this Agreement (other than as is being actively contested by the Guarantor in good faith and by appropriate proceedings and for which reserves or other appropriate provisions, if any, as shall be required in conformity with GAAP have been made or provided therefor).</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3.1.7 </w:t>
      </w:r>
      <w:r>
        <w:rPr>
          <w:rFonts w:ascii="Times New Roman" w:cs="Times New Roman" w:eastAsia="Times New Roman" w:hAnsi="Times New Roman"/>
          <w:sz w:val="21"/>
          <w:szCs w:val="21"/>
          <w:u w:val="single" w:color="auto"/>
          <w:color w:val="auto"/>
        </w:rPr>
        <w:t>Financial and Other Information</w:t>
      </w:r>
      <w:r>
        <w:rPr>
          <w:rFonts w:ascii="Times New Roman" w:cs="Times New Roman" w:eastAsia="Times New Roman" w:hAnsi="Times New Roman"/>
          <w:sz w:val="21"/>
          <w:szCs w:val="21"/>
          <w:color w:val="auto"/>
        </w:rPr>
        <w:t>. The Guarantor has established adequate</w:t>
      </w:r>
    </w:p>
    <w:p>
      <w:pPr>
        <w:spacing w:after="0" w:line="37" w:lineRule="exact"/>
        <w:rPr>
          <w:sz w:val="20"/>
          <w:szCs w:val="20"/>
          <w:color w:val="auto"/>
        </w:rPr>
      </w:pPr>
    </w:p>
    <w:p>
      <w:pPr>
        <w:jc w:val="both"/>
        <w:ind w:right="20" w:hanging="8"/>
        <w:spacing w:after="0" w:line="265" w:lineRule="auto"/>
        <w:rPr>
          <w:sz w:val="20"/>
          <w:szCs w:val="20"/>
          <w:color w:val="auto"/>
        </w:rPr>
      </w:pPr>
      <w:r>
        <w:rPr>
          <w:rFonts w:ascii="Times New Roman" w:cs="Times New Roman" w:eastAsia="Times New Roman" w:hAnsi="Times New Roman"/>
          <w:sz w:val="21"/>
          <w:szCs w:val="21"/>
          <w:color w:val="auto"/>
        </w:rPr>
        <w:t>means of obtaining financial and other information pertaining to the businesses, operations and condition (financial and otherwise) of Seller, Project Company and their properties on a continuing basis, and the Guarantor now is and hereafter will have responsibility for maintaining familiarity with the businesses, operations and condition (financial and otherwise) of Seller, Project Company and their properties.</w:t>
      </w:r>
    </w:p>
    <w:p>
      <w:pPr>
        <w:spacing w:after="0" w:line="151" w:lineRule="exact"/>
        <w:rPr>
          <w:sz w:val="20"/>
          <w:szCs w:val="20"/>
          <w:color w:val="auto"/>
        </w:rPr>
      </w:pPr>
    </w:p>
    <w:p>
      <w:pPr>
        <w:ind w:right="3040" w:firstLine="1291"/>
        <w:spacing w:after="0" w:line="302" w:lineRule="auto"/>
        <w:rPr>
          <w:sz w:val="20"/>
          <w:szCs w:val="20"/>
          <w:color w:val="auto"/>
        </w:rPr>
      </w:pPr>
      <w:r>
        <w:rPr>
          <w:rFonts w:ascii="Times New Roman" w:cs="Times New Roman" w:eastAsia="Times New Roman" w:hAnsi="Times New Roman"/>
          <w:sz w:val="21"/>
          <w:szCs w:val="21"/>
          <w:color w:val="auto"/>
        </w:rPr>
        <w:t xml:space="preserve">3.1.8 </w:t>
      </w:r>
      <w:r>
        <w:rPr>
          <w:rFonts w:ascii="Times New Roman" w:cs="Times New Roman" w:eastAsia="Times New Roman" w:hAnsi="Times New Roman"/>
          <w:sz w:val="21"/>
          <w:szCs w:val="21"/>
          <w:u w:val="single" w:color="auto"/>
          <w:color w:val="auto"/>
        </w:rPr>
        <w:t>Purchase Agreement</w:t>
      </w:r>
      <w:r>
        <w:rPr>
          <w:rFonts w:ascii="Times New Roman" w:cs="Times New Roman" w:eastAsia="Times New Roman" w:hAnsi="Times New Roman"/>
          <w:sz w:val="21"/>
          <w:szCs w:val="21"/>
          <w:color w:val="auto"/>
        </w:rPr>
        <w:t>. The Guarantor has reviewed and is familiar with the terms of the Purchase Agreement.</w:t>
      </w:r>
    </w:p>
    <w:p>
      <w:pPr>
        <w:spacing w:after="0" w:line="127" w:lineRule="exact"/>
        <w:rPr>
          <w:sz w:val="20"/>
          <w:szCs w:val="20"/>
          <w:color w:val="auto"/>
        </w:rPr>
      </w:pPr>
    </w:p>
    <w:p>
      <w:pPr>
        <w:jc w:val="both"/>
        <w:ind w:right="20" w:firstLine="1282"/>
        <w:spacing w:after="0" w:line="258" w:lineRule="auto"/>
        <w:rPr>
          <w:sz w:val="20"/>
          <w:szCs w:val="20"/>
          <w:color w:val="auto"/>
        </w:rPr>
      </w:pPr>
      <w:r>
        <w:rPr>
          <w:rFonts w:ascii="Times New Roman" w:cs="Times New Roman" w:eastAsia="Times New Roman" w:hAnsi="Times New Roman"/>
          <w:sz w:val="21"/>
          <w:szCs w:val="21"/>
          <w:color w:val="auto"/>
        </w:rPr>
        <w:t xml:space="preserve">3.1.9 </w:t>
      </w:r>
      <w:r>
        <w:rPr>
          <w:rFonts w:ascii="Times New Roman" w:cs="Times New Roman" w:eastAsia="Times New Roman" w:hAnsi="Times New Roman"/>
          <w:sz w:val="21"/>
          <w:szCs w:val="21"/>
          <w:u w:val="single" w:color="auto"/>
          <w:color w:val="auto"/>
        </w:rPr>
        <w:t>Governmental Authority; Sanctions; Foreign Assets Control Regulations</w:t>
      </w:r>
      <w:r>
        <w:rPr>
          <w:rFonts w:ascii="Times New Roman" w:cs="Times New Roman" w:eastAsia="Times New Roman" w:hAnsi="Times New Roman"/>
          <w:sz w:val="21"/>
          <w:szCs w:val="21"/>
          <w:color w:val="auto"/>
        </w:rPr>
        <w:t>. No Governmental Approvals are required for the due execution, delivery and performance by the Guarantor of this Agreement. The Guarantor (a) is not a Sanctioned Person or otherwise a Person described or designated in the Specially Designated Nationals and Blocked Persons List of the Office of Foreign Assets Control or otherwise a Sanctioned Person, (b) does not have any of its assets in a Sanctioned Country or in the possession, custody or control of a Sanctioned Person, (c) has not violated, and is not in violation of, Sanctions, and (d) does not do business in or with, or derives any of its operating income from investments in or transactions with, any Sanctioned Country or Sanctioned Person. The Guarantor is in compliance with, and it does not engage in any dealings or transactions prohibited by, any Sanctions laws of the U.S. The Guarantor has taken reasonable measures appropriate to the circumstances (and in any event as required by applicable law) with respect to each holder of an interest in such Person, to assure that funds invested by such holder in such Person are derived from legal sources in accordance with Anti-Money Laundering Laws.</w:t>
      </w:r>
    </w:p>
    <w:p>
      <w:pPr>
        <w:spacing w:after="0" w:line="200" w:lineRule="exact"/>
        <w:rPr>
          <w:sz w:val="20"/>
          <w:szCs w:val="20"/>
          <w:color w:val="auto"/>
        </w:rPr>
      </w:pPr>
    </w:p>
    <w:p>
      <w:pPr>
        <w:spacing w:after="0" w:line="2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3.1.10 </w:t>
      </w:r>
      <w:r>
        <w:rPr>
          <w:rFonts w:ascii="Times New Roman" w:cs="Times New Roman" w:eastAsia="Times New Roman" w:hAnsi="Times New Roman"/>
          <w:sz w:val="21"/>
          <w:szCs w:val="21"/>
          <w:u w:val="single" w:color="auto"/>
          <w:color w:val="auto"/>
        </w:rPr>
        <w:t>Solvency Matters</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ind w:left="1920" w:hanging="631"/>
        <w:spacing w:after="0"/>
        <w:tabs>
          <w:tab w:leader="none" w:pos="192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the transactions contemplated by this Agreement and</w:t>
      </w:r>
    </w:p>
    <w:p>
      <w:pPr>
        <w:spacing w:after="0" w:line="36" w:lineRule="exact"/>
        <w:rPr>
          <w:sz w:val="20"/>
          <w:szCs w:val="20"/>
          <w:color w:val="auto"/>
        </w:rPr>
      </w:pPr>
    </w:p>
    <w:p>
      <w:pPr>
        <w:jc w:val="both"/>
        <w:ind w:hanging="8"/>
        <w:spacing w:after="0" w:line="252" w:lineRule="auto"/>
        <w:rPr>
          <w:sz w:val="20"/>
          <w:szCs w:val="20"/>
          <w:color w:val="auto"/>
        </w:rPr>
      </w:pPr>
      <w:r>
        <w:rPr>
          <w:rFonts w:ascii="Times New Roman" w:cs="Times New Roman" w:eastAsia="Times New Roman" w:hAnsi="Times New Roman"/>
          <w:sz w:val="21"/>
          <w:szCs w:val="21"/>
          <w:color w:val="auto"/>
        </w:rPr>
        <w:t>the Purchase Agreement, including the contingent obligations evidenced hereby, the Guarantor is not, on either an unconsolidated basis or a consolidated basis, insolvent as such term is defined in the Bankruptcy Code, and the Guarantor has and will have assets which, fairly valued, exceed its indebtedness, liabilities or obligations.</w:t>
      </w:r>
    </w:p>
    <w:p>
      <w:pPr>
        <w:sectPr>
          <w:pgSz w:w="11900" w:h="16838" w:orient="portrait"/>
          <w:cols w:equalWidth="0" w:num="1">
            <w:col w:w="11160"/>
          </w:cols>
          <w:pgMar w:left="320" w:top="1440" w:right="419" w:bottom="1440" w:gutter="0" w:footer="0" w:header="0"/>
        </w:sectPr>
      </w:pPr>
    </w:p>
    <w:bookmarkStart w:id="224" w:name="page225"/>
    <w:bookmarkEnd w:id="224"/>
    <w:p>
      <w:pPr>
        <w:spacing w:after="0" w:line="222" w:lineRule="exact"/>
        <w:rPr>
          <w:sz w:val="20"/>
          <w:szCs w:val="20"/>
          <w:color w:val="auto"/>
        </w:rPr>
      </w:pPr>
    </w:p>
    <w:p>
      <w:pPr>
        <w:ind w:right="3020" w:firstLine="1289"/>
        <w:spacing w:after="0" w:line="302" w:lineRule="auto"/>
        <w:tabs>
          <w:tab w:leader="none" w:pos="1928"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is not executing this Agreement with any intent to hinder, delay or defraud any of its present or future creditor or creditors.</w:t>
      </w:r>
    </w:p>
    <w:p>
      <w:pPr>
        <w:spacing w:after="0" w:line="153"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is not engaged in any business or transaction which, after</w:t>
      </w:r>
    </w:p>
    <w:p>
      <w:pPr>
        <w:spacing w:after="0" w:line="36" w:lineRule="exact"/>
        <w:rPr>
          <w:sz w:val="20"/>
          <w:szCs w:val="20"/>
          <w:color w:val="auto"/>
        </w:rPr>
      </w:pPr>
    </w:p>
    <w:p>
      <w:pPr>
        <w:jc w:val="both"/>
        <w:ind w:right="20" w:hanging="8"/>
        <w:spacing w:after="0" w:line="265" w:lineRule="auto"/>
        <w:rPr>
          <w:sz w:val="20"/>
          <w:szCs w:val="20"/>
          <w:color w:val="auto"/>
        </w:rPr>
      </w:pPr>
      <w:r>
        <w:rPr>
          <w:rFonts w:ascii="Times New Roman" w:cs="Times New Roman" w:eastAsia="Times New Roman" w:hAnsi="Times New Roman"/>
          <w:sz w:val="21"/>
          <w:szCs w:val="21"/>
          <w:color w:val="auto"/>
        </w:rPr>
        <w:t>giving effect to the transaction contemplated by this Agreement, will leave it with capital or assets which are unreasonably small in relation to the business or transactions engaged in by it, and the Guarantor does not intend to engage in any such business or transaction.</w:t>
      </w:r>
    </w:p>
    <w:p>
      <w:pPr>
        <w:spacing w:after="0" w:line="178" w:lineRule="exact"/>
        <w:rPr>
          <w:sz w:val="20"/>
          <w:szCs w:val="20"/>
          <w:color w:val="auto"/>
        </w:rPr>
      </w:pPr>
    </w:p>
    <w:p>
      <w:pPr>
        <w:ind w:right="2800" w:firstLine="1289"/>
        <w:spacing w:after="0" w:line="302" w:lineRule="auto"/>
        <w:tabs>
          <w:tab w:leader="none" w:pos="1928"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does not intend to incur, nor does the Guarantor believe that it will incur, debts beyond the Guarantor’s ability to repay such debts as they mature.</w:t>
      </w:r>
    </w:p>
    <w:p>
      <w:pPr>
        <w:spacing w:after="0" w:line="1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 xml:space="preserve">ARTICLE IV. </w:t>
      </w:r>
      <w:r>
        <w:rPr>
          <w:rFonts w:ascii="Times New Roman" w:cs="Times New Roman" w:eastAsia="Times New Roman" w:hAnsi="Times New Roman"/>
          <w:sz w:val="21"/>
          <w:szCs w:val="21"/>
          <w:u w:val="single" w:color="auto"/>
          <w:color w:val="auto"/>
        </w:rPr>
        <w:t>COVENANTS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Each Guarantor hereby covenants and agrees for the benefit of Buyer as follows, as long as this Agreement remains in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w:t>
      </w:r>
    </w:p>
    <w:p>
      <w:pPr>
        <w:spacing w:after="0" w:line="202"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Maintenance of Corporate Existence</w:t>
      </w:r>
      <w:r>
        <w:rPr>
          <w:rFonts w:ascii="Times New Roman" w:cs="Times New Roman" w:eastAsia="Times New Roman" w:hAnsi="Times New Roman"/>
          <w:sz w:val="21"/>
          <w:szCs w:val="21"/>
          <w:color w:val="auto"/>
        </w:rPr>
        <w:t>. The Guarantor shall maintain and preserve its existence in good standing in the jurisdiction of its formation and its qualification to do business in each other jurisdiction where such qualification is necessary to perform its obligations hereunder and all material rights, privileges and franchises necessary in the normal conduct of its business.</w:t>
      </w:r>
    </w:p>
    <w:p>
      <w:pPr>
        <w:spacing w:after="0" w:line="160" w:lineRule="exact"/>
        <w:rPr>
          <w:sz w:val="20"/>
          <w:szCs w:val="20"/>
          <w:color w:val="auto"/>
        </w:rPr>
      </w:pPr>
    </w:p>
    <w:p>
      <w:pPr>
        <w:jc w:val="both"/>
        <w:ind w:right="20" w:firstLine="641"/>
        <w:spacing w:after="0" w:line="264"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Consents and Approvals</w:t>
      </w:r>
      <w:r>
        <w:rPr>
          <w:rFonts w:ascii="Times New Roman" w:cs="Times New Roman" w:eastAsia="Times New Roman" w:hAnsi="Times New Roman"/>
          <w:sz w:val="21"/>
          <w:szCs w:val="21"/>
          <w:color w:val="auto"/>
        </w:rPr>
        <w:t>. The Guarantor shall maintain in full force and effect all consents and approvals of any Governmental Authority that are required to be obtained by it in order for it to perform its obligations under this Agreement. The Guarantor shall obtain any such consents and approvals that may become required in the future in order for it to perform its obligations under this Agreement as and when the same shall be so required.</w:t>
      </w:r>
    </w:p>
    <w:p>
      <w:pPr>
        <w:spacing w:after="0" w:line="166"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Guarantor shall promptly comply with all Applicable Laws, except where the failure to comply could not reasonably be expected to have a material adverse effect on the Guarantor’s ability to perform its obligations under this Agreement.</w:t>
      </w:r>
    </w:p>
    <w:p>
      <w:pPr>
        <w:spacing w:after="0" w:line="139"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Dissolution; Merger</w:t>
      </w:r>
      <w:r>
        <w:rPr>
          <w:rFonts w:ascii="Times New Roman" w:cs="Times New Roman" w:eastAsia="Times New Roman" w:hAnsi="Times New Roman"/>
          <w:sz w:val="21"/>
          <w:szCs w:val="21"/>
          <w:color w:val="auto"/>
        </w:rPr>
        <w:t xml:space="preserve">. The Guarantor shall not liquidate, wind-up or dissolve, or change its legal form;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Guarantor may merge or amalgamate with any other entity so long the Guarantor is the successor entity in such merger or amalgamation.</w:t>
      </w:r>
    </w:p>
    <w:p>
      <w:pPr>
        <w:spacing w:after="0" w:line="139" w:lineRule="exact"/>
        <w:rPr>
          <w:sz w:val="20"/>
          <w:szCs w:val="20"/>
          <w:color w:val="auto"/>
        </w:rPr>
      </w:pPr>
    </w:p>
    <w:p>
      <w:pPr>
        <w:jc w:val="both"/>
        <w:ind w:right="20" w:firstLine="641"/>
        <w:spacing w:after="0" w:line="268"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During the Recapture Period, the Guarantor shall, (a) not later than the date that is 60 days after the end of each fiscal quarter, deliver (or make publicly available) the unaudited financial statements of Guarantor for such fiscal quarter and (b) not later than the date that is 120 days after the end of each fiscal year, deliver (or make publicly available) the audited financial statements of the Guarantor for such fiscal year.</w:t>
      </w:r>
    </w:p>
    <w:p>
      <w:pPr>
        <w:spacing w:after="0" w:line="164" w:lineRule="exact"/>
        <w:rPr>
          <w:sz w:val="20"/>
          <w:szCs w:val="20"/>
          <w:color w:val="auto"/>
        </w:rPr>
      </w:pPr>
    </w:p>
    <w:p>
      <w:pPr>
        <w:jc w:val="both"/>
        <w:ind w:right="20" w:firstLine="641"/>
        <w:spacing w:after="0" w:line="270"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Required Credit Criteria and Required Credit Support</w:t>
      </w:r>
      <w:r>
        <w:rPr>
          <w:rFonts w:ascii="Times New Roman" w:cs="Times New Roman" w:eastAsia="Times New Roman" w:hAnsi="Times New Roman"/>
          <w:sz w:val="21"/>
          <w:szCs w:val="21"/>
          <w:color w:val="auto"/>
        </w:rPr>
        <w:t>. Without duplication of the Guaranteed Obligations related to Section 5(b)(xiv) of the Purchase Agreement, the Guarantor agrees that if a Credit Trigger has occurred, and a replacement guaranty, letter of credit or cash</w:t>
      </w:r>
    </w:p>
    <w:p>
      <w:pPr>
        <w:sectPr>
          <w:pgSz w:w="11900" w:h="16838" w:orient="portrait"/>
          <w:cols w:equalWidth="0" w:num="1">
            <w:col w:w="11160"/>
          </w:cols>
          <w:pgMar w:left="320" w:top="1440" w:right="419" w:bottom="1440" w:gutter="0" w:footer="0" w:header="0"/>
        </w:sectPr>
      </w:pPr>
    </w:p>
    <w:bookmarkStart w:id="225" w:name="page226"/>
    <w:bookmarkEnd w:id="225"/>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collateral as described in such Section 5(b)(xiv) of the Purchase Agreement has not been provided within the time period required therein, the Guarantor will (within such time period) provide such a letter of credit or cash collateral amount to Buyer (the amount of which shall be applied, reduced or returned, as applicable, from time to time as described in such Section 5(b)(xiv) of the Purchase Agreement). The Parties agree that, upon a breach of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by the Guarantor, the remedies at law of Buyer for such breach shall not be a sufficient remedy, that such breach would cause irreparable harm to Buyer, and that Buyer shall be entitled to specific performance of the obligation set forth in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to provide collateral security to Buyer, without the necessity of proving the inadequacy of money damages as a remedy, in addition to any other remedy at law or in equity. The Guarantor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ARTICLE V.</w:t>
      </w:r>
    </w:p>
    <w:p>
      <w:pPr>
        <w:spacing w:after="0" w:line="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u w:val="single" w:color="auto"/>
          <w:color w:val="auto"/>
        </w:rPr>
        <w:t>SUBORDINATION; SUBROGATION; ETC.</w:t>
      </w:r>
    </w:p>
    <w:p>
      <w:pPr>
        <w:spacing w:after="0" w:line="201" w:lineRule="exact"/>
        <w:rPr>
          <w:sz w:val="20"/>
          <w:szCs w:val="20"/>
          <w:color w:val="auto"/>
        </w:rPr>
      </w:pPr>
    </w:p>
    <w:p>
      <w:pPr>
        <w:jc w:val="both"/>
        <w:ind w:right="20" w:firstLine="641"/>
        <w:spacing w:after="0" w:line="302"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Except as otherwise required by Applicable Laws or the Purchase Agreement, each payment required to be made by the Guarantor hereunder shall be made without deduction or withholding for or on account of taxes.</w:t>
      </w:r>
    </w:p>
    <w:p>
      <w:pPr>
        <w:spacing w:after="0" w:line="114"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Subordination</w:t>
      </w:r>
      <w:r>
        <w:rPr>
          <w:rFonts w:ascii="Times New Roman" w:cs="Times New Roman" w:eastAsia="Times New Roman" w:hAnsi="Times New Roman"/>
          <w:sz w:val="21"/>
          <w:szCs w:val="21"/>
          <w:color w:val="auto"/>
        </w:rPr>
        <w:t xml:space="preserve">. All existing and future indebtedness of, or other obligations owed by Seller to the Guarantor is hereby subordinated to all of the Guaranteed Obligations. Without the prior written consent of Buyer, such subordinated indebtedness (including interest thereon) shall not be paid or withdrawn in whole or in part, nor shall the Guarantor accept any payment of or on account of any such indebtedness, at any time in which Guaranteed Obligations are due and payable, in each case until this Agreement is terminated in accordance with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Any payment by Seller in violation of this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shall be received by the Guarantor in trust for Buyer, and the Guarantor shall cause the same to be paid to Buyer immediately upon demand by Buyer on account of the Guaranteed Obligations. The Guarantor shall not assign all or any portion of such indebtedness while this Agreement remains in effect except upon prior written notice to Seller and Buyer by which the assignee of any such indebtedness agrees that the assignment is made subject to the terms of this Agreement, and that any attempted assignment of such indebtedness in violation of the provisions hereof shall be void.</w:t>
      </w:r>
    </w:p>
    <w:p>
      <w:pPr>
        <w:spacing w:after="0" w:line="173"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The Guarantor hereby unconditionally and irrevocably waives and relinquishes, to the maximum extent permitted by Applicable Law, all rights and remedies accorded to sureties or guarantors and agrees not to assert or take advantage of any such rights or remedies, including:</w:t>
      </w:r>
    </w:p>
    <w:p>
      <w:pPr>
        <w:spacing w:after="0" w:line="187" w:lineRule="exact"/>
        <w:rPr>
          <w:sz w:val="20"/>
          <w:szCs w:val="20"/>
          <w:color w:val="auto"/>
        </w:rPr>
      </w:pPr>
    </w:p>
    <w:p>
      <w:pPr>
        <w:ind w:left="1920" w:hanging="631"/>
        <w:spacing w:after="0"/>
        <w:tabs>
          <w:tab w:leader="none" w:pos="192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 to require any Person to proceed against or exhaust any security</w:t>
      </w:r>
    </w:p>
    <w:p>
      <w:pPr>
        <w:spacing w:after="0" w:line="37" w:lineRule="exact"/>
        <w:rPr>
          <w:sz w:val="20"/>
          <w:szCs w:val="20"/>
          <w:color w:val="auto"/>
        </w:rPr>
      </w:pPr>
    </w:p>
    <w:p>
      <w:pPr>
        <w:ind w:right="20" w:hanging="8"/>
        <w:spacing w:after="0" w:line="277" w:lineRule="auto"/>
        <w:rPr>
          <w:sz w:val="20"/>
          <w:szCs w:val="20"/>
          <w:color w:val="auto"/>
        </w:rPr>
      </w:pPr>
      <w:r>
        <w:rPr>
          <w:rFonts w:ascii="Times New Roman" w:cs="Times New Roman" w:eastAsia="Times New Roman" w:hAnsi="Times New Roman"/>
          <w:sz w:val="21"/>
          <w:szCs w:val="21"/>
          <w:color w:val="auto"/>
        </w:rPr>
        <w:t>held by Seller, Project Company or Buyer at any time or to pursue any other remedy in Seller’s, Project Company’s or Buyer’s power before proceeding against the Guarantor;</w:t>
      </w:r>
    </w:p>
    <w:p>
      <w:pPr>
        <w:sectPr>
          <w:pgSz w:w="11900" w:h="16838" w:orient="portrait"/>
          <w:cols w:equalWidth="0" w:num="1">
            <w:col w:w="11160"/>
          </w:cols>
          <w:pgMar w:left="320" w:top="1440" w:right="419" w:bottom="1440" w:gutter="0" w:footer="0" w:header="0"/>
        </w:sectPr>
      </w:pPr>
    </w:p>
    <w:bookmarkStart w:id="226" w:name="page227"/>
    <w:bookmarkEnd w:id="226"/>
    <w:p>
      <w:pPr>
        <w:spacing w:after="0" w:line="222" w:lineRule="exact"/>
        <w:rPr>
          <w:sz w:val="20"/>
          <w:szCs w:val="20"/>
          <w:color w:val="auto"/>
        </w:rPr>
      </w:pPr>
    </w:p>
    <w:p>
      <w:pPr>
        <w:ind w:left="1920" w:hanging="631"/>
        <w:spacing w:after="0"/>
        <w:tabs>
          <w:tab w:leader="none" w:pos="192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or limitation of status or of power or any defense that may arise by</w:t>
      </w:r>
    </w:p>
    <w:p>
      <w:pPr>
        <w:spacing w:after="0" w:line="39" w:lineRule="exact"/>
        <w:rPr>
          <w:sz w:val="20"/>
          <w:szCs w:val="20"/>
          <w:color w:val="auto"/>
        </w:rPr>
      </w:pPr>
    </w:p>
    <w:p>
      <w:pPr>
        <w:jc w:val="both"/>
        <w:ind w:right="20" w:hanging="8"/>
        <w:spacing w:after="0" w:line="264" w:lineRule="auto"/>
        <w:rPr>
          <w:sz w:val="20"/>
          <w:szCs w:val="20"/>
          <w:color w:val="auto"/>
        </w:rPr>
      </w:pPr>
      <w:r>
        <w:rPr>
          <w:rFonts w:ascii="Times New Roman" w:cs="Times New Roman" w:eastAsia="Times New Roman" w:hAnsi="Times New Roman"/>
          <w:sz w:val="21"/>
          <w:szCs w:val="21"/>
          <w:color w:val="auto"/>
        </w:rPr>
        <w:t>reason of the incapacity, lack of power or authority, death, dissolution, merger, termination or disability of the Guarantor, Seller or any other Person or any change whatsoever in the object, capital structure, constitution or business of Seller, Project Company or the Guarantor, or the failure of Seller, Project Company or Buyer to file or enforce a claim against the estate (in administration, bankruptcy or any other proceeding) of the Guarantor or any other Person;</w:t>
      </w:r>
    </w:p>
    <w:p>
      <w:pPr>
        <w:spacing w:after="0" w:line="193" w:lineRule="exact"/>
        <w:rPr>
          <w:sz w:val="20"/>
          <w:szCs w:val="20"/>
          <w:color w:val="auto"/>
        </w:rPr>
      </w:pPr>
    </w:p>
    <w:p>
      <w:pPr>
        <w:ind w:left="1920" w:hanging="631"/>
        <w:spacing w:after="0"/>
        <w:tabs>
          <w:tab w:leader="none" w:pos="192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promptness, diligence, demand, presentment, protest and notice of any kind,</w:t>
      </w:r>
    </w:p>
    <w:p>
      <w:pPr>
        <w:spacing w:after="0" w:line="37" w:lineRule="exact"/>
        <w:rPr>
          <w:sz w:val="20"/>
          <w:szCs w:val="20"/>
          <w:color w:val="auto"/>
        </w:rPr>
      </w:pPr>
    </w:p>
    <w:p>
      <w:pPr>
        <w:jc w:val="both"/>
        <w:ind w:hanging="8"/>
        <w:spacing w:after="0" w:line="265" w:lineRule="auto"/>
        <w:rPr>
          <w:sz w:val="20"/>
          <w:szCs w:val="20"/>
          <w:color w:val="auto"/>
        </w:rPr>
      </w:pPr>
      <w:r>
        <w:rPr>
          <w:rFonts w:ascii="Times New Roman" w:cs="Times New Roman" w:eastAsia="Times New Roman" w:hAnsi="Times New Roman"/>
          <w:sz w:val="21"/>
          <w:szCs w:val="21"/>
          <w:color w:val="auto"/>
        </w:rPr>
        <w:t>including notice of the existence, creation or incurring of any new or additional obligation or of an action or non-action on the part of Seller, Project Company or Buyer, any endorser or creditor of the foregoing or on the part of any other Person under this or any other instrument in connection with any obligation by Seller, Project Company or Buyer as collateral or in connection with any Guaranteed Obligation;</w:t>
      </w:r>
    </w:p>
    <w:p>
      <w:pPr>
        <w:spacing w:after="0" w:line="178" w:lineRule="exact"/>
        <w:rPr>
          <w:sz w:val="20"/>
          <w:szCs w:val="20"/>
          <w:color w:val="auto"/>
        </w:rPr>
      </w:pPr>
    </w:p>
    <w:p>
      <w:pPr>
        <w:ind w:left="1920" w:hanging="631"/>
        <w:spacing w:after="0"/>
        <w:tabs>
          <w:tab w:leader="none" w:pos="192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 election of remedies, including an election to</w:t>
      </w:r>
    </w:p>
    <w:p>
      <w:pPr>
        <w:spacing w:after="0" w:line="39" w:lineRule="exact"/>
        <w:rPr>
          <w:sz w:val="20"/>
          <w:szCs w:val="20"/>
          <w:color w:val="auto"/>
        </w:rPr>
      </w:pPr>
    </w:p>
    <w:p>
      <w:pPr>
        <w:ind w:right="20" w:hanging="8"/>
        <w:spacing w:after="0" w:line="288" w:lineRule="auto"/>
        <w:rPr>
          <w:sz w:val="20"/>
          <w:szCs w:val="20"/>
          <w:color w:val="auto"/>
        </w:rPr>
      </w:pPr>
      <w:r>
        <w:rPr>
          <w:rFonts w:ascii="Times New Roman" w:cs="Times New Roman" w:eastAsia="Times New Roman" w:hAnsi="Times New Roman"/>
          <w:sz w:val="21"/>
          <w:szCs w:val="21"/>
          <w:color w:val="auto"/>
        </w:rPr>
        <w:t>proceed by non-judicial rather than judicial foreclosure, which destroys or otherwise impairs the subrogation rights of the Guarantor or the right of the Guarantor to proceed against Seller or any other Person for reimbursement, or both;</w:t>
      </w:r>
    </w:p>
    <w:p>
      <w:pPr>
        <w:spacing w:after="0" w:line="169" w:lineRule="exact"/>
        <w:rPr>
          <w:sz w:val="20"/>
          <w:szCs w:val="20"/>
          <w:color w:val="auto"/>
        </w:rPr>
      </w:pPr>
    </w:p>
    <w:p>
      <w:pPr>
        <w:ind w:right="2940" w:firstLine="1289"/>
        <w:spacing w:after="0" w:line="288" w:lineRule="auto"/>
        <w:tabs>
          <w:tab w:leader="none" w:pos="1929"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on any offset against any amounts which may be owed by any Person to the Guarantor for any reason whatsoever;</w:t>
      </w:r>
    </w:p>
    <w:p>
      <w:pPr>
        <w:spacing w:after="0" w:line="168" w:lineRule="exact"/>
        <w:rPr>
          <w:rFonts w:ascii="Times New Roman" w:cs="Times New Roman" w:eastAsia="Times New Roman" w:hAnsi="Times New Roman"/>
          <w:sz w:val="21"/>
          <w:szCs w:val="21"/>
          <w:color w:val="auto"/>
        </w:rPr>
      </w:pPr>
    </w:p>
    <w:p>
      <w:pPr>
        <w:ind w:left="1940" w:hanging="651"/>
        <w:spacing w:after="0"/>
        <w:tabs>
          <w:tab w:leader="none" w:pos="194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on any act, failure to act, delay or omission whatsoever</w:t>
      </w:r>
    </w:p>
    <w:p>
      <w:pPr>
        <w:spacing w:after="0" w:line="37" w:lineRule="exact"/>
        <w:rPr>
          <w:sz w:val="20"/>
          <w:szCs w:val="20"/>
          <w:color w:val="auto"/>
        </w:rPr>
      </w:pPr>
    </w:p>
    <w:p>
      <w:pPr>
        <w:jc w:val="both"/>
        <w:ind w:hanging="8"/>
        <w:spacing w:after="0" w:line="265" w:lineRule="auto"/>
        <w:rPr>
          <w:sz w:val="20"/>
          <w:szCs w:val="20"/>
          <w:color w:val="auto"/>
        </w:rPr>
      </w:pPr>
      <w:r>
        <w:rPr>
          <w:rFonts w:ascii="Times New Roman" w:cs="Times New Roman" w:eastAsia="Times New Roman" w:hAnsi="Times New Roman"/>
          <w:sz w:val="21"/>
          <w:szCs w:val="21"/>
          <w:color w:val="auto"/>
        </w:rPr>
        <w:t>on the part of Seller, Project Company or any of their Affiliates or the failure by Seller, Project Company or any of their Affiliates to do any act or thing or to observe or perform any covenant, condition or agreement to be observed or performed by such Person under the Purchase Agreement;</w:t>
      </w:r>
    </w:p>
    <w:p>
      <w:pPr>
        <w:spacing w:after="0" w:line="177" w:lineRule="exact"/>
        <w:rPr>
          <w:sz w:val="20"/>
          <w:szCs w:val="20"/>
          <w:color w:val="auto"/>
        </w:rPr>
      </w:pPr>
    </w:p>
    <w:p>
      <w:pPr>
        <w:ind w:left="1920" w:hanging="631"/>
        <w:spacing w:after="0"/>
        <w:tabs>
          <w:tab w:leader="none" w:pos="192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statute or rule of law which provides that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obligation of a surety must be neither larger in amount nor in other respects more burdensome than that of the principal;</w:t>
      </w:r>
    </w:p>
    <w:p>
      <w:pPr>
        <w:spacing w:after="0" w:line="215" w:lineRule="exact"/>
        <w:rPr>
          <w:sz w:val="20"/>
          <w:szCs w:val="20"/>
          <w:color w:val="auto"/>
        </w:rPr>
      </w:pPr>
    </w:p>
    <w:p>
      <w:pPr>
        <w:jc w:val="both"/>
        <w:ind w:right="20" w:firstLine="1289"/>
        <w:spacing w:after="0" w:line="260" w:lineRule="auto"/>
        <w:tabs>
          <w:tab w:leader="none" w:pos="1919"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duty on the part of Seller, Project Company or Buyer to disclose to the Guarantor any facts Seller, Project Company or Buyer may now or hereafter know about Seller, Project Company or an Affiliate thereof, regardless of whether Seller, Project Company or Buyer has reason to believe that any such facts materially increase the risk beyond that which the Guarantor intends to assume, or have reason to believe that such facts are unknown to the Guarantor, or have a reasonable opportunity to communicate such facts to the Guarantor, since each Guarantor acknowledges that the Guarantor is fully responsible for being and keeping informed of the financial condition of Seller and Project Company, and of all circumstances bearing on the risk of non-payment of any Guaranteed Obligation;</w:t>
      </w:r>
    </w:p>
    <w:p>
      <w:pPr>
        <w:spacing w:after="0" w:line="199"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on any change in the time, manner or place of any</w:t>
      </w:r>
    </w:p>
    <w:p>
      <w:pPr>
        <w:sectPr>
          <w:pgSz w:w="11900" w:h="16838" w:orient="portrait"/>
          <w:cols w:equalWidth="0" w:num="1">
            <w:col w:w="11160"/>
          </w:cols>
          <w:pgMar w:left="320" w:top="1440" w:right="419" w:bottom="1440" w:gutter="0" w:footer="0" w:header="0"/>
        </w:sectPr>
      </w:pPr>
    </w:p>
    <w:bookmarkStart w:id="227" w:name="page228"/>
    <w:bookmarkEnd w:id="227"/>
    <w:p>
      <w:pPr>
        <w:spacing w:after="0" w:line="222" w:lineRule="exact"/>
        <w:rPr>
          <w:sz w:val="20"/>
          <w:szCs w:val="20"/>
          <w:color w:val="auto"/>
        </w:rPr>
      </w:pPr>
    </w:p>
    <w:p>
      <w:pPr>
        <w:ind w:hanging="8"/>
        <w:spacing w:after="0" w:line="302" w:lineRule="auto"/>
        <w:rPr>
          <w:sz w:val="20"/>
          <w:szCs w:val="20"/>
          <w:color w:val="auto"/>
        </w:rPr>
      </w:pPr>
      <w:r>
        <w:rPr>
          <w:rFonts w:ascii="Times New Roman" w:cs="Times New Roman" w:eastAsia="Times New Roman" w:hAnsi="Times New Roman"/>
          <w:sz w:val="21"/>
          <w:szCs w:val="21"/>
          <w:color w:val="auto"/>
        </w:rPr>
        <w:t>payment under, or in any other term of, the Purchase Agreement, or any other amendment, renewal, extension, acceleration, compromise or waiver of or any consent or departure from the terms of the Purchase Agreement;</w:t>
      </w:r>
    </w:p>
    <w:p>
      <w:pPr>
        <w:spacing w:after="0" w:line="140" w:lineRule="exact"/>
        <w:rPr>
          <w:sz w:val="20"/>
          <w:szCs w:val="20"/>
          <w:color w:val="auto"/>
        </w:rPr>
      </w:pPr>
    </w:p>
    <w:p>
      <w:pPr>
        <w:ind w:left="1920" w:hanging="631"/>
        <w:spacing w:after="0"/>
        <w:tabs>
          <w:tab w:leader="none" w:pos="192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 to assert the bankruptcy or insolvency of Seller or any other Person</w:t>
      </w:r>
    </w:p>
    <w:p>
      <w:pPr>
        <w:spacing w:after="0" w:line="37" w:lineRule="exact"/>
        <w:rPr>
          <w:sz w:val="20"/>
          <w:szCs w:val="20"/>
          <w:color w:val="auto"/>
        </w:rPr>
      </w:pPr>
    </w:p>
    <w:p>
      <w:pPr>
        <w:ind w:right="20" w:hanging="8"/>
        <w:spacing w:after="0" w:line="277" w:lineRule="auto"/>
        <w:rPr>
          <w:sz w:val="20"/>
          <w:szCs w:val="20"/>
          <w:color w:val="auto"/>
        </w:rPr>
      </w:pPr>
      <w:r>
        <w:rPr>
          <w:rFonts w:ascii="Times New Roman" w:cs="Times New Roman" w:eastAsia="Times New Roman" w:hAnsi="Times New Roman"/>
          <w:sz w:val="21"/>
          <w:szCs w:val="21"/>
          <w:color w:val="auto"/>
        </w:rPr>
        <w:t>as a defense hereunder or as the basis for rescission hereof and any defense arising because of Buyer’s election, in any proceeding instituted under the Bankruptcy Code, of the application of Section 1111(b)(2) of the Bankruptcy Code;</w:t>
      </w:r>
    </w:p>
    <w:p>
      <w:pPr>
        <w:spacing w:after="0" w:line="153" w:lineRule="exact"/>
        <w:rPr>
          <w:sz w:val="20"/>
          <w:szCs w:val="20"/>
          <w:color w:val="auto"/>
        </w:rPr>
      </w:pPr>
    </w:p>
    <w:p>
      <w:pPr>
        <w:ind w:left="1920" w:hanging="631"/>
        <w:spacing w:after="0"/>
        <w:tabs>
          <w:tab w:leader="none" w:pos="192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borrowing or grant of a security interest under Section 364 of the Bankruptcy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Code;</w:t>
      </w:r>
    </w:p>
    <w:p>
      <w:pPr>
        <w:spacing w:after="0" w:line="229" w:lineRule="exact"/>
        <w:rPr>
          <w:sz w:val="20"/>
          <w:szCs w:val="20"/>
          <w:color w:val="auto"/>
        </w:rPr>
      </w:pPr>
    </w:p>
    <w:p>
      <w:pPr>
        <w:ind w:right="2760" w:firstLine="1289"/>
        <w:spacing w:after="0" w:line="288" w:lineRule="auto"/>
        <w:tabs>
          <w:tab w:leader="none" w:pos="192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or circumstance constituting fraud in the inducement or any other similar event or circumstances;</w:t>
      </w:r>
    </w:p>
    <w:p>
      <w:pPr>
        <w:spacing w:after="0" w:line="168"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 or omission by Seller or Project Company or any existence of or</w:t>
      </w:r>
    </w:p>
    <w:p>
      <w:pPr>
        <w:spacing w:after="0" w:line="37" w:lineRule="exact"/>
        <w:rPr>
          <w:sz w:val="20"/>
          <w:szCs w:val="20"/>
          <w:color w:val="auto"/>
        </w:rPr>
      </w:pPr>
    </w:p>
    <w:p>
      <w:pPr>
        <w:ind w:right="20" w:hanging="8"/>
        <w:spacing w:after="0" w:line="277" w:lineRule="auto"/>
        <w:rPr>
          <w:sz w:val="20"/>
          <w:szCs w:val="20"/>
          <w:color w:val="auto"/>
        </w:rPr>
      </w:pPr>
      <w:r>
        <w:rPr>
          <w:rFonts w:ascii="Times New Roman" w:cs="Times New Roman" w:eastAsia="Times New Roman" w:hAnsi="Times New Roman"/>
          <w:sz w:val="21"/>
          <w:szCs w:val="21"/>
          <w:color w:val="auto"/>
        </w:rPr>
        <w:t>reliance on any representation by Seller, Project Company or Buyer that might otherwise constitute a defense available to, or discharge of, any guarantor or surety;</w:t>
      </w:r>
    </w:p>
    <w:p>
      <w:pPr>
        <w:spacing w:after="0" w:line="166" w:lineRule="exact"/>
        <w:rPr>
          <w:sz w:val="20"/>
          <w:szCs w:val="20"/>
          <w:color w:val="auto"/>
        </w:rPr>
      </w:pPr>
    </w:p>
    <w:p>
      <w:pPr>
        <w:ind w:right="2720" w:firstLine="1289"/>
        <w:spacing w:after="0" w:line="302" w:lineRule="auto"/>
        <w:tabs>
          <w:tab w:leader="none" w:pos="1928"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dispute between the Guarantor (or any Affiliate thereof other than Seller) and Buyer;</w:t>
      </w:r>
    </w:p>
    <w:p>
      <w:pPr>
        <w:spacing w:after="0" w:line="126"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validity or enforceability of the Guaranteed Obligations or the Purchase Agreement;</w:t>
      </w:r>
    </w:p>
    <w:p>
      <w:pPr>
        <w:spacing w:after="0" w:line="239"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assignment or transfer of any party’s interest in the Purchase Agreement;</w:t>
      </w:r>
    </w:p>
    <w:p>
      <w:pPr>
        <w:spacing w:after="0" w:line="226" w:lineRule="exact"/>
        <w:rPr>
          <w:rFonts w:ascii="Times New Roman" w:cs="Times New Roman" w:eastAsia="Times New Roman" w:hAnsi="Times New Roman"/>
          <w:sz w:val="21"/>
          <w:szCs w:val="21"/>
          <w:color w:val="auto"/>
        </w:rPr>
      </w:pPr>
    </w:p>
    <w:p>
      <w:pPr>
        <w:ind w:firstLine="1289"/>
        <w:spacing w:after="0" w:line="288" w:lineRule="auto"/>
        <w:tabs>
          <w:tab w:leader="none" w:pos="1919"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taking of or delay or failure to take any action by Buyer to enforce the Guaranteed Obligations or the Purchase Agreement, or to otherwise exercise any rights or remedies against Seller or any other Person;</w:t>
      </w:r>
    </w:p>
    <w:p>
      <w:pPr>
        <w:spacing w:after="0" w:line="141" w:lineRule="exact"/>
        <w:rPr>
          <w:rFonts w:ascii="Times New Roman" w:cs="Times New Roman" w:eastAsia="Times New Roman" w:hAnsi="Times New Roman"/>
          <w:sz w:val="21"/>
          <w:szCs w:val="21"/>
          <w:color w:val="auto"/>
        </w:rPr>
      </w:pPr>
    </w:p>
    <w:p>
      <w:pPr>
        <w:ind w:right="20" w:firstLine="1289"/>
        <w:spacing w:after="0" w:line="288" w:lineRule="auto"/>
        <w:tabs>
          <w:tab w:leader="none" w:pos="192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insolvency, bankruptcy, liquidation or dissolution of the Guarantor, Seller or Project Company, including any discharge of obligations therefrom;</w:t>
      </w:r>
    </w:p>
    <w:p>
      <w:pPr>
        <w:spacing w:after="0" w:line="168"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claim, set-off, counterclaim, defense or other rights that the Guarantor</w:t>
      </w:r>
    </w:p>
    <w:p>
      <w:pPr>
        <w:spacing w:after="0" w:line="37" w:lineRule="exact"/>
        <w:rPr>
          <w:sz w:val="20"/>
          <w:szCs w:val="20"/>
          <w:color w:val="auto"/>
        </w:rPr>
      </w:pPr>
    </w:p>
    <w:p>
      <w:pPr>
        <w:ind w:right="20" w:hanging="8"/>
        <w:spacing w:after="0" w:line="258" w:lineRule="auto"/>
        <w:rPr>
          <w:sz w:val="20"/>
          <w:szCs w:val="20"/>
          <w:color w:val="auto"/>
        </w:rPr>
      </w:pPr>
      <w:r>
        <w:rPr>
          <w:rFonts w:ascii="Times New Roman" w:cs="Times New Roman" w:eastAsia="Times New Roman" w:hAnsi="Times New Roman"/>
          <w:sz w:val="21"/>
          <w:szCs w:val="21"/>
          <w:color w:val="auto"/>
        </w:rPr>
        <w:t>may have at any time and from time to time against Buyer, whether in connection with this transaction or any unrelated transaction;</w:t>
      </w:r>
    </w:p>
    <w:p>
      <w:pPr>
        <w:spacing w:after="0" w:line="200" w:lineRule="exact"/>
        <w:rPr>
          <w:sz w:val="20"/>
          <w:szCs w:val="20"/>
          <w:color w:val="auto"/>
        </w:rPr>
      </w:pPr>
    </w:p>
    <w:p>
      <w:pPr>
        <w:spacing w:after="0" w:line="264" w:lineRule="exact"/>
        <w:rPr>
          <w:sz w:val="20"/>
          <w:szCs w:val="20"/>
          <w:color w:val="auto"/>
        </w:rPr>
      </w:pPr>
    </w:p>
    <w:p>
      <w:pPr>
        <w:ind w:left="1920" w:hanging="631"/>
        <w:spacing w:after="0"/>
        <w:tabs>
          <w:tab w:leader="none" w:pos="192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default, failure, omission or delay, willful or otherwise, on the part of</w:t>
      </w:r>
    </w:p>
    <w:p>
      <w:pPr>
        <w:spacing w:after="0" w:line="37" w:lineRule="exact"/>
        <w:rPr>
          <w:sz w:val="20"/>
          <w:szCs w:val="20"/>
          <w:color w:val="auto"/>
        </w:rPr>
      </w:pPr>
    </w:p>
    <w:p>
      <w:pPr>
        <w:ind w:right="20" w:hanging="8"/>
        <w:spacing w:after="0" w:line="277" w:lineRule="auto"/>
        <w:rPr>
          <w:sz w:val="20"/>
          <w:szCs w:val="20"/>
          <w:color w:val="auto"/>
        </w:rPr>
      </w:pPr>
      <w:r>
        <w:rPr>
          <w:rFonts w:ascii="Times New Roman" w:cs="Times New Roman" w:eastAsia="Times New Roman" w:hAnsi="Times New Roman"/>
          <w:sz w:val="21"/>
          <w:szCs w:val="21"/>
          <w:color w:val="auto"/>
        </w:rPr>
        <w:t>either Seller or the Guarantor to perform or comply with, or the impossibility or illegality of performance by Seller of any of the Guaranteed Obligations;</w:t>
      </w:r>
    </w:p>
    <w:p>
      <w:pPr>
        <w:sectPr>
          <w:pgSz w:w="11900" w:h="16838" w:orient="portrait"/>
          <w:cols w:equalWidth="0" w:num="1">
            <w:col w:w="11160"/>
          </w:cols>
          <w:pgMar w:left="320" w:top="1440" w:right="419" w:bottom="1440" w:gutter="0" w:footer="0" w:header="0"/>
        </w:sectPr>
      </w:pPr>
    </w:p>
    <w:bookmarkStart w:id="228" w:name="page229"/>
    <w:bookmarkEnd w:id="228"/>
    <w:p>
      <w:pPr>
        <w:spacing w:after="0" w:line="222" w:lineRule="exact"/>
        <w:rPr>
          <w:sz w:val="20"/>
          <w:szCs w:val="20"/>
          <w:color w:val="auto"/>
        </w:rPr>
      </w:pPr>
    </w:p>
    <w:p>
      <w:pPr>
        <w:ind w:left="1920" w:hanging="631"/>
        <w:spacing w:after="0"/>
        <w:tabs>
          <w:tab w:leader="none" w:pos="192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suit or other action brought by, or any judgment in favor of, any</w:t>
      </w:r>
    </w:p>
    <w:p>
      <w:pPr>
        <w:spacing w:after="0" w:line="37" w:lineRule="exact"/>
        <w:rPr>
          <w:sz w:val="20"/>
          <w:szCs w:val="20"/>
          <w:color w:val="auto"/>
        </w:rPr>
      </w:pPr>
    </w:p>
    <w:p>
      <w:pPr>
        <w:jc w:val="both"/>
        <w:ind w:right="20" w:hanging="8"/>
        <w:spacing w:after="0" w:line="265" w:lineRule="auto"/>
        <w:rPr>
          <w:sz w:val="20"/>
          <w:szCs w:val="20"/>
          <w:color w:val="auto"/>
        </w:rPr>
      </w:pPr>
      <w:r>
        <w:rPr>
          <w:rFonts w:ascii="Times New Roman" w:cs="Times New Roman" w:eastAsia="Times New Roman" w:hAnsi="Times New Roman"/>
          <w:sz w:val="21"/>
          <w:szCs w:val="21"/>
          <w:color w:val="auto"/>
        </w:rPr>
        <w:t>beneficiaries or creditors of any of the Seller, the Guarantor or any other Person for any reason whatsoever, including any suit or action in any way attaching or involving any issue, matter or thing in respect of any of the Purchase Agreement, the Guaranteed Obligations or any other agreement (other than a suit or action to which Buyer is a party or by which Buyer is bound concerning the scope of the Guaranteed Obligations or concerning the provisions of this Agreement);</w:t>
      </w:r>
    </w:p>
    <w:p>
      <w:pPr>
        <w:spacing w:after="0" w:line="165" w:lineRule="exact"/>
        <w:rPr>
          <w:sz w:val="20"/>
          <w:szCs w:val="20"/>
          <w:color w:val="auto"/>
        </w:rPr>
      </w:pPr>
    </w:p>
    <w:p>
      <w:pPr>
        <w:jc w:val="both"/>
        <w:ind w:right="20" w:firstLine="1289"/>
        <w:spacing w:after="0" w:line="264" w:lineRule="auto"/>
        <w:tabs>
          <w:tab w:leader="none" w:pos="1919"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lease or transfer of any or all of the assets of Seller, Project Company or the Guarantor, including any transfer or purported transfer from Seller, Project Company or the Guarantor to any other Person, any invalidity of, illegality of, or inability to enforce, any such transfer or purported transfer, any consolidation or merger of Seller, Project Company or the Guarantor with or into any Person or any change in the ownership of Seller, Project Company or the Guarantor;</w:t>
      </w:r>
    </w:p>
    <w:p>
      <w:pPr>
        <w:spacing w:after="0" w:line="193"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or failure to act in any manner referred to in this Agreement that</w:t>
      </w:r>
    </w:p>
    <w:p>
      <w:pPr>
        <w:spacing w:after="0" w:line="36" w:lineRule="exact"/>
        <w:rPr>
          <w:sz w:val="20"/>
          <w:szCs w:val="20"/>
          <w:color w:val="auto"/>
        </w:rPr>
      </w:pPr>
    </w:p>
    <w:p>
      <w:pPr>
        <w:ind w:right="100" w:hanging="8"/>
        <w:spacing w:after="0" w:line="251" w:lineRule="auto"/>
        <w:rPr>
          <w:sz w:val="20"/>
          <w:szCs w:val="20"/>
          <w:color w:val="auto"/>
        </w:rPr>
      </w:pPr>
      <w:r>
        <w:rPr>
          <w:rFonts w:ascii="Times New Roman" w:cs="Times New Roman" w:eastAsia="Times New Roman" w:hAnsi="Times New Roman"/>
          <w:sz w:val="21"/>
          <w:szCs w:val="21"/>
          <w:color w:val="auto"/>
        </w:rPr>
        <w:t>may deprive the Guarantor of its rights to subrogation against Seller to recover full indemnity for any payments made pursuant to this Agreement or of the Guarantor’s right to contribution against any other party;</w:t>
      </w:r>
    </w:p>
    <w:p>
      <w:pPr>
        <w:spacing w:after="0" w:line="206" w:lineRule="exact"/>
        <w:rPr>
          <w:sz w:val="20"/>
          <w:szCs w:val="20"/>
          <w:color w:val="auto"/>
        </w:rPr>
      </w:pPr>
    </w:p>
    <w:p>
      <w:pPr>
        <w:ind w:left="1920" w:hanging="631"/>
        <w:spacing w:after="0"/>
        <w:tabs>
          <w:tab w:leader="none" w:pos="192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whether direct or indirect, in the Guarantor’s relation to Seller</w:t>
      </w:r>
    </w:p>
    <w:p>
      <w:pPr>
        <w:spacing w:after="0" w:line="37" w:lineRule="exact"/>
        <w:rPr>
          <w:sz w:val="20"/>
          <w:szCs w:val="20"/>
          <w:color w:val="auto"/>
        </w:rPr>
      </w:pPr>
    </w:p>
    <w:p>
      <w:pPr>
        <w:jc w:val="both"/>
        <w:ind w:hanging="8"/>
        <w:spacing w:after="0" w:line="271" w:lineRule="auto"/>
        <w:rPr>
          <w:sz w:val="20"/>
          <w:szCs w:val="20"/>
          <w:color w:val="auto"/>
        </w:rPr>
      </w:pPr>
      <w:r>
        <w:rPr>
          <w:rFonts w:ascii="Times New Roman" w:cs="Times New Roman" w:eastAsia="Times New Roman" w:hAnsi="Times New Roman"/>
          <w:sz w:val="21"/>
          <w:szCs w:val="21"/>
          <w:color w:val="auto"/>
        </w:rPr>
        <w:t>or Project Company, including any such change by reason of any merger or consolidation or any sale, transfer, issuance, spin-off, distribution or other disposition of any stock, equity interest or other security of Seller or Project Company, the Guarantor or any other entity;</w:t>
      </w:r>
    </w:p>
    <w:p>
      <w:pPr>
        <w:spacing w:after="0" w:line="146" w:lineRule="exact"/>
        <w:rPr>
          <w:sz w:val="20"/>
          <w:szCs w:val="20"/>
          <w:color w:val="auto"/>
        </w:rPr>
      </w:pPr>
    </w:p>
    <w:p>
      <w:pPr>
        <w:ind w:left="1920" w:hanging="631"/>
        <w:spacing w:after="0"/>
        <w:tabs>
          <w:tab w:leader="none" w:pos="192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settlement, compromise, release or discharge of, or acceptance or</w:t>
      </w:r>
    </w:p>
    <w:p>
      <w:pPr>
        <w:spacing w:after="0" w:line="39" w:lineRule="exact"/>
        <w:rPr>
          <w:sz w:val="20"/>
          <w:szCs w:val="20"/>
          <w:color w:val="auto"/>
        </w:rPr>
      </w:pPr>
    </w:p>
    <w:p>
      <w:pPr>
        <w:ind w:right="20" w:hanging="8"/>
        <w:spacing w:after="0" w:line="288" w:lineRule="auto"/>
        <w:rPr>
          <w:sz w:val="20"/>
          <w:szCs w:val="20"/>
          <w:color w:val="auto"/>
        </w:rPr>
      </w:pPr>
      <w:r>
        <w:rPr>
          <w:rFonts w:ascii="Times New Roman" w:cs="Times New Roman" w:eastAsia="Times New Roman" w:hAnsi="Times New Roman"/>
          <w:sz w:val="21"/>
          <w:szCs w:val="21"/>
          <w:color w:val="auto"/>
        </w:rPr>
        <w:t>refusal of any offer of payment with respect to, or any substitutions for, the Guaranteed Obligations or any subordination of the Guaranteed Obligations to any other obligations;</w:t>
      </w:r>
    </w:p>
    <w:p>
      <w:pPr>
        <w:spacing w:after="0" w:line="142" w:lineRule="exact"/>
        <w:rPr>
          <w:sz w:val="20"/>
          <w:szCs w:val="20"/>
          <w:color w:val="auto"/>
        </w:rPr>
      </w:pPr>
    </w:p>
    <w:p>
      <w:pPr>
        <w:ind w:left="1920" w:hanging="631"/>
        <w:spacing w:after="0"/>
        <w:tabs>
          <w:tab w:leader="none" w:pos="192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acceptance of any other guaranties or security for any of the Guaranteed Obligations;</w:t>
      </w:r>
    </w:p>
    <w:p>
      <w:pPr>
        <w:spacing w:after="0" w:line="226" w:lineRule="exact"/>
        <w:rPr>
          <w:sz w:val="20"/>
          <w:szCs w:val="20"/>
          <w:color w:val="auto"/>
        </w:rPr>
      </w:pPr>
    </w:p>
    <w:p>
      <w:pPr>
        <w:ind w:left="1920" w:hanging="631"/>
        <w:spacing w:after="0"/>
        <w:tabs>
          <w:tab w:leader="none" w:pos="1920"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by any other Person of a portion, but not all, of the Guaranteed Obligations; and</w:t>
      </w:r>
    </w:p>
    <w:p>
      <w:pPr>
        <w:spacing w:after="0" w:line="239" w:lineRule="exact"/>
        <w:rPr>
          <w:sz w:val="20"/>
          <w:szCs w:val="20"/>
          <w:color w:val="auto"/>
        </w:rPr>
      </w:pPr>
    </w:p>
    <w:p>
      <w:pPr>
        <w:jc w:val="both"/>
        <w:ind w:right="2780" w:firstLine="1291"/>
        <w:spacing w:after="0" w:line="315" w:lineRule="auto"/>
        <w:rPr>
          <w:sz w:val="20"/>
          <w:szCs w:val="20"/>
          <w:color w:val="auto"/>
        </w:rPr>
      </w:pPr>
      <w:r>
        <w:rPr>
          <w:rFonts w:ascii="Times New Roman" w:cs="Times New Roman" w:eastAsia="Times New Roman" w:hAnsi="Times New Roman"/>
          <w:sz w:val="21"/>
          <w:szCs w:val="21"/>
          <w:color w:val="auto"/>
        </w:rPr>
        <w:t>(ab) any other circumstances that might otherwise constitute a legal or equitable discharge or defense of a guarantor (other than payment by Seller of the Guaranteed Obligations),</w:t>
      </w:r>
    </w:p>
    <w:p>
      <w:pPr>
        <w:spacing w:after="0" w:line="101" w:lineRule="exact"/>
        <w:rPr>
          <w:sz w:val="20"/>
          <w:szCs w:val="20"/>
          <w:color w:val="auto"/>
        </w:rPr>
      </w:pPr>
    </w:p>
    <w:p>
      <w:pPr>
        <w:jc w:val="both"/>
        <w:ind w:right="20" w:hanging="8"/>
        <w:spacing w:after="0" w:line="277" w:lineRule="auto"/>
        <w:rPr>
          <w:sz w:val="20"/>
          <w:szCs w:val="20"/>
          <w:color w:val="auto"/>
        </w:rPr>
      </w:pPr>
      <w:r>
        <w:rPr>
          <w:rFonts w:ascii="Times New Roman" w:cs="Times New Roman" w:eastAsia="Times New Roman" w:hAnsi="Times New Roman"/>
          <w:sz w:val="21"/>
          <w:szCs w:val="21"/>
          <w:color w:val="auto"/>
        </w:rPr>
        <w:t>other than, in each case, any defenses that either Seller or the Guarantor may assert with respect to its payment under the agreement under which such Guaranteed Obligations arise, or the written waiver, settlement or discharge of the Guaranteed Obligations or of this Agreement by Buyer.</w:t>
      </w:r>
    </w:p>
    <w:p>
      <w:pPr>
        <w:sectPr>
          <w:pgSz w:w="11900" w:h="16838" w:orient="portrait"/>
          <w:cols w:equalWidth="0" w:num="1">
            <w:col w:w="11160"/>
          </w:cols>
          <w:pgMar w:left="320" w:top="1440" w:right="419" w:bottom="1440" w:gutter="0" w:footer="0" w:header="0"/>
        </w:sectPr>
      </w:pPr>
    </w:p>
    <w:bookmarkStart w:id="229" w:name="page230"/>
    <w:bookmarkEnd w:id="229"/>
    <w:p>
      <w:pPr>
        <w:spacing w:after="0" w:line="222" w:lineRule="exact"/>
        <w:rPr>
          <w:sz w:val="20"/>
          <w:szCs w:val="20"/>
          <w:color w:val="auto"/>
        </w:rPr>
      </w:pPr>
    </w:p>
    <w:p>
      <w:pPr>
        <w:jc w:val="both"/>
        <w:ind w:left="640" w:firstLine="641"/>
        <w:spacing w:after="0" w:line="262"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Subrogation</w:t>
      </w:r>
      <w:r>
        <w:rPr>
          <w:rFonts w:ascii="Times New Roman" w:cs="Times New Roman" w:eastAsia="Times New Roman" w:hAnsi="Times New Roman"/>
          <w:sz w:val="21"/>
          <w:szCs w:val="21"/>
          <w:color w:val="auto"/>
        </w:rPr>
        <w:t>. Unless and until the discharge in full of all due and payable Guaranteed Obligations, (a) Guarantor shall not exercise any right of subrogation or enforce any remedy which Buyer may have now or may hereafter have against Seller, and (b) Guarantor shall not enforce any claim, right or remedy which the Guarantor may now have or may hereafter acquire against Seller that arises hereunder, from the existence or enforcement of this Agreement or from the payment by the Guarantor hereunder (including any claim, remedy or right of subrogation, reimbursement, exoneration, contribution, indemnification, or participation in any claim, right or remedy of Buyer against Seller), whether or not such claim, right or remedy arises in equity, under contract, by statute, under common law or otherwise.</w:t>
      </w:r>
    </w:p>
    <w:p>
      <w:pPr>
        <w:spacing w:after="0" w:line="158" w:lineRule="exact"/>
        <w:rPr>
          <w:sz w:val="20"/>
          <w:szCs w:val="20"/>
          <w:color w:val="auto"/>
        </w:rPr>
      </w:pPr>
    </w:p>
    <w:p>
      <w:pPr>
        <w:jc w:val="both"/>
        <w:ind w:left="640" w:right="20" w:firstLine="641"/>
        <w:spacing w:after="0" w:line="260"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Reinstatement</w:t>
      </w:r>
      <w:r>
        <w:rPr>
          <w:rFonts w:ascii="Times New Roman" w:cs="Times New Roman" w:eastAsia="Times New Roman" w:hAnsi="Times New Roman"/>
          <w:sz w:val="21"/>
          <w:szCs w:val="21"/>
          <w:color w:val="auto"/>
        </w:rPr>
        <w:t>. This Agreement and the obligations of the Guarantor hereunder shall continue to be effective or be automatically reinstated, as the case may be, if and to the extent that for any reason any payment by or on behalf of the Guarantor in respect of the Guaranteed Obligations is rescinded or otherwise restored to the Guarantor, whether as a result of any proceedings in bankruptcy or reorganization or otherwise, all as if such payment had not been made, and each Guarantor agrees that it will indemnify Buyer and its successors and assigns, on demand for all costs and expenses (including reasonable fees of counsel) incurred by Buyer and its successors and assigns in connection with any such rescission or restoration.</w:t>
      </w:r>
    </w:p>
    <w:p>
      <w:pPr>
        <w:spacing w:after="0" w:line="199"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jc w:val="both"/>
        <w:ind w:firstLine="4615"/>
        <w:spacing w:after="0" w:line="268" w:lineRule="auto"/>
        <w:tabs>
          <w:tab w:leader="none" w:pos="5254" w:val="left"/>
        </w:tabs>
        <w:numPr>
          <w:ilvl w:val="2"/>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 and liability of the Guarantor under this Agreement is specifically limited to payment in respect of the Guaranteed Obligations, subject to any and all rights, set-offs, offsets, claims, counterclaims, limitations, qualifications and other defenses, solely to the extent that each of the foregoing are available to Seller under the Purchase Agreement, other than as expressly waived by each Guarantor pursuant to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4254"/>
        <w:spacing w:after="0" w:line="283" w:lineRule="auto"/>
        <w:tabs>
          <w:tab w:leader="none" w:pos="4892"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Guarantor shall not have any obligation or liability to any Person relating to, arising out of or in connection with this Agreement or the Purchase Agreement, other than as expressly set forth herein and therein.</w:t>
      </w:r>
    </w:p>
    <w:p>
      <w:pPr>
        <w:spacing w:after="0" w:line="134" w:lineRule="exact"/>
        <w:rPr>
          <w:rFonts w:ascii="Times New Roman" w:cs="Times New Roman" w:eastAsia="Times New Roman" w:hAnsi="Times New Roman"/>
          <w:sz w:val="21"/>
          <w:szCs w:val="21"/>
          <w:color w:val="auto"/>
        </w:rPr>
      </w:pPr>
    </w:p>
    <w:p>
      <w:pPr>
        <w:jc w:val="both"/>
        <w:ind w:left="700" w:firstLine="870"/>
        <w:spacing w:after="0" w:line="261" w:lineRule="auto"/>
        <w:tabs>
          <w:tab w:leader="none" w:pos="220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in no event shall (i) Buyer be entitled to recover any amounts hereunder with respect to any Guaranteed Obligation to the extent Buyer or its Affiliates has recovered such amounts in cash under the Purchase Agreement or (ii) there be any duplication of payments to or recovery by Buyer or its Affiliates under different provisions of this Agreement, or under any provision of this Agreement and any provision of the</w:t>
      </w:r>
    </w:p>
    <w:p>
      <w:pPr>
        <w:spacing w:after="0" w:line="2"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21"/>
          <w:szCs w:val="21"/>
          <w:color w:val="auto"/>
        </w:rPr>
        <w:t>Purchase Agreement.</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 xml:space="preserve">ARTICLE VI. </w:t>
      </w:r>
      <w:r>
        <w:rPr>
          <w:rFonts w:ascii="Times New Roman" w:cs="Times New Roman" w:eastAsia="Times New Roman" w:hAnsi="Times New Roman"/>
          <w:sz w:val="21"/>
          <w:szCs w:val="21"/>
          <w:u w:val="single" w:color="auto"/>
          <w:color w:val="auto"/>
        </w:rPr>
        <w:t>MISCELLANEOUS</w:t>
      </w:r>
    </w:p>
    <w:p>
      <w:pPr>
        <w:spacing w:after="0" w:line="226" w:lineRule="exact"/>
        <w:rPr>
          <w:sz w:val="20"/>
          <w:szCs w:val="20"/>
          <w:color w:val="auto"/>
        </w:rPr>
      </w:pPr>
    </w:p>
    <w:p>
      <w:pPr>
        <w:ind w:right="20" w:firstLine="641"/>
        <w:spacing w:after="0" w:line="288"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Successions or Assignments</w:t>
      </w:r>
      <w:r>
        <w:rPr>
          <w:rFonts w:ascii="Times New Roman" w:cs="Times New Roman" w:eastAsia="Times New Roman" w:hAnsi="Times New Roman"/>
          <w:sz w:val="21"/>
          <w:szCs w:val="21"/>
          <w:color w:val="auto"/>
        </w:rPr>
        <w:t>. This Agreement shall be binding upon and, except as provided below, inure solely to the benefit of each Party and their successors and assigns, and</w:t>
      </w:r>
    </w:p>
    <w:p>
      <w:pPr>
        <w:sectPr>
          <w:pgSz w:w="11900" w:h="16838" w:orient="portrait"/>
          <w:cols w:equalWidth="0" w:num="1">
            <w:col w:w="11160"/>
          </w:cols>
          <w:pgMar w:left="320" w:top="1440" w:right="419" w:bottom="1440" w:gutter="0" w:footer="0" w:header="0"/>
        </w:sectPr>
      </w:pPr>
    </w:p>
    <w:bookmarkStart w:id="230" w:name="page231"/>
    <w:bookmarkEnd w:id="230"/>
    <w:p>
      <w:pPr>
        <w:spacing w:after="0" w:line="22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1"/>
          <w:szCs w:val="21"/>
          <w:color w:val="auto"/>
        </w:rPr>
        <w:t>nothing in this Agreement, express or implied, is intended to confer upon any other Person any rights or remedies of any nature whatsoever under or by reason of this Agreement. No Party may assign any or all of its rights, privileges and obligations hereunder without the prior written consent of each other Party.</w:t>
      </w:r>
    </w:p>
    <w:p>
      <w:pPr>
        <w:spacing w:after="0" w:line="152" w:lineRule="exact"/>
        <w:rPr>
          <w:sz w:val="20"/>
          <w:szCs w:val="20"/>
          <w:color w:val="auto"/>
        </w:rPr>
      </w:pPr>
    </w:p>
    <w:p>
      <w:pPr>
        <w:jc w:val="both"/>
        <w:ind w:right="20" w:firstLine="641"/>
        <w:spacing w:after="0" w:line="261"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Public Announcements</w:t>
      </w:r>
      <w:r>
        <w:rPr>
          <w:rFonts w:ascii="Times New Roman" w:cs="Times New Roman" w:eastAsia="Times New Roman" w:hAnsi="Times New Roman"/>
          <w:sz w:val="21"/>
          <w:szCs w:val="21"/>
          <w:color w:val="auto"/>
        </w:rPr>
        <w:t>. Subject to any requirements of Applicable Law, no Party shall issue, or permit any of their respective Affiliates to issue, any press release or otherwise make any public statements with respect to this Agreement or the transactions contemplated hereby without the prior written consent of the other Parties. Subject to any requirements of Applicable Law, each Party will be given the opportunity to review in advance, upon the request of such Party, all information relating hereto that appears in any filing made in connection with the transactions contemplated hereby.</w:t>
      </w:r>
    </w:p>
    <w:p>
      <w:pPr>
        <w:spacing w:after="0" w:line="170" w:lineRule="exact"/>
        <w:rPr>
          <w:sz w:val="20"/>
          <w:szCs w:val="20"/>
          <w:color w:val="auto"/>
        </w:rPr>
      </w:pPr>
    </w:p>
    <w:p>
      <w:pPr>
        <w:jc w:val="both"/>
        <w:ind w:right="20" w:firstLine="641"/>
        <w:spacing w:after="0" w:line="270"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No delay or omission on the part of Buyer in exercising any of its rights (including those hereunder) and no partial or single exercise thereof and no action or non-action by Buyer with or without notice to the Guarantor, or any other Person, shall constitute a waiver of any rights or shall affect or impair this Agreement.</w:t>
      </w:r>
    </w:p>
    <w:p>
      <w:pPr>
        <w:spacing w:after="0" w:line="160" w:lineRule="exact"/>
        <w:rPr>
          <w:sz w:val="20"/>
          <w:szCs w:val="20"/>
          <w:color w:val="auto"/>
        </w:rPr>
      </w:pPr>
    </w:p>
    <w:p>
      <w:pPr>
        <w:jc w:val="both"/>
        <w:ind w:right="20" w:firstLine="641"/>
        <w:spacing w:after="0" w:line="288"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and captions used in this Agreement are for reference purposes only and shall not affect in any way the meaning or interpretation of this Agreement.</w:t>
      </w:r>
    </w:p>
    <w:p>
      <w:pPr>
        <w:spacing w:after="0" w:line="142" w:lineRule="exact"/>
        <w:rPr>
          <w:sz w:val="20"/>
          <w:szCs w:val="20"/>
          <w:color w:val="auto"/>
        </w:rPr>
      </w:pPr>
    </w:p>
    <w:p>
      <w:pPr>
        <w:jc w:val="both"/>
        <w:ind w:right="20" w:firstLine="641"/>
        <w:spacing w:after="0" w:line="289"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Remedies Cumulative</w:t>
      </w:r>
      <w:r>
        <w:rPr>
          <w:rFonts w:ascii="Times New Roman" w:cs="Times New Roman" w:eastAsia="Times New Roman" w:hAnsi="Times New Roman"/>
          <w:sz w:val="21"/>
          <w:szCs w:val="21"/>
          <w:color w:val="auto"/>
        </w:rPr>
        <w:t>. Each and every right and remedy of Buyer hereunder shall be cumulative and shall be in addition to any other right or remedy given hereunder and under the Purchase Agreement, now or hereafter existing at law or in equity.</w:t>
      </w:r>
    </w:p>
    <w:p>
      <w:pPr>
        <w:spacing w:after="0" w:line="394"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contemplated herein are not affected in any manner materially adverse to any Party.</w:t>
      </w:r>
    </w:p>
    <w:p>
      <w:pPr>
        <w:spacing w:after="0" w:line="164"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This Agreement may not be amended or modified except by an instrument in writing signed by each Party hereto.</w:t>
      </w:r>
    </w:p>
    <w:p>
      <w:pPr>
        <w:spacing w:after="0" w:line="142"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Governing Law; Choice of Forum; Waiver of Jury Trial</w:t>
      </w:r>
      <w:r>
        <w:rPr>
          <w:rFonts w:ascii="Times New Roman" w:cs="Times New Roman" w:eastAsia="Times New Roman" w:hAnsi="Times New Roman"/>
          <w:sz w:val="21"/>
          <w:szCs w:val="21"/>
          <w:color w:val="auto"/>
        </w:rPr>
        <w:t>. THIS AGREEMENT SHALL IN ALL RESPECTS, INCLUDING ALL MATTERS OF CONSTRUCTION, VALIDITY AND PERFORMANCE, BE GOVERNED BY, AND CONSTRUED IN ACCORDANCE WITH, THE LAWS OF THE STATE OF NEW YORK (INCLUDING SECTIONS 5-1401 AND 5-1402 OF THE GENERAL OBLIGATIONS LAW, BUT WITHOUT REGARD TO ANY OTHER CONFLICT OF LAWS PROVISIONS THEREOF). ALL LEGAL ACTIONS OR PROCEEDINGS BROUGHT AGAINST EITHER PARTY WITH RESPECT TO THIS AGREEMENT MAY BE BROUGHT IN ANY STATE OR FEDERAL COURT OF COMPETENT JURISDICTION IN THE COUNTY OF NEW YORK, STATE OF NEW YORK, AND BY EXECUTION AND DELIVERY OF THIS AGREEMENT EACH PARTY ACCEPTS FOR ITSELF AND IN CONNECTION WITH ITS PROPERTIES, THE NON-EXCLUSIVE JURISDICTION OF THE AFORESAID COURTS, AND IRREVOCABLY AGREES TO BE</w:t>
      </w:r>
    </w:p>
    <w:p>
      <w:pPr>
        <w:sectPr>
          <w:pgSz w:w="11900" w:h="16838" w:orient="portrait"/>
          <w:cols w:equalWidth="0" w:num="1">
            <w:col w:w="11160"/>
          </w:cols>
          <w:pgMar w:left="320" w:top="1440" w:right="419" w:bottom="1440" w:gutter="0" w:footer="0" w:header="0"/>
        </w:sectPr>
      </w:pPr>
    </w:p>
    <w:bookmarkStart w:id="231" w:name="page232"/>
    <w:bookmarkEnd w:id="231"/>
    <w:p>
      <w:pPr>
        <w:spacing w:after="0" w:line="22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1"/>
          <w:szCs w:val="21"/>
          <w:color w:val="auto"/>
        </w:rPr>
        <w:t>BOUND BY ANY JUDGMENT RENDERED THEREBY IN CONNECTION WITH THIS AGREEMENT. EACH PARTY HEREBY EXPRESSLY AND IRREVOCABLY WAIVES ANY CLAIM OR DEFENSE IN ANY SUCH ACTION OR PROCEEDING BASED ON ANY ALLEGED LACK OF PERSONAL JURISDICTION, IMPROPER VENUE OR FORUM NON CONVENIENS OR ANY SIMILAR BASIS. EACH PARTY FURTHER IRREVOCABLY CONSENTS TO THE SERVICE OF ANY COMPLAINT, SUMMONS, NOTICE OR OTHER PROCESS RELATING TO ANY LEGAL ACTION OR PROCEEDING BY DELIVERY THEREOF TO IT BY HAND OR BY MAIL (BUT NOT BY E-MAIL) TO THE ADDRESS SET FORTH IN SECTION 6.10. NOTHING HEREIN SHALL AFFECT THE RIGHT OF ANY PARTY TO BRING PROCEEDINGS AGAINST ANY OTHER PARTY IN THE COURTS OF ANY OTHER JURISDICTION OR TO SERVE PROCESS IN ANY MANNER PERMITTED BY LAW. EACH PARTY HEREBY IRREVOCABLY AND UNCONDITIONALLY WAIVES ANY AND ALL RIGHT TO TRIAL BY JURY IN ANY ACTION, SUIT OR COUNTERCLAIM ARISING IN CONNECTION WITH THIS AGREEMENT.</w:t>
      </w:r>
    </w:p>
    <w:p>
      <w:pPr>
        <w:spacing w:after="0" w:line="177" w:lineRule="exact"/>
        <w:rPr>
          <w:sz w:val="20"/>
          <w:szCs w:val="20"/>
          <w:color w:val="auto"/>
        </w:rPr>
      </w:pPr>
    </w:p>
    <w:p>
      <w:pPr>
        <w:jc w:val="both"/>
        <w:ind w:right="20" w:firstLine="641"/>
        <w:spacing w:after="0" w:line="259" w:lineRule="auto"/>
        <w:rPr>
          <w:sz w:val="20"/>
          <w:szCs w:val="20"/>
          <w:color w:val="auto"/>
        </w:rPr>
      </w:pPr>
      <w:r>
        <w:rPr>
          <w:rFonts w:ascii="Times New Roman" w:cs="Times New Roman" w:eastAsia="Times New Roman" w:hAnsi="Times New Roman"/>
          <w:sz w:val="21"/>
          <w:szCs w:val="21"/>
          <w:color w:val="auto"/>
        </w:rPr>
        <w:t xml:space="preserve">6.9 </w:t>
      </w:r>
      <w:r>
        <w:rPr>
          <w:rFonts w:ascii="Times New Roman" w:cs="Times New Roman" w:eastAsia="Times New Roman" w:hAnsi="Times New Roman"/>
          <w:sz w:val="21"/>
          <w:szCs w:val="21"/>
          <w:u w:val="single" w:color="auto"/>
          <w:color w:val="auto"/>
        </w:rPr>
        <w:t>Entire Agreement; No Other Representations</w:t>
      </w:r>
      <w:r>
        <w:rPr>
          <w:rFonts w:ascii="Times New Roman" w:cs="Times New Roman" w:eastAsia="Times New Roman" w:hAnsi="Times New Roman"/>
          <w:sz w:val="21"/>
          <w:szCs w:val="21"/>
          <w:color w:val="auto"/>
        </w:rPr>
        <w:t xml:space="preserve">. This Agreement and the Purchase Agreement embody the entire agreement and understanding of the Parties hereto in respect of the Transaction and supersede all prior agreements, letters of intent, representations, warranties, promises, covenants, arrangements, communications and understandings, oral or written, express or implied, between the Parties with respect to the transactions contemplated hereby. There are no agreements, representations, warranties, promises, covenants, arrangements or understandings between the Parties with respect to the Transaction, other than those expressly set forth or referred to herein. The representations and warranties made under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are the sole representations and warranties of the Guarantor with respect to this Agreement and any other representations and warranties, implied or otherwise, and any reliance thereon are hereby disclaimed by the Guarantor.</w:t>
      </w:r>
    </w:p>
    <w:p>
      <w:pPr>
        <w:spacing w:after="0" w:line="173" w:lineRule="exact"/>
        <w:rPr>
          <w:sz w:val="20"/>
          <w:szCs w:val="20"/>
          <w:color w:val="auto"/>
        </w:rPr>
      </w:pPr>
    </w:p>
    <w:p>
      <w:pPr>
        <w:jc w:val="both"/>
        <w:ind w:right="20" w:firstLine="641"/>
        <w:spacing w:after="0" w:line="288"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hereunder shall be in writing and be given to the Parties at the following addresses (or at such other address for a Party as shall be specified by like notice):</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Guarantor:</w:t>
      </w:r>
    </w:p>
    <w:p>
      <w:pPr>
        <w:spacing w:after="0" w:line="2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Opal Fuels Inc.</w:t>
      </w:r>
    </w:p>
    <w:p>
      <w:pPr>
        <w:spacing w:after="0" w:line="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One North Lexington Avenue</w:t>
      </w:r>
    </w:p>
    <w:p>
      <w:pPr>
        <w:spacing w:after="0" w:line="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w:t>
      </w:r>
    </w:p>
    <w:p>
      <w:pPr>
        <w:spacing w:after="0" w:line="14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White Plains, NY 10601</w:t>
      </w:r>
    </w:p>
    <w:p>
      <w:pPr>
        <w:spacing w:after="0" w:line="3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E-mail: noticeofficer@opalfuels.com</w:t>
      </w:r>
    </w:p>
    <w:p>
      <w:pPr>
        <w:spacing w:after="0" w:line="2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Buyer: As specified in Schedule 7 to the Purchase Agreement.</w:t>
      </w:r>
    </w:p>
    <w:p>
      <w:pPr>
        <w:spacing w:after="0" w:line="239" w:lineRule="exact"/>
        <w:rPr>
          <w:sz w:val="20"/>
          <w:szCs w:val="20"/>
          <w:color w:val="auto"/>
        </w:rPr>
      </w:pPr>
    </w:p>
    <w:p>
      <w:pPr>
        <w:ind w:left="220"/>
        <w:spacing w:after="0"/>
        <w:tabs>
          <w:tab w:leader="none" w:pos="860" w:val="left"/>
        </w:tabs>
        <w:rPr>
          <w:sz w:val="20"/>
          <w:szCs w:val="20"/>
          <w:color w:val="auto"/>
        </w:rPr>
      </w:pPr>
      <w:r>
        <w:rPr>
          <w:rFonts w:ascii="Times New Roman" w:cs="Times New Roman" w:eastAsia="Times New Roman" w:hAnsi="Times New Roman"/>
          <w:sz w:val="21"/>
          <w:szCs w:val="21"/>
          <w:color w:val="auto"/>
        </w:rPr>
        <w:t>6.11</w:t>
      </w:r>
      <w:r>
        <w:rPr>
          <w:sz w:val="20"/>
          <w:szCs w:val="20"/>
          <w:color w:val="auto"/>
        </w:rPr>
        <w:tab/>
      </w:r>
      <w:r>
        <w:rPr>
          <w:rFonts w:ascii="Times New Roman" w:cs="Times New Roman" w:eastAsia="Times New Roman" w:hAnsi="Times New Roman"/>
          <w:sz w:val="21"/>
          <w:szCs w:val="21"/>
          <w:u w:val="single" w:color="auto"/>
          <w:color w:val="auto"/>
        </w:rPr>
        <w:t>Collection Expenses; Set-Off</w:t>
      </w:r>
      <w:r>
        <w:rPr>
          <w:rFonts w:ascii="Times New Roman" w:cs="Times New Roman" w:eastAsia="Times New Roman" w:hAnsi="Times New Roman"/>
          <w:sz w:val="21"/>
          <w:szCs w:val="21"/>
          <w:color w:val="auto"/>
        </w:rPr>
        <w:t>.</w:t>
      </w:r>
    </w:p>
    <w:p>
      <w:pPr>
        <w:spacing w:after="0" w:line="253" w:lineRule="exact"/>
        <w:rPr>
          <w:sz w:val="20"/>
          <w:szCs w:val="20"/>
          <w:color w:val="auto"/>
        </w:rPr>
      </w:pPr>
    </w:p>
    <w:p>
      <w:pPr>
        <w:ind w:left="5040" w:hanging="637"/>
        <w:spacing w:after="0"/>
        <w:tabs>
          <w:tab w:leader="none" w:pos="504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regard to any limitation set forth in this Agreement, if Buyer is</w:t>
      </w:r>
    </w:p>
    <w:p>
      <w:pPr>
        <w:sectPr>
          <w:pgSz w:w="11900" w:h="16838" w:orient="portrait"/>
          <w:cols w:equalWidth="0" w:num="1">
            <w:col w:w="11160"/>
          </w:cols>
          <w:pgMar w:left="320" w:top="1440" w:right="419" w:bottom="1440" w:gutter="0" w:footer="0" w:header="0"/>
        </w:sectPr>
      </w:pPr>
    </w:p>
    <w:bookmarkStart w:id="232" w:name="page233"/>
    <w:bookmarkEnd w:id="232"/>
    <w:p>
      <w:pPr>
        <w:spacing w:after="0" w:line="222" w:lineRule="exact"/>
        <w:rPr>
          <w:sz w:val="20"/>
          <w:szCs w:val="20"/>
          <w:color w:val="auto"/>
        </w:rPr>
      </w:pPr>
    </w:p>
    <w:p>
      <w:pPr>
        <w:jc w:val="both"/>
        <w:ind w:right="20" w:hanging="8"/>
        <w:spacing w:after="0" w:line="277" w:lineRule="auto"/>
        <w:rPr>
          <w:sz w:val="20"/>
          <w:szCs w:val="20"/>
          <w:color w:val="auto"/>
        </w:rPr>
      </w:pPr>
      <w:r>
        <w:rPr>
          <w:rFonts w:ascii="Times New Roman" w:cs="Times New Roman" w:eastAsia="Times New Roman" w:hAnsi="Times New Roman"/>
          <w:sz w:val="21"/>
          <w:szCs w:val="21"/>
          <w:color w:val="auto"/>
        </w:rPr>
        <w:t>required to pursue any remedy against the Guarantor hereunder, the Guarantor shall pay to Buyer, upon demand therefor, all reasonable and documented attorneys’ fees and all other reasonable and documented out of pocket costs and expenses incurred by Buyer in enforcing this Agreement (and such fees, costs and expenses shall be deemed to be part of the Guaranteed Obligations).</w:t>
      </w:r>
    </w:p>
    <w:p>
      <w:pPr>
        <w:spacing w:after="0" w:line="166" w:lineRule="exact"/>
        <w:rPr>
          <w:sz w:val="20"/>
          <w:szCs w:val="20"/>
          <w:color w:val="auto"/>
        </w:rPr>
      </w:pPr>
    </w:p>
    <w:p>
      <w:pPr>
        <w:jc w:val="both"/>
        <w:ind w:firstLine="4023"/>
        <w:spacing w:after="0" w:line="264" w:lineRule="auto"/>
        <w:tabs>
          <w:tab w:leader="none" w:pos="4661"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rights now or hereafter granted under Applicable Laws or otherwise, and not by way of limitation of any such rights, upon the failure of the Guarantor to make any payment as required hereunder, Buyer is hereby authorized at any time or from time to time, without presentment, demand, protest or other notice of any kind to the Guarantor, or to any other Person, any such notice being hereby expressly waived, to set-off and to appropriate and apply any and all deposits (general or special) to or for the credit or the account of the Guarantor against and on account of the obligations of the Guarantor under this Agreement.</w:t>
      </w:r>
    </w:p>
    <w:p>
      <w:pPr>
        <w:spacing w:after="0" w:line="170" w:lineRule="exact"/>
        <w:rPr>
          <w:sz w:val="20"/>
          <w:szCs w:val="20"/>
          <w:color w:val="auto"/>
        </w:rPr>
      </w:pPr>
    </w:p>
    <w:p>
      <w:pPr>
        <w:jc w:val="both"/>
        <w:ind w:left="640" w:right="20" w:firstLine="641"/>
        <w:spacing w:after="0" w:line="258"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and delivered (including by electronic mail transmission) in one or more counterparts, all of which shall be considered one and the same agreement and shall become effective when one or more counterparts have been signed by the Guarantor and Buyer and delivered to the other Parties, it being understood that all Parties need not sign the same counterpart. This Agreement may be executed by signatures delivered by email, and a copy hereof that is executed and delivered by a Party by email (including in .pdf format) will be binding upon 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signatures effected through DocuSign),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57"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1"/>
          <w:szCs w:val="21"/>
          <w:u w:val="single" w:color="auto"/>
          <w:color w:val="auto"/>
        </w:rPr>
        <w:t>Time</w:t>
      </w:r>
      <w:r>
        <w:rPr>
          <w:rFonts w:ascii="Times New Roman" w:cs="Times New Roman" w:eastAsia="Times New Roman" w:hAnsi="Times New Roman"/>
          <w:sz w:val="21"/>
          <w:szCs w:val="21"/>
          <w:color w:val="auto"/>
        </w:rPr>
        <w:t>. Time is of the essence in this Agreement.</w:t>
      </w:r>
    </w:p>
    <w:p>
      <w:pPr>
        <w:spacing w:after="0" w:line="226" w:lineRule="exact"/>
        <w:rPr>
          <w:sz w:val="20"/>
          <w:szCs w:val="20"/>
          <w:color w:val="auto"/>
        </w:rPr>
      </w:pPr>
    </w:p>
    <w:p>
      <w:pPr>
        <w:jc w:val="both"/>
        <w:ind w:left="640" w:firstLine="641"/>
        <w:spacing w:after="0" w:line="260"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 xml:space="preserve">, this Agreement and all of the obligations of the Guarantor hereunder shall automatically terminate on the date of the complete payment, expiration or termination of the Guaranteed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Sections 5.2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5.5</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survive such termination of this Agreement;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obligations of the Guarantor under this Agreement shall survive any termination pursuant to this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solely with respect to any claims made by Buyer under this Agreement prior to such termination.</w:t>
      </w: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ectPr>
          <w:pgSz w:w="11900" w:h="16838" w:orient="portrait"/>
          <w:cols w:equalWidth="0" w:num="1">
            <w:col w:w="11160"/>
          </w:cols>
          <w:pgMar w:left="320" w:top="1440" w:right="419" w:bottom="1440" w:gutter="0" w:footer="0" w:header="0"/>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00" w:firstLine="641"/>
        <w:spacing w:after="0" w:line="262" w:lineRule="auto"/>
        <w:rPr>
          <w:sz w:val="20"/>
          <w:szCs w:val="20"/>
          <w:color w:val="auto"/>
        </w:rPr>
      </w:pPr>
      <w:r>
        <w:rPr>
          <w:rFonts w:ascii="Times New Roman" w:cs="Times New Roman" w:eastAsia="Times New Roman" w:hAnsi="Times New Roman"/>
          <w:sz w:val="20"/>
          <w:szCs w:val="20"/>
          <w:color w:val="auto"/>
        </w:rPr>
        <w:t>IN WITNESS WHEREOF, the parties hereto, by their officers duly authorized, intending to be legally bound, have caused this Agreement to be duly executed and delivered as of the date first above written.</w:t>
      </w:r>
    </w:p>
    <w:p>
      <w:pPr>
        <w:spacing w:after="0" w:line="16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OPAL FUELS INC.</w:t>
      </w:r>
      <w:r>
        <w:rPr>
          <w:rFonts w:ascii="Times New Roman" w:cs="Times New Roman" w:eastAsia="Times New Roman" w:hAnsi="Times New Roman"/>
          <w:sz w:val="20"/>
          <w:szCs w:val="20"/>
          <w:color w:val="auto"/>
        </w:rPr>
        <w:t>, a Delaware corporation, as Guarantor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Jonathan Maurer</w:t>
      </w:r>
    </w:p>
    <w:p>
      <w:pPr>
        <w:spacing w:after="0" w:line="3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Jonathan Maurer</w:t>
      </w:r>
    </w:p>
    <w:p>
      <w:pPr>
        <w:spacing w:after="0" w:line="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color w:val="auto"/>
        </w:rPr>
        <w:t>Title: Co-Chief Executive Officer</w:t>
      </w:r>
    </w:p>
    <w:p>
      <w:pPr>
        <w:sectPr>
          <w:pgSz w:w="11900" w:h="16838" w:orient="portrait"/>
          <w:cols w:equalWidth="0" w:num="1">
            <w:col w:w="10800"/>
          </w:cols>
          <w:pgMar w:left="600" w:top="1440" w:right="499" w:bottom="1440" w:gutter="0" w:footer="0" w:header="0"/>
        </w:sectPr>
      </w:pPr>
    </w:p>
    <w:bookmarkStart w:id="234" w:name="page235"/>
    <w:bookmarkEnd w:id="234"/>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EAGLEBANK</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Maryland charter commercial bank, as Buyer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Charles Levingston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-8255</wp:posOffset>
            </wp:positionV>
            <wp:extent cx="12553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CHARLES LEVINGSTON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CFO</w:t>
      </w:r>
    </w:p>
    <w:p>
      <w:pPr>
        <w:sectPr>
          <w:pgSz w:w="11900" w:h="16838" w:orient="portrait"/>
          <w:cols w:equalWidth="0" w:num="1">
            <w:col w:w="10139"/>
          </w:cols>
          <w:pgMar w:left="320" w:top="1440" w:right="1440"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b w:val="1"/>
          <w:bCs w:val="1"/>
          <w:color w:val="auto"/>
        </w:rPr>
        <w:t>PORTIONS OF INFORMATION CONTAINED IN THIS AGREEMENT HAVE BEEN</w:t>
      </w:r>
    </w:p>
    <w:p>
      <w:pPr>
        <w:spacing w:after="0" w:line="41" w:lineRule="exact"/>
        <w:rPr>
          <w:sz w:val="20"/>
          <w:szCs w:val="20"/>
          <w:color w:val="auto"/>
        </w:rPr>
      </w:pPr>
    </w:p>
    <w:p>
      <w:pPr>
        <w:jc w:val="both"/>
        <w:ind w:left="240" w:right="1280" w:hanging="5"/>
        <w:spacing w:after="0" w:line="272" w:lineRule="auto"/>
        <w:rPr>
          <w:sz w:val="20"/>
          <w:szCs w:val="20"/>
          <w:color w:val="auto"/>
        </w:rPr>
      </w:pPr>
      <w:r>
        <w:rPr>
          <w:rFonts w:ascii="Times New Roman" w:cs="Times New Roman" w:eastAsia="Times New Roman" w:hAnsi="Times New Roman"/>
          <w:sz w:val="21"/>
          <w:szCs w:val="21"/>
          <w:b w:val="1"/>
          <w:bCs w:val="1"/>
          <w:color w:val="auto"/>
        </w:rPr>
        <w:t>EXCLUDED FROM THIS AGREEMENT BECAUSE THEY ARE BOTH NOT MATERIAL AND THE TYPE THAT THE REGISTRANT TREATS AS PRIVATE OR CONFIDENTIAL.</w:t>
      </w:r>
    </w:p>
    <w:p>
      <w:pPr>
        <w:jc w:val="center"/>
        <w:ind w:right="1060"/>
        <w:spacing w:after="0"/>
        <w:rPr>
          <w:sz w:val="20"/>
          <w:szCs w:val="20"/>
          <w:color w:val="auto"/>
        </w:rPr>
      </w:pPr>
      <w:r>
        <w:rPr>
          <w:rFonts w:ascii="Times New Roman" w:cs="Times New Roman" w:eastAsia="Times New Roman" w:hAnsi="Times New Roman"/>
          <w:sz w:val="21"/>
          <w:szCs w:val="21"/>
          <w:b w:val="1"/>
          <w:bCs w:val="1"/>
          <w:color w:val="auto"/>
        </w:rPr>
        <w:t>EXCLUDED INFORMATION IS MARKED AS [***] BELOW</w:t>
      </w:r>
    </w:p>
    <w:p>
      <w:pPr>
        <w:spacing w:after="0" w:line="21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b w:val="1"/>
          <w:bCs w:val="1"/>
          <w:color w:val="auto"/>
        </w:rPr>
        <w:t>TAX CREDIT PURCHASE AGREEMENT</w:t>
      </w:r>
    </w:p>
    <w:p>
      <w:pPr>
        <w:spacing w:after="0" w:line="21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color w:val="auto"/>
        </w:rPr>
        <w:t>by and among</w:t>
      </w:r>
    </w:p>
    <w:p>
      <w:pPr>
        <w:spacing w:after="0" w:line="22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b w:val="1"/>
          <w:bCs w:val="1"/>
          <w:color w:val="auto"/>
        </w:rPr>
        <w:t>2024 TTC AGGREGATOR (B), L.P.,</w:t>
      </w:r>
    </w:p>
    <w:p>
      <w:pPr>
        <w:spacing w:after="0" w:line="21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b w:val="1"/>
          <w:bCs w:val="1"/>
          <w:color w:val="auto"/>
        </w:rPr>
        <w:t>ATHENE ANNUITY AND LIFE COMPANY,</w:t>
      </w:r>
    </w:p>
    <w:p>
      <w:pPr>
        <w:spacing w:after="0" w:line="230"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color w:val="auto"/>
        </w:rPr>
        <w:t>and</w:t>
      </w:r>
    </w:p>
    <w:p>
      <w:pPr>
        <w:spacing w:after="0" w:line="20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b w:val="1"/>
          <w:bCs w:val="1"/>
          <w:color w:val="auto"/>
        </w:rPr>
        <w:t>OPAL FUELS LLC</w:t>
      </w:r>
    </w:p>
    <w:p>
      <w:pPr>
        <w:spacing w:after="0" w:line="230"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color w:val="auto"/>
        </w:rPr>
        <w:t>Dated as of September 12, 2025</w:t>
      </w:r>
    </w:p>
    <w:p>
      <w:pPr>
        <w:sectPr>
          <w:pgSz w:w="11900" w:h="16838" w:orient="portrait"/>
          <w:cols w:equalWidth="0" w:num="1">
            <w:col w:w="10060"/>
          </w:cols>
          <w:pgMar w:left="1440" w:top="1017" w:right="399" w:bottom="1440" w:gutter="0" w:footer="0" w:header="0"/>
        </w:sectPr>
      </w:pPr>
    </w:p>
    <w:bookmarkStart w:id="236" w:name="page237"/>
    <w:bookmarkEnd w:id="236"/>
    <w:p>
      <w:pPr>
        <w:ind w:left="160"/>
        <w:spacing w:after="0"/>
        <w:rPr>
          <w:sz w:val="20"/>
          <w:szCs w:val="20"/>
          <w:color w:val="auto"/>
        </w:rPr>
      </w:pPr>
      <w:r>
        <w:rPr>
          <w:rFonts w:ascii="Times New Roman" w:cs="Times New Roman" w:eastAsia="Times New Roman" w:hAnsi="Times New Roman"/>
          <w:sz w:val="18"/>
          <w:szCs w:val="18"/>
          <w:color w:val="auto"/>
        </w:rPr>
        <w:t>-1-</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412"/>
        </w:trPr>
        <w:tc>
          <w:tcPr>
            <w:tcW w:w="8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   DEFINED TERMS; TERMS GENERALLY. .......................................................</w:t>
            </w:r>
          </w:p>
        </w:tc>
        <w:tc>
          <w:tcPr>
            <w:tcW w:w="3040" w:type="dxa"/>
            <w:vAlign w:val="bottom"/>
          </w:tcPr>
          <w:p>
            <w:pPr>
              <w:jc w:val="right"/>
              <w:ind w:right="2653"/>
              <w:spacing w:after="0"/>
              <w:rPr>
                <w:sz w:val="20"/>
                <w:szCs w:val="20"/>
                <w:color w:val="auto"/>
              </w:rPr>
            </w:pPr>
            <w:r>
              <w:rPr>
                <w:rFonts w:ascii="Times New Roman" w:cs="Times New Roman" w:eastAsia="Times New Roman" w:hAnsi="Times New Roman"/>
                <w:sz w:val="21"/>
                <w:szCs w:val="21"/>
                <w:color w:val="auto"/>
              </w:rPr>
              <w:t>1</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Defined Terms .......................................................................................................</w:t>
            </w:r>
          </w:p>
        </w:tc>
        <w:tc>
          <w:tcPr>
            <w:tcW w:w="304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rPr>
              <w:t>1</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Terms Generally.....................................................................................................</w:t>
            </w:r>
          </w:p>
        </w:tc>
        <w:tc>
          <w:tcPr>
            <w:tcW w:w="3040" w:type="dxa"/>
            <w:vAlign w:val="bottom"/>
          </w:tcPr>
          <w:p>
            <w:pPr>
              <w:jc w:val="right"/>
              <w:ind w:right="2733"/>
              <w:spacing w:after="0"/>
              <w:rPr>
                <w:sz w:val="20"/>
                <w:szCs w:val="20"/>
                <w:color w:val="auto"/>
              </w:rPr>
            </w:pPr>
            <w:r>
              <w:rPr>
                <w:rFonts w:ascii="Times New Roman" w:cs="Times New Roman" w:eastAsia="Times New Roman" w:hAnsi="Times New Roman"/>
                <w:sz w:val="21"/>
                <w:szCs w:val="21"/>
                <w:color w:val="auto"/>
              </w:rPr>
              <w:t>9</w:t>
            </w:r>
          </w:p>
        </w:tc>
      </w:tr>
      <w:tr>
        <w:trPr>
          <w:trHeight w:val="374"/>
        </w:trPr>
        <w:tc>
          <w:tcPr>
            <w:tcW w:w="8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2   PURCHASE AND SALE OF TAX CREDITS. ..................................................</w:t>
            </w:r>
          </w:p>
        </w:tc>
        <w:tc>
          <w:tcPr>
            <w:tcW w:w="3040" w:type="dxa"/>
            <w:vAlign w:val="bottom"/>
          </w:tcPr>
          <w:p>
            <w:pPr>
              <w:jc w:val="right"/>
              <w:ind w:right="2653"/>
              <w:spacing w:after="0"/>
              <w:rPr>
                <w:sz w:val="20"/>
                <w:szCs w:val="20"/>
                <w:color w:val="auto"/>
              </w:rPr>
            </w:pPr>
            <w:r>
              <w:rPr>
                <w:rFonts w:ascii="Times New Roman" w:cs="Times New Roman" w:eastAsia="Times New Roman" w:hAnsi="Times New Roman"/>
                <w:sz w:val="21"/>
                <w:szCs w:val="21"/>
                <w:color w:val="auto"/>
              </w:rPr>
              <w:t>10</w:t>
            </w:r>
          </w:p>
        </w:tc>
      </w:tr>
      <w:tr>
        <w:trPr>
          <w:trHeight w:val="387"/>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3</w:t>
            </w:r>
          </w:p>
        </w:tc>
        <w:tc>
          <w:tcPr>
            <w:tcW w:w="68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CONDITIONS PRECEDENT. ............................................................................</w:t>
            </w:r>
          </w:p>
        </w:tc>
        <w:tc>
          <w:tcPr>
            <w:tcW w:w="3040" w:type="dxa"/>
            <w:vAlign w:val="bottom"/>
          </w:tcPr>
          <w:p>
            <w:pPr>
              <w:jc w:val="right"/>
              <w:ind w:right="2633"/>
              <w:spacing w:after="0"/>
              <w:rPr>
                <w:sz w:val="20"/>
                <w:szCs w:val="20"/>
                <w:color w:val="auto"/>
              </w:rPr>
            </w:pPr>
            <w:r>
              <w:rPr>
                <w:rFonts w:ascii="Times New Roman" w:cs="Times New Roman" w:eastAsia="Times New Roman" w:hAnsi="Times New Roman"/>
                <w:sz w:val="21"/>
                <w:szCs w:val="21"/>
                <w:color w:val="auto"/>
              </w:rPr>
              <w:t>10</w:t>
            </w:r>
          </w:p>
        </w:tc>
      </w:tr>
      <w:tr>
        <w:trPr>
          <w:trHeight w:val="387"/>
        </w:trPr>
        <w:tc>
          <w:tcPr>
            <w:tcW w:w="8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   REPRESENTATIONS AND WARRANTIES....................................................</w:t>
            </w:r>
          </w:p>
        </w:tc>
        <w:tc>
          <w:tcPr>
            <w:tcW w:w="304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w w:val="95"/>
              </w:rPr>
              <w:t>12</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Mutual Representations and Warranties of the Parties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12</w:t>
            </w:r>
          </w:p>
        </w:tc>
      </w:tr>
      <w:tr>
        <w:trPr>
          <w:trHeight w:val="387"/>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(b)    Representations and Warranties of each Buyer ...................................................</w:t>
            </w:r>
          </w:p>
        </w:tc>
        <w:tc>
          <w:tcPr>
            <w:tcW w:w="304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w w:val="95"/>
              </w:rPr>
              <w:t>13</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Representations and Warranties of the Seller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13</w:t>
            </w:r>
          </w:p>
        </w:tc>
      </w:tr>
      <w:tr>
        <w:trPr>
          <w:trHeight w:val="37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5</w:t>
            </w:r>
          </w:p>
        </w:tc>
        <w:tc>
          <w:tcPr>
            <w:tcW w:w="68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COVENANTS. ....................................................................................................</w:t>
            </w:r>
          </w:p>
        </w:tc>
        <w:tc>
          <w:tcPr>
            <w:tcW w:w="3040" w:type="dxa"/>
            <w:vAlign w:val="bottom"/>
          </w:tcPr>
          <w:p>
            <w:pPr>
              <w:jc w:val="right"/>
              <w:ind w:right="2653"/>
              <w:spacing w:after="0"/>
              <w:rPr>
                <w:sz w:val="20"/>
                <w:szCs w:val="20"/>
                <w:color w:val="auto"/>
              </w:rPr>
            </w:pPr>
            <w:r>
              <w:rPr>
                <w:rFonts w:ascii="Times New Roman" w:cs="Times New Roman" w:eastAsia="Times New Roman" w:hAnsi="Times New Roman"/>
                <w:sz w:val="21"/>
                <w:szCs w:val="21"/>
                <w:color w:val="auto"/>
              </w:rPr>
              <w:t>14</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Covenants of each Buyer.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14</w:t>
            </w:r>
          </w:p>
        </w:tc>
      </w:tr>
      <w:tr>
        <w:trPr>
          <w:trHeight w:val="374"/>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(b)    Covenants of the Seller.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14</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Transfer Election ..................................................................................................</w:t>
            </w:r>
          </w:p>
        </w:tc>
        <w:tc>
          <w:tcPr>
            <w:tcW w:w="304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19</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Further Assurances...............................................................................................</w:t>
            </w:r>
          </w:p>
        </w:tc>
        <w:tc>
          <w:tcPr>
            <w:tcW w:w="304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w w:val="95"/>
              </w:rPr>
              <w:t>20</w:t>
            </w:r>
          </w:p>
        </w:tc>
      </w:tr>
      <w:tr>
        <w:trPr>
          <w:trHeight w:val="37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6</w:t>
            </w:r>
          </w:p>
        </w:tc>
        <w:tc>
          <w:tcPr>
            <w:tcW w:w="68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SELLER INDEMNIFICATION. .........................................................................</w:t>
            </w:r>
          </w:p>
        </w:tc>
        <w:tc>
          <w:tcPr>
            <w:tcW w:w="3040" w:type="dxa"/>
            <w:vAlign w:val="bottom"/>
          </w:tcPr>
          <w:p>
            <w:pPr>
              <w:jc w:val="right"/>
              <w:ind w:right="2653"/>
              <w:spacing w:after="0"/>
              <w:rPr>
                <w:sz w:val="20"/>
                <w:szCs w:val="20"/>
                <w:color w:val="auto"/>
              </w:rPr>
            </w:pPr>
            <w:r>
              <w:rPr>
                <w:rFonts w:ascii="Times New Roman" w:cs="Times New Roman" w:eastAsia="Times New Roman" w:hAnsi="Times New Roman"/>
                <w:sz w:val="21"/>
                <w:szCs w:val="21"/>
                <w:color w:val="auto"/>
              </w:rPr>
              <w:t>20</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Seller Indemnification ..........................................................................................</w:t>
            </w:r>
          </w:p>
        </w:tc>
        <w:tc>
          <w:tcPr>
            <w:tcW w:w="3040" w:type="dxa"/>
            <w:vAlign w:val="bottom"/>
          </w:tcPr>
          <w:p>
            <w:pPr>
              <w:jc w:val="right"/>
              <w:ind w:right="2653"/>
              <w:spacing w:after="0"/>
              <w:rPr>
                <w:sz w:val="20"/>
                <w:szCs w:val="20"/>
                <w:color w:val="auto"/>
              </w:rPr>
            </w:pPr>
            <w:r>
              <w:rPr>
                <w:rFonts w:ascii="Times New Roman" w:cs="Times New Roman" w:eastAsia="Times New Roman" w:hAnsi="Times New Roman"/>
                <w:sz w:val="21"/>
                <w:szCs w:val="21"/>
                <w:color w:val="auto"/>
              </w:rPr>
              <w:t>20</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Limitations on Liability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21</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After-Tax Basis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21</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Tax Contests.........................................................................................................</w:t>
            </w:r>
          </w:p>
        </w:tc>
        <w:tc>
          <w:tcPr>
            <w:tcW w:w="3040" w:type="dxa"/>
            <w:vAlign w:val="bottom"/>
          </w:tcPr>
          <w:p>
            <w:pPr>
              <w:jc w:val="right"/>
              <w:ind w:right="2733"/>
              <w:spacing w:after="0"/>
              <w:rPr>
                <w:sz w:val="20"/>
                <w:szCs w:val="20"/>
                <w:color w:val="auto"/>
              </w:rPr>
            </w:pPr>
            <w:r>
              <w:rPr>
                <w:rFonts w:ascii="Times New Roman" w:cs="Times New Roman" w:eastAsia="Times New Roman" w:hAnsi="Times New Roman"/>
                <w:sz w:val="21"/>
                <w:szCs w:val="21"/>
                <w:color w:val="auto"/>
                <w:w w:val="85"/>
              </w:rPr>
              <w:t>22</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(e)</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Survival of Representations and Warranties of the Seller ...................................</w:t>
            </w:r>
          </w:p>
        </w:tc>
        <w:tc>
          <w:tcPr>
            <w:tcW w:w="304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w w:val="95"/>
              </w:rPr>
              <w:t>23</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(f)</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Survival of Representations and Warranties of each Buyer ................................</w:t>
            </w:r>
          </w:p>
        </w:tc>
        <w:tc>
          <w:tcPr>
            <w:tcW w:w="304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w w:val="95"/>
              </w:rPr>
              <w:t>23</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(g)</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Notice of Claims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23</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(h)</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Indemnity Payment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23</w:t>
            </w:r>
          </w:p>
        </w:tc>
      </w:tr>
      <w:tr>
        <w:trPr>
          <w:trHeight w:val="37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7</w:t>
            </w:r>
          </w:p>
        </w:tc>
        <w:tc>
          <w:tcPr>
            <w:tcW w:w="68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MISCELLANEOUS. ...........................................................................................</w:t>
            </w:r>
          </w:p>
        </w:tc>
        <w:tc>
          <w:tcPr>
            <w:tcW w:w="3040" w:type="dxa"/>
            <w:vAlign w:val="bottom"/>
          </w:tcPr>
          <w:p>
            <w:pPr>
              <w:jc w:val="right"/>
              <w:ind w:right="2633"/>
              <w:spacing w:after="0"/>
              <w:rPr>
                <w:sz w:val="20"/>
                <w:szCs w:val="20"/>
                <w:color w:val="auto"/>
              </w:rPr>
            </w:pPr>
            <w:r>
              <w:rPr>
                <w:rFonts w:ascii="Times New Roman" w:cs="Times New Roman" w:eastAsia="Times New Roman" w:hAnsi="Times New Roman"/>
                <w:sz w:val="21"/>
                <w:szCs w:val="21"/>
                <w:color w:val="auto"/>
              </w:rPr>
              <w:t>23</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Amendments; Waivers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23</w:t>
            </w:r>
          </w:p>
        </w:tc>
      </w:tr>
      <w:tr>
        <w:trPr>
          <w:trHeight w:val="374"/>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Notices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24</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Entire Agreement; No Other Representations .....................................................</w:t>
            </w:r>
          </w:p>
        </w:tc>
        <w:tc>
          <w:tcPr>
            <w:tcW w:w="3040" w:type="dxa"/>
            <w:vAlign w:val="bottom"/>
          </w:tcPr>
          <w:p>
            <w:pPr>
              <w:jc w:val="right"/>
              <w:ind w:right="2693"/>
              <w:spacing w:after="0"/>
              <w:rPr>
                <w:sz w:val="20"/>
                <w:szCs w:val="20"/>
                <w:color w:val="auto"/>
              </w:rPr>
            </w:pPr>
            <w:r>
              <w:rPr>
                <w:rFonts w:ascii="Times New Roman" w:cs="Times New Roman" w:eastAsia="Times New Roman" w:hAnsi="Times New Roman"/>
                <w:sz w:val="21"/>
                <w:szCs w:val="21"/>
                <w:color w:val="auto"/>
              </w:rPr>
              <w:t>24</w:t>
            </w:r>
          </w:p>
        </w:tc>
      </w:tr>
      <w:tr>
        <w:trPr>
          <w:trHeight w:val="387"/>
        </w:trPr>
        <w:tc>
          <w:tcPr>
            <w:tcW w:w="11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w:t>
            </w:r>
          </w:p>
        </w:tc>
        <w:tc>
          <w:tcPr>
            <w:tcW w:w="6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Counterparts .........................................................................................................</w:t>
            </w:r>
          </w:p>
        </w:tc>
        <w:tc>
          <w:tcPr>
            <w:tcW w:w="3040" w:type="dxa"/>
            <w:vAlign w:val="bottom"/>
          </w:tcPr>
          <w:p>
            <w:pPr>
              <w:jc w:val="right"/>
              <w:ind w:right="2673"/>
              <w:spacing w:after="0"/>
              <w:rPr>
                <w:sz w:val="20"/>
                <w:szCs w:val="20"/>
                <w:color w:val="auto"/>
              </w:rPr>
            </w:pPr>
            <w:r>
              <w:rPr>
                <w:rFonts w:ascii="Times New Roman" w:cs="Times New Roman" w:eastAsia="Times New Roman" w:hAnsi="Times New Roman"/>
                <w:sz w:val="21"/>
                <w:szCs w:val="21"/>
                <w:color w:val="auto"/>
              </w:rPr>
              <w:t>24</w:t>
            </w:r>
          </w:p>
        </w:tc>
      </w:tr>
    </w:tbl>
    <w:p>
      <w:pPr>
        <w:sectPr>
          <w:pgSz w:w="11900" w:h="16838" w:orient="portrait"/>
          <w:cols w:equalWidth="0" w:num="1">
            <w:col w:w="11100"/>
          </w:cols>
          <w:pgMar w:left="320" w:top="1016" w:right="479" w:bottom="1440" w:gutter="0" w:footer="0" w:header="0"/>
        </w:sectPr>
      </w:pPr>
    </w:p>
    <w:bookmarkStart w:id="237" w:name="page238"/>
    <w:bookmarkEnd w:id="237"/>
    <w:p>
      <w:pPr>
        <w:spacing w:after="0"/>
        <w:tabs>
          <w:tab w:leader="none" w:pos="620" w:val="left"/>
          <w:tab w:leader="dot" w:pos="7440" w:val="left"/>
        </w:tabs>
        <w:rPr>
          <w:sz w:val="20"/>
          <w:szCs w:val="20"/>
          <w:color w:val="auto"/>
        </w:rPr>
      </w:pPr>
      <w:r>
        <w:rPr>
          <w:rFonts w:ascii="Times New Roman" w:cs="Times New Roman" w:eastAsia="Times New Roman" w:hAnsi="Times New Roman"/>
          <w:sz w:val="21"/>
          <w:szCs w:val="21"/>
          <w:color w:val="auto"/>
        </w:rPr>
        <w:t>(e)</w:t>
      </w:r>
      <w:r>
        <w:rPr>
          <w:sz w:val="20"/>
          <w:szCs w:val="20"/>
          <w:color w:val="auto"/>
        </w:rPr>
        <w:tab/>
      </w:r>
      <w:r>
        <w:rPr>
          <w:rFonts w:ascii="Times New Roman" w:cs="Times New Roman" w:eastAsia="Times New Roman" w:hAnsi="Times New Roman"/>
          <w:sz w:val="21"/>
          <w:szCs w:val="21"/>
          <w:color w:val="auto"/>
        </w:rPr>
        <w:t>GOVERNING LAW</w:t>
      </w:r>
      <w:r>
        <w:rPr>
          <w:sz w:val="20"/>
          <w:szCs w:val="20"/>
          <w:color w:val="auto"/>
        </w:rPr>
        <w:tab/>
      </w:r>
      <w:r>
        <w:rPr>
          <w:rFonts w:ascii="Times New Roman" w:cs="Times New Roman" w:eastAsia="Times New Roman" w:hAnsi="Times New Roman"/>
          <w:sz w:val="21"/>
          <w:szCs w:val="21"/>
          <w:color w:val="auto"/>
        </w:rPr>
        <w:t>25</w:t>
      </w:r>
    </w:p>
    <w:p>
      <w:pPr>
        <w:spacing w:after="0" w:line="146" w:lineRule="exact"/>
        <w:rPr>
          <w:sz w:val="20"/>
          <w:szCs w:val="20"/>
          <w:color w:val="auto"/>
        </w:rPr>
      </w:pPr>
    </w:p>
    <w:p>
      <w:pPr>
        <w:spacing w:after="0"/>
        <w:tabs>
          <w:tab w:leader="none" w:pos="620" w:val="left"/>
          <w:tab w:leader="dot" w:pos="7420" w:val="left"/>
        </w:tabs>
        <w:rPr>
          <w:sz w:val="20"/>
          <w:szCs w:val="20"/>
          <w:color w:val="auto"/>
        </w:rPr>
      </w:pPr>
      <w:r>
        <w:rPr>
          <w:rFonts w:ascii="Times New Roman" w:cs="Times New Roman" w:eastAsia="Times New Roman" w:hAnsi="Times New Roman"/>
          <w:sz w:val="21"/>
          <w:szCs w:val="21"/>
          <w:color w:val="auto"/>
        </w:rPr>
        <w:t>(f)</w:t>
      </w:r>
      <w:r>
        <w:rPr>
          <w:sz w:val="20"/>
          <w:szCs w:val="20"/>
          <w:color w:val="auto"/>
        </w:rPr>
        <w:tab/>
      </w:r>
      <w:r>
        <w:rPr>
          <w:rFonts w:ascii="Times New Roman" w:cs="Times New Roman" w:eastAsia="Times New Roman" w:hAnsi="Times New Roman"/>
          <w:sz w:val="21"/>
          <w:szCs w:val="21"/>
          <w:color w:val="auto"/>
        </w:rPr>
        <w:t>WAIVER OF JURY TRIAL</w:t>
      </w:r>
      <w:r>
        <w:rPr>
          <w:sz w:val="20"/>
          <w:szCs w:val="20"/>
          <w:color w:val="auto"/>
        </w:rPr>
        <w:tab/>
      </w:r>
      <w:r>
        <w:rPr>
          <w:rFonts w:ascii="Times New Roman" w:cs="Times New Roman" w:eastAsia="Times New Roman" w:hAnsi="Times New Roman"/>
          <w:sz w:val="21"/>
          <w:szCs w:val="21"/>
          <w:color w:val="auto"/>
        </w:rPr>
        <w:t>25</w:t>
      </w:r>
    </w:p>
    <w:p>
      <w:pPr>
        <w:spacing w:after="0" w:line="266" w:lineRule="exact"/>
        <w:rPr>
          <w:sz w:val="20"/>
          <w:szCs w:val="20"/>
          <w:color w:val="auto"/>
        </w:rPr>
      </w:pPr>
    </w:p>
    <w:p>
      <w:pPr>
        <w:spacing w:after="0"/>
        <w:tabs>
          <w:tab w:leader="none" w:pos="620" w:val="left"/>
          <w:tab w:leader="dot" w:pos="7440" w:val="left"/>
        </w:tabs>
        <w:rPr>
          <w:sz w:val="20"/>
          <w:szCs w:val="20"/>
          <w:color w:val="auto"/>
        </w:rPr>
      </w:pPr>
      <w:r>
        <w:rPr>
          <w:rFonts w:ascii="Times New Roman" w:cs="Times New Roman" w:eastAsia="Times New Roman" w:hAnsi="Times New Roman"/>
          <w:sz w:val="21"/>
          <w:szCs w:val="21"/>
          <w:color w:val="auto"/>
        </w:rPr>
        <w:t>(g)</w:t>
      </w:r>
      <w:r>
        <w:rPr>
          <w:sz w:val="20"/>
          <w:szCs w:val="20"/>
          <w:color w:val="auto"/>
        </w:rPr>
        <w:tab/>
      </w:r>
      <w:r>
        <w:rPr>
          <w:rFonts w:ascii="Times New Roman" w:cs="Times New Roman" w:eastAsia="Times New Roman" w:hAnsi="Times New Roman"/>
          <w:sz w:val="21"/>
          <w:szCs w:val="21"/>
          <w:color w:val="auto"/>
        </w:rPr>
        <w:t>SUBMISSION TO JURISDICTION</w:t>
      </w:r>
      <w:r>
        <w:rPr>
          <w:sz w:val="20"/>
          <w:szCs w:val="20"/>
          <w:color w:val="auto"/>
        </w:rPr>
        <w:tab/>
      </w:r>
      <w:r>
        <w:rPr>
          <w:rFonts w:ascii="Times New Roman" w:cs="Times New Roman" w:eastAsia="Times New Roman" w:hAnsi="Times New Roman"/>
          <w:sz w:val="21"/>
          <w:szCs w:val="21"/>
          <w:color w:val="auto"/>
        </w:rPr>
        <w:t>25</w:t>
      </w:r>
    </w:p>
    <w:p>
      <w:pPr>
        <w:spacing w:after="0" w:line="146" w:lineRule="exact"/>
        <w:rPr>
          <w:sz w:val="20"/>
          <w:szCs w:val="20"/>
          <w:color w:val="auto"/>
        </w:rPr>
      </w:pPr>
    </w:p>
    <w:p>
      <w:pPr>
        <w:spacing w:after="0"/>
        <w:tabs>
          <w:tab w:leader="none" w:pos="620" w:val="left"/>
          <w:tab w:leader="dot" w:pos="7420" w:val="left"/>
        </w:tabs>
        <w:rPr>
          <w:sz w:val="20"/>
          <w:szCs w:val="20"/>
          <w:color w:val="auto"/>
        </w:rPr>
      </w:pPr>
      <w:r>
        <w:rPr>
          <w:rFonts w:ascii="Times New Roman" w:cs="Times New Roman" w:eastAsia="Times New Roman" w:hAnsi="Times New Roman"/>
          <w:sz w:val="21"/>
          <w:szCs w:val="21"/>
          <w:color w:val="auto"/>
        </w:rPr>
        <w:t>(h)</w:t>
      </w:r>
      <w:r>
        <w:rPr>
          <w:sz w:val="20"/>
          <w:szCs w:val="20"/>
          <w:color w:val="auto"/>
        </w:rPr>
        <w:tab/>
      </w:r>
      <w:r>
        <w:rPr>
          <w:rFonts w:ascii="Times New Roman" w:cs="Times New Roman" w:eastAsia="Times New Roman" w:hAnsi="Times New Roman"/>
          <w:sz w:val="21"/>
          <w:szCs w:val="21"/>
          <w:color w:val="auto"/>
        </w:rPr>
        <w:t>Severability</w:t>
      </w:r>
      <w:r>
        <w:rPr>
          <w:sz w:val="20"/>
          <w:szCs w:val="20"/>
          <w:color w:val="auto"/>
        </w:rPr>
        <w:tab/>
      </w:r>
      <w:r>
        <w:rPr>
          <w:rFonts w:ascii="Times New Roman" w:cs="Times New Roman" w:eastAsia="Times New Roman" w:hAnsi="Times New Roman"/>
          <w:sz w:val="21"/>
          <w:szCs w:val="21"/>
          <w:color w:val="auto"/>
        </w:rPr>
        <w:t>25</w:t>
      </w:r>
    </w:p>
    <w:p>
      <w:pPr>
        <w:spacing w:after="0" w:line="146" w:lineRule="exact"/>
        <w:rPr>
          <w:sz w:val="20"/>
          <w:szCs w:val="20"/>
          <w:color w:val="auto"/>
        </w:rPr>
      </w:pPr>
    </w:p>
    <w:p>
      <w:pPr>
        <w:spacing w:after="0"/>
        <w:tabs>
          <w:tab w:leader="none" w:pos="620" w:val="left"/>
          <w:tab w:leader="dot" w:pos="744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color w:val="auto"/>
        </w:rPr>
        <w:t>Binding Effect; Assignment</w:t>
      </w:r>
      <w:r>
        <w:rPr>
          <w:sz w:val="20"/>
          <w:szCs w:val="20"/>
          <w:color w:val="auto"/>
        </w:rPr>
        <w:tab/>
      </w:r>
      <w:r>
        <w:rPr>
          <w:rFonts w:ascii="Times New Roman" w:cs="Times New Roman" w:eastAsia="Times New Roman" w:hAnsi="Times New Roman"/>
          <w:sz w:val="21"/>
          <w:szCs w:val="21"/>
          <w:color w:val="auto"/>
        </w:rPr>
        <w:t>25</w:t>
      </w:r>
    </w:p>
    <w:p>
      <w:pPr>
        <w:spacing w:after="0" w:line="133" w:lineRule="exact"/>
        <w:rPr>
          <w:sz w:val="20"/>
          <w:szCs w:val="20"/>
          <w:color w:val="auto"/>
        </w:rPr>
      </w:pPr>
    </w:p>
    <w:p>
      <w:pPr>
        <w:spacing w:after="0"/>
        <w:tabs>
          <w:tab w:leader="none" w:pos="620" w:val="left"/>
          <w:tab w:leader="dot" w:pos="7420" w:val="left"/>
        </w:tabs>
        <w:rPr>
          <w:sz w:val="20"/>
          <w:szCs w:val="20"/>
          <w:color w:val="auto"/>
        </w:rPr>
      </w:pPr>
      <w:r>
        <w:rPr>
          <w:rFonts w:ascii="Times New Roman" w:cs="Times New Roman" w:eastAsia="Times New Roman" w:hAnsi="Times New Roman"/>
          <w:sz w:val="21"/>
          <w:szCs w:val="21"/>
          <w:color w:val="auto"/>
        </w:rPr>
        <w:t>(j)</w:t>
      </w:r>
      <w:r>
        <w:rPr>
          <w:sz w:val="20"/>
          <w:szCs w:val="20"/>
          <w:color w:val="auto"/>
        </w:rPr>
        <w:tab/>
      </w:r>
      <w:r>
        <w:rPr>
          <w:rFonts w:ascii="Times New Roman" w:cs="Times New Roman" w:eastAsia="Times New Roman" w:hAnsi="Times New Roman"/>
          <w:sz w:val="21"/>
          <w:szCs w:val="21"/>
          <w:color w:val="auto"/>
        </w:rPr>
        <w:t>Public Announcements</w:t>
      </w:r>
      <w:r>
        <w:rPr>
          <w:sz w:val="20"/>
          <w:szCs w:val="20"/>
          <w:color w:val="auto"/>
        </w:rPr>
        <w:tab/>
      </w:r>
      <w:r>
        <w:rPr>
          <w:rFonts w:ascii="Times New Roman" w:cs="Times New Roman" w:eastAsia="Times New Roman" w:hAnsi="Times New Roman"/>
          <w:sz w:val="20"/>
          <w:szCs w:val="20"/>
          <w:color w:val="auto"/>
        </w:rPr>
        <w:t>26</w:t>
      </w:r>
    </w:p>
    <w:p>
      <w:pPr>
        <w:spacing w:after="0" w:line="146" w:lineRule="exact"/>
        <w:rPr>
          <w:sz w:val="20"/>
          <w:szCs w:val="20"/>
          <w:color w:val="auto"/>
        </w:rPr>
      </w:pPr>
    </w:p>
    <w:p>
      <w:pPr>
        <w:spacing w:after="0"/>
        <w:tabs>
          <w:tab w:leader="none" w:pos="620" w:val="left"/>
          <w:tab w:leader="dot" w:pos="7400" w:val="left"/>
        </w:tabs>
        <w:rPr>
          <w:sz w:val="20"/>
          <w:szCs w:val="20"/>
          <w:color w:val="auto"/>
        </w:rPr>
      </w:pPr>
      <w:r>
        <w:rPr>
          <w:rFonts w:ascii="Times New Roman" w:cs="Times New Roman" w:eastAsia="Times New Roman" w:hAnsi="Times New Roman"/>
          <w:sz w:val="21"/>
          <w:szCs w:val="21"/>
          <w:color w:val="auto"/>
        </w:rPr>
        <w:t>(k)</w:t>
      </w:r>
      <w:r>
        <w:rPr>
          <w:sz w:val="20"/>
          <w:szCs w:val="20"/>
          <w:color w:val="auto"/>
        </w:rPr>
        <w:tab/>
      </w:r>
      <w:r>
        <w:rPr>
          <w:rFonts w:ascii="Times New Roman" w:cs="Times New Roman" w:eastAsia="Times New Roman" w:hAnsi="Times New Roman"/>
          <w:sz w:val="21"/>
          <w:szCs w:val="21"/>
          <w:color w:val="auto"/>
        </w:rPr>
        <w:t>Confidentiality.</w:t>
      </w:r>
      <w:r>
        <w:rPr>
          <w:sz w:val="20"/>
          <w:szCs w:val="20"/>
          <w:color w:val="auto"/>
        </w:rPr>
        <w:tab/>
      </w:r>
      <w:r>
        <w:rPr>
          <w:rFonts w:ascii="Times New Roman" w:cs="Times New Roman" w:eastAsia="Times New Roman" w:hAnsi="Times New Roman"/>
          <w:sz w:val="21"/>
          <w:szCs w:val="21"/>
          <w:color w:val="auto"/>
        </w:rPr>
        <w:t>26</w:t>
      </w:r>
    </w:p>
    <w:p>
      <w:pPr>
        <w:spacing w:after="0" w:line="133" w:lineRule="exact"/>
        <w:rPr>
          <w:sz w:val="20"/>
          <w:szCs w:val="20"/>
          <w:color w:val="auto"/>
        </w:rPr>
      </w:pPr>
    </w:p>
    <w:p>
      <w:pPr>
        <w:spacing w:after="0"/>
        <w:tabs>
          <w:tab w:leader="none" w:pos="620" w:val="left"/>
          <w:tab w:leader="dot" w:pos="7440" w:val="left"/>
        </w:tabs>
        <w:rPr>
          <w:sz w:val="20"/>
          <w:szCs w:val="20"/>
          <w:color w:val="auto"/>
        </w:rPr>
      </w:pPr>
      <w:r>
        <w:rPr>
          <w:rFonts w:ascii="Times New Roman" w:cs="Times New Roman" w:eastAsia="Times New Roman" w:hAnsi="Times New Roman"/>
          <w:sz w:val="21"/>
          <w:szCs w:val="21"/>
          <w:color w:val="auto"/>
        </w:rPr>
        <w:t>(l)</w:t>
      </w:r>
      <w:r>
        <w:rPr>
          <w:sz w:val="20"/>
          <w:szCs w:val="20"/>
          <w:color w:val="auto"/>
        </w:rPr>
        <w:tab/>
      </w:r>
      <w:r>
        <w:rPr>
          <w:rFonts w:ascii="Times New Roman" w:cs="Times New Roman" w:eastAsia="Times New Roman" w:hAnsi="Times New Roman"/>
          <w:sz w:val="21"/>
          <w:szCs w:val="21"/>
          <w:color w:val="auto"/>
        </w:rPr>
        <w:t>Specific Performance</w:t>
      </w:r>
      <w:r>
        <w:rPr>
          <w:sz w:val="20"/>
          <w:szCs w:val="20"/>
          <w:color w:val="auto"/>
        </w:rPr>
        <w:tab/>
      </w:r>
      <w:r>
        <w:rPr>
          <w:rFonts w:ascii="Times New Roman" w:cs="Times New Roman" w:eastAsia="Times New Roman" w:hAnsi="Times New Roman"/>
          <w:sz w:val="20"/>
          <w:szCs w:val="20"/>
          <w:color w:val="auto"/>
        </w:rPr>
        <w:t>28</w:t>
      </w:r>
    </w:p>
    <w:p>
      <w:pPr>
        <w:spacing w:after="0" w:line="146" w:lineRule="exact"/>
        <w:rPr>
          <w:sz w:val="20"/>
          <w:szCs w:val="20"/>
          <w:color w:val="auto"/>
        </w:rPr>
      </w:pPr>
    </w:p>
    <w:p>
      <w:pPr>
        <w:spacing w:after="0"/>
        <w:tabs>
          <w:tab w:leader="none" w:pos="620" w:val="left"/>
          <w:tab w:leader="dot" w:pos="7400" w:val="left"/>
        </w:tabs>
        <w:rPr>
          <w:sz w:val="20"/>
          <w:szCs w:val="20"/>
          <w:color w:val="auto"/>
        </w:rPr>
      </w:pPr>
      <w:r>
        <w:rPr>
          <w:rFonts w:ascii="Times New Roman" w:cs="Times New Roman" w:eastAsia="Times New Roman" w:hAnsi="Times New Roman"/>
          <w:sz w:val="21"/>
          <w:szCs w:val="21"/>
          <w:color w:val="auto"/>
        </w:rPr>
        <w:t>(m)</w:t>
        <w:tab/>
        <w:t>Protection of Title; Transfers Intended as Sale; Security Interest.</w:t>
      </w:r>
      <w:r>
        <w:rPr>
          <w:sz w:val="20"/>
          <w:szCs w:val="20"/>
          <w:color w:val="auto"/>
        </w:rPr>
        <w:tab/>
      </w:r>
      <w:r>
        <w:rPr>
          <w:rFonts w:ascii="Times New Roman" w:cs="Times New Roman" w:eastAsia="Times New Roman" w:hAnsi="Times New Roman"/>
          <w:sz w:val="21"/>
          <w:szCs w:val="21"/>
          <w:color w:val="auto"/>
        </w:rPr>
        <w:t>28</w:t>
      </w:r>
    </w:p>
    <w:p>
      <w:pPr>
        <w:sectPr>
          <w:pgSz w:w="11900" w:h="16838" w:orient="portrait"/>
          <w:cols w:equalWidth="0" w:num="1">
            <w:col w:w="9499"/>
          </w:cols>
          <w:pgMar w:left="960" w:top="1021" w:right="1440"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78"/>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-ii-</w:t>
            </w:r>
          </w:p>
        </w:tc>
        <w:tc>
          <w:tcPr>
            <w:tcW w:w="4140" w:type="dxa"/>
            <w:vAlign w:val="bottom"/>
          </w:tcPr>
          <w:p>
            <w:pPr>
              <w:spacing w:after="0"/>
              <w:rPr>
                <w:sz w:val="24"/>
                <w:szCs w:val="24"/>
                <w:color w:val="auto"/>
              </w:rPr>
            </w:pPr>
          </w:p>
        </w:tc>
      </w:tr>
      <w:tr>
        <w:trPr>
          <w:trHeight w:val="804"/>
        </w:trPr>
        <w:tc>
          <w:tcPr>
            <w:tcW w:w="2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Schedules and Exhibits</w:t>
            </w:r>
          </w:p>
        </w:tc>
        <w:tc>
          <w:tcPr>
            <w:tcW w:w="4140" w:type="dxa"/>
            <w:vAlign w:val="bottom"/>
          </w:tcPr>
          <w:p>
            <w:pPr>
              <w:spacing w:after="0"/>
              <w:rPr>
                <w:sz w:val="24"/>
                <w:szCs w:val="24"/>
                <w:color w:val="auto"/>
              </w:rPr>
            </w:pPr>
          </w:p>
        </w:tc>
      </w:tr>
      <w:tr>
        <w:trPr>
          <w:trHeight w:val="351"/>
        </w:trPr>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Schedule 1</w:t>
            </w:r>
          </w:p>
        </w:tc>
        <w:tc>
          <w:tcPr>
            <w:tcW w:w="300" w:type="dxa"/>
            <w:vAlign w:val="bottom"/>
          </w:tcPr>
          <w:p>
            <w:pPr>
              <w:spacing w:after="0"/>
              <w:rPr>
                <w:sz w:val="24"/>
                <w:szCs w:val="24"/>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Seller Account</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Schedule 2</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Seller Deliverables</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Schedule 3</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Buyer Deliverables</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Schedule 4</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Buyer Representations and Warranties</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Schedule 5</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Seller Representations and Warranties</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Schedule 6</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Notice Information for the Parties</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Schedule 7</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Real Property</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Schedule 8</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Insurance</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Schedule 9</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Existing Indebtedness and Liens</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Schedule 10</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Material Project Documents</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Exhibit 1</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Form of Transfer Election Statement</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Exhibit 2</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Form of Continuous Operation Certificate</w:t>
            </w:r>
          </w:p>
        </w:tc>
      </w:tr>
      <w:tr>
        <w:trPr>
          <w:trHeight w:val="32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Exhibit 3</w:t>
            </w:r>
          </w:p>
        </w:tc>
        <w:tc>
          <w:tcPr>
            <w:tcW w:w="41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Form of Interparty (Forbearance) Agreement</w:t>
            </w:r>
          </w:p>
        </w:tc>
      </w:tr>
      <w:tr>
        <w:trPr>
          <w:trHeight w:val="805"/>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0139"/>
          </w:cols>
          <w:pgMar w:left="320" w:top="1020" w:right="1440" w:bottom="1440" w:gutter="0" w:footer="0" w:header="0"/>
        </w:sectPr>
      </w:pPr>
    </w:p>
    <w:bookmarkStart w:id="239" w:name="page240"/>
    <w:bookmarkEnd w:id="239"/>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TAX CREDIT PURCHASE AGREEMENT</w:t>
      </w:r>
    </w:p>
    <w:p>
      <w:pPr>
        <w:spacing w:after="0" w:line="211" w:lineRule="exact"/>
        <w:rPr>
          <w:sz w:val="20"/>
          <w:szCs w:val="20"/>
          <w:color w:val="auto"/>
        </w:rPr>
      </w:pPr>
    </w:p>
    <w:p>
      <w:pPr>
        <w:jc w:val="both"/>
        <w:ind w:firstLine="641"/>
        <w:spacing w:after="0" w:line="267"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TAX CREDIT PURCHASE AGREEMENT</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dated as of September 12, 2025 (the “</w:t>
      </w:r>
      <w:r>
        <w:rPr>
          <w:rFonts w:ascii="Times New Roman" w:cs="Times New Roman" w:eastAsia="Times New Roman" w:hAnsi="Times New Roman"/>
          <w:sz w:val="21"/>
          <w:szCs w:val="21"/>
          <w:b w:val="1"/>
          <w:bCs w:val="1"/>
          <w:i w:val="1"/>
          <w:i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Date</w:t>
      </w:r>
      <w:r>
        <w:rPr>
          <w:rFonts w:ascii="Times New Roman" w:cs="Times New Roman" w:eastAsia="Times New Roman" w:hAnsi="Times New Roman"/>
          <w:sz w:val="21"/>
          <w:szCs w:val="21"/>
          <w:color w:val="auto"/>
        </w:rPr>
        <w:t>”), is entered into by and among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color w:val="auto"/>
        </w:rPr>
        <w:t>2024 TTC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AGGREGATOR (B), L.P.</w:t>
      </w:r>
      <w:r>
        <w:rPr>
          <w:rFonts w:ascii="Times New Roman" w:cs="Times New Roman" w:eastAsia="Times New Roman" w:hAnsi="Times New Roman"/>
          <w:sz w:val="21"/>
          <w:szCs w:val="21"/>
          <w:color w:val="auto"/>
        </w:rPr>
        <w:t>, a Delaware limited partnership (the “</w:t>
      </w:r>
      <w:r>
        <w:rPr>
          <w:rFonts w:ascii="Times New Roman" w:cs="Times New Roman" w:eastAsia="Times New Roman" w:hAnsi="Times New Roman"/>
          <w:sz w:val="21"/>
          <w:szCs w:val="21"/>
          <w:b w:val="1"/>
          <w:bCs w:val="1"/>
          <w:i w:val="1"/>
          <w:iCs w:val="1"/>
          <w:color w:val="auto"/>
        </w:rPr>
        <w:t>Buyer 1</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ATHENE</w:t>
      </w:r>
    </w:p>
    <w:p>
      <w:pPr>
        <w:spacing w:after="0" w:line="26" w:lineRule="exact"/>
        <w:rPr>
          <w:sz w:val="20"/>
          <w:szCs w:val="20"/>
          <w:color w:val="auto"/>
        </w:rPr>
      </w:pPr>
    </w:p>
    <w:p>
      <w:pPr>
        <w:jc w:val="both"/>
        <w:ind w:hanging="8"/>
        <w:spacing w:after="0" w:line="265" w:lineRule="auto"/>
        <w:rPr>
          <w:sz w:val="20"/>
          <w:szCs w:val="20"/>
          <w:color w:val="auto"/>
        </w:rPr>
      </w:pPr>
      <w:r>
        <w:rPr>
          <w:rFonts w:ascii="Times New Roman" w:cs="Times New Roman" w:eastAsia="Times New Roman" w:hAnsi="Times New Roman"/>
          <w:sz w:val="21"/>
          <w:szCs w:val="21"/>
          <w:b w:val="1"/>
          <w:bCs w:val="1"/>
          <w:color w:val="auto"/>
        </w:rPr>
        <w:t>ANNUITY AND LIFE COMPANY</w:t>
      </w:r>
      <w:r>
        <w:rPr>
          <w:rFonts w:ascii="Times New Roman" w:cs="Times New Roman" w:eastAsia="Times New Roman" w:hAnsi="Times New Roman"/>
          <w:sz w:val="21"/>
          <w:szCs w:val="21"/>
          <w:color w:val="auto"/>
        </w:rPr>
        <w:t>, an Iowa corporation (the “</w:t>
      </w:r>
      <w:r>
        <w:rPr>
          <w:rFonts w:ascii="Times New Roman" w:cs="Times New Roman" w:eastAsia="Times New Roman" w:hAnsi="Times New Roman"/>
          <w:sz w:val="21"/>
          <w:szCs w:val="21"/>
          <w:b w:val="1"/>
          <w:bCs w:val="1"/>
          <w:color w:val="auto"/>
        </w:rPr>
        <w:t>Buyer 2</w:t>
      </w:r>
      <w:r>
        <w:rPr>
          <w:rFonts w:ascii="Times New Roman" w:cs="Times New Roman" w:eastAsia="Times New Roman" w:hAnsi="Times New Roman"/>
          <w:sz w:val="21"/>
          <w:szCs w:val="21"/>
          <w:color w:val="auto"/>
        </w:rPr>
        <w:t>” and, together with the Buyer 1, collectively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individually, either one or both of them as the context may require, the “</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OPAL FUELS LLC</w:t>
      </w:r>
      <w:r>
        <w:rPr>
          <w:rFonts w:ascii="Times New Roman" w:cs="Times New Roman" w:eastAsia="Times New Roman" w:hAnsi="Times New Roman"/>
          <w:sz w:val="21"/>
          <w:szCs w:val="21"/>
          <w:color w:val="auto"/>
        </w:rPr>
        <w:t>, a Delaware limited liability company (the “</w:t>
      </w:r>
      <w:r>
        <w:rPr>
          <w:rFonts w:ascii="Times New Roman" w:cs="Times New Roman" w:eastAsia="Times New Roman" w:hAnsi="Times New Roman"/>
          <w:sz w:val="21"/>
          <w:szCs w:val="21"/>
          <w:b w:val="1"/>
          <w:bCs w:val="1"/>
          <w:i w:val="1"/>
          <w:iCs w:val="1"/>
          <w:color w:val="auto"/>
        </w:rPr>
        <w:t>Seller</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RECITALS</w:t>
      </w:r>
    </w:p>
    <w:p>
      <w:pPr>
        <w:spacing w:after="0" w:line="213"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21"/>
          <w:szCs w:val="21"/>
          <w:color w:val="auto"/>
        </w:rPr>
        <w:t>WHEREAS, the Seller owns indirectly 100% of the membership interests in Polk County RNG LLC, a Delaware limited liability company (the “</w:t>
      </w:r>
      <w:r>
        <w:rPr>
          <w:rFonts w:ascii="Times New Roman" w:cs="Times New Roman" w:eastAsia="Times New Roman" w:hAnsi="Times New Roman"/>
          <w:sz w:val="21"/>
          <w:szCs w:val="21"/>
          <w:b w:val="1"/>
          <w:bCs w:val="1"/>
          <w:i w:val="1"/>
          <w:iCs w:val="1"/>
          <w:color w:val="auto"/>
        </w:rPr>
        <w:t>Project Company</w:t>
      </w:r>
      <w:r>
        <w:rPr>
          <w:rFonts w:ascii="Times New Roman" w:cs="Times New Roman" w:eastAsia="Times New Roman" w:hAnsi="Times New Roman"/>
          <w:sz w:val="21"/>
          <w:szCs w:val="21"/>
          <w:color w:val="auto"/>
        </w:rPr>
        <w:t>” and, together with the Seller, collectively, the “</w:t>
      </w:r>
      <w:r>
        <w:rPr>
          <w:rFonts w:ascii="Times New Roman" w:cs="Times New Roman" w:eastAsia="Times New Roman" w:hAnsi="Times New Roman"/>
          <w:sz w:val="21"/>
          <w:szCs w:val="21"/>
          <w:b w:val="1"/>
          <w:bCs w:val="1"/>
          <w:i w:val="1"/>
          <w:iCs w:val="1"/>
          <w:color w:val="auto"/>
        </w:rPr>
        <w:t>Seller Parties</w:t>
      </w:r>
      <w:r>
        <w:rPr>
          <w:rFonts w:ascii="Times New Roman" w:cs="Times New Roman" w:eastAsia="Times New Roman" w:hAnsi="Times New Roman"/>
          <w:sz w:val="21"/>
          <w:szCs w:val="21"/>
          <w:color w:val="auto"/>
        </w:rPr>
        <w:t>”), which owns and operates the landfill renewable natural gas (“</w:t>
      </w:r>
      <w:r>
        <w:rPr>
          <w:rFonts w:ascii="Times New Roman" w:cs="Times New Roman" w:eastAsia="Times New Roman" w:hAnsi="Times New Roman"/>
          <w:sz w:val="21"/>
          <w:szCs w:val="21"/>
          <w:b w:val="1"/>
          <w:bCs w:val="1"/>
          <w:i w:val="1"/>
          <w:iCs w:val="1"/>
          <w:color w:val="auto"/>
        </w:rPr>
        <w:t>RNG</w:t>
      </w:r>
      <w:r>
        <w:rPr>
          <w:rFonts w:ascii="Times New Roman" w:cs="Times New Roman" w:eastAsia="Times New Roman" w:hAnsi="Times New Roman"/>
          <w:sz w:val="21"/>
          <w:szCs w:val="21"/>
          <w:color w:val="auto"/>
        </w:rPr>
        <w:t>”) development project with a designed capacity of approximately 4,000 standard cubic feet per minute located in Polk County, Florida more commonly referred to as the Polk RNG Project (the “</w:t>
      </w:r>
      <w:r>
        <w:rPr>
          <w:rFonts w:ascii="Times New Roman" w:cs="Times New Roman" w:eastAsia="Times New Roman" w:hAnsi="Times New Roman"/>
          <w:sz w:val="21"/>
          <w:szCs w:val="21"/>
          <w:b w:val="1"/>
          <w:bCs w:val="1"/>
          <w:i w:val="1"/>
          <w:iCs w:val="1"/>
          <w:color w:val="auto"/>
        </w:rPr>
        <w:t>Facility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0"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21"/>
          <w:szCs w:val="21"/>
          <w:color w:val="auto"/>
        </w:rPr>
        <w:t>WHEREAS, Section 48(a) of the Code provides for investment tax credits (“</w:t>
      </w:r>
      <w:r>
        <w:rPr>
          <w:rFonts w:ascii="Times New Roman" w:cs="Times New Roman" w:eastAsia="Times New Roman" w:hAnsi="Times New Roman"/>
          <w:sz w:val="21"/>
          <w:szCs w:val="21"/>
          <w:b w:val="1"/>
          <w:bCs w:val="1"/>
          <w:i w:val="1"/>
          <w:iCs w:val="1"/>
          <w:color w:val="auto"/>
        </w:rPr>
        <w:t>ITCs</w:t>
      </w:r>
      <w:r>
        <w:rPr>
          <w:rFonts w:ascii="Times New Roman" w:cs="Times New Roman" w:eastAsia="Times New Roman" w:hAnsi="Times New Roman"/>
          <w:sz w:val="21"/>
          <w:szCs w:val="21"/>
          <w:color w:val="auto"/>
        </w:rPr>
        <w:t>”) for the taxpayer that owns and places in service for U.S. federal income Tax purposes the Facility;</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Seller became eligible to receive ITCs in connection with its ownership of the Facility;</w:t>
      </w:r>
    </w:p>
    <w:p>
      <w:pPr>
        <w:spacing w:after="0" w:line="226"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WHEREAS, Section 6418 of the Code specifically authorizes an eligible taxpayer, including the Seller, to transfer ITCs to an unrelated Person;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in accordance with Section 6418 of the Code, each Buyer is a Person who is unrelated to the Seller; and</w:t>
      </w:r>
    </w:p>
    <w:p>
      <w:pPr>
        <w:spacing w:after="0" w:line="226" w:lineRule="exact"/>
        <w:rPr>
          <w:sz w:val="20"/>
          <w:szCs w:val="20"/>
          <w:color w:val="auto"/>
        </w:rPr>
      </w:pPr>
    </w:p>
    <w:p>
      <w:pPr>
        <w:jc w:val="both"/>
        <w:ind w:right="20" w:firstLine="641"/>
        <w:spacing w:after="0" w:line="288" w:lineRule="auto"/>
        <w:rPr>
          <w:sz w:val="20"/>
          <w:szCs w:val="20"/>
          <w:color w:val="auto"/>
        </w:rPr>
      </w:pPr>
      <w:r>
        <w:rPr>
          <w:rFonts w:ascii="Times New Roman" w:cs="Times New Roman" w:eastAsia="Times New Roman" w:hAnsi="Times New Roman"/>
          <w:sz w:val="21"/>
          <w:szCs w:val="21"/>
          <w:color w:val="auto"/>
        </w:rPr>
        <w:t>WHEREAS, each Buyer desires to acquire certain ITCs from the Seller, and the Seller desires to sell certain ITCs to each Buyer, in each case, on the terms and conditions set forth herein.</w:t>
      </w:r>
    </w:p>
    <w:p>
      <w:pPr>
        <w:spacing w:after="0" w:line="142"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NOW, THEREFORE, in consideration of the mutual promises contained herein and other good and valuable consideration, the receipt and sufficiency of which are hereby acknowledged, the Seller and each Buyer agree as follows:</w:t>
      </w:r>
    </w:p>
    <w:p>
      <w:pPr>
        <w:spacing w:after="0" w:line="165"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21"/>
          <w:szCs w:val="21"/>
          <w:b w:val="1"/>
          <w:bCs w:val="1"/>
          <w:u w:val="single" w:color="auto"/>
          <w:color w:val="auto"/>
        </w:rPr>
        <w:t>Section 1</w:t>
        <w:tab/>
        <w:t>Defined Terms; Terms Generally.</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have the meanings specified below:</w:t>
      </w:r>
    </w:p>
    <w:p>
      <w:pPr>
        <w:spacing w:after="0" w:line="207" w:lineRule="exact"/>
        <w:rPr>
          <w:sz w:val="20"/>
          <w:szCs w:val="20"/>
          <w:color w:val="auto"/>
        </w:rPr>
      </w:pPr>
    </w:p>
    <w:p>
      <w:pPr>
        <w:jc w:val="both"/>
        <w:ind w:right="20" w:firstLine="641"/>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means, with respect to a specified Person, another Person that directly or indirectly controls or is controlled by or is under common control with the Person specified. For purposes of this definition, the term “control” (and correlative terms) means (a) the ownership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190" w:right="379" w:bottom="1440" w:gutter="0" w:footer="0" w:header="0"/>
        </w:sectPr>
      </w:pPr>
    </w:p>
    <w:bookmarkStart w:id="240" w:name="page241"/>
    <w:bookmarkEnd w:id="240"/>
    <w:p>
      <w:pPr>
        <w:jc w:val="both"/>
        <w:spacing w:after="0" w:line="289" w:lineRule="auto"/>
        <w:rPr>
          <w:sz w:val="20"/>
          <w:szCs w:val="20"/>
          <w:color w:val="auto"/>
        </w:rPr>
      </w:pPr>
      <w:r>
        <w:rPr>
          <w:rFonts w:ascii="Times New Roman" w:cs="Times New Roman" w:eastAsia="Times New Roman" w:hAnsi="Times New Roman"/>
          <w:sz w:val="21"/>
          <w:szCs w:val="21"/>
          <w:color w:val="auto"/>
        </w:rPr>
        <w:t>20% or more of the equity interest in a Person or (b) the power, whether by contract, equity ownership or otherwise, to direct or cause the direction of the policies or management of a Person.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has the meaning specified in the introductory paragraph.</w:t>
      </w:r>
    </w:p>
    <w:p>
      <w:pPr>
        <w:spacing w:after="0" w:line="374"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Anti-Corruption Laws</w:t>
      </w:r>
      <w:r>
        <w:rPr>
          <w:rFonts w:ascii="Times New Roman" w:cs="Times New Roman" w:eastAsia="Times New Roman" w:hAnsi="Times New Roman"/>
          <w:sz w:val="21"/>
          <w:szCs w:val="21"/>
          <w:color w:val="auto"/>
        </w:rPr>
        <w:t>” means all laws, regulations or orders relating to anti-bribery or anti-corruption (governmental or commercial); including, without limitation, the U.S. Foreign Corrupt Practices Act of 1977, the UK Bribery Act of 2010, and all applicable national and international laws enacted to implement the OECD Convention on Combating Bribery of Foreign Officials in International Business Transactions.</w:t>
      </w:r>
    </w:p>
    <w:p>
      <w:pPr>
        <w:spacing w:after="0" w:line="158"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Anti-Money Laundering Laws</w:t>
      </w:r>
      <w:r>
        <w:rPr>
          <w:rFonts w:ascii="Times New Roman" w:cs="Times New Roman" w:eastAsia="Times New Roman" w:hAnsi="Times New Roman"/>
          <w:sz w:val="21"/>
          <w:szCs w:val="21"/>
          <w:color w:val="auto"/>
        </w:rPr>
        <w:t>” means the Lender Secrecy Act, 31 U.S.C. Sections 5311 et seq. (the “</w:t>
      </w:r>
      <w:r>
        <w:rPr>
          <w:rFonts w:ascii="Times New Roman" w:cs="Times New Roman" w:eastAsia="Times New Roman" w:hAnsi="Times New Roman"/>
          <w:sz w:val="21"/>
          <w:szCs w:val="21"/>
          <w:b w:val="1"/>
          <w:bCs w:val="1"/>
          <w:i w:val="1"/>
          <w:iCs w:val="1"/>
          <w:color w:val="auto"/>
        </w:rPr>
        <w:t>BSA</w:t>
      </w:r>
      <w:r>
        <w:rPr>
          <w:rFonts w:ascii="Times New Roman" w:cs="Times New Roman" w:eastAsia="Times New Roman" w:hAnsi="Times New Roman"/>
          <w:sz w:val="21"/>
          <w:szCs w:val="21"/>
          <w:color w:val="auto"/>
        </w:rPr>
        <w:t>”), and all Applicable Laws, regulations and government guidance on BSA compliance and on the prevention and detection of money laundering violations under 18 U.S.C. Sections 1956 and 1957.</w:t>
      </w:r>
    </w:p>
    <w:p>
      <w:pPr>
        <w:spacing w:after="0" w:line="151"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Law</w:t>
      </w:r>
      <w:r>
        <w:rPr>
          <w:rFonts w:ascii="Times New Roman" w:cs="Times New Roman" w:eastAsia="Times New Roman" w:hAnsi="Times New Roman"/>
          <w:sz w:val="21"/>
          <w:szCs w:val="21"/>
          <w:color w:val="auto"/>
        </w:rPr>
        <w:t>” means, as to any Person, any law, statute, rule, constitution, regulation, ordinance, order, code, judgment, decree, directive, injunction, writ or similar action or decision duly implementing any of the foregoing which has been enacted, issued or promulgated by any Governmental Authority, in each case, applicable to or binding upon such Person or any of its property, or to which such Person or any of its property is subject.</w:t>
      </w:r>
    </w:p>
    <w:p>
      <w:pPr>
        <w:spacing w:after="0" w:line="14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Available Tax Credits</w:t>
      </w:r>
      <w:r>
        <w:rPr>
          <w:rFonts w:ascii="Times New Roman" w:cs="Times New Roman" w:eastAsia="Times New Roman" w:hAnsi="Times New Roman"/>
          <w:sz w:val="21"/>
          <w:szCs w:val="21"/>
          <w:color w:val="auto"/>
        </w:rPr>
        <w:t xml:space="preserve">” means ITCs generated by the Facility during Seller’s </w:t>
      </w:r>
      <w:r>
        <w:rPr>
          <w:rFonts w:ascii="Times New Roman" w:cs="Times New Roman" w:eastAsia="Times New Roman" w:hAnsi="Times New Roman"/>
          <w:sz w:val="19"/>
          <w:szCs w:val="19"/>
          <w:color w:val="auto"/>
        </w:rPr>
        <w:t>taxable</w:t>
      </w:r>
      <w:r>
        <w:rPr>
          <w:rFonts w:ascii="Times New Roman" w:cs="Times New Roman" w:eastAsia="Times New Roman" w:hAnsi="Times New Roman"/>
          <w:sz w:val="21"/>
          <w:szCs w:val="21"/>
          <w:color w:val="auto"/>
        </w:rPr>
        <w:t xml:space="preserve"> year ending December 31, 2024 in an aggregate amount of not less than $17,369,450.</w:t>
      </w:r>
    </w:p>
    <w:p>
      <w:pPr>
        <w:spacing w:after="0" w:line="11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Business Day</w:t>
      </w:r>
      <w:r>
        <w:rPr>
          <w:rFonts w:ascii="Times New Roman" w:cs="Times New Roman" w:eastAsia="Times New Roman" w:hAnsi="Times New Roman"/>
          <w:sz w:val="21"/>
          <w:szCs w:val="21"/>
          <w:color w:val="auto"/>
        </w:rPr>
        <w:t>” means any calendar day other than a Saturday, Sunday or other calendar day on which banks are authorized to be closed in New York, New York.</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Buyer</w:t>
      </w:r>
      <w:r>
        <w:rPr>
          <w:rFonts w:ascii="Times New Roman" w:cs="Times New Roman" w:eastAsia="Times New Roman" w:hAnsi="Times New Roman"/>
          <w:sz w:val="21"/>
          <w:szCs w:val="21"/>
          <w:color w:val="auto"/>
        </w:rPr>
        <w:t>” has the meaning specified in the introductory paragraph.</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 1</w:t>
      </w:r>
      <w:r>
        <w:rPr>
          <w:rFonts w:ascii="Times New Roman" w:cs="Times New Roman" w:eastAsia="Times New Roman" w:hAnsi="Times New Roman"/>
          <w:sz w:val="20"/>
          <w:szCs w:val="20"/>
          <w:color w:val="auto"/>
        </w:rPr>
        <w:t>” has the meaning specified in the introductory paragraph.</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Buyer 2</w:t>
      </w:r>
      <w:r>
        <w:rPr>
          <w:rFonts w:ascii="Times New Roman" w:cs="Times New Roman" w:eastAsia="Times New Roman" w:hAnsi="Times New Roman"/>
          <w:sz w:val="21"/>
          <w:szCs w:val="21"/>
          <w:color w:val="auto"/>
        </w:rPr>
        <w:t>” has the meaning specified in the introductory paragraph.</w:t>
      </w:r>
    </w:p>
    <w:p>
      <w:pPr>
        <w:spacing w:after="0" w:line="21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Buyer Deliverables</w:t>
      </w:r>
      <w:r>
        <w:rPr>
          <w:rFonts w:ascii="Times New Roman" w:cs="Times New Roman" w:eastAsia="Times New Roman" w:hAnsi="Times New Roman"/>
          <w:sz w:val="21"/>
          <w:szCs w:val="21"/>
          <w:color w:val="auto"/>
        </w:rPr>
        <w:t xml:space="preserve">” means those items identified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which are to be delivered by each Buyer to the Seller on or prior to the Effective Date.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Buyer Indemnified Parties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right="20"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Casualty Event</w:t>
      </w:r>
      <w:r>
        <w:rPr>
          <w:rFonts w:ascii="Times New Roman" w:cs="Times New Roman" w:eastAsia="Times New Roman" w:hAnsi="Times New Roman"/>
          <w:sz w:val="21"/>
          <w:szCs w:val="21"/>
          <w:color w:val="auto"/>
        </w:rPr>
        <w:t>” means any casualty, loss, destruction or material damage that eliminates or otherwise impairs, the Facility or the Facility Site, or any portion thereof.</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in Tax Law Termination Event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3(f)</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41"/>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Closing Date</w:t>
      </w:r>
      <w:r>
        <w:rPr>
          <w:rFonts w:ascii="Times New Roman" w:cs="Times New Roman" w:eastAsia="Times New Roman" w:hAnsi="Times New Roman"/>
          <w:sz w:val="21"/>
          <w:szCs w:val="21"/>
          <w:color w:val="auto"/>
        </w:rPr>
        <w:t xml:space="preserve">” means the date on which all of the conditions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have been satisfied (or waived by the relevant parties); provided that the Closing Date shall occur on or before September 12, 2025 or such other date as is mutually agreed by the parties.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020" w:right="379" w:bottom="1440" w:gutter="0" w:footer="0" w:header="0"/>
        </w:sectPr>
      </w:pPr>
    </w:p>
    <w:bookmarkStart w:id="241" w:name="page242"/>
    <w:bookmarkEnd w:id="241"/>
    <w:p>
      <w:pPr>
        <w:jc w:val="both"/>
        <w:ind w:right="20"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Compliance Authority</w:t>
      </w:r>
      <w:r>
        <w:rPr>
          <w:rFonts w:ascii="Times New Roman" w:cs="Times New Roman" w:eastAsia="Times New Roman" w:hAnsi="Times New Roman"/>
          <w:sz w:val="21"/>
          <w:szCs w:val="21"/>
          <w:color w:val="auto"/>
        </w:rPr>
        <w:t>” means each and all of the (a) U.S. Treasury Department/OFAC, (b) U.S. Treasury Department/Financial Crimes Enforcement Network, (c) U.S. State</w:t>
      </w:r>
    </w:p>
    <w:p>
      <w:pPr>
        <w:spacing w:after="0" w:line="2"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21"/>
          <w:szCs w:val="21"/>
          <w:color w:val="auto"/>
        </w:rPr>
        <w:t>Department/Directorate of Defense Trade Controls, (d) U.S. Commerce Department/Bureau of Industry and Security, (e) the U.S. Internal Revenue Service, (f) the U.S. Justice Department, and (g) the U.S. Securities and Exchange Commission, and similar Governmental Authorities of the United Kingdom and the European Union and its member states.</w:t>
      </w:r>
    </w:p>
    <w:p>
      <w:pPr>
        <w:spacing w:after="0" w:line="166" w:lineRule="exact"/>
        <w:rPr>
          <w:sz w:val="20"/>
          <w:szCs w:val="20"/>
          <w:color w:val="auto"/>
        </w:rPr>
      </w:pPr>
    </w:p>
    <w:p>
      <w:pPr>
        <w:jc w:val="both"/>
        <w:ind w:right="20"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Condemnation Event</w:t>
      </w:r>
      <w:r>
        <w:rPr>
          <w:rFonts w:ascii="Times New Roman" w:cs="Times New Roman" w:eastAsia="Times New Roman" w:hAnsi="Times New Roman"/>
          <w:sz w:val="21"/>
          <w:szCs w:val="21"/>
          <w:color w:val="auto"/>
        </w:rPr>
        <w:t>” means any condemnation, taking by eminent domain or similar action with respect to the Facility or the Facility Site or any portion thereof or any other material asset of any Seller Party.</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7(k)(i)</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Continuous Operation Certificate</w:t>
      </w:r>
      <w:r>
        <w:rPr>
          <w:rFonts w:ascii="Times New Roman" w:cs="Times New Roman" w:eastAsia="Times New Roman" w:hAnsi="Times New Roman"/>
          <w:sz w:val="21"/>
          <w:szCs w:val="21"/>
          <w:color w:val="auto"/>
        </w:rPr>
        <w:t xml:space="preserve">” means a certificate of the Seller in substantially the form of </w:t>
      </w:r>
      <w:r>
        <w:rPr>
          <w:rFonts w:ascii="Times New Roman" w:cs="Times New Roman" w:eastAsia="Times New Roman" w:hAnsi="Times New Roman"/>
          <w:sz w:val="21"/>
          <w:szCs w:val="21"/>
          <w:u w:val="single" w:color="auto"/>
          <w:color w:val="auto"/>
        </w:rPr>
        <w:t>Exhibit 2</w:t>
      </w:r>
      <w:r>
        <w:rPr>
          <w:rFonts w:ascii="Times New Roman" w:cs="Times New Roman" w:eastAsia="Times New Roman" w:hAnsi="Times New Roman"/>
          <w:sz w:val="21"/>
          <w:szCs w:val="21"/>
          <w:color w:val="auto"/>
        </w:rPr>
        <w:t xml:space="preserve"> and delivered to each Buyer from time to time pursuant to </w:t>
      </w:r>
      <w:r>
        <w:rPr>
          <w:rFonts w:ascii="Times New Roman" w:cs="Times New Roman" w:eastAsia="Times New Roman" w:hAnsi="Times New Roman"/>
          <w:sz w:val="21"/>
          <w:szCs w:val="21"/>
          <w:u w:val="single" w:color="auto"/>
          <w:color w:val="auto"/>
        </w:rPr>
        <w:t>Section 5(b)(x)</w:t>
      </w:r>
      <w:r>
        <w:rPr>
          <w:rFonts w:ascii="Times New Roman" w:cs="Times New Roman" w:eastAsia="Times New Roman" w:hAnsi="Times New Roman"/>
          <w:sz w:val="21"/>
          <w:szCs w:val="21"/>
          <w:color w:val="auto"/>
        </w:rPr>
        <w:t>.</w:t>
      </w:r>
    </w:p>
    <w:p>
      <w:pPr>
        <w:spacing w:after="0" w:line="102" w:lineRule="exact"/>
        <w:rPr>
          <w:sz w:val="20"/>
          <w:szCs w:val="20"/>
          <w:color w:val="auto"/>
        </w:rPr>
      </w:pPr>
    </w:p>
    <w:p>
      <w:pPr>
        <w:jc w:val="both"/>
        <w:ind w:firstLine="641"/>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Cost Segregation Report</w:t>
      </w:r>
      <w:r>
        <w:rPr>
          <w:rFonts w:ascii="Times New Roman" w:cs="Times New Roman" w:eastAsia="Times New Roman" w:hAnsi="Times New Roman"/>
          <w:sz w:val="21"/>
          <w:szCs w:val="21"/>
          <w:color w:val="auto"/>
        </w:rPr>
        <w:t xml:space="preserve">” means the report prepared by Marshall and Stevens Incorporated, dated as of September 10, 2025 for the Facility showing the </w:t>
      </w:r>
      <w:r>
        <w:rPr>
          <w:rFonts w:ascii="Times New Roman" w:cs="Times New Roman" w:eastAsia="Times New Roman" w:hAnsi="Times New Roman"/>
          <w:sz w:val="19"/>
          <w:szCs w:val="19"/>
          <w:color w:val="auto"/>
        </w:rPr>
        <w:t>Tax</w:t>
      </w:r>
      <w:r>
        <w:rPr>
          <w:rFonts w:ascii="Times New Roman" w:cs="Times New Roman" w:eastAsia="Times New Roman" w:hAnsi="Times New Roman"/>
          <w:sz w:val="21"/>
          <w:szCs w:val="21"/>
          <w:color w:val="auto"/>
        </w:rPr>
        <w:t xml:space="preserve"> basis that the Project Company has in its assets allocated among the various assets for cost recovery purposes and delivered to each Buyer by the Seller prior to the Effective Date.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has the meaning specified in the introductory paragraph.</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Eligible Credit Property</w:t>
      </w:r>
      <w:r>
        <w:rPr>
          <w:rFonts w:ascii="Times New Roman" w:cs="Times New Roman" w:eastAsia="Times New Roman" w:hAnsi="Times New Roman"/>
          <w:sz w:val="21"/>
          <w:szCs w:val="21"/>
          <w:color w:val="auto"/>
        </w:rPr>
        <w:t>” means each “energy property” within the meaning of Treasury Regulations Section 1.6418-1(d)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(9)(i) included in the Facility.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EPC Contract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Schedule 10</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Facility</w:t>
      </w:r>
      <w:r>
        <w:rPr>
          <w:rFonts w:ascii="Times New Roman" w:cs="Times New Roman" w:eastAsia="Times New Roman" w:hAnsi="Times New Roman"/>
          <w:sz w:val="21"/>
          <w:szCs w:val="21"/>
          <w:color w:val="auto"/>
        </w:rPr>
        <w:t>” has the meaning specified in the recitals.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Facility Site</w:t>
      </w:r>
      <w:r>
        <w:rPr>
          <w:rFonts w:ascii="Times New Roman" w:cs="Times New Roman" w:eastAsia="Times New Roman" w:hAnsi="Times New Roman"/>
          <w:sz w:val="21"/>
          <w:szCs w:val="21"/>
          <w:color w:val="auto"/>
        </w:rPr>
        <w:t xml:space="preserve">” means the real property described in </w:t>
      </w:r>
      <w:r>
        <w:rPr>
          <w:rFonts w:ascii="Times New Roman" w:cs="Times New Roman" w:eastAsia="Times New Roman" w:hAnsi="Times New Roman"/>
          <w:sz w:val="21"/>
          <w:szCs w:val="21"/>
          <w:u w:val="single" w:color="auto"/>
          <w:color w:val="auto"/>
        </w:rPr>
        <w:t>Schedule 7</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firstLine="641"/>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Final Determination</w:t>
      </w:r>
      <w:r>
        <w:rPr>
          <w:rFonts w:ascii="Times New Roman" w:cs="Times New Roman" w:eastAsia="Times New Roman" w:hAnsi="Times New Roman"/>
          <w:sz w:val="21"/>
          <w:szCs w:val="21"/>
          <w:color w:val="auto"/>
        </w:rPr>
        <w:t xml:space="preserve">” means the earlier of (a) a decision, judgment, decree or other order by any court of competent jurisdiction, which decision, judgment, decree or other order has become final, (b) a closing agreement entered into pursuant to Section 7121 of the Code or any other settlement agreement entered into in connection with an administrative or judicial proceeding, in each case, with the written consent of the Seller (such consent not to be unreasonably withheld, conditioned, or delayed), (c) the date on which the time for instituting a claim for refund has expired, or if a claim was filed, the time for instituting suit with respect thereto has expired, or (d) the date on which the Seller or the applicable Buyer has filed a Tax return (or amended Tax return) or other Tax form (including IRS Form 4255) in accordance with </w:t>
      </w:r>
      <w:r>
        <w:rPr>
          <w:rFonts w:ascii="Times New Roman" w:cs="Times New Roman" w:eastAsia="Times New Roman" w:hAnsi="Times New Roman"/>
          <w:sz w:val="21"/>
          <w:szCs w:val="21"/>
          <w:u w:val="single" w:color="auto"/>
          <w:color w:val="auto"/>
        </w:rPr>
        <w:t>Section 5(a)(iv)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5(b)(i)</w:t>
      </w:r>
      <w:r>
        <w:rPr>
          <w:rFonts w:ascii="Times New Roman" w:cs="Times New Roman" w:eastAsia="Times New Roman" w:hAnsi="Times New Roman"/>
          <w:sz w:val="21"/>
          <w:szCs w:val="21"/>
          <w:color w:val="auto"/>
        </w:rPr>
        <w:t>, as applicable, that reflects a recapture of the Transferred Tax Credits.</w:t>
      </w:r>
    </w:p>
    <w:p>
      <w:pPr>
        <w:spacing w:after="0" w:line="165"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Funds Flow Memorandum</w:t>
      </w:r>
      <w:r>
        <w:rPr>
          <w:rFonts w:ascii="Times New Roman" w:cs="Times New Roman" w:eastAsia="Times New Roman" w:hAnsi="Times New Roman"/>
          <w:sz w:val="21"/>
          <w:szCs w:val="21"/>
          <w:color w:val="auto"/>
        </w:rPr>
        <w:t>” means a memorandum detailing the sources and uses and flow of funds, including proceeds of the Purchase Price and the payment of transaction costs and expenses, including payment of the Structuring Fee, on the Payment Date, in form and substance satisfactory to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014" w:right="379" w:bottom="1440" w:gutter="0" w:footer="0" w:header="0"/>
        </w:sectPr>
      </w:pPr>
    </w:p>
    <w:bookmarkStart w:id="242" w:name="page243"/>
    <w:bookmarkEnd w:id="242"/>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GAAP</w:t>
      </w:r>
      <w:r>
        <w:rPr>
          <w:rFonts w:ascii="Times New Roman" w:cs="Times New Roman" w:eastAsia="Times New Roman" w:hAnsi="Times New Roman"/>
          <w:sz w:val="21"/>
          <w:szCs w:val="21"/>
          <w:color w:val="auto"/>
        </w:rPr>
        <w:t>” means generally accepted accounting principles in the U.S., as in effect from time to time.</w:t>
      </w:r>
    </w:p>
    <w:p>
      <w:pPr>
        <w:spacing w:after="0" w:line="226"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Governmental Approval</w:t>
      </w:r>
      <w:r>
        <w:rPr>
          <w:rFonts w:ascii="Times New Roman" w:cs="Times New Roman" w:eastAsia="Times New Roman" w:hAnsi="Times New Roman"/>
          <w:sz w:val="21"/>
          <w:szCs w:val="21"/>
          <w:color w:val="auto"/>
        </w:rPr>
        <w:t>” means any action, consent, filing, notification, order, certificate, determination, registration, permit, license, approval or authorization by, with, from or of any Governmental Authority or other entity pursuant to Applicable Law.</w:t>
      </w:r>
    </w:p>
    <w:p>
      <w:pPr>
        <w:spacing w:after="0" w:line="151"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Governmental Authority</w:t>
      </w:r>
      <w:r>
        <w:rPr>
          <w:rFonts w:ascii="Times New Roman" w:cs="Times New Roman" w:eastAsia="Times New Roman" w:hAnsi="Times New Roman"/>
          <w:sz w:val="21"/>
          <w:szCs w:val="21"/>
          <w:color w:val="auto"/>
        </w:rPr>
        <w:t>” means the government of the U.S., any other nation or any political subdivision thereof, whether federal, state, provincial, territorial, local or otherwise, and any agency, authority, instrumentality, regulatory body, court, or other entity exercising executive, legislative, judicial, taxing, regulatory or administrative powers or functions of or pertaining to government in any jurisdiction.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Guarantor</w:t>
      </w:r>
      <w:r>
        <w:rPr>
          <w:rFonts w:ascii="Times New Roman" w:cs="Times New Roman" w:eastAsia="Times New Roman" w:hAnsi="Times New Roman"/>
          <w:sz w:val="21"/>
          <w:szCs w:val="21"/>
          <w:color w:val="auto"/>
        </w:rPr>
        <w:t>” means OPAL Fuels Inc., a Delaware corporation.</w:t>
      </w:r>
    </w:p>
    <w:p>
      <w:pPr>
        <w:spacing w:after="0" w:line="226"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Guaranty</w:t>
      </w:r>
      <w:r>
        <w:rPr>
          <w:rFonts w:ascii="Times New Roman" w:cs="Times New Roman" w:eastAsia="Times New Roman" w:hAnsi="Times New Roman"/>
          <w:sz w:val="21"/>
          <w:szCs w:val="21"/>
          <w:color w:val="auto"/>
        </w:rPr>
        <w:t>” means the Guaranty Agreement dated as of the Effective Date, made by the Guarantor, in favor of each Buyer, and any Replacement Guaranty.</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Indemnity Cap</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Independent Engineer</w:t>
      </w:r>
      <w:r>
        <w:rPr>
          <w:rFonts w:ascii="Times New Roman" w:cs="Times New Roman" w:eastAsia="Times New Roman" w:hAnsi="Times New Roman"/>
          <w:sz w:val="21"/>
          <w:szCs w:val="21"/>
          <w:color w:val="auto"/>
        </w:rPr>
        <w:t>” means Luminate, LLC.</w:t>
      </w:r>
    </w:p>
    <w:p>
      <w:pPr>
        <w:spacing w:after="0" w:line="226"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Independent Engineer Report</w:t>
      </w:r>
      <w:r>
        <w:rPr>
          <w:rFonts w:ascii="Times New Roman" w:cs="Times New Roman" w:eastAsia="Times New Roman" w:hAnsi="Times New Roman"/>
          <w:sz w:val="21"/>
          <w:szCs w:val="21"/>
          <w:color w:val="auto"/>
        </w:rPr>
        <w:t>” means the report entitled “Polk County Renewable Natural Gas Production Facility Independent Engineer’s Report” dated as of September 12, 2025 and delivered by the Independent Engineer, including all exhibits, appendices and any other attachments.</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Insurance Consultant</w:t>
      </w:r>
      <w:r>
        <w:rPr>
          <w:rFonts w:ascii="Times New Roman" w:cs="Times New Roman" w:eastAsia="Times New Roman" w:hAnsi="Times New Roman"/>
          <w:sz w:val="21"/>
          <w:szCs w:val="21"/>
          <w:color w:val="auto"/>
        </w:rPr>
        <w:t>” means Moore-McNeil, LLC or any other national insurance consultant as mutually agreed by the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Parties.</w:t>
      </w:r>
    </w:p>
    <w:p>
      <w:pPr>
        <w:spacing w:after="0" w:line="196"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Insurance Consultant Report</w:t>
      </w:r>
      <w:r>
        <w:rPr>
          <w:rFonts w:ascii="Times New Roman" w:cs="Times New Roman" w:eastAsia="Times New Roman" w:hAnsi="Times New Roman"/>
          <w:sz w:val="21"/>
          <w:szCs w:val="21"/>
          <w:color w:val="auto"/>
        </w:rPr>
        <w:t>” means the Insurance Report Polk County Renewable Natura Gas Production Facility of the Insurance Consultant dated as of August 26, 2025.</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Intermediary Company</w:t>
      </w:r>
      <w:r>
        <w:rPr>
          <w:rFonts w:ascii="Times New Roman" w:cs="Times New Roman" w:eastAsia="Times New Roman" w:hAnsi="Times New Roman"/>
          <w:sz w:val="21"/>
          <w:szCs w:val="21"/>
          <w:color w:val="auto"/>
        </w:rPr>
        <w:t>” means each of OPAL Fuels ITC Holdco II LLC and OPAL Fuels Intermediate ITC HoldCo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IRS</w:t>
      </w:r>
      <w:r>
        <w:rPr>
          <w:rFonts w:ascii="Times New Roman" w:cs="Times New Roman" w:eastAsia="Times New Roman" w:hAnsi="Times New Roman"/>
          <w:sz w:val="21"/>
          <w:szCs w:val="21"/>
          <w:color w:val="auto"/>
        </w:rPr>
        <w:t>” means the U.S. Internal Revenue Service, or any successor agency.</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ITCs</w:t>
      </w:r>
      <w:r>
        <w:rPr>
          <w:rFonts w:ascii="Times New Roman" w:cs="Times New Roman" w:eastAsia="Times New Roman" w:hAnsi="Times New Roman"/>
          <w:sz w:val="21"/>
          <w:szCs w:val="21"/>
          <w:color w:val="auto"/>
        </w:rPr>
        <w:t>” has the meaning specified in the recitals.</w:t>
      </w:r>
    </w:p>
    <w:p>
      <w:pPr>
        <w:spacing w:after="0" w:line="226" w:lineRule="exact"/>
        <w:rPr>
          <w:sz w:val="20"/>
          <w:szCs w:val="20"/>
          <w:color w:val="auto"/>
        </w:rPr>
      </w:pPr>
    </w:p>
    <w:p>
      <w:pPr>
        <w:ind w:right="20"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Knowledge</w:t>
      </w:r>
      <w:r>
        <w:rPr>
          <w:rFonts w:ascii="Times New Roman" w:cs="Times New Roman" w:eastAsia="Times New Roman" w:hAnsi="Times New Roman"/>
          <w:sz w:val="21"/>
          <w:szCs w:val="21"/>
          <w:color w:val="auto"/>
        </w:rPr>
        <w:t>” means, with respect to any Person, the actual knowledge of such Person after due inquiry, into the affairs of such Person and the officers, directors and senior managers (and individuals holding similar titles) of such Person.</w:t>
      </w:r>
    </w:p>
    <w:p>
      <w:pPr>
        <w:spacing w:after="0" w:line="130" w:lineRule="exact"/>
        <w:rPr>
          <w:sz w:val="20"/>
          <w:szCs w:val="20"/>
          <w:color w:val="auto"/>
        </w:rPr>
      </w:pPr>
    </w:p>
    <w:p>
      <w:pPr>
        <w:ind w:right="20"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Lien</w:t>
      </w:r>
      <w:r>
        <w:rPr>
          <w:rFonts w:ascii="Times New Roman" w:cs="Times New Roman" w:eastAsia="Times New Roman" w:hAnsi="Times New Roman"/>
          <w:sz w:val="21"/>
          <w:szCs w:val="21"/>
          <w:color w:val="auto"/>
        </w:rPr>
        <w:t>” means any lien, security interest, mortgage, hypothecation, encumbrance or other restriction on title or property interest.</w:t>
      </w:r>
    </w:p>
    <w:p>
      <w:pPr>
        <w:spacing w:after="0" w:line="130" w:lineRule="exact"/>
        <w:rPr>
          <w:sz w:val="20"/>
          <w:szCs w:val="20"/>
          <w:color w:val="auto"/>
        </w:rPr>
      </w:pPr>
    </w:p>
    <w:p>
      <w:pPr>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Adverse Effect</w:t>
      </w:r>
      <w:r>
        <w:rPr>
          <w:rFonts w:ascii="Times New Roman" w:cs="Times New Roman" w:eastAsia="Times New Roman" w:hAnsi="Times New Roman"/>
          <w:sz w:val="21"/>
          <w:szCs w:val="21"/>
          <w:color w:val="auto"/>
        </w:rPr>
        <w:t>” means, with respect to a Person, a material adverse effect on (a) the ability of such Person to consummate the Transactions (to the extent such Person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014" w:right="379" w:bottom="1440" w:gutter="0" w:footer="0" w:header="0"/>
        </w:sectPr>
      </w:pPr>
    </w:p>
    <w:bookmarkStart w:id="243" w:name="page244"/>
    <w:bookmarkEnd w:id="243"/>
    <w:p>
      <w:pPr>
        <w:jc w:val="both"/>
        <w:spacing w:after="0" w:line="262" w:lineRule="auto"/>
        <w:rPr>
          <w:sz w:val="20"/>
          <w:szCs w:val="20"/>
          <w:color w:val="auto"/>
        </w:rPr>
      </w:pPr>
      <w:r>
        <w:rPr>
          <w:rFonts w:ascii="Times New Roman" w:cs="Times New Roman" w:eastAsia="Times New Roman" w:hAnsi="Times New Roman"/>
          <w:sz w:val="21"/>
          <w:szCs w:val="21"/>
          <w:color w:val="auto"/>
        </w:rPr>
        <w:t>involved with the Transactions), (b) the purchase or transfer of, or the ability of Buyer to claim (which, for the avoidance of doubt, does not include whether any Buyer has sufficient Tax liability to utilize or otherwise benefit from its portion of the Transferred Tax Credits), the Transferred Tax Credits as contemplated by this Agreement, (c) the business, assets, liabilities, prospects or results of operations or financial condition of such Person (or, if such Person is a Seller Party, the Facility), (d) the ability of such Person to perform its respective obligations under the Transaction Documents (to the extent such Person has obligations thereunder), or (e) the Transferred Tax Credits.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Project Documents</w:t>
      </w:r>
      <w:r>
        <w:rPr>
          <w:rFonts w:ascii="Times New Roman" w:cs="Times New Roman" w:eastAsia="Times New Roman" w:hAnsi="Times New Roman"/>
          <w:sz w:val="21"/>
          <w:szCs w:val="21"/>
          <w:color w:val="auto"/>
        </w:rPr>
        <w:t xml:space="preserve">” means the agreements and contracts set forth on </w:t>
      </w:r>
      <w:r>
        <w:rPr>
          <w:rFonts w:ascii="Times New Roman" w:cs="Times New Roman" w:eastAsia="Times New Roman" w:hAnsi="Times New Roman"/>
          <w:sz w:val="21"/>
          <w:szCs w:val="21"/>
          <w:u w:val="single" w:color="auto"/>
          <w:color w:val="auto"/>
        </w:rPr>
        <w:t>Schedule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Minimum Documentation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Notice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OFAC</w:t>
      </w:r>
      <w:r>
        <w:rPr>
          <w:rFonts w:ascii="Times New Roman" w:cs="Times New Roman" w:eastAsia="Times New Roman" w:hAnsi="Times New Roman"/>
          <w:sz w:val="21"/>
          <w:szCs w:val="21"/>
          <w:color w:val="auto"/>
        </w:rPr>
        <w:t>” means the U.S. Department of Treasury’s Office of Foreign Assets Control.</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Opal Parties</w:t>
      </w:r>
      <w:r>
        <w:rPr>
          <w:rFonts w:ascii="Times New Roman" w:cs="Times New Roman" w:eastAsia="Times New Roman" w:hAnsi="Times New Roman"/>
          <w:sz w:val="21"/>
          <w:szCs w:val="21"/>
          <w:color w:val="auto"/>
        </w:rPr>
        <w:t>” means the Seller and the Guarantor.</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 means, individually, each Buyer and the Seller and, collectively, each Buyer and the Seller.</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Payment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Permitted Equity Lien</w:t>
      </w:r>
      <w:r>
        <w:rPr>
          <w:rFonts w:ascii="Times New Roman" w:cs="Times New Roman" w:eastAsia="Times New Roman" w:hAnsi="Times New Roman"/>
          <w:sz w:val="21"/>
          <w:szCs w:val="21"/>
          <w:color w:val="auto"/>
        </w:rPr>
        <w:t>” means, with respect to the ownership interests in a Person, any contractual limitations pursuant to the operating agreement or bylaws of such Person and any restrictions on transfer of the ownership interests in a Person under any applicable federal, state or foreign securities law.</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Permitted Indebtedness</w:t>
      </w:r>
      <w:r>
        <w:rPr>
          <w:rFonts w:ascii="Times New Roman" w:cs="Times New Roman" w:eastAsia="Times New Roman" w:hAnsi="Times New Roman"/>
          <w:sz w:val="21"/>
          <w:szCs w:val="21"/>
          <w:color w:val="auto"/>
        </w:rPr>
        <w:t>” means:</w:t>
      </w:r>
    </w:p>
    <w:p>
      <w:pPr>
        <w:spacing w:after="0" w:line="219" w:lineRule="exact"/>
        <w:rPr>
          <w:sz w:val="20"/>
          <w:szCs w:val="20"/>
          <w:color w:val="auto"/>
        </w:rPr>
      </w:pPr>
    </w:p>
    <w:p>
      <w:pPr>
        <w:ind w:left="1280" w:hanging="632"/>
        <w:spacing w:after="0"/>
        <w:tabs>
          <w:tab w:leader="none" w:pos="128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existing on the Closing Date and set forth on </w:t>
      </w:r>
      <w:r>
        <w:rPr>
          <w:rFonts w:ascii="Times New Roman" w:cs="Times New Roman" w:eastAsia="Times New Roman" w:hAnsi="Times New Roman"/>
          <w:sz w:val="21"/>
          <w:szCs w:val="21"/>
          <w:u w:val="single" w:color="auto"/>
          <w:color w:val="auto"/>
        </w:rPr>
        <w:t>Schedule 9</w:t>
      </w:r>
      <w:r>
        <w:rPr>
          <w:rFonts w:ascii="Times New Roman" w:cs="Times New Roman" w:eastAsia="Times New Roman" w:hAnsi="Times New Roman"/>
          <w:sz w:val="21"/>
          <w:szCs w:val="21"/>
          <w:color w:val="auto"/>
        </w:rPr>
        <w:t xml:space="preserve"> and any replacement or refinancing thereof;</w:t>
      </w:r>
    </w:p>
    <w:p>
      <w:pPr>
        <w:spacing w:after="0" w:line="226" w:lineRule="exact"/>
        <w:rPr>
          <w:rFonts w:ascii="Times New Roman" w:cs="Times New Roman" w:eastAsia="Times New Roman" w:hAnsi="Times New Roman"/>
          <w:sz w:val="21"/>
          <w:szCs w:val="21"/>
          <w:color w:val="auto"/>
        </w:rPr>
      </w:pPr>
    </w:p>
    <w:p>
      <w:pPr>
        <w:jc w:val="both"/>
        <w:ind w:firstLine="648"/>
        <w:spacing w:after="0" w:line="270" w:lineRule="auto"/>
        <w:tabs>
          <w:tab w:leader="none" w:pos="1278"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secured or unsecured indebtedness of a Seller Party for which the Seller has delivered (or caused to be delivered) to each Buyer an interparty (forbearance) agreement in form and substance reasonably satisfactory to each Buyer among the provider of such indebtedness, the Seller Party incurring such indebtedness and each Buyer; or</w:t>
      </w:r>
    </w:p>
    <w:p>
      <w:pPr>
        <w:spacing w:after="0" w:line="160" w:lineRule="exact"/>
        <w:rPr>
          <w:rFonts w:ascii="Times New Roman" w:cs="Times New Roman" w:eastAsia="Times New Roman" w:hAnsi="Times New Roman"/>
          <w:sz w:val="21"/>
          <w:szCs w:val="21"/>
          <w:color w:val="auto"/>
        </w:rPr>
      </w:pPr>
    </w:p>
    <w:p>
      <w:pPr>
        <w:jc w:val="both"/>
        <w:ind w:firstLine="648"/>
        <w:spacing w:after="0" w:line="268" w:lineRule="auto"/>
        <w:tabs>
          <w:tab w:leader="none" w:pos="1279"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indebtedness incurred in the ordinary course of business that is not for borrowed money, and do not have a Material Adverse Effect on any indebted Person and the foreclosure or other exercise of remedies with respect thereto could not reasonably be expected to result in (i) a recapture, loss or disallowance of all or any portion of the Transferred Tax Credits or (ii) the Facility being not eligible for ITCs under Section 48 of the Code.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Permitted Lien</w:t>
      </w:r>
      <w:r>
        <w:rPr>
          <w:rFonts w:ascii="Times New Roman" w:cs="Times New Roman" w:eastAsia="Times New Roman" w:hAnsi="Times New Roman"/>
          <w:sz w:val="21"/>
          <w:szCs w:val="21"/>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021" w:right="379" w:bottom="1440" w:gutter="0" w:footer="0" w:header="0"/>
        </w:sectPr>
      </w:pPr>
    </w:p>
    <w:bookmarkStart w:id="244" w:name="page245"/>
    <w:bookmarkEnd w:id="244"/>
    <w:p>
      <w:pPr>
        <w:ind w:firstLine="648"/>
        <w:spacing w:after="0" w:line="302" w:lineRule="auto"/>
        <w:tabs>
          <w:tab w:leader="none" w:pos="1279"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Taxes not yet due or that are being contested in good faith by appropriate proceedings and for which adequate reserves have been established in accordance with GAAP;</w:t>
      </w:r>
    </w:p>
    <w:p>
      <w:pPr>
        <w:spacing w:after="0" w:line="113" w:lineRule="exact"/>
        <w:rPr>
          <w:rFonts w:ascii="Times New Roman" w:cs="Times New Roman" w:eastAsia="Times New Roman" w:hAnsi="Times New Roman"/>
          <w:sz w:val="21"/>
          <w:szCs w:val="21"/>
          <w:color w:val="auto"/>
        </w:rPr>
      </w:pPr>
    </w:p>
    <w:p>
      <w:pPr>
        <w:jc w:val="both"/>
        <w:ind w:firstLine="648"/>
        <w:spacing w:after="0" w:line="268" w:lineRule="auto"/>
        <w:tabs>
          <w:tab w:leader="none" w:pos="1278"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carriers’, warehousemen’s, mechanics’, materialmen’s, repairmen’s, employees’, contractors’, operators’ or other similar Liens or charges securing the payment of expenses not yet due and payable that were incurred in the ordinary course of business or for amounts being contested in good faith and by appropriate proceedings and for which adequate reserves have been established in accordance with GAAP;</w:t>
      </w:r>
    </w:p>
    <w:p>
      <w:pPr>
        <w:spacing w:after="0" w:line="163" w:lineRule="exact"/>
        <w:rPr>
          <w:rFonts w:ascii="Times New Roman" w:cs="Times New Roman" w:eastAsia="Times New Roman" w:hAnsi="Times New Roman"/>
          <w:sz w:val="21"/>
          <w:szCs w:val="21"/>
          <w:color w:val="auto"/>
        </w:rPr>
      </w:pPr>
    </w:p>
    <w:p>
      <w:pPr>
        <w:jc w:val="both"/>
        <w:ind w:firstLine="648"/>
        <w:spacing w:after="0" w:line="270" w:lineRule="auto"/>
        <w:tabs>
          <w:tab w:leader="none" w:pos="1279"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obligations or duties to any Governmental Authority not yet due and payable arising in the ordinary course of business (including under licenses and permits of the Seller or the Project Company and under all Applicable Laws or orders of any Governmental Authority);</w:t>
      </w:r>
    </w:p>
    <w:p>
      <w:pPr>
        <w:spacing w:after="0" w:line="160" w:lineRule="exact"/>
        <w:rPr>
          <w:rFonts w:ascii="Times New Roman" w:cs="Times New Roman" w:eastAsia="Times New Roman" w:hAnsi="Times New Roman"/>
          <w:sz w:val="21"/>
          <w:szCs w:val="21"/>
          <w:color w:val="auto"/>
        </w:rPr>
      </w:pPr>
    </w:p>
    <w:p>
      <w:pPr>
        <w:jc w:val="both"/>
        <w:ind w:right="20" w:firstLine="648"/>
        <w:spacing w:after="0" w:line="270" w:lineRule="auto"/>
        <w:tabs>
          <w:tab w:leader="none" w:pos="1278"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out of judgments or awards not in excess of $100,000 in the aggregate so long as an appeal or proceeding for review is being prosecuted in good faith and for the payment of which adequate reserve in accordance with GAAP, bonds or other security have been provided or are fully covered by insurance;</w:t>
      </w:r>
    </w:p>
    <w:p>
      <w:pPr>
        <w:spacing w:after="0" w:line="160" w:lineRule="exact"/>
        <w:rPr>
          <w:rFonts w:ascii="Times New Roman" w:cs="Times New Roman" w:eastAsia="Times New Roman" w:hAnsi="Times New Roman"/>
          <w:sz w:val="21"/>
          <w:szCs w:val="21"/>
          <w:color w:val="auto"/>
        </w:rPr>
      </w:pPr>
    </w:p>
    <w:p>
      <w:pPr>
        <w:jc w:val="both"/>
        <w:ind w:firstLine="648"/>
        <w:spacing w:after="0" w:line="270" w:lineRule="auto"/>
        <w:tabs>
          <w:tab w:leader="none" w:pos="1279"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Project Company, leases, other property rights and Liens of record and zoning and other land use restrictions, in each case that do not impair the value of the Facility and that do not materially interfere with the ordinary conduct of business of the Seller or the Project Company;</w:t>
      </w:r>
    </w:p>
    <w:p>
      <w:pPr>
        <w:spacing w:after="0" w:line="160" w:lineRule="exact"/>
        <w:rPr>
          <w:rFonts w:ascii="Times New Roman" w:cs="Times New Roman" w:eastAsia="Times New Roman" w:hAnsi="Times New Roman"/>
          <w:sz w:val="21"/>
          <w:szCs w:val="21"/>
          <w:color w:val="auto"/>
        </w:rPr>
      </w:pPr>
    </w:p>
    <w:p>
      <w:pPr>
        <w:jc w:val="both"/>
        <w:ind w:right="20" w:firstLine="648"/>
        <w:spacing w:after="0" w:line="270" w:lineRule="auto"/>
        <w:tabs>
          <w:tab w:leader="none" w:pos="1282"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Project Company, all easements, rights-of-way, restrictions, reservations and other similar encumbrances existing or incurred in the ordinary course of business that do not impair the value of the Facility and do not materially interfere with the ordinary conduct of the business of the Project Company;</w:t>
      </w:r>
    </w:p>
    <w:p>
      <w:pPr>
        <w:spacing w:after="0" w:line="186"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Equity Liens;</w:t>
      </w:r>
    </w:p>
    <w:p>
      <w:pPr>
        <w:spacing w:after="0" w:line="212"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existing on the Closing Date and set forth on </w:t>
      </w:r>
      <w:r>
        <w:rPr>
          <w:rFonts w:ascii="Times New Roman" w:cs="Times New Roman" w:eastAsia="Times New Roman" w:hAnsi="Times New Roman"/>
          <w:sz w:val="21"/>
          <w:szCs w:val="21"/>
          <w:u w:val="single" w:color="auto"/>
          <w:color w:val="auto"/>
        </w:rPr>
        <w:t>Schedule 9</w:t>
      </w:r>
      <w:r>
        <w:rPr>
          <w:rFonts w:ascii="Times New Roman" w:cs="Times New Roman" w:eastAsia="Times New Roman" w:hAnsi="Times New Roman"/>
          <w:sz w:val="21"/>
          <w:szCs w:val="21"/>
          <w:color w:val="auto"/>
        </w:rPr>
        <w:t xml:space="preserve"> and any replacement or refinancing Lien; and</w:t>
      </w:r>
    </w:p>
    <w:p>
      <w:pPr>
        <w:spacing w:after="0" w:line="226" w:lineRule="exact"/>
        <w:rPr>
          <w:rFonts w:ascii="Times New Roman" w:cs="Times New Roman" w:eastAsia="Times New Roman" w:hAnsi="Times New Roman"/>
          <w:sz w:val="21"/>
          <w:szCs w:val="21"/>
          <w:color w:val="auto"/>
        </w:rPr>
      </w:pPr>
    </w:p>
    <w:p>
      <w:pPr>
        <w:jc w:val="both"/>
        <w:ind w:firstLine="648"/>
        <w:spacing w:after="0" w:line="270" w:lineRule="auto"/>
        <w:tabs>
          <w:tab w:leader="none" w:pos="127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Liens that are incurred in the ordinary course of business by any Person in connection with the rights of third parties to use the Facility’s facilities that are required pursuant to any open access requirements under Applicable Law, are not for borrowed money and do not have a Material Adverse Effect on such Person.</w:t>
      </w:r>
    </w:p>
    <w:p>
      <w:pPr>
        <w:spacing w:after="0" w:line="154" w:lineRule="exact"/>
        <w:rPr>
          <w:sz w:val="20"/>
          <w:szCs w:val="20"/>
          <w:color w:val="auto"/>
        </w:rPr>
      </w:pPr>
    </w:p>
    <w:p>
      <w:pPr>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any natural person, corporation, limited or unlimited liability company, trust, joint venture, association, company, partnership, Governmental Authority or other entity.</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Placed in Service</w:t>
      </w:r>
      <w:r>
        <w:rPr>
          <w:rFonts w:ascii="Times New Roman" w:cs="Times New Roman" w:eastAsia="Times New Roman" w:hAnsi="Times New Roman"/>
          <w:sz w:val="21"/>
          <w:szCs w:val="21"/>
          <w:color w:val="auto"/>
        </w:rPr>
        <w:t xml:space="preserve">” means placed in service for U.S. federal income </w:t>
      </w:r>
      <w:r>
        <w:rPr>
          <w:rFonts w:ascii="Times New Roman" w:cs="Times New Roman" w:eastAsia="Times New Roman" w:hAnsi="Times New Roman"/>
          <w:sz w:val="19"/>
          <w:szCs w:val="19"/>
          <w:color w:val="auto"/>
        </w:rPr>
        <w:t>Tax</w:t>
      </w:r>
      <w:r>
        <w:rPr>
          <w:rFonts w:ascii="Times New Roman" w:cs="Times New Roman" w:eastAsia="Times New Roman" w:hAnsi="Times New Roman"/>
          <w:sz w:val="21"/>
          <w:szCs w:val="21"/>
          <w:color w:val="auto"/>
        </w:rPr>
        <w:t xml:space="preserve"> purposes within the meaning of Section 48 of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Code.</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Pre-Filing Registration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Project</w:t>
      </w:r>
      <w:r>
        <w:rPr>
          <w:rFonts w:ascii="Times New Roman" w:cs="Times New Roman" w:eastAsia="Times New Roman" w:hAnsi="Times New Roman"/>
          <w:sz w:val="21"/>
          <w:szCs w:val="21"/>
          <w:color w:val="auto"/>
        </w:rPr>
        <w:t>” means the Polk RNG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020" w:right="379" w:bottom="1440" w:gutter="0" w:footer="0" w:header="0"/>
        </w:sectPr>
      </w:pPr>
    </w:p>
    <w:bookmarkStart w:id="245" w:name="page246"/>
    <w:bookmarkEnd w:id="245"/>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Project Company</w:t>
      </w:r>
      <w:r>
        <w:rPr>
          <w:rFonts w:ascii="Times New Roman" w:cs="Times New Roman" w:eastAsia="Times New Roman" w:hAnsi="Times New Roman"/>
          <w:sz w:val="21"/>
          <w:szCs w:val="21"/>
          <w:color w:val="auto"/>
        </w:rPr>
        <w:t>” has the meaning specified in the recitals.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 Price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PWA Report</w:t>
      </w:r>
      <w:r>
        <w:rPr>
          <w:rFonts w:ascii="Times New Roman" w:cs="Times New Roman" w:eastAsia="Times New Roman" w:hAnsi="Times New Roman"/>
          <w:sz w:val="21"/>
          <w:szCs w:val="21"/>
          <w:color w:val="auto"/>
        </w:rPr>
        <w:t>” means the report prepared by PricewaterhouseCoopers, dated as of September 5, 2025, 2025, evaluating the Facility’s compliance with the PWA Requirements (including identifying any noncompliance with the PWA Requirements to be cured in accordance with Section 5(b)(xx)).</w:t>
      </w:r>
    </w:p>
    <w:p>
      <w:pPr>
        <w:spacing w:after="0" w:line="151" w:lineRule="exact"/>
        <w:rPr>
          <w:sz w:val="20"/>
          <w:szCs w:val="20"/>
          <w:color w:val="auto"/>
        </w:rPr>
      </w:pPr>
    </w:p>
    <w:p>
      <w:pPr>
        <w:jc w:val="both"/>
        <w:ind w:right="20" w:firstLine="641"/>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PWA Requirements</w:t>
      </w:r>
      <w:r>
        <w:rPr>
          <w:rFonts w:ascii="Times New Roman" w:cs="Times New Roman" w:eastAsia="Times New Roman" w:hAnsi="Times New Roman"/>
          <w:sz w:val="21"/>
          <w:szCs w:val="21"/>
          <w:color w:val="auto"/>
        </w:rPr>
        <w:t>” means the prevailing wage and apprenticeship requirements set forth in Code Sections 48(a)(10) and 48(a)(11), Treasury Regulations Section 1.45-7, 1,45-8 and 1.45-12 and 1.48-13, and any other applicable guidance published by the U.S. Department of the Treasury or the Internal Revenue Service, including the making of any necessary payments for any required correction and penalty amounts under Code Sections 48(a)(10)(B), and 48(a)(11).</w:t>
      </w:r>
    </w:p>
    <w:p>
      <w:pPr>
        <w:spacing w:after="0" w:line="158" w:lineRule="exact"/>
        <w:rPr>
          <w:sz w:val="20"/>
          <w:szCs w:val="20"/>
          <w:color w:val="auto"/>
        </w:rPr>
      </w:pPr>
    </w:p>
    <w:p>
      <w:pPr>
        <w:jc w:val="both"/>
        <w:ind w:firstLine="641"/>
        <w:spacing w:after="0" w:line="30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Recapture Period</w:t>
      </w:r>
      <w:r>
        <w:rPr>
          <w:rFonts w:ascii="Times New Roman" w:cs="Times New Roman" w:eastAsia="Times New Roman" w:hAnsi="Times New Roman"/>
          <w:sz w:val="21"/>
          <w:szCs w:val="21"/>
          <w:color w:val="auto"/>
        </w:rPr>
        <w:t>” means the period commencing on the date the Facility was Placed in Service and ending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anniversary thereof.</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Replacement Guaranty</w:t>
      </w:r>
      <w:r>
        <w:rPr>
          <w:rFonts w:ascii="Times New Roman" w:cs="Times New Roman" w:eastAsia="Times New Roman" w:hAnsi="Times New Roman"/>
          <w:sz w:val="21"/>
          <w:szCs w:val="21"/>
          <w:color w:val="auto"/>
        </w:rPr>
        <w:t xml:space="preserve">” means a replacement guaranty agreement delivered in accordance with </w:t>
      </w:r>
      <w:r>
        <w:rPr>
          <w:rFonts w:ascii="Times New Roman" w:cs="Times New Roman" w:eastAsia="Times New Roman" w:hAnsi="Times New Roman"/>
          <w:sz w:val="21"/>
          <w:szCs w:val="21"/>
          <w:u w:val="single" w:color="auto"/>
          <w:color w:val="auto"/>
        </w:rPr>
        <w:t>Section 5(b)(xiii)</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Required Governmental Approvals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Schedule 5</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Sanctioned Country</w:t>
      </w:r>
      <w:r>
        <w:rPr>
          <w:rFonts w:ascii="Times New Roman" w:cs="Times New Roman" w:eastAsia="Times New Roman" w:hAnsi="Times New Roman"/>
          <w:sz w:val="21"/>
          <w:szCs w:val="21"/>
          <w:color w:val="auto"/>
        </w:rPr>
        <w:t>” means a country the subject of a Sanctions program maintained by any Compliance Authority.</w:t>
      </w:r>
    </w:p>
    <w:p>
      <w:pPr>
        <w:spacing w:after="0" w:line="226"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Sanctioned Person</w:t>
      </w:r>
      <w:r>
        <w:rPr>
          <w:rFonts w:ascii="Times New Roman" w:cs="Times New Roman" w:eastAsia="Times New Roman" w:hAnsi="Times New Roman"/>
          <w:sz w:val="21"/>
          <w:szCs w:val="21"/>
          <w:color w:val="auto"/>
        </w:rPr>
        <w:t>” means any individual person, group, regime, entity or thing listed or otherwise recognized as a specially designated, prohibited, sanctioned or debarred Person, or subject to any limitations or prohibitions (including but not limited to the blocking of property or rejection of transactions), including by virtue of being owned or controlled by any such person, group, regime, entity or thing, under any Sanctions order or directive.</w:t>
      </w:r>
    </w:p>
    <w:p>
      <w:pPr>
        <w:spacing w:after="0" w:line="158"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Sanctions</w:t>
      </w:r>
      <w:r>
        <w:rPr>
          <w:rFonts w:ascii="Times New Roman" w:cs="Times New Roman" w:eastAsia="Times New Roman" w:hAnsi="Times New Roman"/>
          <w:sz w:val="21"/>
          <w:szCs w:val="21"/>
          <w:color w:val="auto"/>
        </w:rPr>
        <w:t>” means those economic and trade sanctions and embargoes enforced or administered by any Compliance Authority, including without limitation the foreign assets control regulations of the U.S. Treasury Department (31 CFR, Subtitle B, Chapter V) or any enabling legislation or executive order relating thereto.</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Seller</w:t>
      </w:r>
      <w:r>
        <w:rPr>
          <w:rFonts w:ascii="Times New Roman" w:cs="Times New Roman" w:eastAsia="Times New Roman" w:hAnsi="Times New Roman"/>
          <w:sz w:val="21"/>
          <w:szCs w:val="21"/>
          <w:color w:val="auto"/>
        </w:rPr>
        <w:t>” has the meaning specified in the introductory paragraph.</w:t>
      </w:r>
    </w:p>
    <w:p>
      <w:pPr>
        <w:spacing w:after="0" w:line="226"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Seller Account</w:t>
      </w:r>
      <w:r>
        <w:rPr>
          <w:rFonts w:ascii="Times New Roman" w:cs="Times New Roman" w:eastAsia="Times New Roman" w:hAnsi="Times New Roman"/>
          <w:sz w:val="21"/>
          <w:szCs w:val="21"/>
          <w:color w:val="auto"/>
        </w:rPr>
        <w:t xml:space="preserve">” means the deposit account of the Seller or another deposit account as directed by Seller as identified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into which the Purchase Price shall be paid.</w:t>
      </w:r>
    </w:p>
    <w:p>
      <w:pPr>
        <w:spacing w:after="0" w:line="130" w:lineRule="exact"/>
        <w:rPr>
          <w:sz w:val="20"/>
          <w:szCs w:val="20"/>
          <w:color w:val="auto"/>
        </w:rPr>
      </w:pPr>
    </w:p>
    <w:p>
      <w:pPr>
        <w:jc w:val="both"/>
        <w:ind w:right="20"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Seller Deliverables</w:t>
      </w:r>
      <w:r>
        <w:rPr>
          <w:rFonts w:ascii="Times New Roman" w:cs="Times New Roman" w:eastAsia="Times New Roman" w:hAnsi="Times New Roman"/>
          <w:sz w:val="21"/>
          <w:szCs w:val="21"/>
          <w:color w:val="auto"/>
        </w:rPr>
        <w:t xml:space="preserve">” means those items identified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which are to be delivered by the Seller to each Buyer on or prior to the Effective Date.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“Seller Parties</w:t>
      </w:r>
      <w:r>
        <w:rPr>
          <w:rFonts w:ascii="Times New Roman" w:cs="Times New Roman" w:eastAsia="Times New Roman" w:hAnsi="Times New Roman"/>
          <w:sz w:val="21"/>
          <w:szCs w:val="21"/>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015" w:right="379" w:bottom="1440" w:gutter="0" w:footer="0" w:header="0"/>
        </w:sectPr>
      </w:pPr>
    </w:p>
    <w:bookmarkStart w:id="246" w:name="page247"/>
    <w:bookmarkEnd w:id="246"/>
    <w:p>
      <w:pPr>
        <w:ind w:firstLine="641"/>
        <w:spacing w:after="0" w:line="30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Specified Tax Representations</w:t>
      </w:r>
      <w:r>
        <w:rPr>
          <w:rFonts w:ascii="Times New Roman" w:cs="Times New Roman" w:eastAsia="Times New Roman" w:hAnsi="Times New Roman"/>
          <w:sz w:val="21"/>
          <w:szCs w:val="21"/>
          <w:color w:val="auto"/>
        </w:rPr>
        <w:t xml:space="preserve">” means the representations and warranties of the Seller set forth in </w:t>
      </w:r>
      <w:r>
        <w:rPr>
          <w:rFonts w:ascii="Times New Roman" w:cs="Times New Roman" w:eastAsia="Times New Roman" w:hAnsi="Times New Roman"/>
          <w:sz w:val="21"/>
          <w:szCs w:val="21"/>
          <w:u w:val="single" w:color="auto"/>
          <w:color w:val="auto"/>
        </w:rPr>
        <w:t>Section 4(a)(vii)</w:t>
      </w:r>
      <w:r>
        <w:rPr>
          <w:rFonts w:ascii="Times New Roman" w:cs="Times New Roman" w:eastAsia="Times New Roman" w:hAnsi="Times New Roman"/>
          <w:sz w:val="21"/>
          <w:szCs w:val="21"/>
          <w:color w:val="auto"/>
        </w:rPr>
        <w:t xml:space="preserve"> (solely with respect to the Seller), and in </w:t>
      </w:r>
      <w:r>
        <w:rPr>
          <w:rFonts w:ascii="Times New Roman" w:cs="Times New Roman" w:eastAsia="Times New Roman" w:hAnsi="Times New Roman"/>
          <w:sz w:val="21"/>
          <w:szCs w:val="21"/>
          <w:u w:val="single" w:color="auto"/>
          <w:color w:val="auto"/>
        </w:rPr>
        <w:t>Items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 (11)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w:t>
      </w:r>
      <w:r>
        <w:rPr>
          <w:rFonts w:ascii="Times New Roman" w:cs="Times New Roman" w:eastAsia="Times New Roman" w:hAnsi="Times New Roman"/>
          <w:sz w:val="21"/>
          <w:szCs w:val="21"/>
          <w:color w:val="auto"/>
        </w:rPr>
        <w:t xml:space="preserve"> on </w:t>
      </w:r>
      <w:r>
        <w:rPr>
          <w:rFonts w:ascii="Times New Roman" w:cs="Times New Roman" w:eastAsia="Times New Roman" w:hAnsi="Times New Roman"/>
          <w:sz w:val="21"/>
          <w:szCs w:val="21"/>
          <w:u w:val="single" w:color="auto"/>
          <w:color w:val="auto"/>
        </w:rPr>
        <w:t>Schedule 5</w:t>
      </w:r>
      <w:r>
        <w:rPr>
          <w:rFonts w:ascii="Times New Roman" w:cs="Times New Roman" w:eastAsia="Times New Roman" w:hAnsi="Times New Roman"/>
          <w:sz w:val="21"/>
          <w:szCs w:val="21"/>
          <w:color w:val="auto"/>
        </w:rPr>
        <w:t>.</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Structuring Fee</w:t>
      </w:r>
      <w:r>
        <w:rPr>
          <w:rFonts w:ascii="Times New Roman" w:cs="Times New Roman" w:eastAsia="Times New Roman" w:hAnsi="Times New Roman"/>
          <w:sz w:val="21"/>
          <w:szCs w:val="21"/>
          <w:color w:val="auto"/>
        </w:rPr>
        <w:t>” has the meaning specified in the Structuring Fee Letter.</w:t>
      </w:r>
    </w:p>
    <w:p>
      <w:pPr>
        <w:spacing w:after="0" w:line="213" w:lineRule="exact"/>
        <w:rPr>
          <w:sz w:val="20"/>
          <w:szCs w:val="20"/>
          <w:color w:val="auto"/>
        </w:rPr>
      </w:pPr>
    </w:p>
    <w:p>
      <w:pPr>
        <w:ind w:right="80" w:firstLine="641"/>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Structuring Fee Letter</w:t>
      </w:r>
      <w:r>
        <w:rPr>
          <w:rFonts w:ascii="Times New Roman" w:cs="Times New Roman" w:eastAsia="Times New Roman" w:hAnsi="Times New Roman"/>
          <w:sz w:val="21"/>
          <w:szCs w:val="21"/>
          <w:color w:val="auto"/>
        </w:rPr>
        <w:t>” means each of (a) the Structuring Fee Letter dated as of the date hereof among Apollo Global Funding, LLC and Seller; and (b) the Structuring Fee Letter dated as of the date hereof among Apterra Infrastructure Capital LLC and Seller.</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Substantial Completion</w:t>
      </w:r>
      <w:r>
        <w:rPr>
          <w:rFonts w:ascii="Times New Roman" w:cs="Times New Roman" w:eastAsia="Times New Roman" w:hAnsi="Times New Roman"/>
          <w:sz w:val="21"/>
          <w:szCs w:val="21"/>
          <w:color w:val="auto"/>
        </w:rPr>
        <w:t>” means “Substantial Completion” as defined in the EPC Contract.</w:t>
      </w:r>
    </w:p>
    <w:p>
      <w:pPr>
        <w:spacing w:after="0" w:line="226" w:lineRule="exact"/>
        <w:rPr>
          <w:sz w:val="20"/>
          <w:szCs w:val="20"/>
          <w:color w:val="auto"/>
        </w:rPr>
      </w:pPr>
    </w:p>
    <w:p>
      <w:pPr>
        <w:jc w:val="both"/>
        <w:ind w:right="20"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Survival Period End Date</w:t>
      </w:r>
      <w:r>
        <w:rPr>
          <w:rFonts w:ascii="Times New Roman" w:cs="Times New Roman" w:eastAsia="Times New Roman" w:hAnsi="Times New Roman"/>
          <w:sz w:val="21"/>
          <w:szCs w:val="21"/>
          <w:color w:val="auto"/>
        </w:rPr>
        <w:t>” means the later of (a) the date that is six (6) months after the applicable statute of limitations (including extensions) expires on any IRS audit for the applicable taxable year of the applicable Buyer, and (b) the expiration of the Recapture Period.</w:t>
      </w:r>
    </w:p>
    <w:p>
      <w:pPr>
        <w:spacing w:after="0" w:line="151"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Tax</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Tax Credit Loss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Tax Insurance Policy</w:t>
      </w:r>
      <w:r>
        <w:rPr>
          <w:rFonts w:ascii="Times New Roman" w:cs="Times New Roman" w:eastAsia="Times New Roman" w:hAnsi="Times New Roman"/>
          <w:sz w:val="21"/>
          <w:szCs w:val="21"/>
          <w:color w:val="auto"/>
        </w:rPr>
        <w:t xml:space="preserve">” means the Tax liability insurance policy or policies with respect to the Transactions, bound and effective as of the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Tax Insurance Policy is not available prior to the Effective Date, bound and effective as of the Closing Date.</w:t>
      </w:r>
    </w:p>
    <w:p>
      <w:pPr>
        <w:spacing w:after="0" w:line="151"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Tax-Exempt Person</w:t>
      </w:r>
      <w:r>
        <w:rPr>
          <w:rFonts w:ascii="Times New Roman" w:cs="Times New Roman" w:eastAsia="Times New Roman" w:hAnsi="Times New Roman"/>
          <w:sz w:val="21"/>
          <w:szCs w:val="21"/>
          <w:color w:val="auto"/>
        </w:rPr>
        <w:t>” means (a) the U.S., any state or political subdivision thereof, any possession of the U.S. or any agency or instrumentality of any of the foregoing, (b) any organization which is exempt from Tax imposed by the Code (including any former tax-exempt organization within the meaning of Section 168(h)(2)(E) of the Code), (c) any Person who is not a “United States person” under Section 7701(a)(30) of the Code, (d) any Indian tribal government described in Section 7701(a)(40) of the Code, (e) any entity referred to in Section 54(j)(4) of the Code, (f) any Person ineligible for ITCs in whole or in part pursuant to Section 50 of the Code and the Treasury Regulations thereunder, (g) any “tax-exempt controlled entity” under Section 168(h)(6)</w:t>
      </w:r>
    </w:p>
    <w:p>
      <w:pPr>
        <w:spacing w:after="0" w:line="3" w:lineRule="exact"/>
        <w:rPr>
          <w:sz w:val="20"/>
          <w:szCs w:val="20"/>
          <w:color w:val="auto"/>
        </w:rPr>
      </w:pPr>
    </w:p>
    <w:p>
      <w:pPr>
        <w:jc w:val="both"/>
        <w:ind w:firstLine="7"/>
        <w:spacing w:after="0" w:line="257" w:lineRule="auto"/>
        <w:tabs>
          <w:tab w:leader="none" w:pos="326"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the Code, and (h) any partnership or other pass-through entity (including a singlemember disregarded entity) any direct or indirect partner of which (or other direct or indirect holder of an equity or profits interest) is described in clauses (a) through (g), unless such Person holds its interest in the partnership or other pass-through entity indirectly through an entity taxable as a corporation for U.S. federal income </w:t>
      </w:r>
      <w:r>
        <w:rPr>
          <w:rFonts w:ascii="Times New Roman" w:cs="Times New Roman" w:eastAsia="Times New Roman" w:hAnsi="Times New Roman"/>
          <w:sz w:val="19"/>
          <w:szCs w:val="19"/>
          <w:color w:val="auto"/>
        </w:rPr>
        <w:t>Tax</w:t>
      </w:r>
      <w:r>
        <w:rPr>
          <w:rFonts w:ascii="Times New Roman" w:cs="Times New Roman" w:eastAsia="Times New Roman" w:hAnsi="Times New Roman"/>
          <w:sz w:val="21"/>
          <w:szCs w:val="21"/>
          <w:color w:val="auto"/>
        </w:rPr>
        <w:t xml:space="preserve"> purposes, other than a “tax-exempt controlled entity”; provided, however, that any such Person shall not be considered a Tax-Exempt Person to the extent that (i) the exception under Section 168(h)(1)(D) of the Code applies with respect to the income from Seller for that Person, (ii) the Person is described within clause (c) of this definition, and the exception under Section 168(h)(2)(B)(i) of the Code applies with respect to the income from Seller for that Person, or (iii) such Person avoids being a “tax-exempt controlled entity” under Section 168(h)(6)(F) of the Code by making an election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014" w:right="379" w:bottom="1440" w:gutter="0" w:footer="0" w:header="0"/>
        </w:sectPr>
      </w:pPr>
    </w:p>
    <w:bookmarkStart w:id="247" w:name="page248"/>
    <w:bookmarkEnd w:id="247"/>
    <w:p>
      <w:pPr>
        <w:ind w:right="460" w:firstLine="9"/>
        <w:spacing w:after="0" w:line="308" w:lineRule="auto"/>
        <w:rPr>
          <w:sz w:val="20"/>
          <w:szCs w:val="20"/>
          <w:color w:val="auto"/>
        </w:rPr>
      </w:pPr>
      <w:r>
        <w:rPr>
          <w:rFonts w:ascii="Times New Roman" w:cs="Times New Roman" w:eastAsia="Times New Roman" w:hAnsi="Times New Roman"/>
          <w:sz w:val="21"/>
          <w:szCs w:val="21"/>
          <w:color w:val="auto"/>
        </w:rPr>
        <w:t>Section 168(h)(6)(F)(ii) of the Code. “</w:t>
      </w:r>
      <w:r>
        <w:rPr>
          <w:rFonts w:ascii="Times New Roman" w:cs="Times New Roman" w:eastAsia="Times New Roman" w:hAnsi="Times New Roman"/>
          <w:sz w:val="21"/>
          <w:szCs w:val="21"/>
          <w:b w:val="1"/>
          <w:bCs w:val="1"/>
          <w:i w:val="1"/>
          <w:iCs w:val="1"/>
          <w:color w:val="auto"/>
        </w:rPr>
        <w:t>Transaction Documents</w:t>
      </w:r>
      <w:r>
        <w:rPr>
          <w:rFonts w:ascii="Times New Roman" w:cs="Times New Roman" w:eastAsia="Times New Roman" w:hAnsi="Times New Roman"/>
          <w:sz w:val="21"/>
          <w:szCs w:val="21"/>
          <w:color w:val="auto"/>
        </w:rPr>
        <w:t>” means this Agreement, the Guaranty and the Structuring Fee Letter.</w:t>
      </w:r>
    </w:p>
    <w:p>
      <w:pPr>
        <w:spacing w:after="0" w:line="102" w:lineRule="exact"/>
        <w:rPr>
          <w:sz w:val="20"/>
          <w:szCs w:val="20"/>
          <w:color w:val="auto"/>
        </w:rPr>
      </w:pPr>
    </w:p>
    <w:p>
      <w:pPr>
        <w:jc w:val="both"/>
        <w:ind w:firstLine="641"/>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Transactions</w:t>
      </w:r>
      <w:r>
        <w:rPr>
          <w:rFonts w:ascii="Times New Roman" w:cs="Times New Roman" w:eastAsia="Times New Roman" w:hAnsi="Times New Roman"/>
          <w:sz w:val="21"/>
          <w:szCs w:val="21"/>
          <w:color w:val="auto"/>
        </w:rPr>
        <w:t>” means, collectively, the execution and delivery of the Transaction Documents by the parties thereto and the performance of the obligations of such parties thereunder, including the sale and transfer of the Transferred Tax Credits and the payment therefor.</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Transfer Election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5(c)</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Transfer Election Statement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Transferred Tax Credits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Treasury</w:t>
      </w:r>
      <w:r>
        <w:rPr>
          <w:rFonts w:ascii="Times New Roman" w:cs="Times New Roman" w:eastAsia="Times New Roman" w:hAnsi="Times New Roman"/>
          <w:sz w:val="21"/>
          <w:szCs w:val="21"/>
          <w:color w:val="auto"/>
        </w:rPr>
        <w:t>” means the U.S. Department of Treasury.</w:t>
      </w:r>
    </w:p>
    <w:p>
      <w:pPr>
        <w:spacing w:after="0" w:line="213" w:lineRule="exact"/>
        <w:rPr>
          <w:sz w:val="20"/>
          <w:szCs w:val="20"/>
          <w:color w:val="auto"/>
        </w:rPr>
      </w:pPr>
    </w:p>
    <w:p>
      <w:pPr>
        <w:jc w:val="both"/>
        <w:ind w:firstLine="641"/>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Unavailable</w:t>
      </w:r>
      <w:r>
        <w:rPr>
          <w:rFonts w:ascii="Times New Roman" w:cs="Times New Roman" w:eastAsia="Times New Roman" w:hAnsi="Times New Roman"/>
          <w:sz w:val="21"/>
          <w:szCs w:val="21"/>
          <w:color w:val="auto"/>
        </w:rPr>
        <w:t>” means, with respect to any insurance required to be maintained hereunder with respect to the Facility (other than the Tax Insurance Policy), that such insurance is no longer available, commercially feasible or only available on cost prohibitive terms in the commercial insurance market for renewable natural gas projects of type and capacity similar to the Facility.</w:t>
      </w: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U.S.</w:t>
      </w:r>
      <w:r>
        <w:rPr>
          <w:rFonts w:ascii="Times New Roman" w:cs="Times New Roman" w:eastAsia="Times New Roman" w:hAnsi="Times New Roman"/>
          <w:sz w:val="21"/>
          <w:szCs w:val="21"/>
          <w:color w:val="auto"/>
        </w:rPr>
        <w:t>” means the United States of America.</w:t>
      </w:r>
    </w:p>
    <w:p>
      <w:pPr>
        <w:spacing w:after="0" w:line="213"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Uniform Commercial Code</w:t>
      </w:r>
      <w:r>
        <w:rPr>
          <w:rFonts w:ascii="Times New Roman" w:cs="Times New Roman" w:eastAsia="Times New Roman" w:hAnsi="Times New Roman"/>
          <w:sz w:val="21"/>
          <w:szCs w:val="21"/>
          <w:color w:val="auto"/>
        </w:rPr>
        <w:t>” means the Uniform Commercial Code as in effect in New York; provided that, if by reason of mandatory provisions of law, the perfection or the effect of perfection or non-perfection of any relevant security interest is governed by the Uniform Commercial Code as in effect in a jurisdiction other than New York, such term shall mean the Uniform Commercial Code as in effect in such other jurisdiction.</w:t>
      </w:r>
    </w:p>
    <w:p>
      <w:pPr>
        <w:spacing w:after="0" w:line="162" w:lineRule="exact"/>
        <w:rPr>
          <w:sz w:val="20"/>
          <w:szCs w:val="20"/>
          <w:color w:val="auto"/>
        </w:rPr>
      </w:pPr>
    </w:p>
    <w:p>
      <w:pPr>
        <w:jc w:val="both"/>
        <w:ind w:firstLine="648"/>
        <w:spacing w:after="0" w:line="257" w:lineRule="auto"/>
        <w:tabs>
          <w:tab w:leader="none" w:pos="976"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(including this Agreement),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(ii) any reference herein to any Person shall be construed to include such Person’s permitted successors and permitted assigns (subject to any restrictions on assignment set forth herein) and, in the case of any Governmental Authority, any other Governmental Authority that shall have succeeded to any or all functions thereof, (iii) the words “herein”, “hereof” and “hereunder”, and words of similar import, shall be construed to refer to this Agreement in its entirety and not to any particular provision hereof, (iv) all references herein to Sections, Exhibits and Schedules shall be construed to refer to Sections of, and Exhibits and Schedules to, this Agreement, (v) the words “asset” and “property” shall be construed to have the same meaning and effect and to refer to any and all tangible and intangible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1015" w:right="379" w:bottom="1440" w:gutter="0" w:footer="0" w:header="0"/>
        </w:sectPr>
      </w:pPr>
    </w:p>
    <w:bookmarkStart w:id="248" w:name="page249"/>
    <w:bookmarkEnd w:id="248"/>
    <w:p>
      <w:pPr>
        <w:jc w:val="both"/>
        <w:spacing w:after="0" w:line="268" w:lineRule="auto"/>
        <w:rPr>
          <w:sz w:val="20"/>
          <w:szCs w:val="20"/>
          <w:color w:val="auto"/>
        </w:rPr>
      </w:pPr>
      <w:r>
        <w:rPr>
          <w:rFonts w:ascii="Times New Roman" w:cs="Times New Roman" w:eastAsia="Times New Roman" w:hAnsi="Times New Roman"/>
          <w:sz w:val="21"/>
          <w:szCs w:val="21"/>
          <w:color w:val="auto"/>
        </w:rPr>
        <w:t>assets and properties, including cash, securities, accounts and contract rights, and (vi) any reference to any Applicable Law shall, unless otherwise specified, refer to such Applicable Law as amended, modified or supplemented from time to time and shall include all statutory and regulatory provisions consolidating, amending, replacing, supplementing, interpreting or administering such Applicable Law.</w:t>
      </w:r>
    </w:p>
    <w:p>
      <w:pPr>
        <w:spacing w:after="0" w:line="186"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21"/>
          <w:szCs w:val="21"/>
          <w:b w:val="1"/>
          <w:bCs w:val="1"/>
          <w:u w:val="single" w:color="auto"/>
          <w:color w:val="auto"/>
        </w:rPr>
        <w:t>Section 2</w:t>
        <w:tab/>
        <w:t>Purchase and Sale of Tax Credits.</w:t>
      </w:r>
    </w:p>
    <w:p>
      <w:pPr>
        <w:spacing w:after="0" w:line="230" w:lineRule="exact"/>
        <w:rPr>
          <w:sz w:val="20"/>
          <w:szCs w:val="20"/>
          <w:color w:val="auto"/>
        </w:rPr>
      </w:pPr>
    </w:p>
    <w:p>
      <w:pPr>
        <w:jc w:val="both"/>
        <w:ind w:firstLine="648"/>
        <w:spacing w:after="0" w:line="258" w:lineRule="auto"/>
        <w:tabs>
          <w:tab w:leader="none" w:pos="1279"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satisfaction of the conditions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the Seller hereby agrees to assign, transfer and convey: (i) to the Buyer 1, and the Buyer 1 hereby agrees to purchase from the Seller, on the Closing Date, $9,505,000, and (ii) to the Buyer 2, and the Buyer 2 hereby agrees to purchase from the Seller, on the Closing Date, $7,864,450, in each case, of ITCs generated by the Seller placing the Facility in service for U.S. federal income </w:t>
      </w:r>
      <w:r>
        <w:rPr>
          <w:rFonts w:ascii="Times New Roman" w:cs="Times New Roman" w:eastAsia="Times New Roman" w:hAnsi="Times New Roman"/>
          <w:sz w:val="19"/>
          <w:szCs w:val="19"/>
          <w:color w:val="auto"/>
        </w:rPr>
        <w:t>Tax</w:t>
      </w:r>
      <w:r>
        <w:rPr>
          <w:rFonts w:ascii="Times New Roman" w:cs="Times New Roman" w:eastAsia="Times New Roman" w:hAnsi="Times New Roman"/>
          <w:sz w:val="21"/>
          <w:szCs w:val="21"/>
          <w:color w:val="auto"/>
        </w:rPr>
        <w:t xml:space="preserve"> purposes (such ITCs, the “</w:t>
      </w:r>
      <w:r>
        <w:rPr>
          <w:rFonts w:ascii="Times New Roman" w:cs="Times New Roman" w:eastAsia="Times New Roman" w:hAnsi="Times New Roman"/>
          <w:sz w:val="21"/>
          <w:szCs w:val="21"/>
          <w:b w:val="1"/>
          <w:bCs w:val="1"/>
          <w:i w:val="1"/>
          <w:iCs w:val="1"/>
          <w:color w:val="auto"/>
        </w:rPr>
        <w:t>Transferred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Credits</w:t>
      </w:r>
      <w:r>
        <w:rPr>
          <w:rFonts w:ascii="Times New Roman" w:cs="Times New Roman" w:eastAsia="Times New Roman" w:hAnsi="Times New Roman"/>
          <w:sz w:val="21"/>
          <w:szCs w:val="21"/>
          <w:color w:val="auto"/>
        </w:rPr>
        <w:t>”), for a purchase price equal to [***], in the case of the Buyer 1, and [***], in the case of the Buyer 2 (the “</w:t>
      </w:r>
      <w:r>
        <w:rPr>
          <w:rFonts w:ascii="Times New Roman" w:cs="Times New Roman" w:eastAsia="Times New Roman" w:hAnsi="Times New Roman"/>
          <w:sz w:val="21"/>
          <w:szCs w:val="21"/>
          <w:b w:val="1"/>
          <w:bCs w:val="1"/>
          <w:i w:val="1"/>
          <w:iCs w:val="1"/>
          <w:color w:val="auto"/>
        </w:rPr>
        <w:t>Purchase Price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if the conditions precedent set forth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are not satisfied (or waived by each Buyer) in full and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Closing Date does not occur on or before September 12, 2025, each Buyer shall have the right to cause this Agreement to terminate with respect to such Buyer’s obligations to purchase its portion of the Transferred Tax Credits or to pay its portion of the Purchase Price and Seller’s obligations to transfer such Transferred Tax Credits to such Buyer, and such Buyer and Seller shall have no further liability with respect thereto. The Transferred Tax Credits represent all of the ITCs that, but for this Agreement, would be claimed by the Seller from its ownership interest in the Project Company.</w:t>
      </w:r>
    </w:p>
    <w:p>
      <w:pPr>
        <w:spacing w:after="0" w:line="176" w:lineRule="exact"/>
        <w:rPr>
          <w:rFonts w:ascii="Times New Roman" w:cs="Times New Roman" w:eastAsia="Times New Roman" w:hAnsi="Times New Roman"/>
          <w:sz w:val="21"/>
          <w:szCs w:val="21"/>
          <w:color w:val="auto"/>
        </w:rPr>
      </w:pPr>
    </w:p>
    <w:p>
      <w:pPr>
        <w:jc w:val="both"/>
        <w:ind w:firstLine="648"/>
        <w:spacing w:after="0" w:line="264" w:lineRule="auto"/>
        <w:tabs>
          <w:tab w:leader="none" w:pos="1278"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Buyer shall pay its portion of the Purchase Price to the Seller, in immediately available funds, in U.S. Dollars on or before the date that is three (3) Business Days after the Closing Date (such payment date, the “</w:t>
      </w:r>
      <w:r>
        <w:rPr>
          <w:rFonts w:ascii="Times New Roman" w:cs="Times New Roman" w:eastAsia="Times New Roman" w:hAnsi="Times New Roman"/>
          <w:sz w:val="21"/>
          <w:szCs w:val="21"/>
          <w:b w:val="1"/>
          <w:bCs w:val="1"/>
          <w:i w:val="1"/>
          <w:iCs w:val="1"/>
          <w:color w:val="auto"/>
        </w:rPr>
        <w:t>Payment Date</w:t>
      </w:r>
      <w:r>
        <w:rPr>
          <w:rFonts w:ascii="Times New Roman" w:cs="Times New Roman" w:eastAsia="Times New Roman" w:hAnsi="Times New Roman"/>
          <w:sz w:val="21"/>
          <w:szCs w:val="21"/>
          <w:color w:val="auto"/>
        </w:rPr>
        <w:t>”). The payment of the Purchase Price shall be made by wire transfer of the Purchase Price on the Payment Date to the Seller Account in accordance with the Funds Flow Memorandum.</w:t>
      </w:r>
    </w:p>
    <w:p>
      <w:pPr>
        <w:spacing w:after="0" w:line="189"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21"/>
          <w:szCs w:val="21"/>
          <w:b w:val="1"/>
          <w:bCs w:val="1"/>
          <w:u w:val="single" w:color="auto"/>
          <w:color w:val="auto"/>
        </w:rPr>
        <w:t>Section 3</w:t>
        <w:tab/>
        <w:t>Conditions Precedent.</w:t>
      </w:r>
    </w:p>
    <w:p>
      <w:pPr>
        <w:spacing w:after="0" w:line="230"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The effectiveness of this Agreement and the obligations of each Buyer and the Seller under this Agreement shall be subject to the satisfaction of each of the following conditions, any of which may be waived, in whole or in part, by the Party to whose benefit the conditions inures, in its sole discretion:</w:t>
      </w:r>
    </w:p>
    <w:p>
      <w:pPr>
        <w:spacing w:after="0" w:line="160" w:lineRule="exact"/>
        <w:rPr>
          <w:sz w:val="20"/>
          <w:szCs w:val="20"/>
          <w:color w:val="auto"/>
        </w:rPr>
      </w:pPr>
    </w:p>
    <w:p>
      <w:pPr>
        <w:jc w:val="both"/>
        <w:ind w:firstLine="648"/>
        <w:spacing w:after="0" w:line="260" w:lineRule="auto"/>
        <w:tabs>
          <w:tab w:leader="none" w:pos="1279"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Buyer and the Seller shall each receive executed counterparts of this Agreement, duly executed by an officer or other authorized representative of each Party. Each Buyer shall have received an executed copy of the Guaranty duly executed by an officer or other authorized representative of the Guarantor. Each Buyer and the Seller shall each receive an executed copy of the Structuring Fee Letter. Each Buyer and the Seller shall have each received an executed copy of the interparty (forbearance) agreement by and among OPAL Fuels Intermediate HoldCo LLC, a Delaware limited liability company, the Seller, each Buyer and Bank of America, N.A., in its capacity as collateral agent for the secured parties under the Credit and Guarantee Agreement described in Schedule 9, substantially in the form of </w:t>
      </w:r>
      <w:r>
        <w:rPr>
          <w:rFonts w:ascii="Times New Roman" w:cs="Times New Roman" w:eastAsia="Times New Roman" w:hAnsi="Times New Roman"/>
          <w:sz w:val="21"/>
          <w:szCs w:val="21"/>
          <w:u w:val="single" w:color="auto"/>
          <w:color w:val="auto"/>
        </w:rPr>
        <w:t>Exhibit 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020" w:right="379" w:bottom="1440" w:gutter="0" w:footer="0" w:header="0"/>
        </w:sectPr>
      </w:pPr>
    </w:p>
    <w:bookmarkStart w:id="249" w:name="page250"/>
    <w:bookmarkEnd w:id="249"/>
    <w:p>
      <w:pPr>
        <w:ind w:left="1120" w:hanging="632"/>
        <w:spacing w:after="0"/>
        <w:tabs>
          <w:tab w:leader="none" w:pos="112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Parties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true and correct in all respects.</w:t>
      </w:r>
    </w:p>
    <w:p>
      <w:pPr>
        <w:spacing w:after="0" w:line="226" w:lineRule="exact"/>
        <w:rPr>
          <w:rFonts w:ascii="Times New Roman" w:cs="Times New Roman" w:eastAsia="Times New Roman" w:hAnsi="Times New Roman"/>
          <w:sz w:val="21"/>
          <w:szCs w:val="21"/>
          <w:color w:val="auto"/>
        </w:rPr>
      </w:pPr>
    </w:p>
    <w:p>
      <w:pPr>
        <w:ind w:left="-160" w:firstLine="648"/>
        <w:spacing w:after="0" w:line="288" w:lineRule="auto"/>
        <w:tabs>
          <w:tab w:leader="none" w:pos="1119"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Buyer shall have received each of the Seller Deliverables and the Seller shall have received each of the applicable Buyer Deliverables.</w:t>
      </w:r>
    </w:p>
    <w:p>
      <w:pPr>
        <w:spacing w:after="0" w:line="141" w:lineRule="exact"/>
        <w:rPr>
          <w:rFonts w:ascii="Times New Roman" w:cs="Times New Roman" w:eastAsia="Times New Roman" w:hAnsi="Times New Roman"/>
          <w:sz w:val="21"/>
          <w:szCs w:val="21"/>
          <w:color w:val="auto"/>
        </w:rPr>
      </w:pPr>
    </w:p>
    <w:p>
      <w:pPr>
        <w:jc w:val="both"/>
        <w:ind w:left="-160" w:right="20" w:firstLine="648"/>
        <w:spacing w:after="0" w:line="268" w:lineRule="auto"/>
        <w:tabs>
          <w:tab w:leader="none" w:pos="1118"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Buyer shall have (i) satisfactorily completed its due diligence of the Facility and its qualification for its portion of the Transferred Tax Credits and the eligibility of the Seller to transfer such Transferred Tax Credits to such Buyer under Section 6418 of the Code and (ii) received all necessary internal credit and management approvals with respect to the purchase of its portion of the Transferred Tax Credits.</w:t>
      </w:r>
    </w:p>
    <w:p>
      <w:pPr>
        <w:spacing w:after="0" w:line="150" w:lineRule="exact"/>
        <w:rPr>
          <w:rFonts w:ascii="Times New Roman" w:cs="Times New Roman" w:eastAsia="Times New Roman" w:hAnsi="Times New Roman"/>
          <w:sz w:val="21"/>
          <w:szCs w:val="21"/>
          <w:color w:val="auto"/>
        </w:rPr>
      </w:pPr>
    </w:p>
    <w:p>
      <w:pPr>
        <w:ind w:left="-160" w:right="20" w:firstLine="648"/>
        <w:spacing w:after="0" w:line="288" w:lineRule="auto"/>
        <w:tabs>
          <w:tab w:leader="none" w:pos="1119"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Buyer shall have received a Tax opinion from Mayer Brown LLP, as Tax counsel to each Buyer, in form and substance reasonably satisfactory each Buyer.</w:t>
      </w:r>
    </w:p>
    <w:p>
      <w:pPr>
        <w:spacing w:after="0" w:line="141" w:lineRule="exact"/>
        <w:rPr>
          <w:rFonts w:ascii="Times New Roman" w:cs="Times New Roman" w:eastAsia="Times New Roman" w:hAnsi="Times New Roman"/>
          <w:sz w:val="21"/>
          <w:szCs w:val="21"/>
          <w:color w:val="auto"/>
        </w:rPr>
      </w:pPr>
    </w:p>
    <w:p>
      <w:pPr>
        <w:jc w:val="both"/>
        <w:ind w:left="-160" w:firstLine="648"/>
        <w:spacing w:after="0" w:line="259" w:lineRule="auto"/>
        <w:tabs>
          <w:tab w:leader="none" w:pos="1122"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federal income Tax law, regulation, guidance shall have been enacted, promulgated, proposed, issued, published, changed, revoked or repealed and no court of competent jurisdiction shall have issued any decision with respect to any federal income Tax law, regulation or guidance in a manner that (i) is reasonably likely to limit, restrict, reduce, or disallow the Transferred Tax Credits or the purchase or transfer thereof as contemplated hereby, or the ability of Buyer to claim (which, for the avoidance of doubt does not include whether any Buyer has sufficient Tax liability to utilize or otherwise benefit from its portion of the Transferred Tax Credits) the Transferred Tax Credits as contemplated hereby or (ii) creates a reasonable likelihood that the Transferred Tax Credits will be reduced or recaptured or the purchase or transfer thereof will not be allowed (a “</w:t>
      </w:r>
      <w:r>
        <w:rPr>
          <w:rFonts w:ascii="Times New Roman" w:cs="Times New Roman" w:eastAsia="Times New Roman" w:hAnsi="Times New Roman"/>
          <w:sz w:val="21"/>
          <w:szCs w:val="21"/>
          <w:b w:val="1"/>
          <w:bCs w:val="1"/>
          <w:i w:val="1"/>
          <w:iCs w:val="1"/>
          <w:color w:val="auto"/>
        </w:rPr>
        <w:t>Change in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Law Termination Event</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160" w:firstLine="648"/>
        <w:spacing w:after="0" w:line="268" w:lineRule="auto"/>
        <w:tabs>
          <w:tab w:leader="none" w:pos="1118"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Condemnation Event shall have occurred, be pending, or threatened in writing, that is material to the ownership or operation of the Facility or the sale of RNG therefrom, and no unrepaired Casualty Event shall exist that is material to the ownership or operation of the Facility or the sale of RNG therefrom unless, in the opinion of the Independent Engineer, such Casualty Event is capable of repair in a time frame that is reasonably satisfactory to each Buyer.</w:t>
      </w:r>
    </w:p>
    <w:p>
      <w:pPr>
        <w:spacing w:after="0" w:line="150" w:lineRule="exact"/>
        <w:rPr>
          <w:rFonts w:ascii="Times New Roman" w:cs="Times New Roman" w:eastAsia="Times New Roman" w:hAnsi="Times New Roman"/>
          <w:sz w:val="21"/>
          <w:szCs w:val="21"/>
          <w:color w:val="auto"/>
        </w:rPr>
      </w:pPr>
    </w:p>
    <w:p>
      <w:pPr>
        <w:jc w:val="both"/>
        <w:ind w:left="-160" w:firstLine="648"/>
        <w:spacing w:after="0" w:line="277" w:lineRule="auto"/>
        <w:tabs>
          <w:tab w:leader="none" w:pos="1118"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be satisfied that the transfer provisions and mechanics in this Agreement and any other applicable provisions of this Agreement have been updated to comply with any guidance the IRS or Treasury issued under Section 6418 of the Code, in a manner satisfactory to the Parties.</w:t>
      </w:r>
    </w:p>
    <w:p>
      <w:pPr>
        <w:spacing w:after="0" w:line="165" w:lineRule="exact"/>
        <w:rPr>
          <w:rFonts w:ascii="Times New Roman" w:cs="Times New Roman" w:eastAsia="Times New Roman" w:hAnsi="Times New Roman"/>
          <w:sz w:val="21"/>
          <w:szCs w:val="21"/>
          <w:color w:val="auto"/>
        </w:rPr>
      </w:pPr>
    </w:p>
    <w:p>
      <w:pPr>
        <w:ind w:left="1120" w:hanging="632"/>
        <w:spacing w:after="0"/>
        <w:tabs>
          <w:tab w:leader="none" w:pos="112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have agreed on a final Funds Flow Memorandum.</w:t>
      </w:r>
    </w:p>
    <w:p>
      <w:pPr>
        <w:spacing w:after="0" w:line="226" w:lineRule="exact"/>
        <w:rPr>
          <w:rFonts w:ascii="Times New Roman" w:cs="Times New Roman" w:eastAsia="Times New Roman" w:hAnsi="Times New Roman"/>
          <w:sz w:val="21"/>
          <w:szCs w:val="21"/>
          <w:color w:val="auto"/>
        </w:rPr>
      </w:pPr>
    </w:p>
    <w:p>
      <w:pPr>
        <w:ind w:left="-160" w:firstLine="648"/>
        <w:spacing w:after="0" w:line="288" w:lineRule="auto"/>
        <w:tabs>
          <w:tab w:leader="none" w:pos="111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Material Adverse Effect shall have occurred and be continuing with respect to any Buyer, any Opal Party, any Seller Party or the Facility.</w:t>
      </w:r>
    </w:p>
    <w:p>
      <w:pPr>
        <w:spacing w:after="0" w:line="141" w:lineRule="exact"/>
        <w:rPr>
          <w:rFonts w:ascii="Times New Roman" w:cs="Times New Roman" w:eastAsia="Times New Roman" w:hAnsi="Times New Roman"/>
          <w:sz w:val="21"/>
          <w:szCs w:val="21"/>
          <w:color w:val="auto"/>
        </w:rPr>
      </w:pPr>
    </w:p>
    <w:p>
      <w:pPr>
        <w:jc w:val="both"/>
        <w:ind w:left="-160" w:firstLine="648"/>
        <w:spacing w:after="0" w:line="270" w:lineRule="auto"/>
        <w:tabs>
          <w:tab w:leader="none" w:pos="1118"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have delivered prior written Notice to each Buyer at least five (5) Business Days (or such shorter time as approved by each Buyer, such approval not to be unreasonably withheld, delayed or conditioned) prior to the proposed Closing Date.</w:t>
      </w:r>
    </w:p>
    <w:p>
      <w:pPr>
        <w:spacing w:after="0" w:line="160" w:lineRule="exact"/>
        <w:rPr>
          <w:rFonts w:ascii="Times New Roman" w:cs="Times New Roman" w:eastAsia="Times New Roman" w:hAnsi="Times New Roman"/>
          <w:sz w:val="21"/>
          <w:szCs w:val="21"/>
          <w:color w:val="auto"/>
        </w:rPr>
      </w:pPr>
    </w:p>
    <w:p>
      <w:pPr>
        <w:ind w:left="-160" w:firstLine="648"/>
        <w:spacing w:after="0" w:line="288" w:lineRule="auto"/>
        <w:tabs>
          <w:tab w:leader="none" w:pos="111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Opal Parties will (on a joint and several basis) have paid or arranged to pay in the Funds Flow Memorandum the legal fees and expenses incurred by Buyer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480" w:top="1020" w:right="3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1"/>
          <w:szCs w:val="21"/>
          <w:color w:val="auto"/>
        </w:rPr>
        <w:t>the Transaction and the negotiation, execution and delivery of the Transaction Documents and the other documents related thereto.</w:t>
      </w:r>
    </w:p>
    <w:p>
      <w:pPr>
        <w:spacing w:after="0" w:line="244" w:lineRule="exact"/>
        <w:rPr>
          <w:sz w:val="20"/>
          <w:szCs w:val="20"/>
          <w:color w:val="auto"/>
        </w:rPr>
      </w:pPr>
    </w:p>
    <w:p>
      <w:pPr>
        <w:jc w:val="both"/>
        <w:ind w:firstLine="648"/>
        <w:spacing w:after="0" w:line="267" w:lineRule="auto"/>
        <w:tabs>
          <w:tab w:leader="none" w:pos="127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Seller shall have (i) delivered the PWA Report and shall have cured any noncompliance with the PWA Requirements identified therein by having made all payments necessary to cure any wage differential and satisfied any interest and penalty obligations, (ii) provided evidence thereof in form and substance reasonably satisfactory to Buyers, and (iii) delivered the Tax Insurance Policy</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21"/>
          <w:szCs w:val="21"/>
          <w:b w:val="1"/>
          <w:bCs w:val="1"/>
          <w:u w:val="single" w:color="auto"/>
          <w:color w:val="auto"/>
        </w:rPr>
        <w:t>Section 4</w:t>
        <w:tab/>
        <w:t>Representations and Warranties.</w:t>
      </w:r>
    </w:p>
    <w:p>
      <w:pPr>
        <w:spacing w:after="0" w:line="230" w:lineRule="exact"/>
        <w:rPr>
          <w:sz w:val="20"/>
          <w:szCs w:val="20"/>
          <w:color w:val="auto"/>
        </w:rPr>
      </w:pPr>
    </w:p>
    <w:p>
      <w:pPr>
        <w:ind w:firstLine="648"/>
        <w:spacing w:after="0" w:line="302" w:lineRule="auto"/>
        <w:tabs>
          <w:tab w:leader="none" w:pos="1279"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Mutual Representations and Warranties of the Parties</w:t>
      </w:r>
      <w:r>
        <w:rPr>
          <w:rFonts w:ascii="Times New Roman" w:cs="Times New Roman" w:eastAsia="Times New Roman" w:hAnsi="Times New Roman"/>
          <w:sz w:val="21"/>
          <w:szCs w:val="21"/>
          <w:color w:val="auto"/>
        </w:rPr>
        <w:t>. Each Buyer and the Seller represents and warrants, as to itself (except as otherwise provided below), to the other Party on and as of the Effective Date as follows:</w:t>
      </w:r>
    </w:p>
    <w:p>
      <w:pPr>
        <w:spacing w:after="0" w:line="113" w:lineRule="exact"/>
        <w:rPr>
          <w:rFonts w:ascii="Times New Roman" w:cs="Times New Roman" w:eastAsia="Times New Roman" w:hAnsi="Times New Roman"/>
          <w:sz w:val="21"/>
          <w:szCs w:val="21"/>
          <w:color w:val="auto"/>
        </w:rPr>
      </w:pPr>
    </w:p>
    <w:p>
      <w:pPr>
        <w:jc w:val="both"/>
        <w:ind w:left="640" w:firstLine="649"/>
        <w:spacing w:after="0" w:line="262" w:lineRule="auto"/>
        <w:tabs>
          <w:tab w:leader="none" w:pos="1910"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 and Authority</w:t>
      </w:r>
      <w:r>
        <w:rPr>
          <w:rFonts w:ascii="Times New Roman" w:cs="Times New Roman" w:eastAsia="Times New Roman" w:hAnsi="Times New Roman"/>
          <w:sz w:val="21"/>
          <w:szCs w:val="21"/>
          <w:color w:val="auto"/>
        </w:rPr>
        <w:t>. Such Party is a limited liability company, partnership or corporation, as the case may be, validly existing and in good standing under the laws of the State of such Party’s organization or incorporation, as the case may be, and such Party has all requisite limited liability, partnership or corporate, as the case may be, power and authority to execute and deliver this Agreement and the other Transaction Documents to which it is a party and to consummate the Transactions and to perform its obligations under this Agreement and the other Transaction Documents to which it is a party.</w:t>
      </w:r>
    </w:p>
    <w:p>
      <w:pPr>
        <w:spacing w:after="0" w:line="168" w:lineRule="exact"/>
        <w:rPr>
          <w:rFonts w:ascii="Times New Roman" w:cs="Times New Roman" w:eastAsia="Times New Roman" w:hAnsi="Times New Roman"/>
          <w:sz w:val="21"/>
          <w:szCs w:val="21"/>
          <w:color w:val="auto"/>
        </w:rPr>
      </w:pPr>
    </w:p>
    <w:p>
      <w:pPr>
        <w:jc w:val="both"/>
        <w:ind w:left="640" w:firstLine="649"/>
        <w:spacing w:after="0" w:line="262" w:lineRule="auto"/>
        <w:tabs>
          <w:tab w:leader="none" w:pos="1916"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and Execution</w:t>
      </w:r>
      <w:r>
        <w:rPr>
          <w:rFonts w:ascii="Times New Roman" w:cs="Times New Roman" w:eastAsia="Times New Roman" w:hAnsi="Times New Roman"/>
          <w:sz w:val="21"/>
          <w:szCs w:val="21"/>
          <w:color w:val="auto"/>
        </w:rPr>
        <w:t>. Each Transaction Document to which such Party is a party has been duly and validly authorized, executed and delivered by such Party and (assuming due authorization, execution and delivery by each other party thereto) constitutes the legal, valid and binding obligation of such Party, enforceable against such Party in accordance with its terms, subject to the effects of bankruptcy, insolvency, reorganization, moratorium and similar laws from time to time in effect relating to the rights and remedies of creditors as well as to general principles of equity whether considered at law or in equity.</w:t>
      </w:r>
    </w:p>
    <w:p>
      <w:pPr>
        <w:spacing w:after="0" w:line="168" w:lineRule="exact"/>
        <w:rPr>
          <w:rFonts w:ascii="Times New Roman" w:cs="Times New Roman" w:eastAsia="Times New Roman" w:hAnsi="Times New Roman"/>
          <w:sz w:val="21"/>
          <w:szCs w:val="21"/>
          <w:color w:val="auto"/>
        </w:rPr>
      </w:pPr>
    </w:p>
    <w:p>
      <w:pPr>
        <w:jc w:val="both"/>
        <w:ind w:left="640" w:firstLine="649"/>
        <w:spacing w:after="0" w:line="258" w:lineRule="auto"/>
        <w:tabs>
          <w:tab w:leader="none" w:pos="1922"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Violation</w:t>
      </w:r>
      <w:r>
        <w:rPr>
          <w:rFonts w:ascii="Times New Roman" w:cs="Times New Roman" w:eastAsia="Times New Roman" w:hAnsi="Times New Roman"/>
          <w:sz w:val="21"/>
          <w:szCs w:val="21"/>
          <w:color w:val="auto"/>
        </w:rPr>
        <w:t>. Neither the execution and delivery of this Agreement or any other Transaction Document by such Party nor the performance of such Party’s obligations hereunder or thereunder will (A) conflict with, or result in a breach of, any provision of the organizational documents of such Party, (B) violate or conflict with (or give rise to any right of termination, cancellation or acceleration under) any of the terms, conditions or provisions of any material contract or other material instrument, agreement or obligation to which such Party is a party or by which such Party or such Party’s assets are bound or (C) violate any Applicable Law or any license, franchise, permit or other authorization applicable to or affecting such Party or any of its assets (or result in the imposition of a Lien, other than Permitted Liens, upon any such assets) except for any of the foregoing that would not reasonably be expected to have a Material Adverse Effect on such Party.</w:t>
      </w:r>
    </w:p>
    <w:p>
      <w:pPr>
        <w:spacing w:after="0" w:line="200" w:lineRule="exact"/>
        <w:rPr>
          <w:rFonts w:ascii="Times New Roman" w:cs="Times New Roman" w:eastAsia="Times New Roman" w:hAnsi="Times New Roman"/>
          <w:sz w:val="21"/>
          <w:szCs w:val="21"/>
          <w:color w:val="auto"/>
        </w:rPr>
      </w:pPr>
    </w:p>
    <w:p>
      <w:pPr>
        <w:spacing w:after="0" w:line="234" w:lineRule="exact"/>
        <w:rPr>
          <w:rFonts w:ascii="Times New Roman" w:cs="Times New Roman" w:eastAsia="Times New Roman" w:hAnsi="Times New Roman"/>
          <w:sz w:val="21"/>
          <w:szCs w:val="21"/>
          <w:color w:val="auto"/>
        </w:rPr>
      </w:pPr>
    </w:p>
    <w:p>
      <w:pPr>
        <w:ind w:left="640" w:right="20" w:firstLine="649"/>
        <w:spacing w:after="0" w:line="288" w:lineRule="auto"/>
        <w:tabs>
          <w:tab w:leader="none" w:pos="1910"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Consents</w:t>
      </w:r>
      <w:r>
        <w:rPr>
          <w:rFonts w:ascii="Times New Roman" w:cs="Times New Roman" w:eastAsia="Times New Roman" w:hAnsi="Times New Roman"/>
          <w:sz w:val="21"/>
          <w:szCs w:val="21"/>
          <w:color w:val="auto"/>
        </w:rPr>
        <w:t>. All third party consents, approvals and filings, including Governmental Approvals, required to be obtained or made by such Party to execute,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020" w:right="379" w:bottom="1440" w:gutter="0" w:footer="0" w:header="0"/>
        </w:sectPr>
      </w:pPr>
    </w:p>
    <w:bookmarkStart w:id="251" w:name="page252"/>
    <w:bookmarkEnd w:id="251"/>
    <w:p>
      <w:pPr>
        <w:jc w:val="both"/>
        <w:ind w:left="480"/>
        <w:spacing w:after="0" w:line="277" w:lineRule="auto"/>
        <w:rPr>
          <w:sz w:val="20"/>
          <w:szCs w:val="20"/>
          <w:color w:val="auto"/>
        </w:rPr>
      </w:pPr>
      <w:r>
        <w:rPr>
          <w:rFonts w:ascii="Times New Roman" w:cs="Times New Roman" w:eastAsia="Times New Roman" w:hAnsi="Times New Roman"/>
          <w:sz w:val="21"/>
          <w:szCs w:val="21"/>
          <w:color w:val="auto"/>
        </w:rPr>
        <w:t>deliver and perform its obligations under this Agreement and the other Transaction Documents to which it is a party and to consummate the Transactions contemplated by this Agreement and the other Transaction Documents to which it is a party have been obtained or made and are in full force and effect.</w:t>
      </w:r>
    </w:p>
    <w:p>
      <w:pPr>
        <w:spacing w:after="0" w:line="139" w:lineRule="exact"/>
        <w:rPr>
          <w:sz w:val="20"/>
          <w:szCs w:val="20"/>
          <w:color w:val="auto"/>
        </w:rPr>
      </w:pPr>
    </w:p>
    <w:p>
      <w:pPr>
        <w:jc w:val="both"/>
        <w:ind w:left="480" w:firstLine="649"/>
        <w:spacing w:after="0" w:line="262" w:lineRule="auto"/>
        <w:tabs>
          <w:tab w:leader="none" w:pos="1758"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Proceedings</w:t>
      </w:r>
      <w:r>
        <w:rPr>
          <w:rFonts w:ascii="Times New Roman" w:cs="Times New Roman" w:eastAsia="Times New Roman" w:hAnsi="Times New Roman"/>
          <w:sz w:val="21"/>
          <w:szCs w:val="21"/>
          <w:color w:val="auto"/>
        </w:rPr>
        <w:t>. There are no pending or, to the Knowledge of such Party, threatened in writing, disputes, governmental investigations, audits, suits, actions (including non-judicial real or personal property foreclosure actions), arbitrations, legal, administrative or other proceedings of any nature, domestic or foreign, criminal or civil, at law or in equity, by or against such Party that (A) disputes the enforceability or validity of this Agreement, any other Transaction Document or any Material Project Document or (B) could reasonably be expected to have a Material Adverse Effect on such Party.</w:t>
      </w:r>
    </w:p>
    <w:p>
      <w:pPr>
        <w:spacing w:after="0" w:line="168" w:lineRule="exact"/>
        <w:rPr>
          <w:rFonts w:ascii="Times New Roman" w:cs="Times New Roman" w:eastAsia="Times New Roman" w:hAnsi="Times New Roman"/>
          <w:sz w:val="21"/>
          <w:szCs w:val="21"/>
          <w:color w:val="auto"/>
        </w:rPr>
      </w:pPr>
    </w:p>
    <w:p>
      <w:pPr>
        <w:jc w:val="both"/>
        <w:ind w:left="480" w:firstLine="649"/>
        <w:spacing w:after="0" w:line="272" w:lineRule="auto"/>
        <w:tabs>
          <w:tab w:leader="none" w:pos="1750"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Bankruptcy</w:t>
      </w:r>
      <w:r>
        <w:rPr>
          <w:rFonts w:ascii="Times New Roman" w:cs="Times New Roman" w:eastAsia="Times New Roman" w:hAnsi="Times New Roman"/>
          <w:sz w:val="21"/>
          <w:szCs w:val="21"/>
          <w:color w:val="auto"/>
        </w:rPr>
        <w:t>. No voluntary actions or, to the Knowledge of such Party, involuntary actions are pending or threatened against such Party (and, with respect to this representation and warranty is made by the Seller, no such actions are pending or threatened against any Seller Party) under the insolvency or bankruptcy laws of the U.S. or any other jurisdiction.</w:t>
      </w:r>
    </w:p>
    <w:p>
      <w:pPr>
        <w:spacing w:after="0" w:line="200" w:lineRule="exact"/>
        <w:rPr>
          <w:rFonts w:ascii="Times New Roman" w:cs="Times New Roman" w:eastAsia="Times New Roman" w:hAnsi="Times New Roman"/>
          <w:sz w:val="21"/>
          <w:szCs w:val="21"/>
          <w:color w:val="auto"/>
        </w:rPr>
      </w:pPr>
    </w:p>
    <w:p>
      <w:pPr>
        <w:spacing w:after="0" w:line="207" w:lineRule="exact"/>
        <w:rPr>
          <w:rFonts w:ascii="Times New Roman" w:cs="Times New Roman" w:eastAsia="Times New Roman" w:hAnsi="Times New Roman"/>
          <w:sz w:val="21"/>
          <w:szCs w:val="21"/>
          <w:color w:val="auto"/>
        </w:rPr>
      </w:pPr>
    </w:p>
    <w:p>
      <w:pPr>
        <w:jc w:val="both"/>
        <w:ind w:left="480" w:firstLine="649"/>
        <w:spacing w:after="0" w:line="277" w:lineRule="auto"/>
        <w:tabs>
          <w:tab w:leader="none" w:pos="1756"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Related Party</w:t>
      </w:r>
      <w:r>
        <w:rPr>
          <w:rFonts w:ascii="Times New Roman" w:cs="Times New Roman" w:eastAsia="Times New Roman" w:hAnsi="Times New Roman"/>
          <w:sz w:val="21"/>
          <w:szCs w:val="21"/>
          <w:color w:val="auto"/>
        </w:rPr>
        <w:t>. To the Knowledge of such Party (and, with respect to each Buyer, this representation and warranty is made by each Buyer only with respect to itself and not the other Buyer), each Buyer is not related to the Seller within the meaning of Section 267(b) or 707(b)(1) of the Code.</w:t>
      </w:r>
    </w:p>
    <w:p>
      <w:pPr>
        <w:spacing w:after="0" w:line="139" w:lineRule="exact"/>
        <w:rPr>
          <w:rFonts w:ascii="Times New Roman" w:cs="Times New Roman" w:eastAsia="Times New Roman" w:hAnsi="Times New Roman"/>
          <w:sz w:val="21"/>
          <w:szCs w:val="21"/>
          <w:color w:val="auto"/>
        </w:rPr>
      </w:pPr>
    </w:p>
    <w:p>
      <w:pPr>
        <w:jc w:val="both"/>
        <w:ind w:left="480" w:firstLine="649"/>
        <w:spacing w:after="0" w:line="260" w:lineRule="auto"/>
        <w:tabs>
          <w:tab w:leader="none" w:pos="1762"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Sanctions; Foreign Assets Control Regulations</w:t>
      </w:r>
      <w:r>
        <w:rPr>
          <w:rFonts w:ascii="Times New Roman" w:cs="Times New Roman" w:eastAsia="Times New Roman" w:hAnsi="Times New Roman"/>
          <w:sz w:val="21"/>
          <w:szCs w:val="21"/>
          <w:color w:val="auto"/>
        </w:rPr>
        <w:t>. The purchase and sale of its portion of the Transferred Tax Credits by each applicable Buyer (with respect to the representations and warranties made by such Buyer) and the Seller (with respect to the representations and warranties made by the Seller) does not violate any Sanctions. Neither such Buyer (with respect to the representations made by each applicable Buyer) nor the Seller (with respect to the representations made by the Seller) (A) is a Sanctioned Person or otherwise a Person described or designated in the Specially Designated Nationals and Blocked Persons List of the OFAC or otherwise a Sanctioned Person, (B) has any of its assets in a Sanctioned Country or in the possession, custody or control of a Sanctioned Person, (C) violated nor is in violation of Sanctions, and (D) does business in or with, or derives any of its operating income from investments in or transactions with, any Sanctioned Country or Sanctioned Person.</w:t>
      </w:r>
    </w:p>
    <w:p>
      <w:pPr>
        <w:spacing w:after="0" w:line="170" w:lineRule="exact"/>
        <w:rPr>
          <w:rFonts w:ascii="Times New Roman" w:cs="Times New Roman" w:eastAsia="Times New Roman" w:hAnsi="Times New Roman"/>
          <w:sz w:val="21"/>
          <w:szCs w:val="21"/>
          <w:color w:val="auto"/>
        </w:rPr>
      </w:pPr>
    </w:p>
    <w:p>
      <w:pPr>
        <w:jc w:val="both"/>
        <w:ind w:left="-160" w:firstLine="648"/>
        <w:spacing w:after="0" w:line="270" w:lineRule="auto"/>
        <w:tabs>
          <w:tab w:leader="none" w:pos="1118"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 of each Buyer</w:t>
      </w:r>
      <w:r>
        <w:rPr>
          <w:rFonts w:ascii="Times New Roman" w:cs="Times New Roman" w:eastAsia="Times New Roman" w:hAnsi="Times New Roman"/>
          <w:sz w:val="21"/>
          <w:szCs w:val="21"/>
          <w:color w:val="auto"/>
        </w:rPr>
        <w:t xml:space="preserve">. To induce the Seller to enter into this Agreement and to consummate the Transactions contemplated by this Agreement and the other Transaction Documents, each Buyer, as to itself, makes the representations and warranties set forth on </w:t>
      </w:r>
      <w:r>
        <w:rPr>
          <w:rFonts w:ascii="Times New Roman" w:cs="Times New Roman" w:eastAsia="Times New Roman" w:hAnsi="Times New Roman"/>
          <w:sz w:val="21"/>
          <w:szCs w:val="21"/>
          <w:u w:val="single" w:color="auto"/>
          <w:color w:val="auto"/>
        </w:rPr>
        <w:t>Schedule 4</w:t>
      </w:r>
      <w:r>
        <w:rPr>
          <w:rFonts w:ascii="Times New Roman" w:cs="Times New Roman" w:eastAsia="Times New Roman" w:hAnsi="Times New Roman"/>
          <w:sz w:val="21"/>
          <w:szCs w:val="21"/>
          <w:color w:val="auto"/>
        </w:rPr>
        <w:t xml:space="preserve"> to the Seller on and as of the Effective Date.</w:t>
      </w:r>
    </w:p>
    <w:p>
      <w:pPr>
        <w:spacing w:after="0" w:line="160" w:lineRule="exact"/>
        <w:rPr>
          <w:rFonts w:ascii="Times New Roman" w:cs="Times New Roman" w:eastAsia="Times New Roman" w:hAnsi="Times New Roman"/>
          <w:sz w:val="21"/>
          <w:szCs w:val="21"/>
          <w:color w:val="auto"/>
        </w:rPr>
      </w:pPr>
    </w:p>
    <w:p>
      <w:pPr>
        <w:jc w:val="both"/>
        <w:ind w:left="-160" w:firstLine="648"/>
        <w:spacing w:after="0" w:line="270" w:lineRule="auto"/>
        <w:tabs>
          <w:tab w:leader="none" w:pos="1119"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 of the Seller</w:t>
      </w:r>
      <w:r>
        <w:rPr>
          <w:rFonts w:ascii="Times New Roman" w:cs="Times New Roman" w:eastAsia="Times New Roman" w:hAnsi="Times New Roman"/>
          <w:sz w:val="21"/>
          <w:szCs w:val="21"/>
          <w:color w:val="auto"/>
        </w:rPr>
        <w:t xml:space="preserve">. To induce each Buyer to enter into this Agreement and to consummate the Transactions contemplated by this Agreement and the other Transaction Documents, the Seller makes the representations and warranties set forth on </w:t>
      </w:r>
      <w:r>
        <w:rPr>
          <w:rFonts w:ascii="Times New Roman" w:cs="Times New Roman" w:eastAsia="Times New Roman" w:hAnsi="Times New Roman"/>
          <w:sz w:val="21"/>
          <w:szCs w:val="21"/>
          <w:u w:val="single" w:color="auto"/>
          <w:color w:val="auto"/>
        </w:rPr>
        <w:t>Schedule 5</w:t>
      </w:r>
      <w:r>
        <w:rPr>
          <w:rFonts w:ascii="Times New Roman" w:cs="Times New Roman" w:eastAsia="Times New Roman" w:hAnsi="Times New Roman"/>
          <w:sz w:val="21"/>
          <w:szCs w:val="21"/>
          <w:color w:val="auto"/>
        </w:rPr>
        <w:t xml:space="preserve"> to each Buyer on and as of the Effective Date.</w:t>
      </w:r>
    </w:p>
    <w:p>
      <w:pPr>
        <w:spacing w:after="0" w:line="156"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21"/>
          <w:szCs w:val="21"/>
          <w:b w:val="1"/>
          <w:bCs w:val="1"/>
          <w:u w:val="single" w:color="auto"/>
          <w:color w:val="auto"/>
        </w:rPr>
        <w:t>Section 5</w:t>
        <w:tab/>
        <w:t>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480" w:top="1020" w:right="379" w:bottom="1440" w:gutter="0" w:footer="0" w:header="0"/>
        </w:sectPr>
      </w:pPr>
    </w:p>
    <w:bookmarkStart w:id="252" w:name="page253"/>
    <w:bookmarkEnd w:id="252"/>
    <w:p>
      <w:pPr>
        <w:ind w:left="1120" w:hanging="645"/>
        <w:spacing w:after="0"/>
        <w:tabs>
          <w:tab w:leader="none" w:pos="112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 of</w:t>
      </w:r>
      <w:r>
        <w:rPr>
          <w:rFonts w:ascii="Times New Roman" w:cs="Times New Roman" w:eastAsia="Times New Roman" w:hAnsi="Times New Roman"/>
          <w:sz w:val="21"/>
          <w:szCs w:val="21"/>
          <w:color w:val="auto"/>
        </w:rPr>
        <w:t xml:space="preserve"> each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ind w:left="480" w:firstLine="649"/>
        <w:spacing w:after="0" w:line="288" w:lineRule="auto"/>
        <w:tabs>
          <w:tab w:leader="none" w:pos="1750" w:val="left"/>
        </w:tabs>
        <w:numPr>
          <w:ilvl w:val="2"/>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Transfer of the Transferred Tax Credits</w:t>
      </w:r>
      <w:r>
        <w:rPr>
          <w:rFonts w:ascii="Times New Roman" w:cs="Times New Roman" w:eastAsia="Times New Roman" w:hAnsi="Times New Roman"/>
          <w:sz w:val="21"/>
          <w:szCs w:val="21"/>
          <w:color w:val="auto"/>
        </w:rPr>
        <w:t>. Each Buyer shall not make an election under Section 6418(a) of the Code to transfer any of its portion of the Transferred Tax Credits to another Person.</w:t>
      </w:r>
    </w:p>
    <w:p>
      <w:pPr>
        <w:spacing w:after="0" w:line="141" w:lineRule="exact"/>
        <w:rPr>
          <w:rFonts w:ascii="Times New Roman" w:cs="Times New Roman" w:eastAsia="Times New Roman" w:hAnsi="Times New Roman"/>
          <w:sz w:val="21"/>
          <w:szCs w:val="21"/>
          <w:color w:val="auto"/>
        </w:rPr>
      </w:pPr>
    </w:p>
    <w:p>
      <w:pPr>
        <w:ind w:left="480" w:firstLine="649"/>
        <w:spacing w:after="0" w:line="288" w:lineRule="auto"/>
        <w:tabs>
          <w:tab w:leader="none" w:pos="1756" w:val="left"/>
        </w:tabs>
        <w:numPr>
          <w:ilvl w:val="2"/>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Related Person</w:t>
      </w:r>
      <w:r>
        <w:rPr>
          <w:rFonts w:ascii="Times New Roman" w:cs="Times New Roman" w:eastAsia="Times New Roman" w:hAnsi="Times New Roman"/>
          <w:sz w:val="21"/>
          <w:szCs w:val="21"/>
          <w:color w:val="auto"/>
        </w:rPr>
        <w:t>. Each Buyer shall not, and shall cause its Affiliates to not, take any affirmative action to become related to the Seller within the meaning of Section 267(b) or 707(b)(1) of the Code.</w:t>
      </w:r>
    </w:p>
    <w:p>
      <w:pPr>
        <w:spacing w:after="0" w:line="141" w:lineRule="exact"/>
        <w:rPr>
          <w:rFonts w:ascii="Times New Roman" w:cs="Times New Roman" w:eastAsia="Times New Roman" w:hAnsi="Times New Roman"/>
          <w:sz w:val="21"/>
          <w:szCs w:val="21"/>
          <w:color w:val="auto"/>
        </w:rPr>
      </w:pPr>
    </w:p>
    <w:p>
      <w:pPr>
        <w:jc w:val="both"/>
        <w:ind w:left="480" w:firstLine="649"/>
        <w:spacing w:after="0" w:line="270" w:lineRule="auto"/>
        <w:tabs>
          <w:tab w:leader="none" w:pos="1762" w:val="left"/>
        </w:tabs>
        <w:numPr>
          <w:ilvl w:val="2"/>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IRS Audits</w:t>
      </w:r>
      <w:r>
        <w:rPr>
          <w:rFonts w:ascii="Times New Roman" w:cs="Times New Roman" w:eastAsia="Times New Roman" w:hAnsi="Times New Roman"/>
          <w:sz w:val="21"/>
          <w:szCs w:val="21"/>
          <w:color w:val="auto"/>
        </w:rPr>
        <w:t>. If the IRS audits the right of any Buyer to claim, receive or use its portion of the Transferred Tax Credits, or to accept or buy such Transferred Tax Credits, such Buyer shall promptly notify the Seller upon becoming aware of such audit and provide a reasonably detailed description thereof.</w:t>
      </w:r>
    </w:p>
    <w:p>
      <w:pPr>
        <w:spacing w:after="0" w:line="160" w:lineRule="exact"/>
        <w:rPr>
          <w:rFonts w:ascii="Times New Roman" w:cs="Times New Roman" w:eastAsia="Times New Roman" w:hAnsi="Times New Roman"/>
          <w:sz w:val="21"/>
          <w:szCs w:val="21"/>
          <w:color w:val="auto"/>
        </w:rPr>
      </w:pPr>
    </w:p>
    <w:p>
      <w:pPr>
        <w:jc w:val="both"/>
        <w:ind w:left="480" w:firstLine="649"/>
        <w:spacing w:after="0" w:line="264" w:lineRule="auto"/>
        <w:tabs>
          <w:tab w:leader="none" w:pos="1750" w:val="left"/>
        </w:tabs>
        <w:numPr>
          <w:ilvl w:val="2"/>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Buyer’s U.S. federal income Tax return filed with respect to the taxable year in which the applicable Transferred Tax Credits are eligible to be included, each Buyer shall timely file such Tax return and include</w:t>
      </w:r>
    </w:p>
    <w:p>
      <w:pPr>
        <w:jc w:val="both"/>
        <w:ind w:left="480" w:firstLine="8"/>
        <w:spacing w:after="0" w:line="258" w:lineRule="auto"/>
        <w:tabs>
          <w:tab w:leader="none" w:pos="853"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IRS Form 3800, General Business Credit, which shall include all of the registration numbers of the Eligible Credit Property associated with its portion of the Transferred Tax Credits and (B) the applicable Transfer Election Statement. No Buyer shall file a Tax return (or amended Tax return) or other Tax form (including IRS Form 4255) that reflects a recapture of the Transferred Tax Credits without the prior written consent of the Seller (such consent not to be unreasonably withheld, conditioned, or delayed).</w:t>
      </w:r>
    </w:p>
    <w:p>
      <w:pPr>
        <w:spacing w:after="0" w:line="160" w:lineRule="exact"/>
        <w:rPr>
          <w:rFonts w:ascii="Times New Roman" w:cs="Times New Roman" w:eastAsia="Times New Roman" w:hAnsi="Times New Roman"/>
          <w:sz w:val="21"/>
          <w:szCs w:val="21"/>
          <w:color w:val="auto"/>
        </w:rPr>
      </w:pPr>
    </w:p>
    <w:p>
      <w:pPr>
        <w:jc w:val="both"/>
        <w:ind w:left="480" w:firstLine="649"/>
        <w:spacing w:after="0" w:line="268" w:lineRule="auto"/>
        <w:tabs>
          <w:tab w:leader="none" w:pos="1758" w:val="left"/>
        </w:tabs>
        <w:numPr>
          <w:ilvl w:val="2"/>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receipt of the applicable Transfer Election Statement from the Seller executed by the Seller, the applicable Buyer shall provide written consent with respect to such Transfer Election Statement in accordance with Treasury Regulation Section 1.64182(b)(5)(i), provided that such Transfer Election Statement reflects the comments of such Buyer described in </w:t>
      </w:r>
      <w:r>
        <w:rPr>
          <w:rFonts w:ascii="Times New Roman" w:cs="Times New Roman" w:eastAsia="Times New Roman" w:hAnsi="Times New Roman"/>
          <w:sz w:val="21"/>
          <w:szCs w:val="21"/>
          <w:u w:val="single" w:color="auto"/>
          <w:color w:val="auto"/>
        </w:rPr>
        <w:t>Section 5(b)(iv)(D)</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1120" w:hanging="645"/>
        <w:spacing w:after="0"/>
        <w:tabs>
          <w:tab w:leader="none" w:pos="1120"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 of the Seller</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jc w:val="both"/>
        <w:ind w:left="480" w:firstLine="649"/>
        <w:spacing w:after="0" w:line="260" w:lineRule="auto"/>
        <w:tabs>
          <w:tab w:leader="none" w:pos="1750" w:val="left"/>
        </w:tabs>
        <w:numPr>
          <w:ilvl w:val="2"/>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Claiming of Transferred Tax Credits</w:t>
      </w:r>
      <w:r>
        <w:rPr>
          <w:rFonts w:ascii="Times New Roman" w:cs="Times New Roman" w:eastAsia="Times New Roman" w:hAnsi="Times New Roman"/>
          <w:sz w:val="21"/>
          <w:szCs w:val="21"/>
          <w:color w:val="auto"/>
        </w:rPr>
        <w:t>. The Seller shall not, and shall not cause or permit the Project Company to, (A) claim on its federal income Tax return the benefits of (x) any Transferred Tax Credits or (y) any bonus ITCs pursuant to Sections 48(a)(12) or 48(a)(14) of the Code unless otherwise consented to in writing by each Buyer,</w:t>
      </w:r>
    </w:p>
    <w:p>
      <w:pPr>
        <w:jc w:val="both"/>
        <w:ind w:left="500" w:hanging="12"/>
        <w:spacing w:after="0" w:line="257" w:lineRule="auto"/>
        <w:tabs>
          <w:tab w:leader="none" w:pos="840"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position for any purpose inconsistent with a sale or transfer of the Transferred Tax Credits hereunder, or (C) file a Tax return (or amended Tax return) or other Tax form (including IRS Form 4255) that reflects a recapture of the Transferred Tax Credits without the prior written consent of each Buyer (such consent not to be unreasonably withheld, conditioned, or delayed). Other than the Transferred Tax Credits purchased hereunder, the Seller shall not, and shall not cause or permit the Project Company to sell, contribute or otherwise transfer any ITCs or other federal income tax credits attributable to the Facility to any Person other than the Buyers; it being understood by and between the Parties that (x) all of the ITCs with respect to the Facility are being sold pursuant to this Agreement as noted above in Section 2(a) and (y)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480" w:top="1021" w:right="379" w:bottom="1440" w:gutter="0" w:footer="0" w:header="0"/>
        </w:sectPr>
      </w:pPr>
    </w:p>
    <w:bookmarkStart w:id="253" w:name="page254"/>
    <w:bookmarkEnd w:id="253"/>
    <w:p>
      <w:pPr>
        <w:ind w:left="500"/>
        <w:spacing w:after="0" w:line="302" w:lineRule="auto"/>
        <w:rPr>
          <w:sz w:val="20"/>
          <w:szCs w:val="20"/>
          <w:color w:val="auto"/>
        </w:rPr>
      </w:pPr>
      <w:r>
        <w:rPr>
          <w:rFonts w:ascii="Times New Roman" w:cs="Times New Roman" w:eastAsia="Times New Roman" w:hAnsi="Times New Roman"/>
          <w:sz w:val="21"/>
          <w:szCs w:val="21"/>
          <w:color w:val="auto"/>
        </w:rPr>
        <w:t>other than the Facility owned by the Seller or that may be owned in the future by the Seller may qualify for ITCs that may be sold to a different party pursuant to a separate agreement.</w:t>
      </w:r>
    </w:p>
    <w:p>
      <w:pPr>
        <w:spacing w:after="0" w:line="114" w:lineRule="exact"/>
        <w:rPr>
          <w:sz w:val="20"/>
          <w:szCs w:val="20"/>
          <w:color w:val="auto"/>
        </w:rPr>
      </w:pPr>
    </w:p>
    <w:p>
      <w:pPr>
        <w:ind w:left="480" w:right="20" w:firstLine="649"/>
        <w:spacing w:after="0" w:line="288" w:lineRule="auto"/>
        <w:tabs>
          <w:tab w:leader="none" w:pos="1756"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Related Person</w:t>
      </w:r>
      <w:r>
        <w:rPr>
          <w:rFonts w:ascii="Times New Roman" w:cs="Times New Roman" w:eastAsia="Times New Roman" w:hAnsi="Times New Roman"/>
          <w:sz w:val="21"/>
          <w:szCs w:val="21"/>
          <w:color w:val="auto"/>
        </w:rPr>
        <w:t>. The Seller shall not, and shall cause its Affiliates to not, take any affirmative action to become related to any Buyer within the meaning of Section 267(b) or 707(b)(1) of the Code.</w:t>
      </w:r>
    </w:p>
    <w:p>
      <w:pPr>
        <w:spacing w:after="0" w:line="141" w:lineRule="exact"/>
        <w:rPr>
          <w:rFonts w:ascii="Times New Roman" w:cs="Times New Roman" w:eastAsia="Times New Roman" w:hAnsi="Times New Roman"/>
          <w:sz w:val="21"/>
          <w:szCs w:val="21"/>
          <w:color w:val="auto"/>
        </w:rPr>
      </w:pPr>
    </w:p>
    <w:p>
      <w:pPr>
        <w:jc w:val="both"/>
        <w:ind w:left="480" w:firstLine="649"/>
        <w:spacing w:after="0" w:line="277" w:lineRule="auto"/>
        <w:tabs>
          <w:tab w:leader="none" w:pos="1762"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IRS Audits</w:t>
      </w:r>
      <w:r>
        <w:rPr>
          <w:rFonts w:ascii="Times New Roman" w:cs="Times New Roman" w:eastAsia="Times New Roman" w:hAnsi="Times New Roman"/>
          <w:sz w:val="21"/>
          <w:szCs w:val="21"/>
          <w:color w:val="auto"/>
        </w:rPr>
        <w:t>. If the IRS audits the right of the Seller to claim or receive the Transferred Tax Credits, or to sell or transfer the Transferred Tax Credits, the Seller shall promptly notify each Buyer upon becoming aware of such audit and provide a reasonably detailed description thereof.</w:t>
      </w:r>
    </w:p>
    <w:p>
      <w:pPr>
        <w:spacing w:after="0" w:line="139" w:lineRule="exact"/>
        <w:rPr>
          <w:rFonts w:ascii="Times New Roman" w:cs="Times New Roman" w:eastAsia="Times New Roman" w:hAnsi="Times New Roman"/>
          <w:sz w:val="21"/>
          <w:szCs w:val="21"/>
          <w:color w:val="auto"/>
        </w:rPr>
      </w:pPr>
    </w:p>
    <w:p>
      <w:pPr>
        <w:jc w:val="both"/>
        <w:ind w:left="480" w:firstLine="649"/>
        <w:spacing w:after="0" w:line="257" w:lineRule="auto"/>
        <w:tabs>
          <w:tab w:leader="none" w:pos="1750"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Requirements</w:t>
      </w:r>
      <w:r>
        <w:rPr>
          <w:rFonts w:ascii="Times New Roman" w:cs="Times New Roman" w:eastAsia="Times New Roman" w:hAnsi="Times New Roman"/>
          <w:sz w:val="21"/>
          <w:szCs w:val="21"/>
          <w:color w:val="auto"/>
        </w:rPr>
        <w:t>. The Seller shall comply with all reporting requirements required by the IRS, Treasury, Applicable Law or this Agreement (consistent with current and future guidance issued under Section 6418 of the Code) as necessary to effectuate the transfer of the Transferred Tax Credits. With respect to the Seller’s U.S. federal income Tax return filed with respect to the taxable year in which Transferred Tax Credits are generated, the Seller shall include (A) a properly completed IRS Form 3468 with respect to the Transferred Tax Credits, (B) IRS Form 3800, General Business Credit, which shall include all of the registration numbers of the Eligible Credit Property associated with the Transferred Tax Credits, (C) a statement attached to IRS Form 3800 that shows the amount of the Transferred Tax Credits for each Eligible Credit Property, (D) each Transfer Election Statement (provided that prior to submission of such Transfer Election Statement, the Seller shall provide each Buyer a draft of such Transfer Election Statement with respect to such Buyer, such Buyer shall review and provide the Seller with any comments to such Transfer Election Statement within five</w:t>
      </w:r>
    </w:p>
    <w:p>
      <w:pPr>
        <w:spacing w:after="0" w:line="2" w:lineRule="exact"/>
        <w:rPr>
          <w:rFonts w:ascii="Times New Roman" w:cs="Times New Roman" w:eastAsia="Times New Roman" w:hAnsi="Times New Roman"/>
          <w:sz w:val="21"/>
          <w:szCs w:val="21"/>
          <w:color w:val="auto"/>
        </w:rPr>
      </w:pPr>
    </w:p>
    <w:p>
      <w:pPr>
        <w:ind w:left="480" w:firstLine="8"/>
        <w:spacing w:after="0" w:line="265" w:lineRule="auto"/>
        <w:tabs>
          <w:tab w:leader="none" w:pos="791"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such Buyer’s receipt of such Transfer Election Statement, and the Seller will consider such Buyer’s comments in good faith and update the Transfer Election Statement accordingly), and (E) any other information required by the IRS.</w:t>
      </w:r>
    </w:p>
    <w:p>
      <w:pPr>
        <w:spacing w:after="0" w:line="164" w:lineRule="exact"/>
        <w:rPr>
          <w:rFonts w:ascii="Times New Roman" w:cs="Times New Roman" w:eastAsia="Times New Roman" w:hAnsi="Times New Roman"/>
          <w:sz w:val="21"/>
          <w:szCs w:val="21"/>
          <w:color w:val="auto"/>
        </w:rPr>
      </w:pPr>
    </w:p>
    <w:p>
      <w:pPr>
        <w:ind w:left="480" w:firstLine="649"/>
        <w:spacing w:after="0" w:line="288" w:lineRule="auto"/>
        <w:tabs>
          <w:tab w:leader="none" w:pos="1758"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Pre-Filing Registration</w:t>
      </w:r>
      <w:r>
        <w:rPr>
          <w:rFonts w:ascii="Times New Roman" w:cs="Times New Roman" w:eastAsia="Times New Roman" w:hAnsi="Times New Roman"/>
          <w:sz w:val="21"/>
          <w:szCs w:val="21"/>
          <w:color w:val="auto"/>
        </w:rPr>
        <w:t>. The Seller shall make any required amendment to the Pre-Filing Registration (or, if required, submit a new Pre-Filing Registration) in accordance with Treasury Regulation Section 1.6418-4(c)(4).</w:t>
      </w:r>
    </w:p>
    <w:p>
      <w:pPr>
        <w:spacing w:after="0" w:line="141" w:lineRule="exact"/>
        <w:rPr>
          <w:rFonts w:ascii="Times New Roman" w:cs="Times New Roman" w:eastAsia="Times New Roman" w:hAnsi="Times New Roman"/>
          <w:sz w:val="21"/>
          <w:szCs w:val="21"/>
          <w:color w:val="auto"/>
        </w:rPr>
      </w:pPr>
    </w:p>
    <w:p>
      <w:pPr>
        <w:jc w:val="both"/>
        <w:ind w:left="480" w:firstLine="649"/>
        <w:spacing w:after="0" w:line="266" w:lineRule="auto"/>
        <w:tabs>
          <w:tab w:leader="none" w:pos="1750"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Documentation</w:t>
      </w:r>
      <w:r>
        <w:rPr>
          <w:rFonts w:ascii="Times New Roman" w:cs="Times New Roman" w:eastAsia="Times New Roman" w:hAnsi="Times New Roman"/>
          <w:sz w:val="21"/>
          <w:szCs w:val="21"/>
          <w:color w:val="auto"/>
        </w:rPr>
        <w:t>. The Seller shall provide the IRS and each Buyer, as applicable, with any additional information or registration required by the IRS under Section 6418(g)(1) of the Code as a condition to, and prior to, any transfer of the Transferred Tax Credits for the purpose of preventing duplication, fraud, improper payments or excessive payments, including such Minimum Documentation required pursuant to Treasury Regulations Section 1.6418-2(b)(5)(iv).</w:t>
      </w:r>
    </w:p>
    <w:p>
      <w:pPr>
        <w:spacing w:after="0" w:line="200" w:lineRule="exact"/>
        <w:rPr>
          <w:rFonts w:ascii="Times New Roman" w:cs="Times New Roman" w:eastAsia="Times New Roman" w:hAnsi="Times New Roman"/>
          <w:sz w:val="21"/>
          <w:szCs w:val="21"/>
          <w:color w:val="auto"/>
        </w:rPr>
      </w:pPr>
    </w:p>
    <w:p>
      <w:pPr>
        <w:spacing w:after="0" w:line="212" w:lineRule="exact"/>
        <w:rPr>
          <w:rFonts w:ascii="Times New Roman" w:cs="Times New Roman" w:eastAsia="Times New Roman" w:hAnsi="Times New Roman"/>
          <w:sz w:val="21"/>
          <w:szCs w:val="21"/>
          <w:color w:val="auto"/>
        </w:rPr>
      </w:pPr>
    </w:p>
    <w:p>
      <w:pPr>
        <w:jc w:val="both"/>
        <w:ind w:left="480" w:firstLine="649"/>
        <w:spacing w:after="0" w:line="264" w:lineRule="auto"/>
        <w:tabs>
          <w:tab w:leader="none" w:pos="1756"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Recapture</w:t>
      </w:r>
      <w:r>
        <w:rPr>
          <w:rFonts w:ascii="Times New Roman" w:cs="Times New Roman" w:eastAsia="Times New Roman" w:hAnsi="Times New Roman"/>
          <w:sz w:val="21"/>
          <w:szCs w:val="21"/>
          <w:color w:val="auto"/>
        </w:rPr>
        <w:t>. Prior to the end of the Recapture Period, (A) the Seller shall not, and shall cause the Project Company not to, (i) take any action or fail to take any action or suffer to exist any event or condition that would reasonably be expected to result in a recapture, loss or disallowance of all or any portion of the Transferred Tax Credits or cause the Facility to be considered to have been taken out of service for federal income Tax purposes, in each case, other than actions in response to a Casualty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40"/>
          </w:cols>
          <w:pgMar w:left="480" w:top="1020" w:right="379" w:bottom="1440" w:gutter="0" w:footer="0" w:header="0"/>
        </w:sectPr>
      </w:pPr>
    </w:p>
    <w:bookmarkStart w:id="254" w:name="page255"/>
    <w:bookmarkEnd w:id="254"/>
    <w:p>
      <w:pPr>
        <w:jc w:val="both"/>
        <w:ind w:left="480"/>
        <w:spacing w:after="0" w:line="261" w:lineRule="auto"/>
        <w:rPr>
          <w:sz w:val="20"/>
          <w:szCs w:val="20"/>
          <w:color w:val="auto"/>
        </w:rPr>
      </w:pPr>
      <w:r>
        <w:rPr>
          <w:rFonts w:ascii="Times New Roman" w:cs="Times New Roman" w:eastAsia="Times New Roman" w:hAnsi="Times New Roman"/>
          <w:sz w:val="21"/>
          <w:szCs w:val="21"/>
          <w:color w:val="auto"/>
        </w:rPr>
        <w:t xml:space="preserve">Condemnation Event or event of force majeure or as necessary to comply with Applicable Laws or (ii) directly or indirectly transfer any direct or indirect interest in any Seller Party or any interest in the Facility in a manner that could reasonably be expected to result in recapture of any Transferred Tax Credit in accordance with Sections 50 and 6418 of the Code and (B) the Seller shall maintain the Facility’s eligibility for ITCs under Section 48 of the Code; provided, however, that this </w:t>
      </w:r>
      <w:r>
        <w:rPr>
          <w:rFonts w:ascii="Times New Roman" w:cs="Times New Roman" w:eastAsia="Times New Roman" w:hAnsi="Times New Roman"/>
          <w:sz w:val="21"/>
          <w:szCs w:val="21"/>
          <w:u w:val="single" w:color="auto"/>
          <w:color w:val="auto"/>
        </w:rPr>
        <w:t>clause (vii)</w:t>
      </w:r>
      <w:r>
        <w:rPr>
          <w:rFonts w:ascii="Times New Roman" w:cs="Times New Roman" w:eastAsia="Times New Roman" w:hAnsi="Times New Roman"/>
          <w:sz w:val="21"/>
          <w:szCs w:val="21"/>
          <w:color w:val="auto"/>
        </w:rPr>
        <w:t xml:space="preserve"> shall not prohibit any such action (or inaction) to the extent that it results in a Tax Credit Loss that is fully insured, and for which each Buyer is made whole, pursuant to the Tax Insurance Policy (but notwithstanding the foregoing, in no event shall this </w:t>
      </w:r>
      <w:r>
        <w:rPr>
          <w:rFonts w:ascii="Times New Roman" w:cs="Times New Roman" w:eastAsia="Times New Roman" w:hAnsi="Times New Roman"/>
          <w:sz w:val="21"/>
          <w:szCs w:val="21"/>
          <w:u w:val="single" w:color="auto"/>
          <w:color w:val="auto"/>
        </w:rPr>
        <w:t>clause (vii)</w:t>
      </w:r>
      <w:r>
        <w:rPr>
          <w:rFonts w:ascii="Times New Roman" w:cs="Times New Roman" w:eastAsia="Times New Roman" w:hAnsi="Times New Roman"/>
          <w:sz w:val="21"/>
          <w:szCs w:val="21"/>
          <w:color w:val="auto"/>
        </w:rPr>
        <w:t xml:space="preserve"> limit Seller’s indemnification obligations for such recapture, loss or disallowance under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9" w:lineRule="exact"/>
        <w:rPr>
          <w:sz w:val="20"/>
          <w:szCs w:val="20"/>
          <w:color w:val="auto"/>
        </w:rPr>
      </w:pPr>
    </w:p>
    <w:p>
      <w:pPr>
        <w:jc w:val="both"/>
        <w:ind w:left="480" w:firstLine="649"/>
        <w:spacing w:after="0" w:line="268" w:lineRule="auto"/>
        <w:tabs>
          <w:tab w:leader="none" w:pos="1762"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Recapture Notification</w:t>
      </w:r>
      <w:r>
        <w:rPr>
          <w:rFonts w:ascii="Times New Roman" w:cs="Times New Roman" w:eastAsia="Times New Roman" w:hAnsi="Times New Roman"/>
          <w:sz w:val="21"/>
          <w:szCs w:val="21"/>
          <w:color w:val="auto"/>
        </w:rPr>
        <w:t>. The Seller shall promptly notify each Buyer in writing of the occurrence of any recapture of the Transferred Tax Credits or any event that would reasonably be expected to result in such recapture (in each case, no later than thirty (30) days after obtaining Knowledge thereof), including a reasonably detailed description of the events giving rise to such recapture.</w:t>
      </w:r>
    </w:p>
    <w:p>
      <w:pPr>
        <w:spacing w:after="0" w:line="163" w:lineRule="exact"/>
        <w:rPr>
          <w:rFonts w:ascii="Times New Roman" w:cs="Times New Roman" w:eastAsia="Times New Roman" w:hAnsi="Times New Roman"/>
          <w:sz w:val="21"/>
          <w:szCs w:val="21"/>
          <w:color w:val="auto"/>
        </w:rPr>
      </w:pPr>
    </w:p>
    <w:p>
      <w:pPr>
        <w:jc w:val="both"/>
        <w:ind w:left="480" w:firstLine="649"/>
        <w:spacing w:after="0" w:line="262" w:lineRule="auto"/>
        <w:tabs>
          <w:tab w:leader="none" w:pos="175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Maintenance of Insurance</w:t>
      </w:r>
      <w:r>
        <w:rPr>
          <w:rFonts w:ascii="Times New Roman" w:cs="Times New Roman" w:eastAsia="Times New Roman" w:hAnsi="Times New Roman"/>
          <w:sz w:val="21"/>
          <w:szCs w:val="21"/>
          <w:color w:val="auto"/>
        </w:rPr>
        <w:t xml:space="preserve">. From the Closing Date until the end of the Recapture Period, the Seller shall maintain the Tax Insurance Policy and cause the Project Company to maintain property and casualty insurance on the Facility consistent with the Facility’s insurance coverage as of the Closing Date and in compliance with the requirements set forth on </w:t>
      </w:r>
      <w:r>
        <w:rPr>
          <w:rFonts w:ascii="Times New Roman" w:cs="Times New Roman" w:eastAsia="Times New Roman" w:hAnsi="Times New Roman"/>
          <w:sz w:val="21"/>
          <w:szCs w:val="21"/>
          <w:u w:val="single" w:color="auto"/>
          <w:color w:val="auto"/>
        </w:rPr>
        <w:t>Schedule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(and only for so long as) such property and casualty insurance is Unavailable, as confirmed by the Insurance Consultant along with a reasonably detailed written explanation of the basis for such conclusion, the Seller shall not be required to cause the Project Company to maintain such Unavailable insurance.</w:t>
      </w:r>
    </w:p>
    <w:p>
      <w:pPr>
        <w:spacing w:after="0" w:line="154" w:lineRule="exact"/>
        <w:rPr>
          <w:rFonts w:ascii="Times New Roman" w:cs="Times New Roman" w:eastAsia="Times New Roman" w:hAnsi="Times New Roman"/>
          <w:sz w:val="21"/>
          <w:szCs w:val="21"/>
          <w:color w:val="auto"/>
        </w:rPr>
      </w:pPr>
    </w:p>
    <w:p>
      <w:pPr>
        <w:jc w:val="both"/>
        <w:ind w:left="480" w:firstLine="649"/>
        <w:spacing w:after="0" w:line="262" w:lineRule="auto"/>
        <w:tabs>
          <w:tab w:leader="none" w:pos="1758"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Continuous Operation Certificate</w:t>
      </w:r>
      <w:r>
        <w:rPr>
          <w:rFonts w:ascii="Times New Roman" w:cs="Times New Roman" w:eastAsia="Times New Roman" w:hAnsi="Times New Roman"/>
          <w:sz w:val="21"/>
          <w:szCs w:val="21"/>
          <w:color w:val="auto"/>
        </w:rPr>
        <w:t xml:space="preserve">. During the Recapture Period, the Seller shall deliver to each Buyer, on or before the date that is ten (10) Business Days after the date of each anniversary of the Closing Date, a Continuous Operation Certificate, certifying that the Facility remains in continued operation (except for scheduled maintenance downtime or any downtime attributable to a Casualty Event or Condemnation Event or event of force majeure), no recapture of Transferred Tax Credits has occurred (or, if a recapture has occurred, a reasonably detailed report of such recapture), and the Facility’s insurance coverage (subject to the terms of </w:t>
      </w:r>
      <w:r>
        <w:rPr>
          <w:rFonts w:ascii="Times New Roman" w:cs="Times New Roman" w:eastAsia="Times New Roman" w:hAnsi="Times New Roman"/>
          <w:sz w:val="21"/>
          <w:szCs w:val="21"/>
          <w:u w:val="single" w:color="auto"/>
          <w:color w:val="auto"/>
        </w:rPr>
        <w:t>Section 5(b)(ix)</w:t>
      </w:r>
      <w:r>
        <w:rPr>
          <w:rFonts w:ascii="Times New Roman" w:cs="Times New Roman" w:eastAsia="Times New Roman" w:hAnsi="Times New Roman"/>
          <w:sz w:val="21"/>
          <w:szCs w:val="21"/>
          <w:color w:val="auto"/>
        </w:rPr>
        <w:t>) remains in place.</w:t>
      </w:r>
    </w:p>
    <w:p>
      <w:pPr>
        <w:spacing w:after="0" w:line="168" w:lineRule="exact"/>
        <w:rPr>
          <w:rFonts w:ascii="Times New Roman" w:cs="Times New Roman" w:eastAsia="Times New Roman" w:hAnsi="Times New Roman"/>
          <w:sz w:val="21"/>
          <w:szCs w:val="21"/>
          <w:color w:val="auto"/>
        </w:rPr>
      </w:pPr>
    </w:p>
    <w:p>
      <w:pPr>
        <w:jc w:val="both"/>
        <w:ind w:left="480" w:firstLine="649"/>
        <w:spacing w:after="0" w:line="264" w:lineRule="auto"/>
        <w:tabs>
          <w:tab w:leader="none" w:pos="175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Indebtedness and Liens</w:t>
      </w:r>
      <w:r>
        <w:rPr>
          <w:rFonts w:ascii="Times New Roman" w:cs="Times New Roman" w:eastAsia="Times New Roman" w:hAnsi="Times New Roman"/>
          <w:sz w:val="21"/>
          <w:szCs w:val="21"/>
          <w:color w:val="auto"/>
        </w:rPr>
        <w:t xml:space="preserve">. During the Recapture Period, the Seller shall not, and shall cause the Seller Parties to not, incur or suffer to exist any (A) Liens except Permitted Liens; (B) secured or unsecured indebtedness except Permitted Indebtedness; provided, however, that this </w:t>
      </w:r>
      <w:r>
        <w:rPr>
          <w:rFonts w:ascii="Times New Roman" w:cs="Times New Roman" w:eastAsia="Times New Roman" w:hAnsi="Times New Roman"/>
          <w:sz w:val="21"/>
          <w:szCs w:val="21"/>
          <w:u w:val="single" w:color="auto"/>
          <w:color w:val="auto"/>
        </w:rPr>
        <w:t>clause (xi)</w:t>
      </w:r>
      <w:r>
        <w:rPr>
          <w:rFonts w:ascii="Times New Roman" w:cs="Times New Roman" w:eastAsia="Times New Roman" w:hAnsi="Times New Roman"/>
          <w:sz w:val="21"/>
          <w:szCs w:val="21"/>
          <w:color w:val="auto"/>
        </w:rPr>
        <w:t xml:space="preserve"> shall not prohibit any such action (or inaction) to the extent that it results in a Tax Credit Loss that is fully insured, and for which each Buyer is made whole, pursuant to the Tax Insurance Policy.</w:t>
      </w:r>
    </w:p>
    <w:p>
      <w:pPr>
        <w:spacing w:after="0" w:line="154" w:lineRule="exact"/>
        <w:rPr>
          <w:rFonts w:ascii="Times New Roman" w:cs="Times New Roman" w:eastAsia="Times New Roman" w:hAnsi="Times New Roman"/>
          <w:sz w:val="21"/>
          <w:szCs w:val="21"/>
          <w:color w:val="auto"/>
        </w:rPr>
      </w:pPr>
    </w:p>
    <w:p>
      <w:pPr>
        <w:ind w:left="480" w:right="20" w:firstLine="649"/>
        <w:spacing w:after="0" w:line="302" w:lineRule="auto"/>
        <w:tabs>
          <w:tab w:leader="none" w:pos="1756"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Taxable Year Election</w:t>
      </w:r>
      <w:r>
        <w:rPr>
          <w:rFonts w:ascii="Times New Roman" w:cs="Times New Roman" w:eastAsia="Times New Roman" w:hAnsi="Times New Roman"/>
          <w:sz w:val="21"/>
          <w:szCs w:val="21"/>
          <w:color w:val="auto"/>
        </w:rPr>
        <w:t>. The Seller shall not make any election to change its taxable year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480" w:top="1020" w:right="379" w:bottom="1440" w:gutter="0" w:footer="0" w:header="0"/>
        </w:sectPr>
      </w:pPr>
    </w:p>
    <w:bookmarkStart w:id="255" w:name="page256"/>
    <w:bookmarkEnd w:id="255"/>
    <w:p>
      <w:pPr>
        <w:jc w:val="both"/>
        <w:ind w:left="480" w:firstLine="649"/>
        <w:spacing w:after="0" w:line="268" w:lineRule="auto"/>
        <w:tabs>
          <w:tab w:leader="none" w:pos="1762"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Guaranty</w:t>
      </w:r>
      <w:r>
        <w:rPr>
          <w:rFonts w:ascii="Times New Roman" w:cs="Times New Roman" w:eastAsia="Times New Roman" w:hAnsi="Times New Roman"/>
          <w:sz w:val="21"/>
          <w:szCs w:val="21"/>
          <w:color w:val="auto"/>
        </w:rPr>
        <w:t>. Until the Survival Period End Date, the Seller shall not replace the Guaranty or the Guarantor without each Buyer’s prior written consent (such consent not to be unreasonably withheld, conditioned, or delayed), unless the following conditions are satisfied, in which case the consent of each Buyer shall not be required and the replacement guarantor shall be the successor to the Guarantor that it has replaced hereunder:</w:t>
      </w:r>
    </w:p>
    <w:p>
      <w:pPr>
        <w:spacing w:after="0" w:line="163" w:lineRule="exact"/>
        <w:rPr>
          <w:rFonts w:ascii="Times New Roman" w:cs="Times New Roman" w:eastAsia="Times New Roman" w:hAnsi="Times New Roman"/>
          <w:sz w:val="21"/>
          <w:szCs w:val="21"/>
          <w:color w:val="auto"/>
        </w:rPr>
      </w:pPr>
    </w:p>
    <w:p>
      <w:pPr>
        <w:jc w:val="both"/>
        <w:ind w:left="1120" w:firstLine="650"/>
        <w:spacing w:after="0" w:line="270" w:lineRule="auto"/>
        <w:tabs>
          <w:tab w:leader="none" w:pos="2392"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replacement guarantor either (i) has a rating not less than “BBB” from S&amp;P or “Baa2” from Moody’s or (ii) has a tangible net worth of at least five hundred million dollars ($500,000,000), calculated based on the most recent annual audited or quarterly unaudited financial statements of such replacement guarantor;</w:t>
      </w:r>
    </w:p>
    <w:p>
      <w:pPr>
        <w:spacing w:after="0" w:line="160" w:lineRule="exact"/>
        <w:rPr>
          <w:rFonts w:ascii="Times New Roman" w:cs="Times New Roman" w:eastAsia="Times New Roman" w:hAnsi="Times New Roman"/>
          <w:sz w:val="21"/>
          <w:szCs w:val="21"/>
          <w:color w:val="auto"/>
        </w:rPr>
      </w:pPr>
    </w:p>
    <w:p>
      <w:pPr>
        <w:jc w:val="both"/>
        <w:ind w:left="1120" w:firstLine="650"/>
        <w:spacing w:after="0" w:line="270" w:lineRule="auto"/>
        <w:tabs>
          <w:tab w:leader="none" w:pos="2393"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replacement guarantor becomes a party to the existing Guaranty or delivers a Replacement Guaranty (i) in the same form as such Guaranty or (ii) in such other form and on such other terms satisfactory to each Buyer;</w:t>
      </w:r>
    </w:p>
    <w:p>
      <w:pPr>
        <w:spacing w:after="0" w:line="160" w:lineRule="exact"/>
        <w:rPr>
          <w:rFonts w:ascii="Times New Roman" w:cs="Times New Roman" w:eastAsia="Times New Roman" w:hAnsi="Times New Roman"/>
          <w:sz w:val="21"/>
          <w:szCs w:val="21"/>
          <w:color w:val="auto"/>
        </w:rPr>
      </w:pPr>
    </w:p>
    <w:p>
      <w:pPr>
        <w:jc w:val="both"/>
        <w:ind w:left="1120" w:firstLine="650"/>
        <w:spacing w:after="0" w:line="270" w:lineRule="auto"/>
        <w:tabs>
          <w:tab w:leader="none" w:pos="2393"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Buyer has received at least ten (10) Business Days’ prior Notice of such replacement and all documentation and information requested by such Buyer to comply with the requirements of the USA PATRIOT Act of 2001 and all applicable “know your customer” rules and regulations and Anti-Corruption Laws;</w:t>
      </w:r>
    </w:p>
    <w:p>
      <w:pPr>
        <w:spacing w:after="0" w:line="160" w:lineRule="exact"/>
        <w:rPr>
          <w:rFonts w:ascii="Times New Roman" w:cs="Times New Roman" w:eastAsia="Times New Roman" w:hAnsi="Times New Roman"/>
          <w:sz w:val="21"/>
          <w:szCs w:val="21"/>
          <w:color w:val="auto"/>
        </w:rPr>
      </w:pPr>
    </w:p>
    <w:p>
      <w:pPr>
        <w:ind w:left="1120" w:firstLine="650"/>
        <w:spacing w:after="0" w:line="288" w:lineRule="auto"/>
        <w:tabs>
          <w:tab w:leader="none" w:pos="2392"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replacement guarantor is an Affiliate of the Seller, and each Buyer shall have received evidence reasonably satisfactory to it showing the relationship between the Seller and such replacement guarantor; and</w:t>
      </w:r>
    </w:p>
    <w:p>
      <w:pPr>
        <w:spacing w:after="0" w:line="141" w:lineRule="exact"/>
        <w:rPr>
          <w:rFonts w:ascii="Times New Roman" w:cs="Times New Roman" w:eastAsia="Times New Roman" w:hAnsi="Times New Roman"/>
          <w:sz w:val="21"/>
          <w:szCs w:val="21"/>
          <w:color w:val="auto"/>
        </w:rPr>
      </w:pPr>
    </w:p>
    <w:p>
      <w:pPr>
        <w:jc w:val="both"/>
        <w:ind w:left="1120" w:firstLine="650"/>
        <w:spacing w:after="0" w:line="264" w:lineRule="auto"/>
        <w:tabs>
          <w:tab w:leader="none" w:pos="2395"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replacement guarantor provides a legal opinion in form and substance reasonably satisfactory to each Buyer confirming enforceability of the Replacement Guaranty and certain related New York law matters substantially similar to the opinion letter delivered pursuant to clause (5) of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and covering certain corporate matters substantially similar to the opinion letter delivered pursuant to clause (5) of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color w:val="auto"/>
        </w:rPr>
      </w:pPr>
    </w:p>
    <w:p>
      <w:pPr>
        <w:ind w:left="1760" w:hanging="631"/>
        <w:spacing w:after="0"/>
        <w:tabs>
          <w:tab w:leader="none" w:pos="1760"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Credit Trigger</w:t>
      </w:r>
      <w:r>
        <w:rPr>
          <w:rFonts w:ascii="Times New Roman" w:cs="Times New Roman" w:eastAsia="Times New Roman" w:hAnsi="Times New Roman"/>
          <w:sz w:val="21"/>
          <w:szCs w:val="21"/>
          <w:color w:val="auto"/>
        </w:rPr>
        <w:t>. If a Credit Trigger (as defined in the Guaranty) has occurred, the Seller will within twenty</w:t>
      </w:r>
    </w:p>
    <w:p>
      <w:pPr>
        <w:spacing w:after="0" w:line="36" w:lineRule="exact"/>
        <w:rPr>
          <w:rFonts w:ascii="Times New Roman" w:cs="Times New Roman" w:eastAsia="Times New Roman" w:hAnsi="Times New Roman"/>
          <w:sz w:val="21"/>
          <w:szCs w:val="21"/>
          <w:color w:val="auto"/>
        </w:rPr>
      </w:pPr>
    </w:p>
    <w:p>
      <w:pPr>
        <w:jc w:val="both"/>
        <w:ind w:left="480" w:firstLine="8"/>
        <w:spacing w:after="0" w:line="257" w:lineRule="auto"/>
        <w:tabs>
          <w:tab w:leader="none" w:pos="914"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provide a Replacement Guaranty or collateral security to each Buyer in the form of cash or a letter of credit (from a financial institution rated at least “A3” from Moody’s and “A-” from S&amp;P and in form and substance reasonably acceptable to each Buyer), in an amount equal to 110% of such Buyer’s portion of the Purchase Price (provided that the Purchase Price, for purposes of such calculation, shall be reduced by 20% upon the expiration of the statute of limitations (including extensions) for assessment and collection of Tax by the IRS with respect to Tax returns filed by the applicable Buyer for the first year of the Recapture Period, and then by an additional 20% each annual anniversary thereafter). The Parties agree that, upon a breach of this </w:t>
      </w:r>
      <w:r>
        <w:rPr>
          <w:rFonts w:ascii="Times New Roman" w:cs="Times New Roman" w:eastAsia="Times New Roman" w:hAnsi="Times New Roman"/>
          <w:sz w:val="21"/>
          <w:szCs w:val="21"/>
          <w:u w:val="single" w:color="auto"/>
          <w:color w:val="auto"/>
        </w:rPr>
        <w:t>Section 5(b)(xiv)</w:t>
      </w:r>
      <w:r>
        <w:rPr>
          <w:rFonts w:ascii="Times New Roman" w:cs="Times New Roman" w:eastAsia="Times New Roman" w:hAnsi="Times New Roman"/>
          <w:sz w:val="21"/>
          <w:szCs w:val="21"/>
          <w:color w:val="auto"/>
        </w:rPr>
        <w:t xml:space="preserve"> by the Seller, the remedies at law of each Buyer for such breach shall not be a sufficient remedy, that such breach would cause irreparable harm to such Buyer, and that each Buyer shall be entitled to specific performance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40"/>
          </w:cols>
          <w:pgMar w:left="480" w:top="1020" w:right="379" w:bottom="1440" w:gutter="0" w:footer="0" w:header="0"/>
        </w:sectPr>
      </w:pPr>
    </w:p>
    <w:bookmarkStart w:id="256" w:name="page257"/>
    <w:bookmarkEnd w:id="256"/>
    <w:p>
      <w:pPr>
        <w:jc w:val="both"/>
        <w:ind w:left="480"/>
        <w:spacing w:after="0" w:line="264" w:lineRule="auto"/>
        <w:rPr>
          <w:sz w:val="20"/>
          <w:szCs w:val="20"/>
          <w:color w:val="auto"/>
        </w:rPr>
      </w:pPr>
      <w:r>
        <w:rPr>
          <w:rFonts w:ascii="Times New Roman" w:cs="Times New Roman" w:eastAsia="Times New Roman" w:hAnsi="Times New Roman"/>
          <w:sz w:val="21"/>
          <w:szCs w:val="21"/>
          <w:color w:val="auto"/>
        </w:rPr>
        <w:t xml:space="preserve">obligation set forth in this </w:t>
      </w:r>
      <w:r>
        <w:rPr>
          <w:rFonts w:ascii="Times New Roman" w:cs="Times New Roman" w:eastAsia="Times New Roman" w:hAnsi="Times New Roman"/>
          <w:sz w:val="21"/>
          <w:szCs w:val="21"/>
          <w:u w:val="single" w:color="auto"/>
          <w:color w:val="auto"/>
        </w:rPr>
        <w:t>Section 5(b)(xiv)</w:t>
      </w:r>
      <w:r>
        <w:rPr>
          <w:rFonts w:ascii="Times New Roman" w:cs="Times New Roman" w:eastAsia="Times New Roman" w:hAnsi="Times New Roman"/>
          <w:sz w:val="21"/>
          <w:szCs w:val="21"/>
          <w:color w:val="auto"/>
        </w:rPr>
        <w:t xml:space="preserve"> to provide collateral security to each Buyer, without the necessity of proving the inadequacy of money damages as a remedy, in addition to any other remedy at law or in equity. The Seller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 w:cs="Times New Roman" w:eastAsia="Times New Roman" w:hAnsi="Times New Roman"/>
          <w:sz w:val="21"/>
          <w:szCs w:val="21"/>
          <w:u w:val="single" w:color="auto"/>
          <w:color w:val="auto"/>
        </w:rPr>
        <w:t>Section 5(b)(xiv)</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left="480" w:firstLine="649"/>
        <w:spacing w:after="0" w:line="264" w:lineRule="auto"/>
        <w:tabs>
          <w:tab w:leader="none" w:pos="1758"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Information Generally</w:t>
      </w:r>
      <w:r>
        <w:rPr>
          <w:rFonts w:ascii="Times New Roman" w:cs="Times New Roman" w:eastAsia="Times New Roman" w:hAnsi="Times New Roman"/>
          <w:sz w:val="21"/>
          <w:szCs w:val="21"/>
          <w:color w:val="auto"/>
        </w:rPr>
        <w:t xml:space="preserve">. Until the Survival Period End Date and upon the reasonable request of any Buyer, the Seller shall provide such Buyer, within a reasonable time (not to exceed ten (10) Business Days) after such request, with such additional information material to the operation of the Facility (other than any such information relating to the design of the Facility) as requested by the Buyer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information is reasonably available to the Seller and the provision thereof to the Buyer would not result in a material burden to the Seller.</w:t>
      </w:r>
    </w:p>
    <w:p>
      <w:pPr>
        <w:spacing w:after="0" w:line="154" w:lineRule="exact"/>
        <w:rPr>
          <w:rFonts w:ascii="Times New Roman" w:cs="Times New Roman" w:eastAsia="Times New Roman" w:hAnsi="Times New Roman"/>
          <w:sz w:val="21"/>
          <w:szCs w:val="21"/>
          <w:color w:val="auto"/>
        </w:rPr>
      </w:pPr>
    </w:p>
    <w:p>
      <w:pPr>
        <w:jc w:val="both"/>
        <w:ind w:left="480" w:firstLine="649"/>
        <w:spacing w:after="0" w:line="262" w:lineRule="auto"/>
        <w:tabs>
          <w:tab w:leader="none" w:pos="175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The Seller shall not use any part of the proceeds of the Purchase Price: (A) in furtherance of an offer, payment, promise to pay, or authorization of the payment or giving of money, or anything else of value, to any Person in violation of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U.S.; or (C) in any manner that would result in the violation of any Sanctions applicable to the Seller or any Seller Party.</w:t>
      </w:r>
    </w:p>
    <w:p>
      <w:pPr>
        <w:spacing w:after="0" w:line="168" w:lineRule="exact"/>
        <w:rPr>
          <w:rFonts w:ascii="Times New Roman" w:cs="Times New Roman" w:eastAsia="Times New Roman" w:hAnsi="Times New Roman"/>
          <w:sz w:val="21"/>
          <w:szCs w:val="21"/>
          <w:color w:val="auto"/>
        </w:rPr>
      </w:pPr>
    </w:p>
    <w:p>
      <w:pPr>
        <w:jc w:val="both"/>
        <w:ind w:left="480" w:firstLine="649"/>
        <w:spacing w:after="0" w:line="258" w:lineRule="auto"/>
        <w:tabs>
          <w:tab w:leader="none" w:pos="1756"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Condemnation Events and Casualty Events</w:t>
      </w:r>
      <w:r>
        <w:rPr>
          <w:rFonts w:ascii="Times New Roman" w:cs="Times New Roman" w:eastAsia="Times New Roman" w:hAnsi="Times New Roman"/>
          <w:sz w:val="21"/>
          <w:szCs w:val="21"/>
          <w:color w:val="auto"/>
        </w:rPr>
        <w:t xml:space="preserve">. During the Recapture Period, if a Condemnation Event shall be threatened in writing or occur, or a Casualty Event shall occur with respect to any material portion of the Facility or the Facility Site, the Seller shall cause the Seller Parties to (A) promptly upon discovery or receipt of Notice of any such threat or occurrence provide written Notice thereof to each Buyer; (B) diligently pursue all of its rights to compensation against the relevant Governmental Authority or insurer in respect of such event; (C) not, without the written consent of each Buyer, compromise or settle any claim against such Governmental Authority or insurer; and (D) except to the extent restricted or otherwise governed by the terms of any Permitted Indebtedness, not distribute any eminent domain or insurance proceeds unless and until all amounts payable to any Buyer hereunder resulting or reasonably likely to result from such event have been paid to each Buyer (or reserved in an escrow account for the benefit of each Buyer in an amount and subject to release conditions acceptable to each Buyer in its sole discretion); provided, however, that this </w:t>
      </w:r>
      <w:r>
        <w:rPr>
          <w:rFonts w:ascii="Times New Roman" w:cs="Times New Roman" w:eastAsia="Times New Roman" w:hAnsi="Times New Roman"/>
          <w:sz w:val="21"/>
          <w:szCs w:val="21"/>
          <w:u w:val="single" w:color="auto"/>
          <w:color w:val="auto"/>
        </w:rPr>
        <w:t>clause (xvii)</w:t>
      </w:r>
      <w:r>
        <w:rPr>
          <w:rFonts w:ascii="Times New Roman" w:cs="Times New Roman" w:eastAsia="Times New Roman" w:hAnsi="Times New Roman"/>
          <w:sz w:val="21"/>
          <w:szCs w:val="21"/>
          <w:color w:val="auto"/>
        </w:rPr>
        <w:t xml:space="preserve"> shall not prohibit any such action (or inaction) to the extent that it results in a Tax Credit Loss that is fully insured, and for which each Buyer is made whole, pursuant to the Tax Insurance Policy.</w:t>
      </w:r>
    </w:p>
    <w:p>
      <w:pPr>
        <w:spacing w:after="0" w:line="171" w:lineRule="exact"/>
        <w:rPr>
          <w:rFonts w:ascii="Times New Roman" w:cs="Times New Roman" w:eastAsia="Times New Roman" w:hAnsi="Times New Roman"/>
          <w:sz w:val="21"/>
          <w:szCs w:val="21"/>
          <w:color w:val="auto"/>
        </w:rPr>
      </w:pPr>
    </w:p>
    <w:p>
      <w:pPr>
        <w:jc w:val="both"/>
        <w:ind w:left="480" w:right="20" w:firstLine="649"/>
        <w:spacing w:after="0" w:line="270" w:lineRule="auto"/>
        <w:tabs>
          <w:tab w:leader="none" w:pos="1762"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Maintenance</w:t>
      </w:r>
      <w:r>
        <w:rPr>
          <w:rFonts w:ascii="Times New Roman" w:cs="Times New Roman" w:eastAsia="Times New Roman" w:hAnsi="Times New Roman"/>
          <w:sz w:val="21"/>
          <w:szCs w:val="21"/>
          <w:color w:val="auto"/>
        </w:rPr>
        <w:t>. The Seller shall and shall cause the Project Company to (A) maintain and preserve its existence as a limited liability company, in its respective jurisdiction of organization and all material rights, privileges and franchises necessary or desirable in the normal conduct of its business; (B) perform all of its material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480" w:top="1021" w:right="379" w:bottom="1440" w:gutter="0" w:footer="0" w:header="0"/>
        </w:sectPr>
      </w:pPr>
    </w:p>
    <w:bookmarkStart w:id="257" w:name="page258"/>
    <w:bookmarkEnd w:id="257"/>
    <w:p>
      <w:pPr>
        <w:ind w:left="640"/>
        <w:spacing w:after="0"/>
        <w:rPr>
          <w:sz w:val="20"/>
          <w:szCs w:val="20"/>
          <w:color w:val="auto"/>
        </w:rPr>
      </w:pPr>
      <w:r>
        <w:rPr>
          <w:rFonts w:ascii="Times New Roman" w:cs="Times New Roman" w:eastAsia="Times New Roman" w:hAnsi="Times New Roman"/>
          <w:sz w:val="21"/>
          <w:szCs w:val="21"/>
          <w:color w:val="auto"/>
        </w:rPr>
        <w:t>obligations under the Material Project Documents and all other material agreements and contracts by which each is bound;</w:t>
      </w:r>
    </w:p>
    <w:p>
      <w:pPr>
        <w:spacing w:after="0" w:line="37" w:lineRule="exact"/>
        <w:rPr>
          <w:sz w:val="20"/>
          <w:szCs w:val="20"/>
          <w:color w:val="auto"/>
        </w:rPr>
      </w:pPr>
    </w:p>
    <w:p>
      <w:pPr>
        <w:jc w:val="both"/>
        <w:ind w:left="640" w:firstLine="8"/>
        <w:spacing w:after="0" w:line="257" w:lineRule="auto"/>
        <w:tabs>
          <w:tab w:leader="none" w:pos="987"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maintain its properties and assets in good repair and working order and condition in accordance with prudent industry practices; and (D) maintain in full force and effect all Required Governmental Approvals and any other material Governmental Approvals that are necessary and advisable to conduct its business and to own, insure, operate and maintain the Facility in the manner contemplated by the Material Project Documents, in each case except to the extent that the failure to comply with the foregoing that would not reasonably be expected to cause a recapture of the Transferred Tax Credits or cause the Project to be considered to have been taken out of service for federal income Tax purposes; provided, however, that this </w:t>
      </w:r>
      <w:r>
        <w:rPr>
          <w:rFonts w:ascii="Times New Roman" w:cs="Times New Roman" w:eastAsia="Times New Roman" w:hAnsi="Times New Roman"/>
          <w:sz w:val="21"/>
          <w:szCs w:val="21"/>
          <w:u w:val="single" w:color="auto"/>
          <w:color w:val="auto"/>
        </w:rPr>
        <w:t>clause (xviii)</w:t>
      </w:r>
      <w:r>
        <w:rPr>
          <w:rFonts w:ascii="Times New Roman" w:cs="Times New Roman" w:eastAsia="Times New Roman" w:hAnsi="Times New Roman"/>
          <w:sz w:val="21"/>
          <w:szCs w:val="21"/>
          <w:color w:val="auto"/>
        </w:rPr>
        <w:t xml:space="preserve"> shall not prohibit any such action (or inaction) to the extent that it results in a Tax Credit Loss that is fully insured, and for which each Buyer is made whole, pursuant to the Tax Insurance Policy.</w:t>
      </w:r>
    </w:p>
    <w:p>
      <w:pPr>
        <w:spacing w:after="0" w:line="177" w:lineRule="exact"/>
        <w:rPr>
          <w:rFonts w:ascii="Times New Roman" w:cs="Times New Roman" w:eastAsia="Times New Roman" w:hAnsi="Times New Roman"/>
          <w:sz w:val="21"/>
          <w:szCs w:val="21"/>
          <w:color w:val="auto"/>
        </w:rPr>
      </w:pPr>
    </w:p>
    <w:p>
      <w:pPr>
        <w:jc w:val="both"/>
        <w:ind w:left="640" w:firstLine="649"/>
        <w:spacing w:after="0" w:line="260" w:lineRule="auto"/>
        <w:tabs>
          <w:tab w:leader="none" w:pos="1910"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Insurance Policy</w:t>
      </w:r>
      <w:r>
        <w:rPr>
          <w:rFonts w:ascii="Times New Roman" w:cs="Times New Roman" w:eastAsia="Times New Roman" w:hAnsi="Times New Roman"/>
          <w:sz w:val="21"/>
          <w:szCs w:val="21"/>
          <w:color w:val="auto"/>
        </w:rPr>
        <w:t>. The Seller shall cause the Seller Parties to (A) promptly notify each Buyer of any correspondence received from the insurer under the Tax Insurance Policy, (B) use best efforts to assist each Buyer in its efforts to comply with the terms and conditions of the Tax Insurance Policy, and (C) not take any action, or fail to take any action, that could cause any loss of coverage thereunder to any Buyer or any Insured (as defined in the Tax Insurance Policy). The Seller shall pay (or cause to be paid) all premiums, fees, expenses and other amounts payable under the Tax Insurance Policy at least five (5) Business Days before the same are due and shall provide written Notice to each Buyer thereof.</w:t>
      </w:r>
    </w:p>
    <w:p>
      <w:pPr>
        <w:spacing w:after="0" w:line="159" w:lineRule="exact"/>
        <w:rPr>
          <w:rFonts w:ascii="Times New Roman" w:cs="Times New Roman" w:eastAsia="Times New Roman" w:hAnsi="Times New Roman"/>
          <w:sz w:val="21"/>
          <w:szCs w:val="21"/>
          <w:color w:val="auto"/>
        </w:rPr>
      </w:pPr>
    </w:p>
    <w:p>
      <w:pPr>
        <w:jc w:val="both"/>
        <w:ind w:left="640" w:firstLine="649"/>
        <w:spacing w:after="0" w:line="261" w:lineRule="auto"/>
        <w:tabs>
          <w:tab w:leader="none" w:pos="1918"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PWA Compliance</w:t>
      </w:r>
      <w:r>
        <w:rPr>
          <w:rFonts w:ascii="Times New Roman" w:cs="Times New Roman" w:eastAsia="Times New Roman" w:hAnsi="Times New Roman"/>
          <w:sz w:val="21"/>
          <w:szCs w:val="21"/>
          <w:color w:val="auto"/>
        </w:rPr>
        <w:t>. Seller shall, and shall cause the Project Company to, (A) cure any noncompliance with the PWA Requirements by promptly making all payments necessary to cure any wage differential, pay any applicable interest and penalties, and implement any other required remediation identified in the PWA Report, and (B) comply with the PWA Requirements (including, for the avoidance of doubt, any recordkeeping requirements pursuant to Treasury Regulations Section 1.45-12) with respect to the Facility during the Recapture Period. Notwithstanding the foregoing, together with the filing of the Tax return of the Seller for its taxable year ending December 31, 2024, Seller shall file the applicable forms with respect to the payments made prior to the Effective Date pursuant to Section 3(m), and promptly provide evidence thereof in form and substance reasonably satisfactory to Buyer following the filing of Seller’s Tax return.</w:t>
      </w:r>
    </w:p>
    <w:p>
      <w:pPr>
        <w:spacing w:after="0" w:line="157" w:lineRule="exact"/>
        <w:rPr>
          <w:sz w:val="20"/>
          <w:szCs w:val="20"/>
          <w:color w:val="auto"/>
        </w:rPr>
      </w:pPr>
    </w:p>
    <w:p>
      <w:pPr>
        <w:jc w:val="both"/>
        <w:ind w:firstLine="648"/>
        <w:spacing w:after="0" w:line="259" w:lineRule="auto"/>
        <w:tabs>
          <w:tab w:leader="none" w:pos="1279"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Election</w:t>
      </w:r>
      <w:r>
        <w:rPr>
          <w:rFonts w:ascii="Times New Roman" w:cs="Times New Roman" w:eastAsia="Times New Roman" w:hAnsi="Times New Roman"/>
          <w:sz w:val="21"/>
          <w:szCs w:val="21"/>
          <w:color w:val="auto"/>
        </w:rPr>
        <w:t>. With respect to the Transferred Tax Credits, the Seller shall (i) file an election to transfer the applicable Transferred Tax Credits to each Buyer not later than the due date (including extensions, and as such date may be extended by the IRS or Treasury) for the Tax return of the Seller for the taxable year for which such Transferred Tax Credits are determined and otherwise in the time and manner required by the IRS or Treasury, Applicable Laws and this Agreement, consistent with current and future guidance issued under Section 6418 of the Code (a</w:t>
      </w:r>
    </w:p>
    <w:p>
      <w:pPr>
        <w:spacing w:after="0" w:line="3" w:lineRule="exact"/>
        <w:rPr>
          <w:rFonts w:ascii="Times New Roman" w:cs="Times New Roman" w:eastAsia="Times New Roman" w:hAnsi="Times New Roman"/>
          <w:sz w:val="21"/>
          <w:szCs w:val="21"/>
          <w:color w:val="auto"/>
        </w:rPr>
      </w:pPr>
    </w:p>
    <w:p>
      <w:pPr>
        <w:jc w:val="both"/>
        <w:ind w:hanging="9"/>
        <w:spacing w:after="0" w:line="26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Transfer Election</w:t>
      </w:r>
      <w:r>
        <w:rPr>
          <w:rFonts w:ascii="Times New Roman" w:cs="Times New Roman" w:eastAsia="Times New Roman" w:hAnsi="Times New Roman"/>
          <w:sz w:val="21"/>
          <w:szCs w:val="21"/>
          <w:color w:val="auto"/>
        </w:rPr>
        <w:t>”) and (ii) provide each Buyer with the relevant portions of the applicable Transfer Election (with redactions solely of information that is not relevant to the Transfer Election if such redactions are deemed necessary or reasonably appropriate by the Seller)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1021" w:right="379" w:bottom="1440" w:gutter="0" w:footer="0" w:header="0"/>
        </w:sectPr>
      </w:pPr>
    </w:p>
    <w:bookmarkStart w:id="258" w:name="page259"/>
    <w:bookmarkEnd w:id="258"/>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verification from the Seller’s federal income Tax return preparer that the Transfer Election was properly made and the applicable Transferred Tax Credits were properly transferred to the applicable Buyer in the amount described in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Seller is unable to provide such verification, the Seller shall provide other evidence, reasonably satisfactory to the applicable Buyer, that the Transfer Election was properly made and the applicable Transferred Tax Credits were transferred to such Buyer. No later than seven (7) days after the Closing Date, the Seller shall deliver an executed Transfer Election Statement in substantially the form attached as </w:t>
      </w:r>
      <w:r>
        <w:rPr>
          <w:rFonts w:ascii="Times New Roman" w:cs="Times New Roman" w:eastAsia="Times New Roman" w:hAnsi="Times New Roman"/>
          <w:sz w:val="21"/>
          <w:szCs w:val="21"/>
          <w:u w:val="single" w:color="auto"/>
          <w:color w:val="auto"/>
        </w:rPr>
        <w:t>Exhibit 1</w:t>
      </w:r>
      <w:r>
        <w:rPr>
          <w:rFonts w:ascii="Times New Roman" w:cs="Times New Roman" w:eastAsia="Times New Roman" w:hAnsi="Times New Roman"/>
          <w:sz w:val="21"/>
          <w:szCs w:val="21"/>
          <w:color w:val="auto"/>
        </w:rPr>
        <w:t xml:space="preserve"> (and otherwise consistent with, and including the information required by, Treasury Regulations Section 1.6418-2(b)(5) (or any updated, finalized, superseding or successor provision)) duly executed by or on behalf of the Seller.</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2" w:lineRule="auto"/>
        <w:tabs>
          <w:tab w:leader="none" w:pos="1278"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Subject to the terms and conditions of this Agreement, each Party shall use commercially reasonable efforts to take, or cause to be taken, all actions and to do, or cause to be done, all things necessary to consummate and make effective the Transactions. At any time, or from time to time after the Effective Date, each Party shall, at the other Party’s reasonable request, and at the Seller’s sole cost and expense, execute and deliver such instruments of transfer, conveyance, assignment and assumption, in addition to this Agreement, and take such other actions (including making regulatory or other filings) as any Party may reasonably request in order to further evidence and effectuate the Transactions.</w:t>
      </w:r>
    </w:p>
    <w:p>
      <w:pPr>
        <w:spacing w:after="0" w:line="191"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21"/>
          <w:szCs w:val="21"/>
          <w:b w:val="1"/>
          <w:bCs w:val="1"/>
          <w:u w:val="single" w:color="auto"/>
          <w:color w:val="auto"/>
        </w:rPr>
        <w:t>Section 6</w:t>
        <w:tab/>
        <w:t>Seller Indemnification.</w:t>
      </w:r>
    </w:p>
    <w:p>
      <w:pPr>
        <w:spacing w:after="0" w:line="230" w:lineRule="exact"/>
        <w:rPr>
          <w:sz w:val="20"/>
          <w:szCs w:val="20"/>
          <w:color w:val="auto"/>
        </w:rPr>
      </w:pPr>
    </w:p>
    <w:p>
      <w:pPr>
        <w:jc w:val="both"/>
        <w:ind w:firstLine="648"/>
        <w:spacing w:after="0" w:line="261" w:lineRule="auto"/>
        <w:tabs>
          <w:tab w:leader="none" w:pos="1279" w:val="left"/>
        </w:tabs>
        <w:numPr>
          <w:ilvl w:val="1"/>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Seller Indemnification</w:t>
      </w:r>
      <w:r>
        <w:rPr>
          <w:rFonts w:ascii="Times New Roman" w:cs="Times New Roman" w:eastAsia="Times New Roman" w:hAnsi="Times New Roman"/>
          <w:sz w:val="21"/>
          <w:szCs w:val="21"/>
          <w:color w:val="auto"/>
        </w:rPr>
        <w:t>. The Seller agrees to indemnify and make whole each applicable Buyer and its Affiliates, officers, employees and agents (collectively, the “</w:t>
      </w:r>
      <w:r>
        <w:rPr>
          <w:rFonts w:ascii="Times New Roman" w:cs="Times New Roman" w:eastAsia="Times New Roman" w:hAnsi="Times New Roman"/>
          <w:sz w:val="21"/>
          <w:szCs w:val="21"/>
          <w:b w:val="1"/>
          <w:bCs w:val="1"/>
          <w:i w:val="1"/>
          <w:iCs w:val="1"/>
          <w:color w:val="auto"/>
        </w:rPr>
        <w:t>Buyer Indemnified Parties</w:t>
      </w:r>
      <w:r>
        <w:rPr>
          <w:rFonts w:ascii="Times New Roman" w:cs="Times New Roman" w:eastAsia="Times New Roman" w:hAnsi="Times New Roman"/>
          <w:sz w:val="21"/>
          <w:szCs w:val="21"/>
          <w:color w:val="auto"/>
        </w:rPr>
        <w:t xml:space="preserve">”) against (i) any inability of such Buyer to claim, or any reduction, recapture, loss or disallowance of, all or any portion of the Transferred Tax Credits,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additions to Tax, interest and penalties imposed on any such Buyer Indemnified Parties in respect thereof (including any penalty under Section 6418(g)(2)</w:t>
      </w:r>
    </w:p>
    <w:p>
      <w:pPr>
        <w:spacing w:after="0" w:line="2" w:lineRule="exact"/>
        <w:rPr>
          <w:rFonts w:ascii="Times New Roman" w:cs="Times New Roman" w:eastAsia="Times New Roman" w:hAnsi="Times New Roman"/>
          <w:sz w:val="21"/>
          <w:szCs w:val="21"/>
          <w:color w:val="auto"/>
        </w:rPr>
      </w:pPr>
    </w:p>
    <w:p>
      <w:pPr>
        <w:jc w:val="both"/>
        <w:ind w:firstLine="7"/>
        <w:spacing w:after="0" w:line="255" w:lineRule="auto"/>
        <w:tabs>
          <w:tab w:leader="none" w:pos="353"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and any legal, accounting or other fees or expenses incurred in connection with any Tax audit or Tax controversy with respect to such Buyer’s portion of the Transferred Tax Credits, (ii) any other losses, claims, damages, liabilities and related expenses, including the reasonable fees, charges and disbursements of any counsel or accountants for any such Buyer Indemnified Party, incurred by or asserted against any such Buyer Indemnified Party arising out of, in connection with, or as a result of any breach of a representation, warranty or covenant of the Seller, and (iii) to the extent a Change in Tax Law Termination Event occurs after the Closing Date, any losses (including recapture, loss, disallowance, reduction, additions to Tax, penalties or interest) incurred by such Buyer with respect to such Buyer’s portion of the Transferred Tax Credits as a result of such Change in Tax Law Termination Event (collectively, a “</w:t>
      </w:r>
      <w:r>
        <w:rPr>
          <w:rFonts w:ascii="Times New Roman" w:cs="Times New Roman" w:eastAsia="Times New Roman" w:hAnsi="Times New Roman"/>
          <w:sz w:val="21"/>
          <w:szCs w:val="21"/>
          <w:b w:val="1"/>
          <w:bCs w:val="1"/>
          <w:i w:val="1"/>
          <w:iCs w:val="1"/>
          <w:color w:val="auto"/>
        </w:rPr>
        <w:t>Tax Credit Loss</w:t>
      </w:r>
      <w:r>
        <w:rPr>
          <w:rFonts w:ascii="Times New Roman" w:cs="Times New Roman" w:eastAsia="Times New Roman" w:hAnsi="Times New Roman"/>
          <w:sz w:val="21"/>
          <w:szCs w:val="21"/>
          <w:color w:val="auto"/>
        </w:rPr>
        <w:t>”), other than any Tax Credit Loss that is solely attributable to (A) a breach by such Buyer of any representation, warranty or covenant contained herein, (B) the inability of such Buyer to utilize or otherwise benefit from its portion of the Transferred Tax Credits due to such Buyer having an insufficient Tax liability in the year in respect of which such Transferred Tax Credits are transferred, (C) the failure by any such Buyer Indemnified Party to properly claim any part of its portion of the Transferred Tax Credits (unless such failure was attributable to information provided by the Seller Parties, or otherwise results from acts or omissions of any Seller Parties), (D) such Buyer making any election to change its taxable year for U.S. federal income Tax purposes, or (E) the gross negligence, willful misconduct or fraud undertaken by any such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021" w:right="379" w:bottom="1440" w:gutter="0" w:footer="0" w:header="0"/>
        </w:sectPr>
      </w:pPr>
    </w:p>
    <w:bookmarkStart w:id="259" w:name="page260"/>
    <w:bookmarkEnd w:id="259"/>
    <w:p>
      <w:pPr>
        <w:jc w:val="both"/>
        <w:spacing w:after="0" w:line="264" w:lineRule="auto"/>
        <w:rPr>
          <w:sz w:val="20"/>
          <w:szCs w:val="20"/>
          <w:color w:val="auto"/>
        </w:rPr>
      </w:pPr>
      <w:r>
        <w:rPr>
          <w:rFonts w:ascii="Times New Roman" w:cs="Times New Roman" w:eastAsia="Times New Roman" w:hAnsi="Times New Roman"/>
          <w:sz w:val="21"/>
          <w:szCs w:val="21"/>
          <w:color w:val="auto"/>
        </w:rPr>
        <w:t>Indemnified Party. Each Buyer further acknowledges and agrees that such Buyer’s sole recourse for any indemnification pursuant to or arising from this Agreement is to the Seller or, if applicable, to the Guarantor pursuant to the Guaranty, and not under any circumstance to the Project Company or any of Seller’s members, and each Buyer waives any claim it may have against the Project Company or any of the Seller’s other subsidiaries for any indemnification pursuant to or arising from or otherwise with respect to this Agreement and the Transactions.</w:t>
      </w:r>
    </w:p>
    <w:p>
      <w:pPr>
        <w:spacing w:after="0" w:line="168" w:lineRule="exact"/>
        <w:rPr>
          <w:sz w:val="20"/>
          <w:szCs w:val="20"/>
          <w:color w:val="auto"/>
        </w:rPr>
      </w:pPr>
    </w:p>
    <w:p>
      <w:pPr>
        <w:jc w:val="both"/>
        <w:ind w:firstLine="648"/>
        <w:spacing w:after="0" w:line="256" w:lineRule="auto"/>
        <w:tabs>
          <w:tab w:leader="none" w:pos="1278"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Liability</w:t>
      </w:r>
      <w:r>
        <w:rPr>
          <w:rFonts w:ascii="Times New Roman" w:cs="Times New Roman" w:eastAsia="Times New Roman" w:hAnsi="Times New Roman"/>
          <w:sz w:val="21"/>
          <w:szCs w:val="21"/>
          <w:color w:val="auto"/>
        </w:rPr>
        <w:t xml:space="preserve">. The Seller’s aggregate indemnity obligation to the Buyer Indemnified Parties under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shall not exceed the sum of (i) an amount equal to 100% of the Transferred Tax Credits, (ii) additions to Tax, interest and penalties imposed on, and including legal, accounting, and other service costs incurred by any Buyer Indemnified Parties in connection with any resulting underpayment or the excessive transfer of Transferred Tax Credits, including any penalty under Section 6418(g)(2)(A) of the Code, (iii) all costs incurred by each applicable Buyer Indemnified Party in connection with enforcing its rights and remedies hereunder or in defending itself from any IRS or other adverse action caused hereby, and (iv) any Tax grossup amount payable pursuant to </w:t>
      </w:r>
      <w:r>
        <w:rPr>
          <w:rFonts w:ascii="Times New Roman" w:cs="Times New Roman" w:eastAsia="Times New Roman" w:hAnsi="Times New Roman"/>
          <w:sz w:val="21"/>
          <w:szCs w:val="21"/>
          <w:u w:val="single" w:color="auto"/>
          <w:color w:val="auto"/>
        </w:rPr>
        <w:t>Section 6(c)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Indemnity Cap</w:t>
      </w:r>
      <w:r>
        <w:rPr>
          <w:rFonts w:ascii="Times New Roman" w:cs="Times New Roman" w:eastAsia="Times New Roman" w:hAnsi="Times New Roman"/>
          <w:sz w:val="21"/>
          <w:szCs w:val="21"/>
          <w:color w:val="auto"/>
        </w:rPr>
        <w:t xml:space="preserve">”), except the Indemnity Cap shall not apply to any claims of or attributable to the fraud, gross negligence or willful misconduct of the Seller or Affiliate of the Seller or to any third party claims. In no event shall the Seller have any liability under this Agreement for or in respect of any punitive, consequential, special, incidental, or exemplary damages or any nature, including damages for lost profits or revenues or the loss or use of such profits or revenues, damages to reputation, and damages for lost opportunities, in each case to the extent constituting consequential damages, regardless of whether such claim is based upon contract, warranty, tort (including negligence and strict liability) or other theory of law (but not any such damages to the extent required to be paid by a Buyer Indemnified Party pursuant to a judgment obtained by a third party against any Buyer Indemnified Party for a claim for which the Seller is required to provide an indemnity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Tax Credit Loss for which the Seller is obligated to indemnify any Buyer pursuant to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shall be recoverable as damages subject to the limitations described in the first sentence of this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and shall not constitute excludable punitive, consequential, special, incidental or exemplary damages. Each Buyer Indemnified Party (other than each Buyer) shall be an express third-party beneficiary of this Agreement for purposes of enforcing its rights pursuant to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39" w:lineRule="exact"/>
        <w:rPr>
          <w:rFonts w:ascii="Times New Roman" w:cs="Times New Roman" w:eastAsia="Times New Roman" w:hAnsi="Times New Roman"/>
          <w:sz w:val="21"/>
          <w:szCs w:val="21"/>
          <w:color w:val="auto"/>
        </w:rPr>
      </w:pPr>
    </w:p>
    <w:p>
      <w:pPr>
        <w:jc w:val="both"/>
        <w:ind w:firstLine="648"/>
        <w:spacing w:after="0" w:line="258" w:lineRule="auto"/>
        <w:tabs>
          <w:tab w:leader="none" w:pos="1279"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After-Tax Basis</w:t>
      </w:r>
      <w:r>
        <w:rPr>
          <w:rFonts w:ascii="Times New Roman" w:cs="Times New Roman" w:eastAsia="Times New Roman" w:hAnsi="Times New Roman"/>
          <w:sz w:val="21"/>
          <w:szCs w:val="21"/>
          <w:color w:val="auto"/>
        </w:rPr>
        <w:t xml:space="preserve">. For Tax reporting purposes and except as otherwise provided in this </w:t>
      </w:r>
      <w:r>
        <w:rPr>
          <w:rFonts w:ascii="Times New Roman" w:cs="Times New Roman" w:eastAsia="Times New Roman" w:hAnsi="Times New Roman"/>
          <w:sz w:val="21"/>
          <w:szCs w:val="21"/>
          <w:u w:val="single" w:color="auto"/>
          <w:color w:val="auto"/>
        </w:rPr>
        <w:t>Section 6(c)</w:t>
      </w:r>
      <w:r>
        <w:rPr>
          <w:rFonts w:ascii="Times New Roman" w:cs="Times New Roman" w:eastAsia="Times New Roman" w:hAnsi="Times New Roman"/>
          <w:sz w:val="21"/>
          <w:szCs w:val="21"/>
          <w:color w:val="auto"/>
        </w:rPr>
        <w:t xml:space="preserve">, each Party will treat and report indemnification payments paid under any of the provisions of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as a nontaxable reimbursement or Purchase Price adjustment, as the case may be; provided, however, the Parties agree that (A) (i) each Buyer’s profit from the purchase of Transferred Tax Credits under this Agreement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if the applicable Buyer paid $0.95 for $1.00 of Transferred Tax Credits, its profit would have been $0.05) related to such indemnification payment and (ii) penalties and interest imposed by the IRS related to the Transferred Tax Credits shall be grossed up for U.S. federal, state and local income Taxes, using the highest marginal U.S. federal, state and local income Tax rate applicable to corporations provided for in Section 11 of the Code (or such other Applicable Law with respect to state and local taxes) as of the date of the payment and (B) if Buyer delivers to the Seller an opinion of Mayer Brown LLP or another nationally recognized counsel reasonably agreed by the Parties that for U.S. federal, state or local income Tax purposes such indemnity payment is “more likely than not” taxable income, then such indemnification payment shall be grossed up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020" w:right="379" w:bottom="1440" w:gutter="0" w:footer="0" w:header="0"/>
        </w:sectPr>
      </w:pPr>
    </w:p>
    <w:bookmarkStart w:id="260" w:name="page261"/>
    <w:bookmarkEnd w:id="260"/>
    <w:p>
      <w:pPr>
        <w:jc w:val="both"/>
        <w:spacing w:after="0" w:line="260" w:lineRule="auto"/>
        <w:rPr>
          <w:sz w:val="20"/>
          <w:szCs w:val="20"/>
          <w:color w:val="auto"/>
        </w:rPr>
      </w:pPr>
      <w:r>
        <w:rPr>
          <w:rFonts w:ascii="Times New Roman" w:cs="Times New Roman" w:eastAsia="Times New Roman" w:hAnsi="Times New Roman"/>
          <w:sz w:val="21"/>
          <w:szCs w:val="21"/>
          <w:color w:val="auto"/>
        </w:rPr>
        <w:t>income Taxes, using the highest marginal U.S. federal, state and local income Tax rate applicable to corporations provided for in Section 11 of the Code (or such other Applicable Law with respect to state and local Taxes) as of the date of the payment. In the event that any indemnification payment treated as a nontaxable reimbursement or Purchase Price adjustment is subsequently determined in a Final Determination to be includable as income of the recipient for U.S. federal, state or local income Tax purposes, such indemnification payment shall also be grossed up for such Taxes, using the highest marginal U.S. federal, state and local income Tax rate applicable to corporations provided for in Section 11 of the Code (or such other Applicable Law with respect to state and local Taxes) as of the date of the payment.</w:t>
      </w:r>
    </w:p>
    <w:p>
      <w:pPr>
        <w:spacing w:after="0" w:line="173" w:lineRule="exact"/>
        <w:rPr>
          <w:sz w:val="20"/>
          <w:szCs w:val="20"/>
          <w:color w:val="auto"/>
        </w:rPr>
      </w:pPr>
    </w:p>
    <w:p>
      <w:pPr>
        <w:jc w:val="both"/>
        <w:ind w:firstLine="648"/>
        <w:spacing w:after="0" w:line="256" w:lineRule="auto"/>
        <w:tabs>
          <w:tab w:leader="none" w:pos="1278"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Contests</w:t>
      </w:r>
      <w:r>
        <w:rPr>
          <w:rFonts w:ascii="Times New Roman" w:cs="Times New Roman" w:eastAsia="Times New Roman" w:hAnsi="Times New Roman"/>
          <w:sz w:val="21"/>
          <w:szCs w:val="21"/>
          <w:color w:val="auto"/>
        </w:rPr>
        <w:t xml:space="preserve">. Each Buyer shall conduct the defense of any Tax controversy brought by the IRS against such Buyer relating to the Transferred Tax Credits except to the extent (i) the Seller has agreed in writing (subject to the Indemnity Cap) to indemnify the applicable Buyer Indemnified Parties for any loss (including the loss of the Transferred Tax Credits,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any additions to Tax, interest and penalties imposed on such Buyer Indemnified Parties in respect thereof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any gross-up pursuant to Section 6(c)) arising as a result therefrom, (ii) the Seller has demonstrated to the reasonable satisfaction of the applicable Buyer Indemnified Party the wherewithal of the Opal Parties, to pay such indemnity, (iii) such Buyer reasonably determines that Seller can conduct the defense of the Tax controversy in its own name and not in Buyer’s name, and (iv) the applicable Buyer Indemnified Party does not affirmatively waive in writing its right to indemnification pursuant to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with respect to such Transferred Tax Credits. If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in the preceding sentence are satisfied, then the Seller, or a representative of the Seller, will conduct the defense of the audit, and any subsequent contest of IRS claims for which the Seller would be obligated to indemnify the Buyer Indemnified Parties, at the Seller’s expense; provided, that the applicable Buyer Indemnified Party shall have the right to control the defense of such Tax controversy if the applicable Buyer affirmatively waives in writing its right to indemnification pursuant to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with respect to the applicable Transferred Tax Credits. With respect to any Seller-controlled Tax controversy relating to the Transferred Tax Credits, the Seller shall keep the applicable Buyer Indemnified Party informed of any developments in such audit or contest to the extent relevant to the Transferred Tax Credits and allow the applicable Buyer Indemnified Party to participate in such audit or contest by employing counsel of its choosing, at the expense of such Buyer Indemnified Party, and such Buyer Indemnified Party shall cooperate with the Seller in connection with such audit or contest. For the avoidance of doubt, with respect to any Seller-controlled Tax controversy brought by the IRS against such Buyer relating to the Transferred Tax Credits (which, for the avoidance of doubt, any such control by Seller or a representative of the Seller shall be permitted only to the extent clauses (i) through (iv) of the first sentence of this Section 6(d) are satisfied), neither Seller nor any representative of the Seller shall settle any such Tax controversy without Buyer’s prior written consent (such consent not to be unreasonably withheld, conditioned or delayed). In the event that any Buyer conducts the defense of any Tax controversy relating to the Transferred Tax Credits in accordance with this </w:t>
      </w:r>
      <w:r>
        <w:rPr>
          <w:rFonts w:ascii="Times New Roman" w:cs="Times New Roman" w:eastAsia="Times New Roman" w:hAnsi="Times New Roman"/>
          <w:sz w:val="21"/>
          <w:szCs w:val="21"/>
          <w:u w:val="single" w:color="auto"/>
          <w:color w:val="auto"/>
        </w:rPr>
        <w:t>Section 6(d)</w:t>
      </w:r>
      <w:r>
        <w:rPr>
          <w:rFonts w:ascii="Times New Roman" w:cs="Times New Roman" w:eastAsia="Times New Roman" w:hAnsi="Times New Roman"/>
          <w:sz w:val="21"/>
          <w:szCs w:val="21"/>
          <w:color w:val="auto"/>
        </w:rPr>
        <w:t>, (1) the Seller shall cooperate with such Buyer in connection with such Tax controversy and (2) such Buyer shall not settle, compromise, abandon or appeal such Tax controversy without the Seller’s consent (such consent not to be unreasonably withheld, conditioned or delayed); provided that in no event shall any Buyer be required to pursue any judicial remedy (or otherwise pursue any remedy other than federal administrative remedies) in connection with such Tax controversy. In connection with any such Tax controversy or defense or contest thereof, for any matter that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1020" w:right="379" w:bottom="1440" w:gutter="0" w:footer="0" w:header="0"/>
        </w:sectPr>
      </w:pPr>
    </w:p>
    <w:bookmarkStart w:id="261" w:name="page262"/>
    <w:bookmarkEnd w:id="261"/>
    <w:p>
      <w:pPr>
        <w:jc w:val="both"/>
        <w:spacing w:after="0" w:line="262" w:lineRule="auto"/>
        <w:rPr>
          <w:sz w:val="20"/>
          <w:szCs w:val="20"/>
          <w:color w:val="auto"/>
        </w:rPr>
      </w:pPr>
      <w:r>
        <w:rPr>
          <w:rFonts w:ascii="Times New Roman" w:cs="Times New Roman" w:eastAsia="Times New Roman" w:hAnsi="Times New Roman"/>
          <w:sz w:val="21"/>
          <w:szCs w:val="21"/>
          <w:color w:val="auto"/>
        </w:rPr>
        <w:t>related to the Transferred Tax Credits, (y) no Buyer Indemnified Party shall have any right to participate in or control any audit or controversy that is between the IRS and the Seller (or any Affiliate of the Seller) and to which such Buyer Indemnified Party is not a party, and shall have no consent rights over any such audits, settlements, or controversies and (z) the Seller shall have no right to participate in or control any audit or controversy that is between the IRS and the applicable Buyer (or any applicable Buyer Indemnified Party) and to which the Seller or any Affiliate of the Seller is not a party, and shall have no consent rights over any such audits, settlements, or controversies.</w:t>
      </w:r>
    </w:p>
    <w:p>
      <w:pPr>
        <w:spacing w:after="0" w:line="168" w:lineRule="exact"/>
        <w:rPr>
          <w:sz w:val="20"/>
          <w:szCs w:val="20"/>
          <w:color w:val="auto"/>
        </w:rPr>
      </w:pPr>
    </w:p>
    <w:p>
      <w:pPr>
        <w:jc w:val="both"/>
        <w:ind w:firstLine="648"/>
        <w:spacing w:after="0" w:line="270" w:lineRule="auto"/>
        <w:tabs>
          <w:tab w:leader="none" w:pos="1279"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Representations and Warranties of the Seller</w:t>
      </w:r>
      <w:r>
        <w:rPr>
          <w:rFonts w:ascii="Times New Roman" w:cs="Times New Roman" w:eastAsia="Times New Roman" w:hAnsi="Times New Roman"/>
          <w:sz w:val="21"/>
          <w:szCs w:val="21"/>
          <w:color w:val="auto"/>
        </w:rPr>
        <w:t xml:space="preserve">. Without limiting the Seller’s indemnification obligations set forth in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all claims of each Buyer for breaches of any representation or warranty of the Seller must be made within 18 months after the Payment Date, other than any of the following claims:</w:t>
      </w:r>
    </w:p>
    <w:p>
      <w:pPr>
        <w:spacing w:after="0" w:line="160" w:lineRule="exact"/>
        <w:rPr>
          <w:rFonts w:ascii="Times New Roman" w:cs="Times New Roman" w:eastAsia="Times New Roman" w:hAnsi="Times New Roman"/>
          <w:sz w:val="21"/>
          <w:szCs w:val="21"/>
          <w:color w:val="auto"/>
        </w:rPr>
      </w:pPr>
    </w:p>
    <w:p>
      <w:pPr>
        <w:jc w:val="both"/>
        <w:ind w:left="640" w:firstLine="649"/>
        <w:spacing w:after="0" w:line="270" w:lineRule="auto"/>
        <w:tabs>
          <w:tab w:leader="none" w:pos="1910" w:val="left"/>
        </w:tabs>
        <w:numPr>
          <w:ilvl w:val="2"/>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Claims for breaches of the representations and warranties of the Seller set forth in </w:t>
      </w:r>
      <w:r>
        <w:rPr>
          <w:rFonts w:ascii="Times New Roman" w:cs="Times New Roman" w:eastAsia="Times New Roman" w:hAnsi="Times New Roman"/>
          <w:sz w:val="21"/>
          <w:szCs w:val="21"/>
          <w:u w:val="single" w:color="auto"/>
          <w:color w:val="auto"/>
        </w:rPr>
        <w:t>Section 4(a)(i)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Organization and Authority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4(a)(ii)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Authorization and Execution</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4(a)(iii)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 Violation</w:t>
      </w:r>
      <w:r>
        <w:rPr>
          <w:rFonts w:ascii="Times New Roman" w:cs="Times New Roman" w:eastAsia="Times New Roman" w:hAnsi="Times New Roman"/>
          <w:sz w:val="21"/>
          <w:szCs w:val="21"/>
          <w:color w:val="auto"/>
        </w:rPr>
        <w:t>) shall survive indefinitely; and</w:t>
      </w:r>
    </w:p>
    <w:p>
      <w:pPr>
        <w:spacing w:after="0" w:line="160"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for breaches of the Specified Tax Representations shall survive until the Survival Period End Date.</w:t>
      </w:r>
    </w:p>
    <w:p>
      <w:pPr>
        <w:spacing w:after="0" w:line="226" w:lineRule="exact"/>
        <w:rPr>
          <w:rFonts w:ascii="Times New Roman" w:cs="Times New Roman" w:eastAsia="Times New Roman" w:hAnsi="Times New Roman"/>
          <w:sz w:val="21"/>
          <w:szCs w:val="21"/>
          <w:color w:val="auto"/>
        </w:rPr>
      </w:pPr>
    </w:p>
    <w:p>
      <w:pPr>
        <w:jc w:val="both"/>
        <w:ind w:right="20" w:firstLine="648"/>
        <w:spacing w:after="0" w:line="280" w:lineRule="auto"/>
        <w:tabs>
          <w:tab w:leader="none" w:pos="1282"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Representations and Warranties of</w:t>
      </w:r>
      <w:r>
        <w:rPr>
          <w:rFonts w:ascii="Times New Roman" w:cs="Times New Roman" w:eastAsia="Times New Roman" w:hAnsi="Times New Roman"/>
          <w:sz w:val="21"/>
          <w:szCs w:val="21"/>
          <w:color w:val="auto"/>
        </w:rPr>
        <w:t xml:space="preserve"> each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All claims of the Seller for breaches of any representation or warranty of each Buyer must be made within 18 months after the Payment Date, other than any of the following claims:</w:t>
      </w:r>
    </w:p>
    <w:p>
      <w:pPr>
        <w:spacing w:after="0" w:line="200" w:lineRule="exact"/>
        <w:rPr>
          <w:rFonts w:ascii="Times New Roman" w:cs="Times New Roman" w:eastAsia="Times New Roman" w:hAnsi="Times New Roman"/>
          <w:sz w:val="21"/>
          <w:szCs w:val="21"/>
          <w:color w:val="auto"/>
        </w:rPr>
      </w:pPr>
    </w:p>
    <w:p>
      <w:pPr>
        <w:spacing w:after="0" w:line="211" w:lineRule="exact"/>
        <w:rPr>
          <w:rFonts w:ascii="Times New Roman" w:cs="Times New Roman" w:eastAsia="Times New Roman" w:hAnsi="Times New Roman"/>
          <w:sz w:val="21"/>
          <w:szCs w:val="21"/>
          <w:color w:val="auto"/>
        </w:rPr>
      </w:pPr>
    </w:p>
    <w:p>
      <w:pPr>
        <w:jc w:val="both"/>
        <w:ind w:left="640" w:firstLine="649"/>
        <w:spacing w:after="0" w:line="270" w:lineRule="auto"/>
        <w:tabs>
          <w:tab w:leader="none" w:pos="1910" w:val="left"/>
        </w:tabs>
        <w:numPr>
          <w:ilvl w:val="2"/>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Claims for breaches of the representations and warranties of each Buyer set forth in </w:t>
      </w:r>
      <w:r>
        <w:rPr>
          <w:rFonts w:ascii="Times New Roman" w:cs="Times New Roman" w:eastAsia="Times New Roman" w:hAnsi="Times New Roman"/>
          <w:sz w:val="21"/>
          <w:szCs w:val="21"/>
          <w:u w:val="single" w:color="auto"/>
          <w:color w:val="auto"/>
        </w:rPr>
        <w:t>Section 4(a)(i)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Organization and Authority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4(a)(ii)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Authorization and Execution</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4(a)(iii)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 Violation</w:t>
      </w:r>
      <w:r>
        <w:rPr>
          <w:rFonts w:ascii="Times New Roman" w:cs="Times New Roman" w:eastAsia="Times New Roman" w:hAnsi="Times New Roman"/>
          <w:sz w:val="21"/>
          <w:szCs w:val="21"/>
          <w:color w:val="auto"/>
        </w:rPr>
        <w:t>) shall survive indefinitely; and</w:t>
      </w:r>
    </w:p>
    <w:p>
      <w:pPr>
        <w:spacing w:after="0" w:line="160" w:lineRule="exact"/>
        <w:rPr>
          <w:rFonts w:ascii="Times New Roman" w:cs="Times New Roman" w:eastAsia="Times New Roman" w:hAnsi="Times New Roman"/>
          <w:sz w:val="21"/>
          <w:szCs w:val="21"/>
          <w:color w:val="auto"/>
        </w:rPr>
      </w:pPr>
    </w:p>
    <w:p>
      <w:pPr>
        <w:jc w:val="both"/>
        <w:ind w:left="640" w:firstLine="649"/>
        <w:spacing w:after="0" w:line="270" w:lineRule="auto"/>
        <w:tabs>
          <w:tab w:leader="none" w:pos="1916" w:val="left"/>
        </w:tabs>
        <w:numPr>
          <w:ilvl w:val="2"/>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Claims for breaches of the representations and warranties of each Buyer set forth in </w:t>
      </w:r>
      <w:r>
        <w:rPr>
          <w:rFonts w:ascii="Times New Roman" w:cs="Times New Roman" w:eastAsia="Times New Roman" w:hAnsi="Times New Roman"/>
          <w:sz w:val="21"/>
          <w:szCs w:val="21"/>
          <w:u w:val="single" w:color="auto"/>
          <w:color w:val="auto"/>
        </w:rPr>
        <w:t>Section 4(a)(vii)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Related Party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Item (1)</w:t>
      </w:r>
      <w:r>
        <w:rPr>
          <w:rFonts w:ascii="Times New Roman" w:cs="Times New Roman" w:eastAsia="Times New Roman" w:hAnsi="Times New Roman"/>
          <w:sz w:val="21"/>
          <w:szCs w:val="21"/>
          <w:color w:val="auto"/>
        </w:rPr>
        <w:t xml:space="preserve"> on </w:t>
      </w:r>
      <w:r>
        <w:rPr>
          <w:rFonts w:ascii="Times New Roman" w:cs="Times New Roman" w:eastAsia="Times New Roman" w:hAnsi="Times New Roman"/>
          <w:sz w:val="21"/>
          <w:szCs w:val="21"/>
          <w:u w:val="single" w:color="auto"/>
          <w:color w:val="auto"/>
        </w:rPr>
        <w:t>Schedule 4</w:t>
      </w:r>
      <w:r>
        <w:rPr>
          <w:rFonts w:ascii="Times New Roman" w:cs="Times New Roman" w:eastAsia="Times New Roman" w:hAnsi="Times New Roman"/>
          <w:sz w:val="21"/>
          <w:szCs w:val="21"/>
          <w:color w:val="auto"/>
        </w:rPr>
        <w:t xml:space="preserve"> shall survive until the date that is six months after the applicable statute of limitations expires on any IRS audit for the applicable taxable year of the Seller.</w:t>
      </w:r>
    </w:p>
    <w:p>
      <w:pPr>
        <w:spacing w:after="0" w:line="160" w:lineRule="exact"/>
        <w:rPr>
          <w:rFonts w:ascii="Times New Roman" w:cs="Times New Roman" w:eastAsia="Times New Roman" w:hAnsi="Times New Roman"/>
          <w:sz w:val="21"/>
          <w:szCs w:val="21"/>
          <w:color w:val="auto"/>
        </w:rPr>
      </w:pPr>
    </w:p>
    <w:p>
      <w:pPr>
        <w:jc w:val="both"/>
        <w:ind w:firstLine="648"/>
        <w:spacing w:after="0" w:line="277" w:lineRule="auto"/>
        <w:tabs>
          <w:tab w:leader="none" w:pos="1278"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Claims</w:t>
      </w:r>
      <w:r>
        <w:rPr>
          <w:rFonts w:ascii="Times New Roman" w:cs="Times New Roman" w:eastAsia="Times New Roman" w:hAnsi="Times New Roman"/>
          <w:sz w:val="21"/>
          <w:szCs w:val="21"/>
          <w:color w:val="auto"/>
        </w:rPr>
        <w:t xml:space="preserve">. If written Notice of a claim for indemnification is given by each Buyer prior to the last day of the applicable survival period (as determined pursuant to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 then the indemnification obligations of the Seller will survive until the final resolution of such claim.</w:t>
      </w:r>
    </w:p>
    <w:p>
      <w:pPr>
        <w:spacing w:after="0" w:line="139"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Indemnity Payment</w:t>
      </w:r>
      <w:r>
        <w:rPr>
          <w:rFonts w:ascii="Times New Roman" w:cs="Times New Roman" w:eastAsia="Times New Roman" w:hAnsi="Times New Roman"/>
          <w:sz w:val="21"/>
          <w:szCs w:val="21"/>
          <w:color w:val="auto"/>
        </w:rPr>
        <w:t xml:space="preserve">. Indemnification payments made pursuant to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shall be due in respect of any claim</w:t>
      </w:r>
    </w:p>
    <w:p>
      <w:pPr>
        <w:spacing w:after="0" w:line="36" w:lineRule="exact"/>
        <w:rPr>
          <w:rFonts w:ascii="Times New Roman" w:cs="Times New Roman" w:eastAsia="Times New Roman" w:hAnsi="Times New Roman"/>
          <w:sz w:val="21"/>
          <w:szCs w:val="21"/>
          <w:color w:val="auto"/>
        </w:rPr>
      </w:pPr>
    </w:p>
    <w:p>
      <w:pPr>
        <w:jc w:val="both"/>
        <w:ind w:firstLine="7"/>
        <w:spacing w:after="0" w:line="265" w:lineRule="auto"/>
        <w:tabs>
          <w:tab w:leader="none" w:pos="272"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twenty (20) days after the date on which Seller has been notified by any Buyer of such indemnification claim if such claim is not being contested in accordance with </w:t>
      </w:r>
      <w:r>
        <w:rPr>
          <w:rFonts w:ascii="Times New Roman" w:cs="Times New Roman" w:eastAsia="Times New Roman" w:hAnsi="Times New Roman"/>
          <w:sz w:val="21"/>
          <w:szCs w:val="21"/>
          <w:u w:val="single" w:color="auto"/>
          <w:color w:val="auto"/>
        </w:rPr>
        <w:t>Section 6(d)</w:t>
      </w:r>
      <w:r>
        <w:rPr>
          <w:rFonts w:ascii="Times New Roman" w:cs="Times New Roman" w:eastAsia="Times New Roman" w:hAnsi="Times New Roman"/>
          <w:sz w:val="21"/>
          <w:szCs w:val="21"/>
          <w:color w:val="auto"/>
        </w:rPr>
        <w:t xml:space="preserve"> or (ii) within ten (10) Business Days of a Final Determination if such claim is being contested in accordance with </w:t>
      </w:r>
      <w:r>
        <w:rPr>
          <w:rFonts w:ascii="Times New Roman" w:cs="Times New Roman" w:eastAsia="Times New Roman" w:hAnsi="Times New Roman"/>
          <w:sz w:val="21"/>
          <w:szCs w:val="21"/>
          <w:u w:val="single" w:color="auto"/>
          <w:color w:val="auto"/>
        </w:rPr>
        <w:t>Section 6(d)</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21"/>
          <w:szCs w:val="21"/>
          <w:b w:val="1"/>
          <w:bCs w:val="1"/>
          <w:u w:val="single" w:color="auto"/>
          <w:color w:val="auto"/>
        </w:rPr>
        <w:t>Section 7</w:t>
        <w:tab/>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020" w:right="379" w:bottom="1440" w:gutter="0" w:footer="0" w:header="0"/>
        </w:sectPr>
      </w:pPr>
    </w:p>
    <w:bookmarkStart w:id="262" w:name="page263"/>
    <w:bookmarkEnd w:id="262"/>
    <w:p>
      <w:pPr>
        <w:jc w:val="both"/>
        <w:ind w:left="-160" w:firstLine="648"/>
        <w:spacing w:after="0" w:line="261" w:lineRule="auto"/>
        <w:tabs>
          <w:tab w:leader="none" w:pos="1119"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Waivers</w:t>
      </w:r>
      <w:r>
        <w:rPr>
          <w:rFonts w:ascii="Times New Roman" w:cs="Times New Roman" w:eastAsia="Times New Roman" w:hAnsi="Times New Roman"/>
          <w:sz w:val="21"/>
          <w:szCs w:val="21"/>
          <w:color w:val="auto"/>
        </w:rPr>
        <w:t>. This Agreement may not be amended or modified except by an instrument in writing signed by each Party hereto. No failure or delay by any Party in exercising any right or power under this Agreement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hereunder are cumulative and are not exclusive of any rights or remedies that such Party would otherwise have. No waiver of any provision of this Agreement consent to any departure by any Party therefrom shall in any event be effective unless the same shall be in writing and executed by the Parties, and then such waiver or consent shall be effective only in the specific instance and for the purpose for which given.</w:t>
      </w:r>
    </w:p>
    <w:p>
      <w:pPr>
        <w:spacing w:after="0" w:line="156" w:lineRule="exact"/>
        <w:rPr>
          <w:rFonts w:ascii="Times New Roman" w:cs="Times New Roman" w:eastAsia="Times New Roman" w:hAnsi="Times New Roman"/>
          <w:sz w:val="21"/>
          <w:szCs w:val="21"/>
          <w:color w:val="auto"/>
        </w:rPr>
      </w:pPr>
    </w:p>
    <w:p>
      <w:pPr>
        <w:jc w:val="both"/>
        <w:ind w:left="-160" w:firstLine="648"/>
        <w:spacing w:after="0" w:line="252" w:lineRule="auto"/>
        <w:tabs>
          <w:tab w:leader="none" w:pos="1118"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All Notices and other communications hereunder shall be in writing and given to the Parties at the addresses set forth on </w:t>
      </w:r>
      <w:r>
        <w:rPr>
          <w:rFonts w:ascii="Times New Roman" w:cs="Times New Roman" w:eastAsia="Times New Roman" w:hAnsi="Times New Roman"/>
          <w:sz w:val="21"/>
          <w:szCs w:val="21"/>
          <w:u w:val="single" w:color="auto"/>
          <w:color w:val="auto"/>
        </w:rPr>
        <w:t>Schedule 6</w:t>
      </w:r>
      <w:r>
        <w:rPr>
          <w:rFonts w:ascii="Times New Roman" w:cs="Times New Roman" w:eastAsia="Times New Roman" w:hAnsi="Times New Roman"/>
          <w:sz w:val="21"/>
          <w:szCs w:val="21"/>
          <w:color w:val="auto"/>
        </w:rPr>
        <w:t xml:space="preserve">, or at such other address as any Party hereafter may designate to the others in accordance with this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Unless otherwise provided herein, any notice or other communication required or permitted to be given hereunder (a “</w:t>
      </w:r>
      <w:r>
        <w:rPr>
          <w:rFonts w:ascii="Times New Roman" w:cs="Times New Roman" w:eastAsia="Times New Roman" w:hAnsi="Times New Roman"/>
          <w:sz w:val="21"/>
          <w:szCs w:val="21"/>
          <w:b w:val="1"/>
          <w:bCs w:val="1"/>
          <w:i w:val="1"/>
          <w:iCs w:val="1"/>
          <w:color w:val="auto"/>
        </w:rPr>
        <w:t>Notice</w:t>
      </w:r>
      <w:r>
        <w:rPr>
          <w:rFonts w:ascii="Times New Roman" w:cs="Times New Roman" w:eastAsia="Times New Roman" w:hAnsi="Times New Roman"/>
          <w:sz w:val="21"/>
          <w:szCs w:val="21"/>
          <w:color w:val="auto"/>
        </w:rPr>
        <w:t>”), shall be in writing and delivered (i) in person, (ii) by registered or certified mail with postage prepaid and return receipt requested, (iii) by recognized overnight courier service with charges prepaid or (iv) by e-mail. A Notice or other communication will be deemed delivered on the earliest to occur of (A) its actual receipt when delivered in person, (B)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Business Day following its deposit in registered or certified mail, with postage prepaid, and return receipt requested, (C) the second Business Day following its deposit with a recognized overnight courier service, or (D) the date upon which the receiving Party responds to a Notice sent by e-mail confirming that it has received such e-mail, or, if such date of receipt is not a Business Day, the next Business Day following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sender of such e-mail Notice does not receive such a response, then that e-mail Notice shall not be deemed delivered unless such Notice is also delivered by one of the methodologies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Any Notice or other communication received on a day that is not a Business Day or later than 5:00 p.m. (Eastern time) on a Business Day shall be deemed to be received on the next Business Day.</w:t>
      </w:r>
    </w:p>
    <w:p>
      <w:pPr>
        <w:spacing w:after="0" w:line="171" w:lineRule="exact"/>
        <w:rPr>
          <w:rFonts w:ascii="Times New Roman" w:cs="Times New Roman" w:eastAsia="Times New Roman" w:hAnsi="Times New Roman"/>
          <w:sz w:val="21"/>
          <w:szCs w:val="21"/>
          <w:color w:val="auto"/>
        </w:rPr>
      </w:pPr>
    </w:p>
    <w:p>
      <w:pPr>
        <w:jc w:val="both"/>
        <w:ind w:left="-160" w:firstLine="648"/>
        <w:spacing w:after="0" w:line="261" w:lineRule="auto"/>
        <w:tabs>
          <w:tab w:leader="none" w:pos="1119"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No Other Representations</w:t>
      </w:r>
      <w:r>
        <w:rPr>
          <w:rFonts w:ascii="Times New Roman" w:cs="Times New Roman" w:eastAsia="Times New Roman" w:hAnsi="Times New Roman"/>
          <w:sz w:val="21"/>
          <w:szCs w:val="21"/>
          <w:color w:val="auto"/>
        </w:rPr>
        <w:t xml:space="preserve">. The Transaction Documents embody the entire agreement and understanding of the Parties hereto in respect of the Transactions and supersede all prior agreements, letters of intent, representations, warranties, promises, covenants, arrangements, communications and understandings, oral or written, express or implied, between the Parties with respect to the Transactions. There are no agreements, representations, warranties, promises, covenants, arrangements or understandings between the Parties with respect to the Transactions, other than those expressly set forth or referred to herein. The representations and warranties made pursuant to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are the sole representations and warranties of the Parties with respect to the Transactions and any other representations and warranties, implied or otherwise, and any reliance thereon are hereby disclaimed by the Parties.</w:t>
      </w:r>
    </w:p>
    <w:p>
      <w:pPr>
        <w:spacing w:after="0" w:line="156" w:lineRule="exact"/>
        <w:rPr>
          <w:rFonts w:ascii="Times New Roman" w:cs="Times New Roman" w:eastAsia="Times New Roman" w:hAnsi="Times New Roman"/>
          <w:sz w:val="21"/>
          <w:szCs w:val="21"/>
          <w:color w:val="auto"/>
        </w:rPr>
      </w:pPr>
    </w:p>
    <w:p>
      <w:pPr>
        <w:jc w:val="both"/>
        <w:ind w:left="-160" w:firstLine="648"/>
        <w:spacing w:after="0" w:line="268" w:lineRule="auto"/>
        <w:tabs>
          <w:tab w:leader="none" w:pos="1118"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and delivered (including by electronic mail transmission) in one or more counterparts, all of which shall be considered one and the same agreement and shall become effective when one or more counterparts have been signed by each of the Seller and each Buyer and delivered to the other Party, it being understood that all Parties need not sign the same counterpart. This Agreement may be executed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480" w:top="1020" w:right="379" w:bottom="1440" w:gutter="0" w:footer="0" w:header="0"/>
        </w:sectPr>
      </w:pPr>
    </w:p>
    <w:bookmarkStart w:id="263" w:name="page264"/>
    <w:bookmarkEnd w:id="263"/>
    <w:p>
      <w:pPr>
        <w:jc w:val="both"/>
        <w:spacing w:after="0" w:line="260" w:lineRule="auto"/>
        <w:rPr>
          <w:sz w:val="20"/>
          <w:szCs w:val="20"/>
          <w:color w:val="auto"/>
        </w:rPr>
      </w:pPr>
      <w:r>
        <w:rPr>
          <w:rFonts w:ascii="Times New Roman" w:cs="Times New Roman" w:eastAsia="Times New Roman" w:hAnsi="Times New Roman"/>
          <w:sz w:val="21"/>
          <w:szCs w:val="21"/>
          <w:color w:val="auto"/>
        </w:rPr>
        <w:t>signatures delivered by email, and a copy hereof that is executed and delivered by a Party by email (including in .pdf format) will be binding upon 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signatures effected through DocuSign),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3" w:lineRule="exact"/>
        <w:rPr>
          <w:sz w:val="20"/>
          <w:szCs w:val="20"/>
          <w:color w:val="auto"/>
        </w:rPr>
      </w:pPr>
    </w:p>
    <w:p>
      <w:pPr>
        <w:jc w:val="both"/>
        <w:ind w:firstLine="648"/>
        <w:spacing w:after="0" w:line="268" w:lineRule="auto"/>
        <w:tabs>
          <w:tab w:leader="none" w:pos="1279"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NEW YORK (INCLUDING SECTIONS 5-1401 AND 5-1402 OF THE GENERAL OBLIGATIONS LAW, BUT WITHOUT REGARD TO ANY OTHER CONFLICT OF LAWS PROVISIONS THEREOF).</w:t>
      </w:r>
    </w:p>
    <w:p>
      <w:pPr>
        <w:spacing w:after="0" w:line="150" w:lineRule="exact"/>
        <w:rPr>
          <w:rFonts w:ascii="Times New Roman" w:cs="Times New Roman" w:eastAsia="Times New Roman" w:hAnsi="Times New Roman"/>
          <w:sz w:val="21"/>
          <w:szCs w:val="21"/>
          <w:color w:val="auto"/>
        </w:rPr>
      </w:pPr>
    </w:p>
    <w:p>
      <w:pPr>
        <w:jc w:val="both"/>
        <w:ind w:firstLine="648"/>
        <w:spacing w:after="0" w:line="277" w:lineRule="auto"/>
        <w:tabs>
          <w:tab w:leader="none" w:pos="1282"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HEREBY IRREVOCABLY AND UNCONDITIONALLY WAIVES ANY AND ALL RIGHT TO TRIAL BY JURY IN ANY ACTION, SUIT OR COUNTERCLAIM ARISING IN CONNECTION WITH THIS AGREEMENT.</w:t>
      </w:r>
    </w:p>
    <w:p>
      <w:pPr>
        <w:spacing w:after="0" w:line="152" w:lineRule="exact"/>
        <w:rPr>
          <w:rFonts w:ascii="Times New Roman" w:cs="Times New Roman" w:eastAsia="Times New Roman" w:hAnsi="Times New Roman"/>
          <w:sz w:val="21"/>
          <w:szCs w:val="21"/>
          <w:color w:val="auto"/>
        </w:rPr>
      </w:pPr>
    </w:p>
    <w:p>
      <w:pPr>
        <w:ind w:firstLine="648"/>
        <w:spacing w:after="0" w:line="264" w:lineRule="auto"/>
        <w:tabs>
          <w:tab w:leader="none" w:pos="1278"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ALL ACTIONS OR PROCEEDINGS BROUGHT AGAINST EITHER PARTY WITH RESPECT TO THIS AGREEMENT OR THE</w:t>
      </w:r>
    </w:p>
    <w:p>
      <w:pPr>
        <w:ind w:hanging="9"/>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MAY ONLY BE BROUGHT IN ANY STATE OR FEDERAL COURT OF COMPETENT JURISDICTION IN THE COUNTY OF NEW YORK, STATE OF NEW YORK,</w:t>
      </w:r>
    </w:p>
    <w:p>
      <w:pPr>
        <w:ind w:right="2920"/>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BY EXECUTION AND DELIVERY OF THIS AGREEMENT EACH PARTY ACCEPTS FOR ITSELF AND IN CONNECTION WITH ITS PROPERTIES, THE EXCLUSIVE JURISDICTION OF THE AFORESAID COURTS, AND IRREVOCABLY AGREES TO BE</w:t>
      </w:r>
    </w:p>
    <w:p>
      <w:pPr>
        <w:ind w:hanging="9"/>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BOUND BY ANY JUDGMENT RENDERED THEREBY IN CONNECTION WITH THIS AGREEMENT. EACH PARTY HEREBY EXPRESSLY AND IRREVOCABLY WAIVES ANY</w:t>
      </w:r>
    </w:p>
    <w:p>
      <w:pPr>
        <w:spacing w:after="0" w:line="1" w:lineRule="exact"/>
        <w:rPr>
          <w:rFonts w:ascii="Times New Roman" w:cs="Times New Roman" w:eastAsia="Times New Roman" w:hAnsi="Times New Roman"/>
          <w:sz w:val="21"/>
          <w:szCs w:val="21"/>
          <w:color w:val="auto"/>
        </w:rPr>
      </w:pPr>
    </w:p>
    <w:p>
      <w:pPr>
        <w:ind w:right="296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 OR DEFENSE IN ANY SUCH ACTION OR PROCEEDING BASED ON ANY ALLEGED LACK OF PERSONAL JURISDICTION, IMPROPER VENUE OR FORUM NON</w:t>
      </w:r>
    </w:p>
    <w:p>
      <w:pPr>
        <w:ind w:right="20" w:hanging="9"/>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CONVENIENS OR ANY SIMILAR BASIS. EACH PARTY FURTHER IRREVOCABLY CONSENTS TO THE SERVICE OF ANY COMPLAINT, SUMMONS, NOTICE OR OTHER</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PROCESS RELATING TO ANY LEGAL ACTION OR PROCEEDING BY DELIVERY</w:t>
      </w:r>
    </w:p>
    <w:p>
      <w:pPr>
        <w:spacing w:after="0" w:line="12" w:lineRule="exact"/>
        <w:rPr>
          <w:rFonts w:ascii="Times New Roman" w:cs="Times New Roman" w:eastAsia="Times New Roman" w:hAnsi="Times New Roman"/>
          <w:sz w:val="21"/>
          <w:szCs w:val="21"/>
          <w:color w:val="auto"/>
        </w:rPr>
      </w:pPr>
    </w:p>
    <w:p>
      <w:pPr>
        <w:jc w:val="both"/>
        <w:ind w:hanging="9"/>
        <w:spacing w:after="0" w:line="27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THEREOF TO IT BY HAND OR BY MAIL (BUT NOT BY E-MAIL) TO THE ADDRESS SET FORTH IN </w:t>
      </w:r>
      <w:r>
        <w:rPr>
          <w:rFonts w:ascii="Times New Roman" w:cs="Times New Roman" w:eastAsia="Times New Roman" w:hAnsi="Times New Roman"/>
          <w:sz w:val="21"/>
          <w:szCs w:val="21"/>
          <w:u w:val="single" w:color="auto"/>
          <w:color w:val="auto"/>
        </w:rPr>
        <w:t>SCHEDULE 6</w:t>
      </w:r>
      <w:r>
        <w:rPr>
          <w:rFonts w:ascii="Times New Roman" w:cs="Times New Roman" w:eastAsia="Times New Roman" w:hAnsi="Times New Roman"/>
          <w:sz w:val="21"/>
          <w:szCs w:val="21"/>
          <w:color w:val="auto"/>
        </w:rPr>
        <w:t>. NOTHING HEREIN SHALL AFFECT THE RIGHT OF EITHER PARTY TO SERVE PROCESS IN ANY MANNER PERMITTED BY LAW.</w:t>
      </w:r>
    </w:p>
    <w:p>
      <w:pPr>
        <w:spacing w:after="0" w:line="145" w:lineRule="exact"/>
        <w:rPr>
          <w:rFonts w:ascii="Times New Roman" w:cs="Times New Roman" w:eastAsia="Times New Roman" w:hAnsi="Times New Roman"/>
          <w:sz w:val="21"/>
          <w:szCs w:val="21"/>
          <w:color w:val="auto"/>
        </w:rPr>
      </w:pPr>
    </w:p>
    <w:p>
      <w:pPr>
        <w:jc w:val="both"/>
        <w:ind w:firstLine="648"/>
        <w:spacing w:after="0" w:line="268" w:lineRule="auto"/>
        <w:tabs>
          <w:tab w:leader="none" w:pos="1278"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are not affected in any manner materially adverse to any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1020" w:right="379" w:bottom="1440" w:gutter="0" w:footer="0" w:header="0"/>
        </w:sectPr>
      </w:pPr>
    </w:p>
    <w:bookmarkStart w:id="264" w:name="page265"/>
    <w:bookmarkEnd w:id="264"/>
    <w:p>
      <w:pPr>
        <w:jc w:val="both"/>
        <w:ind w:left="-160" w:firstLine="648"/>
        <w:spacing w:after="0" w:line="262" w:lineRule="auto"/>
        <w:tabs>
          <w:tab w:leader="none" w:pos="111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 Assignment</w:t>
      </w:r>
      <w:r>
        <w:rPr>
          <w:rFonts w:ascii="Times New Roman" w:cs="Times New Roman" w:eastAsia="Times New Roman" w:hAnsi="Times New Roman"/>
          <w:sz w:val="21"/>
          <w:szCs w:val="21"/>
          <w:color w:val="auto"/>
        </w:rPr>
        <w:t>. This Agreement shall be binding upon and, except as provided below, inure solely to the benefit of each Party and their successors and assigns, and nothing in this Agreement, express or implied, is intended to confer upon any other Person any rights or remedies of any nature whatsoever under or by reason of this Agreement. Neither Party may assign any or all of its rights, privileges and obligations hereunder without the prior written consent of the other Party, except that each Buyer may assign all of its rights, obligations and liabilities hereunder to an Affiliate of such Buyer that has similar or better creditworthiness than such Buyer upon Notice of such assignment to the Seller.</w:t>
      </w:r>
    </w:p>
    <w:p>
      <w:pPr>
        <w:spacing w:after="0" w:line="168" w:lineRule="exact"/>
        <w:rPr>
          <w:rFonts w:ascii="Times New Roman" w:cs="Times New Roman" w:eastAsia="Times New Roman" w:hAnsi="Times New Roman"/>
          <w:sz w:val="21"/>
          <w:szCs w:val="21"/>
          <w:color w:val="auto"/>
        </w:rPr>
      </w:pPr>
    </w:p>
    <w:p>
      <w:pPr>
        <w:jc w:val="both"/>
        <w:ind w:left="-160" w:firstLine="648"/>
        <w:spacing w:after="0" w:line="264" w:lineRule="auto"/>
        <w:tabs>
          <w:tab w:leader="none" w:pos="111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 Announcements</w:t>
      </w:r>
      <w:r>
        <w:rPr>
          <w:rFonts w:ascii="Times New Roman" w:cs="Times New Roman" w:eastAsia="Times New Roman" w:hAnsi="Times New Roman"/>
          <w:sz w:val="21"/>
          <w:szCs w:val="21"/>
          <w:color w:val="auto"/>
        </w:rPr>
        <w:t>. Subject to any requirements of Applicable Law, neither Party shall issue, or permit any of their respective Affiliates to issue, any press release or otherwise make any public statements with respect to this Agreement or the Transactions without the prior written consent of the other Party. Subject to any requirements of Applicable Law, each Party will be given the opportunity to review in advance, upon the request of such Party, all information relating to the Transactions that appears in any filing made in connection with the Transactions.</w:t>
      </w:r>
    </w:p>
    <w:p>
      <w:pPr>
        <w:spacing w:after="0" w:line="181" w:lineRule="exact"/>
        <w:rPr>
          <w:rFonts w:ascii="Times New Roman" w:cs="Times New Roman" w:eastAsia="Times New Roman" w:hAnsi="Times New Roman"/>
          <w:sz w:val="21"/>
          <w:szCs w:val="21"/>
          <w:color w:val="auto"/>
        </w:rPr>
      </w:pPr>
    </w:p>
    <w:p>
      <w:pPr>
        <w:ind w:left="1120" w:hanging="632"/>
        <w:spacing w:after="0"/>
        <w:tabs>
          <w:tab w:leader="none" w:pos="112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jc w:val="both"/>
        <w:ind w:left="480" w:firstLine="649"/>
        <w:spacing w:after="0" w:line="256" w:lineRule="auto"/>
        <w:tabs>
          <w:tab w:leader="none" w:pos="1750"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necessary for the exercise of rights and remedies and the performance of its obligations under this Agreement, each Buyer shall, and shall cause its Affiliates and their respective stockholders, members, subsidiaries and representatives to, hold confidential all information they may have or obtain concerning the Seller and the Seller Parties, and their respective assets, business, operations or prospects, the Facility or this Agreement (collectively, the “</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Confidential Information shall not include any information that (A) becomes generally available to the public other than as a result of a disclosure by such Buyer or any of its representatives,</w:t>
      </w:r>
    </w:p>
    <w:p>
      <w:pPr>
        <w:spacing w:after="0" w:line="1" w:lineRule="exact"/>
        <w:rPr>
          <w:rFonts w:ascii="Times New Roman" w:cs="Times New Roman" w:eastAsia="Times New Roman" w:hAnsi="Times New Roman"/>
          <w:sz w:val="21"/>
          <w:szCs w:val="21"/>
          <w:color w:val="auto"/>
        </w:rPr>
      </w:pPr>
    </w:p>
    <w:p>
      <w:pPr>
        <w:jc w:val="both"/>
        <w:ind w:left="48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 becomes available to such Buyer or any of its representatives on a nonconfidential basis and through no willful breach of any Applicable Laws or a knowing breach of any contractual confidentiality obligations prior to its disclosure by the Seller or a Seller Party or their representatives, (C) is required or requested to be disclosed by such Buyer or any of its Affiliates or respective stockholders, members, subsidiaries or representatives as a result of any applicable legal requirement or rule or regulation of any stock exchange, the National Association of Insurance Commissioners or other regulatory authority having jurisdiction over such Buyer or any of its Affiliates or respective stockholders, members, subsidiaries or representatives, (D) is required or requested by the IRS in connection with the Facility or ITCs relating thereto, including in connection with a request for any private letter ruling, any determination letter or any audit or (E) is independently developed by such Buyer or any of its representatives;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above, if such Confidential Information remains or is reasonably believed to remain generally unavailable to the public, such information will remain Confidential Information in all other respects and for all other purposes. Each Party acknowledges that disclosures pursuant to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above may be subject to the Freedom of Information Act, 5 U.S.C. Section 552. If any Party becomes compelled by legal or administrative process to disclose any Confidential Information, such Party, to the extent legally permissible, will provide the other Party with prompt Notice so that the other Party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480" w:top="1021" w:right="379" w:bottom="1440" w:gutter="0" w:footer="0" w:header="0"/>
        </w:sectPr>
      </w:pPr>
    </w:p>
    <w:bookmarkStart w:id="265" w:name="page266"/>
    <w:bookmarkEnd w:id="265"/>
    <w:p>
      <w:pPr>
        <w:jc w:val="both"/>
        <w:ind w:left="480"/>
        <w:spacing w:after="0" w:line="261" w:lineRule="auto"/>
        <w:rPr>
          <w:sz w:val="20"/>
          <w:szCs w:val="20"/>
          <w:color w:val="auto"/>
        </w:rPr>
      </w:pPr>
      <w:r>
        <w:rPr>
          <w:rFonts w:ascii="Times New Roman" w:cs="Times New Roman" w:eastAsia="Times New Roman" w:hAnsi="Times New Roman"/>
          <w:sz w:val="21"/>
          <w:szCs w:val="21"/>
          <w:color w:val="auto"/>
        </w:rPr>
        <w:t xml:space="preserve">seek a protective order or other appropriate remedy or waive compliance with the non-disclosure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7(k)</w:t>
      </w:r>
      <w:r>
        <w:rPr>
          <w:rFonts w:ascii="Times New Roman" w:cs="Times New Roman" w:eastAsia="Times New Roman" w:hAnsi="Times New Roman"/>
          <w:sz w:val="21"/>
          <w:szCs w:val="21"/>
          <w:color w:val="auto"/>
        </w:rPr>
        <w:t xml:space="preserve"> with respect to the information required to be disclosed. If such protective order or other remedy is not obtained, or such other Party waives compliance with the non-disclosure provisions of this </w:t>
      </w:r>
      <w:r>
        <w:rPr>
          <w:rFonts w:ascii="Times New Roman" w:cs="Times New Roman" w:eastAsia="Times New Roman" w:hAnsi="Times New Roman"/>
          <w:sz w:val="21"/>
          <w:szCs w:val="21"/>
          <w:u w:val="single" w:color="auto"/>
          <w:color w:val="auto"/>
        </w:rPr>
        <w:t>Section 7(k)</w:t>
      </w:r>
      <w:r>
        <w:rPr>
          <w:rFonts w:ascii="Times New Roman" w:cs="Times New Roman" w:eastAsia="Times New Roman" w:hAnsi="Times New Roman"/>
          <w:sz w:val="21"/>
          <w:szCs w:val="21"/>
          <w:color w:val="auto"/>
        </w:rPr>
        <w:t xml:space="preserve"> with respect to the information required to be disclosed, the first Party will furnish only that portion of such information that it is advised, by opinion of counsel, is legally required to be furnished and will exercise reasonable efforts, at the other Party’s expense, to obtain reliable assurance that confidential treatment will be accorded such information, including, in the case of disclosures to the IRS described in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above, to obtain reliable assurance that, to the maximum extent permitted by applicable legal requirements, such information will not be made available for public inspection pursuant to Section 6110 of the Code.</w:t>
      </w:r>
    </w:p>
    <w:p>
      <w:pPr>
        <w:spacing w:after="0" w:line="157" w:lineRule="exact"/>
        <w:rPr>
          <w:sz w:val="20"/>
          <w:szCs w:val="20"/>
          <w:color w:val="auto"/>
        </w:rPr>
      </w:pPr>
    </w:p>
    <w:p>
      <w:pPr>
        <w:jc w:val="both"/>
        <w:ind w:left="480" w:firstLine="649"/>
        <w:spacing w:after="0" w:line="262" w:lineRule="auto"/>
        <w:tabs>
          <w:tab w:leader="none" w:pos="1756"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to the extent necessary for the exercise of its rights and remedies and the performance of its obligations under this Agreement, the Seller and its Affiliates will hold confidential and not disclose directly or indirectly, any of the economic terms particular to this Agreement, including the amount of the Purchase Price or the identity of the Buyer other than with respect to the disclosures of the type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21"/>
          <w:szCs w:val="21"/>
          <w:u w:val="single" w:color="auto"/>
          <w:color w:val="auto"/>
        </w:rPr>
        <w:t>Section 7(k)(i)</w:t>
      </w:r>
      <w:r>
        <w:rPr>
          <w:rFonts w:ascii="Times New Roman" w:cs="Times New Roman" w:eastAsia="Times New Roman" w:hAnsi="Times New Roman"/>
          <w:sz w:val="21"/>
          <w:szCs w:val="21"/>
          <w:color w:val="auto"/>
        </w:rPr>
        <w:t xml:space="preserve"> or in </w:t>
      </w:r>
      <w:r>
        <w:rPr>
          <w:rFonts w:ascii="Times New Roman" w:cs="Times New Roman" w:eastAsia="Times New Roman" w:hAnsi="Times New Roman"/>
          <w:sz w:val="21"/>
          <w:szCs w:val="21"/>
          <w:u w:val="single" w:color="auto"/>
          <w:color w:val="auto"/>
        </w:rPr>
        <w:t>Section 7(k)(iii)</w:t>
      </w:r>
      <w:r>
        <w:rPr>
          <w:rFonts w:ascii="Times New Roman" w:cs="Times New Roman" w:eastAsia="Times New Roman" w:hAnsi="Times New Roman"/>
          <w:sz w:val="21"/>
          <w:szCs w:val="21"/>
          <w:color w:val="auto"/>
        </w:rPr>
        <w:t>. The foregoing shall not restrict the Seller or the Project Company (or any Affiliate) from using project data related to the Facility in connection with the development of other renewable energy or other projects by the Seller or the Project Company (or any Affiliate).</w:t>
      </w:r>
    </w:p>
    <w:p>
      <w:pPr>
        <w:spacing w:after="0" w:line="158" w:lineRule="exact"/>
        <w:rPr>
          <w:rFonts w:ascii="Times New Roman" w:cs="Times New Roman" w:eastAsia="Times New Roman" w:hAnsi="Times New Roman"/>
          <w:sz w:val="21"/>
          <w:szCs w:val="21"/>
          <w:color w:val="auto"/>
        </w:rPr>
      </w:pPr>
    </w:p>
    <w:p>
      <w:pPr>
        <w:jc w:val="both"/>
        <w:ind w:left="480" w:firstLine="649"/>
        <w:spacing w:after="0" w:line="268" w:lineRule="auto"/>
        <w:tabs>
          <w:tab w:leader="none" w:pos="1762"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by Applicable Laws, no Party shall make any public announcements concerning this Agreement or the Transactions without the prior written consent of the other Party and if any Party shall make any such public announcement as required by Applicable Laws, it shall provide Notice of such announcement to the other Party as soon as reasonably possible.</w:t>
      </w:r>
    </w:p>
    <w:p>
      <w:pPr>
        <w:spacing w:after="0" w:line="163" w:lineRule="exact"/>
        <w:rPr>
          <w:rFonts w:ascii="Times New Roman" w:cs="Times New Roman" w:eastAsia="Times New Roman" w:hAnsi="Times New Roman"/>
          <w:sz w:val="21"/>
          <w:szCs w:val="21"/>
          <w:color w:val="auto"/>
        </w:rPr>
      </w:pPr>
    </w:p>
    <w:p>
      <w:pPr>
        <w:jc w:val="both"/>
        <w:ind w:left="480" w:firstLine="649"/>
        <w:spacing w:after="0" w:line="264" w:lineRule="auto"/>
        <w:tabs>
          <w:tab w:leader="none" w:pos="175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set forth in this Agreement, the Seller, the Seller Parties and their Affiliates shall be permitted to share Confidential Information with their representatives and prospective purchasers, transferees or assignees of the equity interests in the Seller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Persons agree to keep such information confidential in accordance with the terms of this </w:t>
      </w:r>
      <w:r>
        <w:rPr>
          <w:rFonts w:ascii="Times New Roman" w:cs="Times New Roman" w:eastAsia="Times New Roman" w:hAnsi="Times New Roman"/>
          <w:sz w:val="21"/>
          <w:szCs w:val="21"/>
          <w:u w:val="single" w:color="auto"/>
          <w:color w:val="auto"/>
        </w:rPr>
        <w:t>Section 7(k)</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color w:val="auto"/>
        </w:rPr>
      </w:pPr>
    </w:p>
    <w:p>
      <w:pPr>
        <w:jc w:val="both"/>
        <w:ind w:left="480" w:firstLine="649"/>
        <w:spacing w:after="0" w:line="260" w:lineRule="auto"/>
        <w:tabs>
          <w:tab w:leader="none" w:pos="1758"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contained in this </w:t>
      </w:r>
      <w:r>
        <w:rPr>
          <w:rFonts w:ascii="Times New Roman" w:cs="Times New Roman" w:eastAsia="Times New Roman" w:hAnsi="Times New Roman"/>
          <w:sz w:val="21"/>
          <w:szCs w:val="21"/>
          <w:u w:val="single" w:color="auto"/>
          <w:color w:val="auto"/>
        </w:rPr>
        <w:t>Section 7(k)</w:t>
      </w:r>
      <w:r>
        <w:rPr>
          <w:rFonts w:ascii="Times New Roman" w:cs="Times New Roman" w:eastAsia="Times New Roman" w:hAnsi="Times New Roman"/>
          <w:sz w:val="21"/>
          <w:szCs w:val="21"/>
          <w:color w:val="auto"/>
        </w:rPr>
        <w:t xml:space="preserve"> shall be construed so as to prohibit a Party from using any Confidential Information in connection with (A) any claim against the other Party, (B) any exercise by such Party of any of its rights hereunder (including the ownership, operation and administration of the Project Company and the Facility) or (C) a disposition by the Seller or its Affiliates of all or a portion of its interest in the Project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potential purchaser shall have entered into a confidentiality agreement with respect to Confidential Information on customary terms used in confidentiality agreements in connection with corporate acquisitions before any such information may be disclosed.</w:t>
      </w:r>
    </w:p>
    <w:p>
      <w:pPr>
        <w:spacing w:after="0" w:line="172" w:lineRule="exact"/>
        <w:rPr>
          <w:rFonts w:ascii="Times New Roman" w:cs="Times New Roman" w:eastAsia="Times New Roman" w:hAnsi="Times New Roman"/>
          <w:sz w:val="21"/>
          <w:szCs w:val="21"/>
          <w:color w:val="auto"/>
        </w:rPr>
      </w:pPr>
    </w:p>
    <w:p>
      <w:pPr>
        <w:jc w:val="both"/>
        <w:ind w:left="480" w:firstLine="649"/>
        <w:spacing w:after="0" w:line="270" w:lineRule="auto"/>
        <w:tabs>
          <w:tab w:leader="none" w:pos="175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each Party hereby acknowledges that the U.S. federal securities laws and applicable European securities laws, among other things, prohibit certain Persons in possession of material, non-public information concerning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480" w:top="1020" w:right="379" w:bottom="1440" w:gutter="0" w:footer="0" w:header="0"/>
        </w:sectPr>
      </w:pPr>
    </w:p>
    <w:bookmarkStart w:id="266" w:name="page267"/>
    <w:bookmarkEnd w:id="266"/>
    <w:p>
      <w:pPr>
        <w:jc w:val="both"/>
        <w:ind w:left="480"/>
        <w:spacing w:after="0" w:line="260" w:lineRule="auto"/>
        <w:rPr>
          <w:sz w:val="20"/>
          <w:szCs w:val="20"/>
          <w:color w:val="auto"/>
        </w:rPr>
      </w:pPr>
      <w:r>
        <w:rPr>
          <w:rFonts w:ascii="Times New Roman" w:cs="Times New Roman" w:eastAsia="Times New Roman" w:hAnsi="Times New Roman"/>
          <w:sz w:val="21"/>
          <w:szCs w:val="21"/>
          <w:color w:val="auto"/>
        </w:rPr>
        <w:t>or securities from buying or selling securities issued by those companies or disclosing that material, nonpublic information to others who buy or sell those securities while in possession of that information (or disclose that information to others who buy or sell). Notwithstanding anything herein to the contrary, the Parties and their respective representatives may disclose to any and all Persons, without limitation of any kind, the U.S. federal income Tax treatment and Tax structure of the transaction and all materials of any kind (including opinions and other Tax analyses) that are provided to such party relating to such Tax treatment and Tax structure, except where confidentiality is reasonably necessary to comply with securities laws. For this purpose, “Tax structure” is limited to facts relevant to the U.S. federal income Tax treatment of the Transaction and does not include information (A) relating to the identity of the Parties, their Affiliates, agents, or advisors or (B) the operation or design of the Facility.</w:t>
      </w:r>
    </w:p>
    <w:p>
      <w:pPr>
        <w:spacing w:after="0" w:line="170" w:lineRule="exact"/>
        <w:rPr>
          <w:sz w:val="20"/>
          <w:szCs w:val="20"/>
          <w:color w:val="auto"/>
        </w:rPr>
      </w:pPr>
    </w:p>
    <w:p>
      <w:pPr>
        <w:jc w:val="both"/>
        <w:ind w:left="-160" w:firstLine="648"/>
        <w:spacing w:after="0" w:line="262" w:lineRule="auto"/>
        <w:tabs>
          <w:tab w:leader="none" w:pos="111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xml:space="preserve">. In the event of a breach by a Party of the provisions of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7(k)</w:t>
      </w:r>
      <w:r>
        <w:rPr>
          <w:rFonts w:ascii="Times New Roman" w:cs="Times New Roman" w:eastAsia="Times New Roman" w:hAnsi="Times New Roman"/>
          <w:sz w:val="21"/>
          <w:szCs w:val="21"/>
          <w:color w:val="auto"/>
        </w:rPr>
        <w:t>, the other Party will have the right to seek specific performance and injunctive relief giving effect to its rights under this Agreement, in addition to any and all other rights and remedies at law or in equity, and all such rights and remedies will be cumulative. The Parties hereto agree that any such breach would cause irreparable injury, that the remedies at law for any such breach, including monetary damages, are inadequate compensation for any loss and that any defense in any action for specific performance that a remedy at law would be adequate is waived.</w:t>
      </w:r>
    </w:p>
    <w:p>
      <w:pPr>
        <w:spacing w:after="0" w:line="181" w:lineRule="exact"/>
        <w:rPr>
          <w:rFonts w:ascii="Times New Roman" w:cs="Times New Roman" w:eastAsia="Times New Roman" w:hAnsi="Times New Roman"/>
          <w:sz w:val="21"/>
          <w:szCs w:val="21"/>
          <w:color w:val="auto"/>
        </w:rPr>
      </w:pPr>
    </w:p>
    <w:p>
      <w:pPr>
        <w:ind w:left="1120" w:hanging="632"/>
        <w:spacing w:after="0"/>
        <w:tabs>
          <w:tab w:leader="none" w:pos="112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Protection of Title; Transfers Intended as Sale; Security Interest</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jc w:val="both"/>
        <w:ind w:left="480" w:firstLine="649"/>
        <w:spacing w:after="0" w:line="268" w:lineRule="auto"/>
        <w:tabs>
          <w:tab w:leader="none" w:pos="1750"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express intent of the parties hereto that each transfer of Transferred Tax Credits by the Seller to each Buyer, as contemplated by this Agreement be, and be treated as, a sale by the Seller to such Buyer. It is, further, not the intention of the Parties that any such transfer be, or be deemed, a pledge of the Transferred Tax Credits by the Seller to the applicable Buyer to secure a debt or other obligation of the Seller.</w:t>
      </w:r>
    </w:p>
    <w:p>
      <w:pPr>
        <w:spacing w:after="0" w:line="163" w:lineRule="exact"/>
        <w:rPr>
          <w:rFonts w:ascii="Times New Roman" w:cs="Times New Roman" w:eastAsia="Times New Roman" w:hAnsi="Times New Roman"/>
          <w:sz w:val="21"/>
          <w:szCs w:val="21"/>
          <w:color w:val="auto"/>
        </w:rPr>
      </w:pPr>
    </w:p>
    <w:p>
      <w:pPr>
        <w:jc w:val="both"/>
        <w:ind w:left="480" w:firstLine="649"/>
        <w:spacing w:after="0" w:line="258" w:lineRule="auto"/>
        <w:tabs>
          <w:tab w:leader="none" w:pos="1756"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notwithstanding the intent of the Parties, the Transferred Tax Credits are held by a court to continue to be property of the Seller then (A) this Agreement shall be deemed to be a security agreement within the meaning of Articles 8 and 9 of the applicable Uniform Commercial Code and (B) the transfer of Transferred Tax Credits provided for herein shall be deemed to be a grant by the Seller, and the Seller does hereby grant, to each Buyer a first-priority security interest in all of the Seller’s right, title and interest in, to and under the following, whether now owned or existing or hereafter arising and wherever located: (1) the applicable portion of the Transferred Tax Credits and the Minimum Documentation and (2) all Proceeds (as defined in the Uniform Commercial Code), voluntary or involuntary, of the foregoing. Each of the Parties shall, to the extent consistent with this Agreement, take such actions as may be reasonably necessary to ensure that, if this Agreement were deemed to create a security interest in the Transferred Tax Credits, such security interest would be deemed to be a perfected security interest of first priority under Applicable Law, including that the Seller hereby authorizes the filing of financing statements or continuation statements, and amendments to financing statements, in any jurisdictions and with any filing office as each Buyer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480" w:top="1021" w:right="379" w:bottom="1440" w:gutter="0" w:footer="0" w:header="0"/>
        </w:sectPr>
      </w:pPr>
    </w:p>
    <w:bookmarkStart w:id="267" w:name="page268"/>
    <w:bookmarkEnd w:id="267"/>
    <w:p>
      <w:pPr>
        <w:jc w:val="both"/>
        <w:ind w:left="480"/>
        <w:spacing w:after="0" w:line="268" w:lineRule="auto"/>
        <w:rPr>
          <w:sz w:val="20"/>
          <w:szCs w:val="20"/>
          <w:color w:val="auto"/>
        </w:rPr>
      </w:pPr>
      <w:r>
        <w:rPr>
          <w:rFonts w:ascii="Times New Roman" w:cs="Times New Roman" w:eastAsia="Times New Roman" w:hAnsi="Times New Roman"/>
          <w:sz w:val="21"/>
          <w:szCs w:val="21"/>
          <w:color w:val="auto"/>
        </w:rPr>
        <w:t>determine, in its sole discretion, are necessary or advisable, to the extent this Agreement were deemed to create a security interest in the Transferred Tax Credits, to perfect (or maintain) any such security interest granted to each Buyer in connection herewith. Such statements may name the Seller or any Seller Party that owns the Project Company as “debtor” and each Buyer as “secured party”.</w:t>
      </w:r>
    </w:p>
    <w:p>
      <w:pPr>
        <w:spacing w:after="0" w:line="164" w:lineRule="exact"/>
        <w:rPr>
          <w:sz w:val="20"/>
          <w:szCs w:val="20"/>
          <w:color w:val="auto"/>
        </w:rPr>
      </w:pPr>
    </w:p>
    <w:p>
      <w:pPr>
        <w:jc w:val="both"/>
        <w:ind w:left="480" w:firstLine="649"/>
        <w:spacing w:after="0" w:line="260" w:lineRule="auto"/>
        <w:tabs>
          <w:tab w:leader="none" w:pos="1762"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hereby represents and warrants that as of the date hereof: (A) the full and correct legal name of the Seller is Opal Fuels LLC, (B) its type of organization is a limited liability company, (C) its jurisdiction of organization is Delaware, (D) the Seller’s mailing address and place of business (or, if the Seller has more than one place of business, the location of the chief executive office of the Seller) is One North Lexington Avenue, Suite 1450, White Plains, NY 10601, and (E) the Seller has not, since its formation, changed its “location” (as defined in Section 9-307 of the Uniform Commercial Code), changed its name or become a “new debtor” (as defined in Section 9-102(a)(56) of the Uniform Commercial Code) with respect to a currently effective security agreement previously entered into by any other Person.</w:t>
      </w:r>
    </w:p>
    <w:p>
      <w:pPr>
        <w:spacing w:after="0" w:line="159" w:lineRule="exact"/>
        <w:rPr>
          <w:rFonts w:ascii="Times New Roman" w:cs="Times New Roman" w:eastAsia="Times New Roman" w:hAnsi="Times New Roman"/>
          <w:sz w:val="21"/>
          <w:szCs w:val="21"/>
          <w:color w:val="auto"/>
        </w:rPr>
      </w:pPr>
    </w:p>
    <w:p>
      <w:pPr>
        <w:jc w:val="both"/>
        <w:ind w:left="480" w:firstLine="649"/>
        <w:spacing w:after="0" w:line="264" w:lineRule="auto"/>
        <w:tabs>
          <w:tab w:leader="none" w:pos="1750"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Seller shall notify each Buyer in writing within ten (10) days following the occurrence of (A) any change in the Seller’s type of organization or jurisdiction of organization, (B) any change in the Seller’s “location” (within the meaning of Section 9307 of the Unform Commercial Code), and (C) any change in the Seller’s name, and shall take all action prior to making such change reasonably necessary or advisable in the opinion of each Buyer to amend all previously filed financing statements or continuation statements described in this </w:t>
      </w:r>
      <w:r>
        <w:rPr>
          <w:rFonts w:ascii="Times New Roman" w:cs="Times New Roman" w:eastAsia="Times New Roman" w:hAnsi="Times New Roman"/>
          <w:sz w:val="21"/>
          <w:szCs w:val="21"/>
          <w:u w:val="single" w:color="auto"/>
          <w:color w:val="auto"/>
        </w:rPr>
        <w:t>Section 7(m)</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blank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40"/>
          </w:cols>
          <w:pgMar w:left="480" w:top="1020" w:right="379" w:bottom="1440" w:gutter="0" w:footer="0" w:header="0"/>
        </w:sectPr>
      </w:pPr>
    </w:p>
    <w:bookmarkStart w:id="268" w:name="page269"/>
    <w:bookmarkEnd w:id="268"/>
    <w:p>
      <w:pPr>
        <w:ind w:left="760" w:firstLine="1282"/>
        <w:spacing w:after="0" w:line="262" w:lineRule="auto"/>
        <w:rPr>
          <w:sz w:val="20"/>
          <w:szCs w:val="20"/>
          <w:color w:val="auto"/>
        </w:rPr>
      </w:pPr>
      <w:r>
        <w:rPr>
          <w:rFonts w:ascii="Times New Roman" w:cs="Times New Roman" w:eastAsia="Times New Roman" w:hAnsi="Times New Roman"/>
          <w:sz w:val="20"/>
          <w:szCs w:val="20"/>
          <w:color w:val="auto"/>
        </w:rPr>
        <w:t>IN WITNESS WHEREOF, the Seller and the Buyer have executed this Tax Credit Purchase Agreement as of the date first above written.</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u w:val="single" w:color="auto"/>
          <w:color w:val="auto"/>
        </w:rPr>
        <w:t>SELLER:</w:t>
      </w: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OPAL FUELS LLC</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By: /s/ Jonathan Maurer</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Name: Jonathan Maurer</w:t>
      </w:r>
    </w:p>
    <w:p>
      <w:pPr>
        <w:spacing w:after="0" w:line="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Co-Chief Executive Officer</w:t>
      </w:r>
    </w:p>
    <w:p>
      <w:pPr>
        <w:sectPr>
          <w:pgSz w:w="11900" w:h="16838" w:orient="portrait"/>
          <w:cols w:equalWidth="0" w:num="1">
            <w:col w:w="10880"/>
          </w:cols>
          <w:pgMar w:left="540" w:top="1159" w:right="479" w:bottom="1440" w:gutter="0" w:footer="0" w:header="0"/>
        </w:sectPr>
      </w:pPr>
    </w:p>
    <w:bookmarkStart w:id="269" w:name="page270"/>
    <w:bookmarkEnd w:id="269"/>
    <w:p>
      <w:pPr>
        <w:spacing w:after="0"/>
        <w:tabs>
          <w:tab w:leader="none" w:pos="760" w:val="left"/>
        </w:tabs>
        <w:rPr>
          <w:sz w:val="20"/>
          <w:szCs w:val="20"/>
          <w:color w:val="auto"/>
        </w:rPr>
      </w:pPr>
      <w:r>
        <w:rPr>
          <w:rFonts w:ascii="Times New Roman" w:cs="Times New Roman" w:eastAsia="Times New Roman" w:hAnsi="Times New Roman"/>
          <w:sz w:val="18"/>
          <w:szCs w:val="18"/>
          <w:color w:val="auto"/>
        </w:rPr>
        <w:t>Polk</w:t>
      </w:r>
      <w:r>
        <w:rPr>
          <w:sz w:val="20"/>
          <w:szCs w:val="20"/>
          <w:color w:val="auto"/>
        </w:rPr>
        <w:tab/>
      </w:r>
      <w:r>
        <w:rPr>
          <w:rFonts w:ascii="Times New Roman" w:cs="Times New Roman" w:eastAsia="Times New Roman" w:hAnsi="Times New Roman"/>
          <w:sz w:val="18"/>
          <w:szCs w:val="18"/>
          <w:color w:val="auto"/>
        </w:rPr>
        <w:t>Tax Credit Purchase Agreement</w:t>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b w:val="1"/>
          <w:bCs w:val="1"/>
          <w:u w:val="single" w:color="auto"/>
          <w:color w:val="auto"/>
        </w:rPr>
        <w:t>BUYER 1:</w:t>
      </w:r>
    </w:p>
    <w:p>
      <w:pPr>
        <w:spacing w:after="0" w:line="2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b w:val="1"/>
          <w:bCs w:val="1"/>
          <w:color w:val="auto"/>
        </w:rPr>
        <w:t>2024 TTC AGGREGATOR (B), L.P.</w:t>
      </w:r>
    </w:p>
    <w:p>
      <w:pPr>
        <w:spacing w:after="0" w:line="2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By: 2024 TTC Aggregator GP, LLC, its general partner</w:t>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By: Apollo Principal Holdings B, L.P., its sole member</w:t>
      </w:r>
    </w:p>
    <w:p>
      <w:pPr>
        <w:spacing w:after="0" w:line="1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By: Apollo Principal Holdings B GP, LLC, its general partner</w:t>
      </w:r>
    </w:p>
    <w:p>
      <w:pPr>
        <w:spacing w:after="0" w:line="200" w:lineRule="exact"/>
        <w:rPr>
          <w:sz w:val="20"/>
          <w:szCs w:val="20"/>
          <w:color w:val="auto"/>
        </w:rPr>
      </w:pPr>
    </w:p>
    <w:p>
      <w:pPr>
        <w:spacing w:after="0" w:line="20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By: /s/ William Kuesel</w:t>
      </w:r>
    </w:p>
    <w:p>
      <w:pPr>
        <w:spacing w:after="0" w:line="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Name: William B. Kuesel</w:t>
      </w:r>
    </w:p>
    <w:p>
      <w:pPr>
        <w:spacing w:after="0" w:line="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to Tax Credit Purchase Agreement]</w:t>
      </w:r>
    </w:p>
    <w:p>
      <w:pPr>
        <w:sectPr>
          <w:pgSz w:w="11900" w:h="16838" w:orient="portrait"/>
          <w:cols w:equalWidth="0" w:num="1">
            <w:col w:w="9919"/>
          </w:cols>
          <w:pgMar w:left="540" w:top="602" w:right="1440" w:bottom="1440" w:gutter="0" w:footer="0" w:header="0"/>
        </w:sectPr>
      </w:pPr>
    </w:p>
    <w:bookmarkStart w:id="270" w:name="page271"/>
    <w:bookmarkEnd w:id="270"/>
    <w:p>
      <w:pPr>
        <w:ind w:left="4560"/>
        <w:spacing w:after="0"/>
        <w:rPr>
          <w:sz w:val="20"/>
          <w:szCs w:val="20"/>
          <w:color w:val="auto"/>
        </w:rPr>
      </w:pPr>
      <w:r>
        <w:rPr>
          <w:rFonts w:ascii="Times New Roman" w:cs="Times New Roman" w:eastAsia="Times New Roman" w:hAnsi="Times New Roman"/>
          <w:sz w:val="21"/>
          <w:szCs w:val="21"/>
          <w:b w:val="1"/>
          <w:bCs w:val="1"/>
          <w:u w:val="single" w:color="auto"/>
          <w:color w:val="auto"/>
        </w:rPr>
        <w:t>BUYER 2:</w:t>
      </w:r>
    </w:p>
    <w:p>
      <w:pPr>
        <w:spacing w:after="0" w:line="21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ATHENE ANNUITY AND LIFE COMPANY</w:t>
      </w:r>
    </w:p>
    <w:p>
      <w:pPr>
        <w:spacing w:after="0" w:line="217"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21"/>
          <w:szCs w:val="21"/>
          <w:color w:val="auto"/>
        </w:rPr>
        <w:t>By: Apollo Insurance Solutions Group LP, its investment</w:t>
      </w:r>
    </w:p>
    <w:p>
      <w:pPr>
        <w:spacing w:after="0" w:line="3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color w:val="auto"/>
        </w:rPr>
        <w:t>manager By: AISG GP Ltd., its general partner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James R. Belardi</w:t>
      </w:r>
    </w:p>
    <w:p>
      <w:pPr>
        <w:spacing w:after="0" w:line="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Name: James R. Belardi</w:t>
      </w:r>
    </w:p>
    <w:p>
      <w:pPr>
        <w:spacing w:after="0" w:line="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Signature Page to Tax Credit Purchase Agreement]</w:t>
      </w:r>
    </w:p>
    <w:p>
      <w:pPr>
        <w:sectPr>
          <w:pgSz w:w="11900" w:h="16838" w:orient="portrait"/>
          <w:cols w:equalWidth="0" w:num="1">
            <w:col w:w="9859"/>
          </w:cols>
          <w:pgMar w:left="600" w:top="575" w:right="1440"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GUARANTY</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by</w:t>
      </w:r>
    </w:p>
    <w:p>
      <w:pPr>
        <w:spacing w:after="0" w:line="266" w:lineRule="exact"/>
        <w:rPr>
          <w:sz w:val="20"/>
          <w:szCs w:val="20"/>
          <w:color w:val="auto"/>
        </w:rPr>
      </w:pPr>
    </w:p>
    <w:p>
      <w:pPr>
        <w:ind w:left="1540" w:right="2660" w:firstLine="533"/>
        <w:spacing w:after="0" w:line="438" w:lineRule="auto"/>
        <w:rPr>
          <w:sz w:val="20"/>
          <w:szCs w:val="20"/>
          <w:color w:val="auto"/>
        </w:rPr>
      </w:pPr>
      <w:r>
        <w:rPr>
          <w:rFonts w:ascii="Times New Roman" w:cs="Times New Roman" w:eastAsia="Times New Roman" w:hAnsi="Times New Roman"/>
          <w:sz w:val="21"/>
          <w:szCs w:val="21"/>
          <w:color w:val="auto"/>
        </w:rPr>
        <w:t>OPAL FUELS INC., a Delaware corporation, in favor of 2024 TTC AGGREGATOR (B), L.P., a Delaware limited partnership</w:t>
      </w:r>
    </w:p>
    <w:p>
      <w:pPr>
        <w:ind w:left="4340"/>
        <w:spacing w:after="0"/>
        <w:rPr>
          <w:sz w:val="20"/>
          <w:szCs w:val="20"/>
          <w:color w:val="auto"/>
        </w:rPr>
      </w:pPr>
      <w:r>
        <w:rPr>
          <w:rFonts w:ascii="Times New Roman" w:cs="Times New Roman" w:eastAsia="Times New Roman" w:hAnsi="Times New Roman"/>
          <w:sz w:val="21"/>
          <w:szCs w:val="21"/>
          <w:color w:val="auto"/>
        </w:rPr>
        <w:t>and</w:t>
      </w:r>
    </w:p>
    <w:p>
      <w:pPr>
        <w:spacing w:after="0" w:line="21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ATHENE ANNUITY AND LIFE COMPANY,</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an Iowa corporation</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dated as of September 12, 2025</w:t>
      </w:r>
    </w:p>
    <w:p>
      <w:pPr>
        <w:sectPr>
          <w:pgSz w:w="11900" w:h="16838" w:orient="portrait"/>
          <w:cols w:equalWidth="0" w:num="1">
            <w:col w:w="10120"/>
          </w:cols>
          <w:pgMar w:left="1440" w:top="1020" w:right="33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4040" w:type="dxa"/>
            <w:vAlign w:val="bottom"/>
          </w:tcPr>
          <w:p>
            <w:pPr>
              <w:spacing w:after="0"/>
              <w:rPr>
                <w:sz w:val="21"/>
                <w:szCs w:val="2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w w:val="97"/>
              </w:rPr>
              <w:t>Page</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4040" w:type="dxa"/>
            <w:vAlign w:val="bottom"/>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8"/>
        </w:trPr>
        <w:tc>
          <w:tcPr>
            <w:tcW w:w="67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83"/>
              </w:rPr>
              <w:t>ARTICLE I. DEFINITIONS ...........................................................................................................</w:t>
            </w:r>
          </w:p>
        </w:tc>
        <w:tc>
          <w:tcPr>
            <w:tcW w:w="4040" w:type="dxa"/>
            <w:vAlign w:val="bottom"/>
          </w:tcPr>
          <w:p>
            <w:pPr>
              <w:jc w:val="right"/>
              <w:ind w:right="2373"/>
              <w:spacing w:after="0"/>
              <w:rPr>
                <w:sz w:val="20"/>
                <w:szCs w:val="20"/>
                <w:color w:val="auto"/>
              </w:rPr>
            </w:pPr>
            <w:r>
              <w:rPr>
                <w:rFonts w:ascii="Times New Roman" w:cs="Times New Roman" w:eastAsia="Times New Roman" w:hAnsi="Times New Roman"/>
                <w:sz w:val="21"/>
                <w:szCs w:val="21"/>
                <w:color w:val="auto"/>
              </w:rPr>
              <w:t>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1"/>
              </w:rPr>
              <w:t>Defined Terms .........................................................................................................</w:t>
            </w:r>
          </w:p>
        </w:tc>
        <w:tc>
          <w:tcPr>
            <w:tcW w:w="4040" w:type="dxa"/>
            <w:vAlign w:val="bottom"/>
          </w:tcPr>
          <w:p>
            <w:pPr>
              <w:jc w:val="right"/>
              <w:ind w:right="2893"/>
              <w:spacing w:after="0"/>
              <w:rPr>
                <w:sz w:val="20"/>
                <w:szCs w:val="20"/>
                <w:color w:val="auto"/>
              </w:rPr>
            </w:pPr>
            <w:r>
              <w:rPr>
                <w:rFonts w:ascii="Times New Roman" w:cs="Times New Roman" w:eastAsia="Times New Roman" w:hAnsi="Times New Roman"/>
                <w:sz w:val="21"/>
                <w:szCs w:val="21"/>
                <w:color w:val="auto"/>
              </w:rPr>
              <w:t>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0"/>
              </w:rPr>
              <w:t>General Definitions ..................................................................................................</w:t>
            </w:r>
          </w:p>
        </w:tc>
        <w:tc>
          <w:tcPr>
            <w:tcW w:w="404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0"/>
              </w:rPr>
              <w:t>Rules of Interpretation .............................................................................................</w:t>
            </w:r>
          </w:p>
        </w:tc>
        <w:tc>
          <w:tcPr>
            <w:tcW w:w="404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83"/>
              </w:rPr>
              <w:t>ARTICLE II. GUARANTY.............................................................................................................</w:t>
            </w:r>
          </w:p>
        </w:tc>
        <w:tc>
          <w:tcPr>
            <w:tcW w:w="4040" w:type="dxa"/>
            <w:vAlign w:val="bottom"/>
          </w:tcPr>
          <w:p>
            <w:pPr>
              <w:jc w:val="right"/>
              <w:ind w:right="239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0"/>
              </w:rPr>
              <w:t>Guaranty ...................................................................................................................</w:t>
            </w:r>
          </w:p>
        </w:tc>
        <w:tc>
          <w:tcPr>
            <w:tcW w:w="404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0"/>
              </w:rPr>
              <w:t>Obligations Absolute and Unconditional .................................................................</w:t>
            </w:r>
          </w:p>
        </w:tc>
        <w:tc>
          <w:tcPr>
            <w:tcW w:w="404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82"/>
              </w:rPr>
              <w:t>ARTICLE III. REPRESENTATIONS AND WARRANTIES ........................................................</w:t>
            </w:r>
          </w:p>
        </w:tc>
        <w:tc>
          <w:tcPr>
            <w:tcW w:w="4040" w:type="dxa"/>
            <w:vAlign w:val="bottom"/>
          </w:tcPr>
          <w:p>
            <w:pPr>
              <w:jc w:val="right"/>
              <w:ind w:right="2393"/>
              <w:spacing w:after="0"/>
              <w:rPr>
                <w:sz w:val="20"/>
                <w:szCs w:val="20"/>
                <w:color w:val="auto"/>
              </w:rPr>
            </w:pPr>
            <w:r>
              <w:rPr>
                <w:rFonts w:ascii="Times New Roman" w:cs="Times New Roman" w:eastAsia="Times New Roman" w:hAnsi="Times New Roman"/>
                <w:sz w:val="21"/>
                <w:szCs w:val="21"/>
                <w:color w:val="auto"/>
              </w:rPr>
              <w:t>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0"/>
              </w:rPr>
              <w:t>Guarantor’s Representations and Warranties ...........................................................</w:t>
            </w:r>
          </w:p>
        </w:tc>
        <w:tc>
          <w:tcPr>
            <w:tcW w:w="404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83"/>
              </w:rPr>
              <w:t>ARTICLE IV. COVENANTS .........................................................................................................</w:t>
            </w:r>
          </w:p>
        </w:tc>
        <w:tc>
          <w:tcPr>
            <w:tcW w:w="4040" w:type="dxa"/>
            <w:vAlign w:val="bottom"/>
          </w:tcPr>
          <w:p>
            <w:pPr>
              <w:jc w:val="right"/>
              <w:ind w:right="2373"/>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0"/>
              </w:rPr>
              <w:t>Maintenance of Corporate Existence .......................................................................</w:t>
            </w:r>
          </w:p>
        </w:tc>
        <w:tc>
          <w:tcPr>
            <w:tcW w:w="404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spacing w:after="0"/>
              <w:rPr>
                <w:sz w:val="24"/>
                <w:szCs w:val="24"/>
                <w:color w:val="auto"/>
              </w:rPr>
            </w:pP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w w:val="98"/>
              </w:rPr>
              <w:t>4.2</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84"/>
              </w:rPr>
              <w:t>Consents and Approvals ..........................................................................................</w:t>
            </w:r>
          </w:p>
        </w:tc>
        <w:tc>
          <w:tcPr>
            <w:tcW w:w="4480" w:type="dxa"/>
            <w:vAlign w:val="bottom"/>
            <w:gridSpan w:val="2"/>
          </w:tcPr>
          <w:p>
            <w:pPr>
              <w:ind w:left="1260"/>
              <w:spacing w:after="0"/>
              <w:rPr>
                <w:sz w:val="20"/>
                <w:szCs w:val="20"/>
                <w:color w:val="auto"/>
              </w:rPr>
            </w:pPr>
            <w:r>
              <w:rPr>
                <w:rFonts w:ascii="Times New Roman" w:cs="Times New Roman" w:eastAsia="Times New Roman" w:hAnsi="Times New Roman"/>
                <w:sz w:val="21"/>
                <w:szCs w:val="21"/>
                <w:color w:val="auto"/>
              </w:rPr>
              <w:t>7 4.3   Compliance with Laws</w:t>
            </w:r>
          </w:p>
        </w:tc>
        <w:tc>
          <w:tcPr>
            <w:tcW w:w="0" w:type="dxa"/>
            <w:vAlign w:val="bottom"/>
          </w:tcPr>
          <w:p>
            <w:pPr>
              <w:spacing w:after="0"/>
              <w:rPr>
                <w:sz w:val="1"/>
                <w:szCs w:val="1"/>
                <w:color w:val="auto"/>
              </w:rPr>
            </w:pPr>
          </w:p>
        </w:tc>
      </w:tr>
      <w:tr>
        <w:trPr>
          <w:trHeight w:val="269"/>
        </w:trPr>
        <w:tc>
          <w:tcPr>
            <w:tcW w:w="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4040" w:type="dxa"/>
            <w:vAlign w:val="bottom"/>
          </w:tcPr>
          <w:p>
            <w:pPr>
              <w:ind w:left="1260"/>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84"/>
              </w:rPr>
              <w:t>Dissolution; Merger .................................................................................................</w:t>
            </w:r>
          </w:p>
        </w:tc>
        <w:tc>
          <w:tcPr>
            <w:tcW w:w="4480" w:type="dxa"/>
            <w:vAlign w:val="bottom"/>
            <w:gridSpan w:val="2"/>
          </w:tcPr>
          <w:p>
            <w:pPr>
              <w:ind w:left="1360"/>
              <w:spacing w:after="0"/>
              <w:rPr>
                <w:sz w:val="20"/>
                <w:szCs w:val="20"/>
                <w:color w:val="auto"/>
              </w:rPr>
            </w:pPr>
            <w:r>
              <w:rPr>
                <w:rFonts w:ascii="Times New Roman" w:cs="Times New Roman" w:eastAsia="Times New Roman" w:hAnsi="Times New Roman"/>
                <w:sz w:val="21"/>
                <w:szCs w:val="21"/>
                <w:color w:val="auto"/>
              </w:rPr>
              <w:t>7 4.5   Financial Statements</w:t>
            </w:r>
          </w:p>
        </w:tc>
        <w:tc>
          <w:tcPr>
            <w:tcW w:w="0" w:type="dxa"/>
            <w:vAlign w:val="bottom"/>
          </w:tcPr>
          <w:p>
            <w:pPr>
              <w:spacing w:after="0"/>
              <w:rPr>
                <w:sz w:val="1"/>
                <w:szCs w:val="1"/>
                <w:color w:val="auto"/>
              </w:rPr>
            </w:pPr>
          </w:p>
        </w:tc>
      </w:tr>
      <w:tr>
        <w:trPr>
          <w:trHeight w:val="281"/>
        </w:trPr>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4040" w:type="dxa"/>
            <w:vAlign w:val="bottom"/>
          </w:tcPr>
          <w:p>
            <w:pPr>
              <w:ind w:left="1380"/>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1"/>
              </w:rPr>
              <w:t>Required Credit Criteria and Required Credit Support............................................</w:t>
            </w:r>
          </w:p>
        </w:tc>
        <w:tc>
          <w:tcPr>
            <w:tcW w:w="404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83"/>
              </w:rPr>
              <w:t>ARTICLE V. SUBORDINATION; SUBROGATION; ETC. ........................................................</w:t>
            </w:r>
          </w:p>
        </w:tc>
        <w:tc>
          <w:tcPr>
            <w:tcW w:w="4040" w:type="dxa"/>
            <w:vAlign w:val="bottom"/>
          </w:tcPr>
          <w:p>
            <w:pPr>
              <w:jc w:val="right"/>
              <w:ind w:right="243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0"/>
              </w:rPr>
              <w:t>Taxes ........................................................................................................................</w:t>
            </w:r>
          </w:p>
        </w:tc>
        <w:tc>
          <w:tcPr>
            <w:tcW w:w="404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0"/>
              </w:rPr>
              <w:t>Subordination ...........................................................................................................</w:t>
            </w:r>
          </w:p>
        </w:tc>
        <w:tc>
          <w:tcPr>
            <w:tcW w:w="404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0"/>
              </w:rPr>
              <w:t>Waiver ......................................................................................................................</w:t>
            </w:r>
          </w:p>
        </w:tc>
        <w:tc>
          <w:tcPr>
            <w:tcW w:w="404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Subrogation ............................................................................................................</w:t>
            </w:r>
          </w:p>
        </w:tc>
        <w:tc>
          <w:tcPr>
            <w:tcW w:w="404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1"/>
              </w:rPr>
              <w:t>Reinstatement .........................................................................................................</w:t>
            </w:r>
          </w:p>
        </w:tc>
        <w:tc>
          <w:tcPr>
            <w:tcW w:w="4040" w:type="dxa"/>
            <w:vAlign w:val="bottom"/>
          </w:tcPr>
          <w:p>
            <w:pPr>
              <w:jc w:val="right"/>
              <w:ind w:right="2833"/>
              <w:spacing w:after="0"/>
              <w:rPr>
                <w:sz w:val="20"/>
                <w:szCs w:val="20"/>
                <w:color w:val="auto"/>
              </w:rPr>
            </w:pPr>
            <w:r>
              <w:rPr>
                <w:rFonts w:ascii="Times New Roman" w:cs="Times New Roman" w:eastAsia="Times New Roman" w:hAnsi="Times New Roman"/>
                <w:sz w:val="21"/>
                <w:szCs w:val="21"/>
                <w:color w:val="auto"/>
              </w:rPr>
              <w:t>11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Limitations .............................................................................................................</w:t>
            </w:r>
          </w:p>
        </w:tc>
        <w:tc>
          <w:tcPr>
            <w:tcW w:w="404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w w:val="84"/>
              </w:rPr>
              <w:t>ARTICLE VI. MISCELLANEOUS ..............................................................................................</w:t>
            </w:r>
          </w:p>
        </w:tc>
        <w:tc>
          <w:tcPr>
            <w:tcW w:w="4040" w:type="dxa"/>
            <w:vAlign w:val="bottom"/>
          </w:tcPr>
          <w:p>
            <w:pPr>
              <w:ind w:left="1380"/>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Successions or Assignments ..................................................................................</w:t>
            </w:r>
          </w:p>
        </w:tc>
        <w:tc>
          <w:tcPr>
            <w:tcW w:w="404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Public Announcements ..........................................................................................</w:t>
            </w:r>
          </w:p>
        </w:tc>
        <w:tc>
          <w:tcPr>
            <w:tcW w:w="404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No Waiver ..............................................................................................................</w:t>
            </w:r>
          </w:p>
        </w:tc>
        <w:tc>
          <w:tcPr>
            <w:tcW w:w="404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Headings ................................................................................................................</w:t>
            </w:r>
          </w:p>
        </w:tc>
        <w:tc>
          <w:tcPr>
            <w:tcW w:w="404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Remedies Cumulative ............................................................................................</w:t>
            </w:r>
          </w:p>
        </w:tc>
        <w:tc>
          <w:tcPr>
            <w:tcW w:w="4040" w:type="dxa"/>
            <w:vAlign w:val="bottom"/>
          </w:tcPr>
          <w:p>
            <w:pPr>
              <w:jc w:val="right"/>
              <w:ind w:right="2853"/>
              <w:spacing w:after="0"/>
              <w:rPr>
                <w:sz w:val="20"/>
                <w:szCs w:val="20"/>
                <w:color w:val="auto"/>
              </w:rPr>
            </w:pPr>
            <w:r>
              <w:rPr>
                <w:rFonts w:ascii="Times New Roman" w:cs="Times New Roman" w:eastAsia="Times New Roman" w:hAnsi="Times New Roman"/>
                <w:sz w:val="21"/>
                <w:szCs w:val="21"/>
                <w:color w:val="auto"/>
              </w:rPr>
              <w:t>13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Severability ............................................................................................................</w:t>
            </w:r>
          </w:p>
        </w:tc>
        <w:tc>
          <w:tcPr>
            <w:tcW w:w="404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13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Amendments ..........................................................................................................</w:t>
            </w:r>
          </w:p>
        </w:tc>
        <w:tc>
          <w:tcPr>
            <w:tcW w:w="404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13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2"/>
              </w:rPr>
              <w:t>Governing Law; Choice of Forum; Waiver of Jury Trial ......................................</w:t>
            </w:r>
          </w:p>
        </w:tc>
        <w:tc>
          <w:tcPr>
            <w:tcW w:w="4040" w:type="dxa"/>
            <w:vAlign w:val="bottom"/>
          </w:tcPr>
          <w:p>
            <w:pPr>
              <w:jc w:val="right"/>
              <w:ind w:right="2873"/>
              <w:spacing w:after="0"/>
              <w:rPr>
                <w:sz w:val="20"/>
                <w:szCs w:val="20"/>
                <w:color w:val="auto"/>
              </w:rPr>
            </w:pPr>
            <w:r>
              <w:rPr>
                <w:rFonts w:ascii="Times New Roman" w:cs="Times New Roman" w:eastAsia="Times New Roman" w:hAnsi="Times New Roman"/>
                <w:sz w:val="21"/>
                <w:szCs w:val="21"/>
                <w:color w:val="auto"/>
              </w:rPr>
              <w:t>13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Polk</w:t>
        <w:tab/>
        <w:t>Seller Guaranty</w:t>
      </w:r>
    </w:p>
    <w:p>
      <w:pPr>
        <w:sectPr>
          <w:pgSz w:w="11900" w:h="16838" w:orient="portrait"/>
          <w:cols w:equalWidth="0" w:num="1">
            <w:col w:w="11240"/>
          </w:cols>
          <w:pgMar w:left="320" w:top="1007" w:right="339" w:bottom="1440" w:gutter="0" w:footer="0" w:header="0"/>
        </w:sectPr>
      </w:pPr>
    </w:p>
    <w:bookmarkStart w:id="273" w:name="page274"/>
    <w:bookmarkEnd w:id="273"/>
    <w:p>
      <w:pPr>
        <w:spacing w:after="0"/>
        <w:tabs>
          <w:tab w:leader="none" w:pos="520" w:val="left"/>
          <w:tab w:leader="dot" w:pos="7360" w:val="left"/>
        </w:tabs>
        <w:rPr>
          <w:sz w:val="20"/>
          <w:szCs w:val="20"/>
          <w:color w:val="auto"/>
        </w:rPr>
      </w:pPr>
      <w:r>
        <w:rPr>
          <w:rFonts w:ascii="Times New Roman" w:cs="Times New Roman" w:eastAsia="Times New Roman" w:hAnsi="Times New Roman"/>
          <w:sz w:val="21"/>
          <w:szCs w:val="21"/>
          <w:color w:val="auto"/>
        </w:rPr>
        <w:t>6.9</w:t>
        <w:tab/>
        <w:t>Entire Agreement; No Other Representations</w:t>
      </w:r>
      <w:r>
        <w:rPr>
          <w:sz w:val="20"/>
          <w:szCs w:val="20"/>
          <w:color w:val="auto"/>
        </w:rPr>
        <w:tab/>
      </w:r>
      <w:r>
        <w:rPr>
          <w:rFonts w:ascii="Times New Roman" w:cs="Times New Roman" w:eastAsia="Times New Roman" w:hAnsi="Times New Roman"/>
          <w:sz w:val="21"/>
          <w:szCs w:val="21"/>
          <w:color w:val="auto"/>
        </w:rPr>
        <w:t>13</w:t>
      </w:r>
    </w:p>
    <w:p>
      <w:pPr>
        <w:spacing w:after="0" w:line="39" w:lineRule="exact"/>
        <w:rPr>
          <w:sz w:val="20"/>
          <w:szCs w:val="20"/>
          <w:color w:val="auto"/>
        </w:rPr>
      </w:pPr>
    </w:p>
    <w:p>
      <w:pPr>
        <w:spacing w:after="0"/>
        <w:tabs>
          <w:tab w:leader="none" w:pos="620" w:val="left"/>
          <w:tab w:leader="dot" w:pos="7480" w:val="left"/>
        </w:tabs>
        <w:rPr>
          <w:sz w:val="20"/>
          <w:szCs w:val="20"/>
          <w:color w:val="auto"/>
        </w:rPr>
      </w:pPr>
      <w:r>
        <w:rPr>
          <w:rFonts w:ascii="Times New Roman" w:cs="Times New Roman" w:eastAsia="Times New Roman" w:hAnsi="Times New Roman"/>
          <w:sz w:val="21"/>
          <w:szCs w:val="21"/>
          <w:color w:val="auto"/>
        </w:rPr>
        <w:t>6.10</w:t>
        <w:tab/>
        <w:t>Notices</w:t>
      </w:r>
      <w:r>
        <w:rPr>
          <w:sz w:val="20"/>
          <w:szCs w:val="20"/>
          <w:color w:val="auto"/>
        </w:rPr>
        <w:tab/>
      </w:r>
      <w:r>
        <w:rPr>
          <w:rFonts w:ascii="Times New Roman" w:cs="Times New Roman" w:eastAsia="Times New Roman" w:hAnsi="Times New Roman"/>
          <w:sz w:val="21"/>
          <w:szCs w:val="21"/>
          <w:color w:val="auto"/>
        </w:rPr>
        <w:t>14</w:t>
      </w:r>
    </w:p>
    <w:p>
      <w:pPr>
        <w:spacing w:after="0" w:line="52" w:lineRule="exact"/>
        <w:rPr>
          <w:sz w:val="20"/>
          <w:szCs w:val="20"/>
          <w:color w:val="auto"/>
        </w:rPr>
      </w:pPr>
    </w:p>
    <w:p>
      <w:pPr>
        <w:spacing w:after="0"/>
        <w:tabs>
          <w:tab w:leader="none" w:pos="620" w:val="left"/>
          <w:tab w:leader="dot" w:pos="7500" w:val="left"/>
        </w:tabs>
        <w:rPr>
          <w:sz w:val="20"/>
          <w:szCs w:val="20"/>
          <w:color w:val="auto"/>
        </w:rPr>
      </w:pPr>
      <w:r>
        <w:rPr>
          <w:rFonts w:ascii="Times New Roman" w:cs="Times New Roman" w:eastAsia="Times New Roman" w:hAnsi="Times New Roman"/>
          <w:sz w:val="21"/>
          <w:szCs w:val="21"/>
          <w:color w:val="auto"/>
        </w:rPr>
        <w:t>6.11</w:t>
        <w:tab/>
        <w:t>Collection Expenses; Set-Off</w:t>
      </w:r>
      <w:r>
        <w:rPr>
          <w:sz w:val="20"/>
          <w:szCs w:val="20"/>
          <w:color w:val="auto"/>
        </w:rPr>
        <w:tab/>
      </w:r>
      <w:r>
        <w:rPr>
          <w:rFonts w:ascii="Times New Roman" w:cs="Times New Roman" w:eastAsia="Times New Roman" w:hAnsi="Times New Roman"/>
          <w:sz w:val="21"/>
          <w:szCs w:val="21"/>
          <w:color w:val="auto"/>
        </w:rPr>
        <w:t>14</w:t>
      </w:r>
    </w:p>
    <w:p>
      <w:pPr>
        <w:spacing w:after="0" w:line="39" w:lineRule="exact"/>
        <w:rPr>
          <w:sz w:val="20"/>
          <w:szCs w:val="20"/>
          <w:color w:val="auto"/>
        </w:rPr>
      </w:pPr>
    </w:p>
    <w:p>
      <w:pPr>
        <w:spacing w:after="0"/>
        <w:tabs>
          <w:tab w:leader="none" w:pos="620" w:val="left"/>
          <w:tab w:leader="dot" w:pos="7500" w:val="left"/>
        </w:tabs>
        <w:rPr>
          <w:sz w:val="20"/>
          <w:szCs w:val="20"/>
          <w:color w:val="auto"/>
        </w:rPr>
      </w:pPr>
      <w:r>
        <w:rPr>
          <w:rFonts w:ascii="Times New Roman" w:cs="Times New Roman" w:eastAsia="Times New Roman" w:hAnsi="Times New Roman"/>
          <w:sz w:val="21"/>
          <w:szCs w:val="21"/>
          <w:color w:val="auto"/>
        </w:rPr>
        <w:t>6.12</w:t>
        <w:tab/>
        <w:t>Counterparts</w:t>
      </w:r>
      <w:r>
        <w:rPr>
          <w:sz w:val="20"/>
          <w:szCs w:val="20"/>
          <w:color w:val="auto"/>
        </w:rPr>
        <w:tab/>
      </w:r>
      <w:r>
        <w:rPr>
          <w:rFonts w:ascii="Times New Roman" w:cs="Times New Roman" w:eastAsia="Times New Roman" w:hAnsi="Times New Roman"/>
          <w:sz w:val="21"/>
          <w:szCs w:val="21"/>
          <w:color w:val="auto"/>
        </w:rPr>
        <w:t>14</w:t>
      </w:r>
    </w:p>
    <w:p>
      <w:pPr>
        <w:spacing w:after="0" w:line="39" w:lineRule="exact"/>
        <w:rPr>
          <w:sz w:val="20"/>
          <w:szCs w:val="20"/>
          <w:color w:val="auto"/>
        </w:rPr>
      </w:pPr>
    </w:p>
    <w:p>
      <w:pPr>
        <w:spacing w:after="0"/>
        <w:tabs>
          <w:tab w:leader="none" w:pos="620" w:val="left"/>
          <w:tab w:leader="dot" w:pos="7480" w:val="left"/>
        </w:tabs>
        <w:rPr>
          <w:sz w:val="20"/>
          <w:szCs w:val="20"/>
          <w:color w:val="auto"/>
        </w:rPr>
      </w:pPr>
      <w:r>
        <w:rPr>
          <w:rFonts w:ascii="Times New Roman" w:cs="Times New Roman" w:eastAsia="Times New Roman" w:hAnsi="Times New Roman"/>
          <w:sz w:val="21"/>
          <w:szCs w:val="21"/>
          <w:color w:val="auto"/>
        </w:rPr>
        <w:t>6.13</w:t>
        <w:tab/>
        <w:t>Time</w:t>
      </w:r>
      <w:r>
        <w:rPr>
          <w:sz w:val="20"/>
          <w:szCs w:val="20"/>
          <w:color w:val="auto"/>
        </w:rPr>
        <w:tab/>
      </w:r>
      <w:r>
        <w:rPr>
          <w:rFonts w:ascii="Times New Roman" w:cs="Times New Roman" w:eastAsia="Times New Roman" w:hAnsi="Times New Roman"/>
          <w:sz w:val="21"/>
          <w:szCs w:val="21"/>
          <w:color w:val="auto"/>
        </w:rPr>
        <w:t>15</w:t>
      </w:r>
    </w:p>
    <w:p>
      <w:pPr>
        <w:spacing w:after="0" w:line="39" w:lineRule="exact"/>
        <w:rPr>
          <w:sz w:val="20"/>
          <w:szCs w:val="20"/>
          <w:color w:val="auto"/>
        </w:rPr>
      </w:pPr>
    </w:p>
    <w:p>
      <w:pPr>
        <w:spacing w:after="0"/>
        <w:tabs>
          <w:tab w:leader="none" w:pos="620" w:val="left"/>
          <w:tab w:leader="dot" w:pos="7480" w:val="left"/>
        </w:tabs>
        <w:rPr>
          <w:sz w:val="20"/>
          <w:szCs w:val="20"/>
          <w:color w:val="auto"/>
        </w:rPr>
      </w:pPr>
      <w:r>
        <w:rPr>
          <w:rFonts w:ascii="Times New Roman" w:cs="Times New Roman" w:eastAsia="Times New Roman" w:hAnsi="Times New Roman"/>
          <w:sz w:val="21"/>
          <w:szCs w:val="21"/>
          <w:color w:val="auto"/>
        </w:rPr>
        <w:t>6.14</w:t>
        <w:tab/>
        <w:t>Termination</w:t>
      </w:r>
      <w:r>
        <w:rPr>
          <w:sz w:val="20"/>
          <w:szCs w:val="20"/>
          <w:color w:val="auto"/>
        </w:rPr>
        <w:tab/>
      </w:r>
      <w:r>
        <w:rPr>
          <w:rFonts w:ascii="Times New Roman" w:cs="Times New Roman" w:eastAsia="Times New Roman" w:hAnsi="Times New Roman"/>
          <w:sz w:val="21"/>
          <w:szCs w:val="21"/>
          <w:color w:val="auto"/>
        </w:rPr>
        <w:t>15</w:t>
      </w:r>
    </w:p>
    <w:p>
      <w:pPr>
        <w:spacing w:after="0" w:line="200" w:lineRule="exact"/>
        <w:rPr>
          <w:sz w:val="20"/>
          <w:szCs w:val="20"/>
          <w:color w:val="auto"/>
        </w:rPr>
      </w:pPr>
    </w:p>
    <w:p>
      <w:pPr>
        <w:spacing w:after="0" w:line="28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9919"/>
          </w:cols>
          <w:pgMar w:left="540" w:top="1020" w:right="1440" w:bottom="1440" w:gutter="0" w:footer="0" w:header="0"/>
        </w:sectPr>
      </w:pPr>
    </w:p>
    <w:bookmarkStart w:id="274" w:name="page275"/>
    <w:bookmarkEnd w:id="274"/>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GUARANTY</w:t>
      </w:r>
    </w:p>
    <w:p>
      <w:pPr>
        <w:spacing w:after="0" w:line="224"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GUARANTY</w:t>
      </w:r>
      <w:r>
        <w:rPr>
          <w:rFonts w:ascii="Times New Roman" w:cs="Times New Roman" w:eastAsia="Times New Roman" w:hAnsi="Times New Roman"/>
          <w:sz w:val="21"/>
          <w:szCs w:val="21"/>
          <w:color w:val="auto"/>
        </w:rPr>
        <w:t>, dated as of September 12, 2025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(as amended, amended and restated, supplemented or otherwise modified from time to time,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xml:space="preserve">”), is entered by </w:t>
      </w:r>
      <w:r>
        <w:rPr>
          <w:rFonts w:ascii="Times New Roman" w:cs="Times New Roman" w:eastAsia="Times New Roman" w:hAnsi="Times New Roman"/>
          <w:sz w:val="21"/>
          <w:szCs w:val="21"/>
          <w:b w:val="1"/>
          <w:bCs w:val="1"/>
          <w:color w:val="auto"/>
        </w:rPr>
        <w:t>OPAL FUELS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i w:val="1"/>
          <w:iCs w:val="1"/>
          <w:color w:val="auto"/>
        </w:rPr>
        <w:t>Guarantor</w:t>
      </w:r>
      <w:r>
        <w:rPr>
          <w:rFonts w:ascii="Times New Roman" w:cs="Times New Roman" w:eastAsia="Times New Roman" w:hAnsi="Times New Roman"/>
          <w:sz w:val="21"/>
          <w:szCs w:val="21"/>
          <w:color w:val="auto"/>
        </w:rPr>
        <w:t xml:space="preserve"> ”), in favor </w:t>
      </w:r>
      <w:r>
        <w:rPr>
          <w:rFonts w:ascii="Times New Roman" w:cs="Times New Roman" w:eastAsia="Times New Roman" w:hAnsi="Times New Roman"/>
          <w:sz w:val="21"/>
          <w:szCs w:val="21"/>
          <w:b w:val="1"/>
          <w:bCs w:val="1"/>
          <w:color w:val="auto"/>
        </w:rPr>
        <w:t>2024 TTC AGGREGATOR (B), L.P.</w:t>
      </w:r>
      <w:r>
        <w:rPr>
          <w:rFonts w:ascii="Times New Roman" w:cs="Times New Roman" w:eastAsia="Times New Roman" w:hAnsi="Times New Roman"/>
          <w:sz w:val="21"/>
          <w:szCs w:val="21"/>
          <w:color w:val="auto"/>
        </w:rPr>
        <w:t>, a Delaware limited partnership (“</w:t>
      </w:r>
      <w:r>
        <w:rPr>
          <w:rFonts w:ascii="Times New Roman" w:cs="Times New Roman" w:eastAsia="Times New Roman" w:hAnsi="Times New Roman"/>
          <w:sz w:val="21"/>
          <w:szCs w:val="21"/>
          <w:b w:val="1"/>
          <w:bCs w:val="1"/>
          <w:i w:val="1"/>
          <w:iCs w:val="1"/>
          <w:color w:val="auto"/>
        </w:rPr>
        <w:t>Buyer 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ATHENE ANNUITY AND LIFE COMPANY</w:t>
      </w:r>
      <w:r>
        <w:rPr>
          <w:rFonts w:ascii="Times New Roman" w:cs="Times New Roman" w:eastAsia="Times New Roman" w:hAnsi="Times New Roman"/>
          <w:sz w:val="21"/>
          <w:szCs w:val="21"/>
          <w:color w:val="auto"/>
        </w:rPr>
        <w:t>, an Iowa corporation (“</w:t>
      </w:r>
      <w:r>
        <w:rPr>
          <w:rFonts w:ascii="Times New Roman" w:cs="Times New Roman" w:eastAsia="Times New Roman" w:hAnsi="Times New Roman"/>
          <w:sz w:val="21"/>
          <w:szCs w:val="21"/>
          <w:b w:val="1"/>
          <w:bCs w:val="1"/>
          <w:color w:val="auto"/>
        </w:rPr>
        <w:t>Buyer 2</w:t>
      </w:r>
      <w:r>
        <w:rPr>
          <w:rFonts w:ascii="Times New Roman" w:cs="Times New Roman" w:eastAsia="Times New Roman" w:hAnsi="Times New Roman"/>
          <w:sz w:val="21"/>
          <w:szCs w:val="21"/>
          <w:color w:val="auto"/>
        </w:rPr>
        <w:t>” and, together with Buyer 1, collectively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individually, any one or both of them as the context may require, “</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and, together with the Guarantor, collectively,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13" w:lineRule="exact"/>
        <w:rPr>
          <w:sz w:val="20"/>
          <w:szCs w:val="20"/>
          <w:color w:val="auto"/>
        </w:rPr>
      </w:pPr>
    </w:p>
    <w:p>
      <w:pPr>
        <w:ind w:left="1280" w:hanging="632"/>
        <w:spacing w:after="0"/>
        <w:tabs>
          <w:tab w:leader="none" w:pos="128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owns 100% of the Class A Units in Opal Fuels LLC, a Delaware limited liability company</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Seller</w:t>
      </w:r>
      <w:r>
        <w:rPr>
          <w:rFonts w:ascii="Times New Roman" w:cs="Times New Roman" w:eastAsia="Times New Roman" w:hAnsi="Times New Roman"/>
          <w:sz w:val="21"/>
          <w:szCs w:val="21"/>
          <w:color w:val="auto"/>
        </w:rPr>
        <w:t>”).</w:t>
      </w:r>
    </w:p>
    <w:p>
      <w:pPr>
        <w:spacing w:after="0" w:line="202" w:lineRule="exact"/>
        <w:rPr>
          <w:rFonts w:ascii="Times New Roman" w:cs="Times New Roman" w:eastAsia="Times New Roman" w:hAnsi="Times New Roman"/>
          <w:sz w:val="21"/>
          <w:szCs w:val="21"/>
          <w:color w:val="auto"/>
        </w:rPr>
      </w:pPr>
    </w:p>
    <w:p>
      <w:pPr>
        <w:jc w:val="both"/>
        <w:ind w:firstLine="648"/>
        <w:spacing w:after="0" w:line="262" w:lineRule="auto"/>
        <w:tabs>
          <w:tab w:leader="none" w:pos="1278"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has entered into that certain Tax Credit Purchase Agreement, dated as of the date hereof (as the same may be amended, modified or supplemented from time to time, the “</w:t>
      </w:r>
      <w:r>
        <w:rPr>
          <w:rFonts w:ascii="Times New Roman" w:cs="Times New Roman" w:eastAsia="Times New Roman" w:hAnsi="Times New Roman"/>
          <w:sz w:val="21"/>
          <w:szCs w:val="21"/>
          <w:b w:val="1"/>
          <w:bCs w:val="1"/>
          <w:i w:val="1"/>
          <w:iCs w:val="1"/>
          <w:color w:val="auto"/>
        </w:rPr>
        <w:t>Purchase Agreement</w:t>
      </w:r>
      <w:r>
        <w:rPr>
          <w:rFonts w:ascii="Times New Roman" w:cs="Times New Roman" w:eastAsia="Times New Roman" w:hAnsi="Times New Roman"/>
          <w:sz w:val="21"/>
          <w:szCs w:val="21"/>
          <w:color w:val="auto"/>
        </w:rPr>
        <w:t>”), by and among Seller and Buyer, pursuant to which, among other things, each Buyer will purchase certain renewable energy investment tax credits provided under Section 48 of the Internal Revenue Code of 1986 (“</w:t>
      </w:r>
      <w:r>
        <w:rPr>
          <w:rFonts w:ascii="Times New Roman" w:cs="Times New Roman" w:eastAsia="Times New Roman" w:hAnsi="Times New Roman"/>
          <w:sz w:val="21"/>
          <w:szCs w:val="21"/>
          <w:b w:val="1"/>
          <w:bCs w:val="1"/>
          <w:i w:val="1"/>
          <w:iCs w:val="1"/>
          <w:color w:val="auto"/>
        </w:rPr>
        <w:t>ITCs</w:t>
      </w:r>
      <w:r>
        <w:rPr>
          <w:rFonts w:ascii="Times New Roman" w:cs="Times New Roman" w:eastAsia="Times New Roman" w:hAnsi="Times New Roman"/>
          <w:sz w:val="21"/>
          <w:szCs w:val="21"/>
          <w:color w:val="auto"/>
        </w:rPr>
        <w:t>”) and generated by the project producing renewable natural gas from landfill gas more commonly referred to as Polk RNG located in Polk County, Florida owned by Seller’s subsidiary Polk County RNG LLC, a Delaware limited liability company.</w:t>
      </w:r>
    </w:p>
    <w:p>
      <w:pPr>
        <w:spacing w:after="0" w:line="168"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will derive economic benefit from the purchase of ITCs by each Buyer pursuant to the Purchase</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202" w:lineRule="exact"/>
        <w:rPr>
          <w:rFonts w:ascii="Times New Roman" w:cs="Times New Roman" w:eastAsia="Times New Roman" w:hAnsi="Times New Roman"/>
          <w:sz w:val="21"/>
          <w:szCs w:val="21"/>
          <w:color w:val="auto"/>
        </w:rPr>
      </w:pPr>
    </w:p>
    <w:p>
      <w:pPr>
        <w:ind w:firstLine="648"/>
        <w:spacing w:after="0" w:line="288" w:lineRule="auto"/>
        <w:tabs>
          <w:tab w:leader="none" w:pos="1276"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a condition precedent to the effectiveness of the Purchase Agreement that the Guarantor shall have executed and delivered this Agreement.</w:t>
      </w:r>
    </w:p>
    <w:p>
      <w:pPr>
        <w:spacing w:after="0" w:line="142"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NOW, THEREFORE, in consideration of the promises contained herein, and to induce each Buyer to enter into the Purchase Agreement and to consummate the transactions contemplated under the Purchase Agreement, and for other good and valuable consideration, the receipt and adequacy of which are hereby acknowledged, the Guarantor hereby agrees as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ARTICLE I. </w:t>
      </w:r>
      <w:r>
        <w:rPr>
          <w:rFonts w:ascii="Times New Roman" w:cs="Times New Roman" w:eastAsia="Times New Roman" w:hAnsi="Times New Roman"/>
          <w:sz w:val="21"/>
          <w:szCs w:val="21"/>
          <w:u w:val="single" w:color="auto"/>
          <w:color w:val="auto"/>
        </w:rPr>
        <w:t>DEFINITIONS</w:t>
      </w:r>
    </w:p>
    <w:p>
      <w:pPr>
        <w:spacing w:after="0" w:line="226"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The following terms (whether or not underscored) when used in this Agreement, including its preamble and recitals, shall have the following meanings: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13" w:lineRule="exact"/>
        <w:rPr>
          <w:sz w:val="20"/>
          <w:szCs w:val="20"/>
          <w:color w:val="auto"/>
        </w:rPr>
      </w:pPr>
    </w:p>
    <w:p>
      <w:pPr>
        <w:jc w:val="both"/>
        <w:ind w:firstLine="641"/>
        <w:spacing w:after="0" w:line="30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means Title 11, United States Code, and any other state or federal insolvency, reorganization, moratorium or similar law for the relief of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540" w:val="left"/>
          <w:tab w:leader="none" w:pos="840" w:val="left"/>
        </w:tabs>
        <w:rPr>
          <w:sz w:val="20"/>
          <w:szCs w:val="20"/>
          <w:color w:val="auto"/>
        </w:rPr>
      </w:pPr>
      <w:r>
        <w:rPr>
          <w:rFonts w:ascii="Times New Roman" w:cs="Times New Roman" w:eastAsia="Times New Roman" w:hAnsi="Times New Roman"/>
          <w:sz w:val="18"/>
          <w:szCs w:val="18"/>
          <w:color w:val="auto"/>
        </w:rPr>
        <w:t>Polk</w:t>
        <w:tab/>
        <w:t>1</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Buyer 1</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Buyer 2</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Credit Trigger</w:t>
      </w:r>
      <w:r>
        <w:rPr>
          <w:rFonts w:ascii="Times New Roman" w:cs="Times New Roman" w:eastAsia="Times New Roman" w:hAnsi="Times New Roman"/>
          <w:sz w:val="21"/>
          <w:szCs w:val="21"/>
          <w:color w:val="auto"/>
        </w:rPr>
        <w:t>” means (a) a 15% (or greater) decline in the Net Worth of the Guarantor from the Net Worth of the Guarantor as of the Effective Date, (b) the Guarantor takes any affirmative action to terminate, cancel or repudiate this Agreement or any of its material obligations hereunder (except in accordance with the express terms hereof), or (c) the Guarantor (i) institutes a voluntary case seeking liquidation or reorganization under the Bankruptcy Code or consents to the institution of an involuntary case thereunder against it, (ii) is generally not paying, or admits in writing its inability to pay, its debts generally as they become due, (iii)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(iv) makes a general assignment for the benefit of its creditors, (v) applies for or consents to the appointment of a custodian, receiver, trustee or other officer with similar powers with respect to it or with respect to any substantial part of its property, (vi) is adjudicated as insolvent or to be liquidated by a court of competent jurisdiction, or (vii) takes corporate action for the purpose of any of the foregoing.</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Guaranteed Obligations</w:t>
      </w:r>
      <w:r>
        <w:rPr>
          <w:rFonts w:ascii="Times New Roman" w:cs="Times New Roman" w:eastAsia="Times New Roman" w:hAnsi="Times New Roman"/>
          <w:sz w:val="21"/>
          <w:szCs w:val="21"/>
          <w:color w:val="auto"/>
        </w:rPr>
        <w:t xml:space="preserve">” has the meaning given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of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Guarantor</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ITCs</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 xml:space="preserve"> to this Agreement.</w:t>
      </w:r>
    </w:p>
    <w:p>
      <w:pPr>
        <w:spacing w:after="0" w:line="146" w:lineRule="exact"/>
        <w:rPr>
          <w:sz w:val="20"/>
          <w:szCs w:val="20"/>
          <w:color w:val="auto"/>
        </w:rPr>
      </w:pPr>
    </w:p>
    <w:p>
      <w:pPr>
        <w:jc w:val="both"/>
        <w:ind w:right="20" w:firstLine="630"/>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Worth</w:t>
      </w:r>
      <w:r>
        <w:rPr>
          <w:rFonts w:ascii="Times New Roman" w:cs="Times New Roman" w:eastAsia="Times New Roman" w:hAnsi="Times New Roman"/>
          <w:sz w:val="21"/>
          <w:szCs w:val="21"/>
          <w:color w:val="auto"/>
        </w:rPr>
        <w:t>” means, at any time, the total assets less total liabilities of the Guarantor set forth on the Guarantor’s then most recent quarterly or annual balance sheet. As of the Effective Date, the Net Worth of the Guarantor is $473,000,000.</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xml:space="preserve">” have the meaning given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Purchase Agreement</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 xml:space="preserve"> to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 xml:space="preserve">” has the meaning given in the </w:t>
      </w: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 xml:space="preserve"> to this Agreement.</w:t>
      </w:r>
    </w:p>
    <w:p>
      <w:pPr>
        <w:spacing w:after="0" w:line="230" w:lineRule="exact"/>
        <w:rPr>
          <w:sz w:val="20"/>
          <w:szCs w:val="20"/>
          <w:color w:val="auto"/>
        </w:rPr>
      </w:pPr>
    </w:p>
    <w:p>
      <w:pPr>
        <w:jc w:val="both"/>
        <w:ind w:right="20" w:firstLine="641"/>
        <w:spacing w:after="0" w:line="28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General Definitions</w:t>
      </w:r>
      <w:r>
        <w:rPr>
          <w:rFonts w:ascii="Times New Roman" w:cs="Times New Roman" w:eastAsia="Times New Roman" w:hAnsi="Times New Roman"/>
          <w:sz w:val="21"/>
          <w:szCs w:val="21"/>
          <w:color w:val="auto"/>
        </w:rPr>
        <w:t>. Unless otherwise defined herein or unless the context otherwise requires, capitalized terms used in this Agreement, including its preamble and recitals, have the respective meanings set forth in the Purchase Agreement.</w:t>
      </w:r>
    </w:p>
    <w:p>
      <w:pPr>
        <w:spacing w:after="0" w:line="142"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Rules of Interpretation</w:t>
      </w:r>
      <w:r>
        <w:rPr>
          <w:rFonts w:ascii="Times New Roman" w:cs="Times New Roman" w:eastAsia="Times New Roman" w:hAnsi="Times New Roman"/>
          <w:sz w:val="21"/>
          <w:szCs w:val="21"/>
          <w:color w:val="auto"/>
        </w:rPr>
        <w:t xml:space="preserve">. Unless otherwise provided herein, the rules of interpretation set forth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of the Purchase Agreement shall apply to this Agreement, including its preamble and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540" w:val="left"/>
          <w:tab w:leader="none" w:pos="840" w:val="left"/>
        </w:tabs>
        <w:rPr>
          <w:sz w:val="20"/>
          <w:szCs w:val="20"/>
          <w:color w:val="auto"/>
        </w:rPr>
      </w:pPr>
      <w:r>
        <w:rPr>
          <w:rFonts w:ascii="Times New Roman" w:cs="Times New Roman" w:eastAsia="Times New Roman" w:hAnsi="Times New Roman"/>
          <w:sz w:val="18"/>
          <w:szCs w:val="18"/>
          <w:color w:val="auto"/>
        </w:rPr>
        <w:t>Polk</w:t>
        <w:tab/>
        <w:t>2</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ARTICLE II. </w:t>
      </w:r>
      <w:r>
        <w:rPr>
          <w:rFonts w:ascii="Times New Roman" w:cs="Times New Roman" w:eastAsia="Times New Roman" w:hAnsi="Times New Roman"/>
          <w:sz w:val="21"/>
          <w:szCs w:val="21"/>
          <w:u w:val="single" w:color="auto"/>
          <w:color w:val="auto"/>
        </w:rPr>
        <w:t>GUARANTY</w:t>
      </w:r>
    </w:p>
    <w:p>
      <w:pPr>
        <w:spacing w:after="0" w:line="226"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Irrevocable Guaranty</w:t>
      </w:r>
      <w:r>
        <w:rPr>
          <w:rFonts w:ascii="Times New Roman" w:cs="Times New Roman" w:eastAsia="Times New Roman" w:hAnsi="Times New Roman"/>
          <w:sz w:val="21"/>
          <w:szCs w:val="21"/>
          <w:color w:val="auto"/>
        </w:rPr>
        <w:t>. The Guarantor hereby unconditionally, absolutely and irrevocably guarantees as primary obligor and not merely as surety, to each Buyer the due, punctual and complete payment and performance by Seller of its obligations when required to be paid, reimbursed or observed under the Purchase Agreement (collectively, the “</w:t>
      </w:r>
      <w:r>
        <w:rPr>
          <w:rFonts w:ascii="Times New Roman" w:cs="Times New Roman" w:eastAsia="Times New Roman" w:hAnsi="Times New Roman"/>
          <w:sz w:val="21"/>
          <w:szCs w:val="21"/>
          <w:b w:val="1"/>
          <w:bCs w:val="1"/>
          <w:i w:val="1"/>
          <w:iCs w:val="1"/>
          <w:color w:val="auto"/>
        </w:rPr>
        <w:t>Guaranteed Obligations</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jc w:val="both"/>
        <w:ind w:hanging="8"/>
        <w:spacing w:after="0" w:line="277" w:lineRule="auto"/>
        <w:rPr>
          <w:sz w:val="20"/>
          <w:szCs w:val="20"/>
          <w:color w:val="auto"/>
        </w:rPr>
      </w:pPr>
      <w:r>
        <w:rPr>
          <w:rFonts w:ascii="Times New Roman" w:cs="Times New Roman" w:eastAsia="Times New Roman" w:hAnsi="Times New Roman"/>
          <w:sz w:val="21"/>
          <w:szCs w:val="21"/>
          <w:color w:val="auto"/>
        </w:rPr>
        <w:t>The Guaranteed Obligations shall be due and payable by the Guarantor on demand (and in any event, no later than five (5) Business Days after receipt of such written demand) in immediately available funds upon delivery by any Buyer to Guarantor of a notice of failure by Seller to promptly pay or observe such Guaranteed Obligations.</w:t>
      </w:r>
    </w:p>
    <w:p>
      <w:pPr>
        <w:spacing w:after="0" w:line="166"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u w:val="single" w:color="auto"/>
          <w:color w:val="auto"/>
        </w:rPr>
        <w:t>Obligations Absolute and Unconditional</w:t>
      </w:r>
      <w:r>
        <w:rPr>
          <w:rFonts w:ascii="Times New Roman" w:cs="Times New Roman" w:eastAsia="Times New Roman" w:hAnsi="Times New Roman"/>
          <w:sz w:val="21"/>
          <w:szCs w:val="21"/>
          <w:color w:val="auto"/>
        </w:rPr>
        <w:t>.</w:t>
      </w:r>
    </w:p>
    <w:p>
      <w:pPr>
        <w:spacing w:after="0" w:line="253" w:lineRule="exact"/>
        <w:rPr>
          <w:sz w:val="20"/>
          <w:szCs w:val="20"/>
          <w:color w:val="auto"/>
        </w:rPr>
      </w:pPr>
    </w:p>
    <w:p>
      <w:pPr>
        <w:jc w:val="both"/>
        <w:ind w:firstLine="4199"/>
        <w:spacing w:after="0" w:line="257" w:lineRule="auto"/>
        <w:tabs>
          <w:tab w:leader="none" w:pos="4839"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Guarantor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are primary obligations of the Guarantor and are an absolute, unconditional, continuing and irrevocable guarantee of the Guaranteed Obligations and not of collectability, and are in no way conditioned on or contingent upon any attempt to enforce in whole or in part Seller’s or any other Person’s liabilities and obligations to any Buyer. The obligations of the Guarantor shall constitute a guaranty of payment when due and not of collection only, binding upon the Guarantor and its successors and assigns and irrevocable without regard to: (i) the genuineness, validity, legality or enforceability of the Purchase Agreement, (ii) the lack of power or authority of Seller or Project Company to enter into the Purchase Agreement or to consummate the transactions contemplated thereby, (iii) any substitution, release or exchange of any other guaranty or any other security for any of the Guaranteed Obligations or any of the obligations under the Purchase Agreement, or (iv) any other circumstance whatsoever that might otherwise constitute a legal or equitable discharge of a surety or guarantor other than the defense that the Guaranteed Obligations have been paid or otherwise discharged in full. The Guarantor shall forthwith pay each Guaranteed Obligation in immediately available funds as and when it is due. Each failure by the Guarantor to pay a Guaranteed Obligation or any other obligation hereunder shall give rise to a separate cause of action herewith, and separate suits may be brought hereunder as each cause of action arises whether or not any action is brought or prosecuted against Seller or any other Person and whether or not Seller or any other Person is joined in any action under this Agreement. Nothing herein shall prevent or preclude any Buyer from delivering a demand for payment of any Guaranteed Obligation pursuant hereto concurrently with delivery to Seller of a Notice of a claim for indemnification under the Purchase Agreement.</w:t>
      </w: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jc w:val="both"/>
        <w:ind w:firstLine="4328"/>
        <w:spacing w:after="0" w:line="283" w:lineRule="auto"/>
        <w:tabs>
          <w:tab w:leader="none" w:pos="4966" w:val="left"/>
        </w:tabs>
        <w:numPr>
          <w:ilvl w:val="2"/>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the Guarantor shall have no right to terminate this Agreement, or to be released, relieved or discharged from its obligations hereunder except as provided herein.</w:t>
      </w:r>
    </w:p>
    <w:p>
      <w:pPr>
        <w:spacing w:after="0" w:line="160" w:lineRule="exact"/>
        <w:rPr>
          <w:rFonts w:ascii="Times New Roman" w:cs="Times New Roman" w:eastAsia="Times New Roman" w:hAnsi="Times New Roman"/>
          <w:sz w:val="21"/>
          <w:szCs w:val="21"/>
          <w:color w:val="auto"/>
        </w:rPr>
      </w:pPr>
    </w:p>
    <w:p>
      <w:pPr>
        <w:jc w:val="both"/>
        <w:ind w:firstLine="4111"/>
        <w:spacing w:after="0" w:line="283" w:lineRule="auto"/>
        <w:tabs>
          <w:tab w:leader="none" w:pos="4751"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waives (i) notice of acceptance of this Agreement, (ii) notice of all defaults or disputes with Seller, (iii) demand or presentment for payment to Seller or the making of any protest, (iv) notice of the amount of the Guaranteed Obligations outstanding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540" w:val="left"/>
          <w:tab w:leader="none" w:pos="840" w:val="left"/>
        </w:tabs>
        <w:rPr>
          <w:sz w:val="20"/>
          <w:szCs w:val="20"/>
          <w:color w:val="auto"/>
        </w:rPr>
      </w:pPr>
      <w:r>
        <w:rPr>
          <w:rFonts w:ascii="Times New Roman" w:cs="Times New Roman" w:eastAsia="Times New Roman" w:hAnsi="Times New Roman"/>
          <w:sz w:val="18"/>
          <w:szCs w:val="18"/>
          <w:color w:val="auto"/>
        </w:rPr>
        <w:t>Polk</w:t>
        <w:tab/>
        <w:t>3</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any time, (v) notice of any amendment, modification or waiver of or under the Purchase Agreement, and (vi) all other notices or demands not explicitly required hereunder. Each Buyer and Seller (and their successors and assigns) may, at any time and from time to time (whether or not after revocation or termination of this Agreement) without the consent of or notice to the Guarantor, but solely in accordance with the Purchase Agreement, except such notice as may be required by Applicable Law which cannot be waived, without impairing or releasing the obligations of the Guarantor hereunder, upon or without any terms or conditions and in whole or in part:</w:t>
      </w:r>
    </w:p>
    <w:p>
      <w:pPr>
        <w:spacing w:after="0" w:line="195" w:lineRule="exact"/>
        <w:rPr>
          <w:sz w:val="20"/>
          <w:szCs w:val="20"/>
          <w:color w:val="auto"/>
        </w:rPr>
      </w:pPr>
    </w:p>
    <w:p>
      <w:pPr>
        <w:ind w:left="2560" w:hanging="630"/>
        <w:spacing w:after="0"/>
        <w:tabs>
          <w:tab w:leader="none" w:pos="2560"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consent to any change in the manner or place and terms of payment</w:t>
      </w:r>
    </w:p>
    <w:p>
      <w:pPr>
        <w:spacing w:after="0" w:line="37" w:lineRule="exact"/>
        <w:rPr>
          <w:sz w:val="20"/>
          <w:szCs w:val="20"/>
          <w:color w:val="auto"/>
        </w:rPr>
      </w:pPr>
    </w:p>
    <w:p>
      <w:pPr>
        <w:jc w:val="both"/>
        <w:ind w:left="660" w:hanging="8"/>
        <w:spacing w:after="0" w:line="263" w:lineRule="auto"/>
        <w:rPr>
          <w:sz w:val="20"/>
          <w:szCs w:val="20"/>
          <w:color w:val="auto"/>
        </w:rPr>
      </w:pPr>
      <w:r>
        <w:rPr>
          <w:rFonts w:ascii="Times New Roman" w:cs="Times New Roman" w:eastAsia="Times New Roman" w:hAnsi="Times New Roman"/>
          <w:sz w:val="21"/>
          <w:szCs w:val="21"/>
          <w:color w:val="auto"/>
        </w:rPr>
        <w:t>of, or renew or alter, any Guaranteed Obligation, or any obligations and liabilities (including any of those hereunder) incurred directly or indirectly in respect thereof or hereof, and the agreements herein made shall apply to the Guaranteed Obligations or such other obligations as so changed, extended, renewed, modified, amended, supplemented or altered in any manner;</w:t>
      </w:r>
    </w:p>
    <w:p>
      <w:pPr>
        <w:spacing w:after="0" w:line="200" w:lineRule="exact"/>
        <w:rPr>
          <w:sz w:val="20"/>
          <w:szCs w:val="20"/>
          <w:color w:val="auto"/>
        </w:rPr>
      </w:pPr>
    </w:p>
    <w:p>
      <w:pPr>
        <w:spacing w:after="0" w:line="251" w:lineRule="exact"/>
        <w:rPr>
          <w:sz w:val="20"/>
          <w:szCs w:val="20"/>
          <w:color w:val="auto"/>
        </w:rPr>
      </w:pPr>
    </w:p>
    <w:p>
      <w:pPr>
        <w:ind w:left="2560" w:hanging="630"/>
        <w:spacing w:after="0"/>
        <w:tabs>
          <w:tab w:leader="none" w:pos="256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amend or modify the Purchase Agreement pursuant to the</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terms thereof;</w:t>
      </w:r>
    </w:p>
    <w:p>
      <w:pPr>
        <w:spacing w:after="0" w:line="228" w:lineRule="exact"/>
        <w:rPr>
          <w:sz w:val="20"/>
          <w:szCs w:val="20"/>
          <w:color w:val="auto"/>
        </w:rPr>
      </w:pPr>
    </w:p>
    <w:p>
      <w:pPr>
        <w:ind w:left="640" w:right="3340" w:firstLine="1290"/>
        <w:spacing w:after="0" w:line="302" w:lineRule="auto"/>
        <w:tabs>
          <w:tab w:leader="none" w:pos="2559"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or refrain from exercising any rights against others or otherwise act or refrain from acting;</w:t>
      </w:r>
    </w:p>
    <w:p>
      <w:pPr>
        <w:spacing w:after="0" w:line="140" w:lineRule="exact"/>
        <w:rPr>
          <w:rFonts w:ascii="Times New Roman" w:cs="Times New Roman" w:eastAsia="Times New Roman" w:hAnsi="Times New Roman"/>
          <w:sz w:val="21"/>
          <w:szCs w:val="21"/>
          <w:color w:val="auto"/>
        </w:rPr>
      </w:pPr>
    </w:p>
    <w:p>
      <w:pPr>
        <w:ind w:left="2560" w:hanging="630"/>
        <w:spacing w:after="0"/>
        <w:tabs>
          <w:tab w:leader="none" w:pos="256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 any guarantor or release any other guarantor from its</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obligations, in each case, without affecting or impairing the obligations of the Guarantor hereunder;</w:t>
      </w:r>
    </w:p>
    <w:p>
      <w:pPr>
        <w:spacing w:after="0" w:line="228" w:lineRule="exact"/>
        <w:rPr>
          <w:sz w:val="20"/>
          <w:szCs w:val="20"/>
          <w:color w:val="auto"/>
        </w:rPr>
      </w:pPr>
    </w:p>
    <w:p>
      <w:pPr>
        <w:ind w:left="2560" w:hanging="630"/>
        <w:spacing w:after="0"/>
        <w:tabs>
          <w:tab w:leader="none" w:pos="2560"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settle or compromise any Guaranteed Obligations or any obligations</w:t>
      </w:r>
    </w:p>
    <w:p>
      <w:pPr>
        <w:spacing w:after="0" w:line="37" w:lineRule="exact"/>
        <w:rPr>
          <w:sz w:val="20"/>
          <w:szCs w:val="20"/>
          <w:color w:val="auto"/>
        </w:rPr>
      </w:pPr>
    </w:p>
    <w:p>
      <w:pPr>
        <w:jc w:val="both"/>
        <w:ind w:left="660" w:hanging="8"/>
        <w:spacing w:after="0" w:line="265" w:lineRule="auto"/>
        <w:rPr>
          <w:sz w:val="20"/>
          <w:szCs w:val="20"/>
          <w:color w:val="auto"/>
        </w:rPr>
      </w:pPr>
      <w:r>
        <w:rPr>
          <w:rFonts w:ascii="Times New Roman" w:cs="Times New Roman" w:eastAsia="Times New Roman" w:hAnsi="Times New Roman"/>
          <w:sz w:val="21"/>
          <w:szCs w:val="21"/>
          <w:color w:val="auto"/>
        </w:rPr>
        <w:t>and liabilities (including any of those hereunder) incurred directly or indirectly in respect thereof or hereof, and may subordinate the payment of all or any part thereof to the payment of any obligations and liabilities which may be due to any Buyer;</w:t>
      </w:r>
    </w:p>
    <w:p>
      <w:pPr>
        <w:spacing w:after="0" w:line="191" w:lineRule="exact"/>
        <w:rPr>
          <w:sz w:val="20"/>
          <w:szCs w:val="20"/>
          <w:color w:val="auto"/>
        </w:rPr>
      </w:pPr>
    </w:p>
    <w:p>
      <w:pPr>
        <w:ind w:left="2560" w:hanging="630"/>
        <w:spacing w:after="0"/>
        <w:tabs>
          <w:tab w:leader="none" w:pos="256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apply any sums by whomsoever paid or howsoever realized to any</w:t>
      </w:r>
    </w:p>
    <w:p>
      <w:pPr>
        <w:spacing w:after="0" w:line="37" w:lineRule="exact"/>
        <w:rPr>
          <w:sz w:val="20"/>
          <w:szCs w:val="20"/>
          <w:color w:val="auto"/>
        </w:rPr>
      </w:pPr>
    </w:p>
    <w:p>
      <w:pPr>
        <w:ind w:left="660" w:hanging="8"/>
        <w:spacing w:after="0" w:line="277" w:lineRule="auto"/>
        <w:rPr>
          <w:sz w:val="20"/>
          <w:szCs w:val="20"/>
          <w:color w:val="auto"/>
        </w:rPr>
      </w:pPr>
      <w:r>
        <w:rPr>
          <w:rFonts w:ascii="Times New Roman" w:cs="Times New Roman" w:eastAsia="Times New Roman" w:hAnsi="Times New Roman"/>
          <w:sz w:val="21"/>
          <w:szCs w:val="21"/>
          <w:color w:val="auto"/>
        </w:rPr>
        <w:t>obligations and liabilities of Seller to any Buyer under the Purchase Agreement in the manner provided therein regardless of what obligations and liabilities remain unpaid; and</w:t>
      </w:r>
    </w:p>
    <w:p>
      <w:pPr>
        <w:spacing w:after="0" w:line="166" w:lineRule="exact"/>
        <w:rPr>
          <w:sz w:val="20"/>
          <w:szCs w:val="20"/>
          <w:color w:val="auto"/>
        </w:rPr>
      </w:pPr>
    </w:p>
    <w:p>
      <w:pPr>
        <w:ind w:left="2560" w:hanging="630"/>
        <w:spacing w:after="0"/>
        <w:tabs>
          <w:tab w:leader="none" w:pos="256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or fail to act in any manner referred to in this Agreement which</w:t>
      </w:r>
    </w:p>
    <w:p>
      <w:pPr>
        <w:spacing w:after="0" w:line="37" w:lineRule="exact"/>
        <w:rPr>
          <w:sz w:val="20"/>
          <w:szCs w:val="20"/>
          <w:color w:val="auto"/>
        </w:rPr>
      </w:pPr>
    </w:p>
    <w:p>
      <w:pPr>
        <w:ind w:left="660" w:hanging="8"/>
        <w:spacing w:after="0" w:line="277" w:lineRule="auto"/>
        <w:rPr>
          <w:sz w:val="20"/>
          <w:szCs w:val="20"/>
          <w:color w:val="auto"/>
        </w:rPr>
      </w:pPr>
      <w:r>
        <w:rPr>
          <w:rFonts w:ascii="Times New Roman" w:cs="Times New Roman" w:eastAsia="Times New Roman" w:hAnsi="Times New Roman"/>
          <w:sz w:val="21"/>
          <w:szCs w:val="21"/>
          <w:color w:val="auto"/>
        </w:rPr>
        <w:t>may deprive the Guarantor of its right to subrogation against Seller to recover full indemnity for any payments made pursuant to this Agreement or of its right of contribution against any other party.</w:t>
      </w:r>
    </w:p>
    <w:p>
      <w:pPr>
        <w:spacing w:after="0" w:line="179" w:lineRule="exact"/>
        <w:rPr>
          <w:sz w:val="20"/>
          <w:szCs w:val="20"/>
          <w:color w:val="auto"/>
        </w:rPr>
      </w:pPr>
    </w:p>
    <w:p>
      <w:pPr>
        <w:jc w:val="both"/>
        <w:ind w:firstLine="4058"/>
        <w:spacing w:after="0" w:line="277" w:lineRule="auto"/>
        <w:tabs>
          <w:tab w:leader="none" w:pos="4696"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is a continuing agreement and all obligations to which it applies or may apply under the terms hereof shall be conclusively presumed to have been created in reliance hereon. The amount of the Guarantor’s liability and all rights, powers and remedies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540" w:val="left"/>
          <w:tab w:leader="none" w:pos="840" w:val="left"/>
        </w:tabs>
        <w:rPr>
          <w:sz w:val="20"/>
          <w:szCs w:val="20"/>
          <w:color w:val="auto"/>
        </w:rPr>
      </w:pPr>
      <w:r>
        <w:rPr>
          <w:rFonts w:ascii="Times New Roman" w:cs="Times New Roman" w:eastAsia="Times New Roman" w:hAnsi="Times New Roman"/>
          <w:sz w:val="18"/>
          <w:szCs w:val="18"/>
          <w:color w:val="auto"/>
        </w:rPr>
        <w:t>Polk</w:t>
        <w:tab/>
        <w:t>4</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Buyer hereunder shall be cumulative and not alternative and such rights, powers and remedies shall be in addition to all rights, powers and remedies given to such Buyer under the Purchase Agreement. The liability of the Guarantor under this Agreement is independent of the obligations of any other Person, which may be initially or otherwise responsible for performance or payment of the obligations hereunder, and, in the event of any default hereunder, a separate action or actions may be brought and prosecuted against the Guarantor, whether or not any other Person is joined therein or a separate action or actions are brought against the Guarantor or any other Person.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ARTICLE III. </w:t>
      </w:r>
      <w:r>
        <w:rPr>
          <w:rFonts w:ascii="Times New Roman" w:cs="Times New Roman" w:eastAsia="Times New Roman" w:hAnsi="Times New Roman"/>
          <w:sz w:val="21"/>
          <w:szCs w:val="21"/>
          <w:u w:val="single" w:color="auto"/>
          <w:color w:val="auto"/>
        </w:rPr>
        <w:t>REPRESENTATIONS AND WARRANTIES</w:t>
      </w:r>
    </w:p>
    <w:p>
      <w:pPr>
        <w:spacing w:after="0" w:line="226"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Guarantor’s Representations and Warranties</w:t>
      </w:r>
      <w:r>
        <w:rPr>
          <w:rFonts w:ascii="Times New Roman" w:cs="Times New Roman" w:eastAsia="Times New Roman" w:hAnsi="Times New Roman"/>
          <w:sz w:val="21"/>
          <w:szCs w:val="21"/>
          <w:color w:val="auto"/>
        </w:rPr>
        <w:t>. The Guarantor represents and warrants to and in favor of each Buyer, as of the Effective Date, that:</w:t>
      </w:r>
    </w:p>
    <w:p>
      <w:pPr>
        <w:spacing w:after="0" w:line="142" w:lineRule="exact"/>
        <w:rPr>
          <w:sz w:val="20"/>
          <w:szCs w:val="20"/>
          <w:color w:val="auto"/>
        </w:rPr>
      </w:pPr>
    </w:p>
    <w:p>
      <w:pPr>
        <w:jc w:val="both"/>
        <w:ind w:firstLine="4345"/>
        <w:spacing w:after="0" w:line="277"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 The Guarantor is (a) a corporation duly incorporated, validly existing and in good standing under the laws of the jurisdiction of its incorporation and (b) duly qualified, authorized to do business and in good standing in each jurisdiction in which such qualification is necessary to execute, deliver and perform this Agreement.</w:t>
      </w:r>
    </w:p>
    <w:p>
      <w:pPr>
        <w:spacing w:after="0" w:line="200" w:lineRule="exact"/>
        <w:rPr>
          <w:sz w:val="20"/>
          <w:szCs w:val="20"/>
          <w:color w:val="auto"/>
        </w:rPr>
      </w:pPr>
    </w:p>
    <w:p>
      <w:pPr>
        <w:spacing w:after="0" w:line="206" w:lineRule="exact"/>
        <w:rPr>
          <w:sz w:val="20"/>
          <w:szCs w:val="20"/>
          <w:color w:val="auto"/>
        </w:rPr>
      </w:pPr>
    </w:p>
    <w:p>
      <w:pPr>
        <w:jc w:val="both"/>
        <w:ind w:firstLine="4394"/>
        <w:spacing w:after="0" w:line="261" w:lineRule="auto"/>
        <w:rPr>
          <w:sz w:val="20"/>
          <w:szCs w:val="20"/>
          <w:color w:val="auto"/>
        </w:rPr>
      </w:pPr>
      <w:r>
        <w:rPr>
          <w:rFonts w:ascii="Times New Roman" w:cs="Times New Roman" w:eastAsia="Times New Roman" w:hAnsi="Times New Roman"/>
          <w:sz w:val="21"/>
          <w:szCs w:val="21"/>
          <w:color w:val="auto"/>
        </w:rPr>
        <w:t xml:space="preserve">3.1.2 </w:t>
      </w:r>
      <w:r>
        <w:rPr>
          <w:rFonts w:ascii="Times New Roman" w:cs="Times New Roman" w:eastAsia="Times New Roman" w:hAnsi="Times New Roman"/>
          <w:sz w:val="21"/>
          <w:szCs w:val="21"/>
          <w:u w:val="single" w:color="auto"/>
          <w:color w:val="auto"/>
        </w:rPr>
        <w:t>Power and Authorization; Enforceable Obligations</w:t>
      </w:r>
      <w:r>
        <w:rPr>
          <w:rFonts w:ascii="Times New Roman" w:cs="Times New Roman" w:eastAsia="Times New Roman" w:hAnsi="Times New Roman"/>
          <w:sz w:val="21"/>
          <w:szCs w:val="21"/>
          <w:color w:val="auto"/>
        </w:rPr>
        <w:t>. The Guarantor has the full corporate power and authority to execute, deliver and perform this Agreement and to take all action as may be necessary to complete the transactions contemplated hereunder. The Guarantor has taken all necessary corporate action to authorize the execution, delivery and performance of this Agreement and to complete the transactions contemplated hereby. No consent or authorization of, filing with, or other act by or in respect of any other Person or Governmental Authority is required in connection with the execution, delivery or performance by the Guarantor, or the validity or enforceability as to the Guarantor, of this Agreement. This Agreement has been duly executed and delivered by the Guarantor and constitutes a legal, valid and binding obligation of the Guarantor enforceable against it in accordance with its terms, except as enforceability may be limited by applicable bankruptcy, insolvency, reorganization, moratorium or similar laws affecting the rights of creditors generally and by general principles of equity.</w:t>
      </w:r>
    </w:p>
    <w:p>
      <w:pPr>
        <w:spacing w:after="0" w:line="200" w:lineRule="exact"/>
        <w:rPr>
          <w:sz w:val="20"/>
          <w:szCs w:val="20"/>
          <w:color w:val="auto"/>
        </w:rPr>
      </w:pPr>
    </w:p>
    <w:p>
      <w:pPr>
        <w:spacing w:after="0" w:line="228" w:lineRule="exact"/>
        <w:rPr>
          <w:sz w:val="20"/>
          <w:szCs w:val="20"/>
          <w:color w:val="auto"/>
        </w:rPr>
      </w:pPr>
    </w:p>
    <w:p>
      <w:pPr>
        <w:jc w:val="both"/>
        <w:ind w:firstLine="4466"/>
        <w:spacing w:after="0" w:line="261" w:lineRule="auto"/>
        <w:rPr>
          <w:sz w:val="20"/>
          <w:szCs w:val="20"/>
          <w:color w:val="auto"/>
        </w:rPr>
      </w:pPr>
      <w:r>
        <w:rPr>
          <w:rFonts w:ascii="Times New Roman" w:cs="Times New Roman" w:eastAsia="Times New Roman" w:hAnsi="Times New Roman"/>
          <w:sz w:val="21"/>
          <w:szCs w:val="21"/>
          <w:color w:val="auto"/>
        </w:rPr>
        <w:t xml:space="preserve">3.1.3 </w:t>
      </w:r>
      <w:r>
        <w:rPr>
          <w:rFonts w:ascii="Times New Roman" w:cs="Times New Roman" w:eastAsia="Times New Roman" w:hAnsi="Times New Roman"/>
          <w:sz w:val="21"/>
          <w:szCs w:val="21"/>
          <w:u w:val="single" w:color="auto"/>
          <w:color w:val="auto"/>
        </w:rPr>
        <w:t>No Legal Bar</w:t>
      </w:r>
      <w:r>
        <w:rPr>
          <w:rFonts w:ascii="Times New Roman" w:cs="Times New Roman" w:eastAsia="Times New Roman" w:hAnsi="Times New Roman"/>
          <w:sz w:val="21"/>
          <w:szCs w:val="21"/>
          <w:color w:val="auto"/>
        </w:rPr>
        <w:t>. The execution, delivery and performance by the Guarantor of this Agreement and the consummation of the transactions contemplated hereby will not violate, conflict with or otherwise breach (as applicable): (a) any provision or requirement of any federal, state or local law, statute, judgment, order, writ, injunction, decree, award, rule or regulation of any Governmental Authority, (b) the charter documents, by-laws, organizational documents or other governing documents of the Guarantor, or (c) any material instrument, document, agreement or contract of any kind to which Guarantor is a party or by which it or any of its properties or assets is bound except, in the case of this clause (c), where such violation, conflict or breach could not reasonably be expected to have a material adverse effect on the Guarantor’s ability to perform its obligations under this Agreement. Furthermore, such execution, delivery and performance by Guarantor of this Agreement and consummation of the transactions contemplated hereby will not result in, or require, the creation or imposition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40" w:val="left"/>
          <w:tab w:leader="none" w:pos="840" w:val="left"/>
        </w:tabs>
        <w:rPr>
          <w:sz w:val="20"/>
          <w:szCs w:val="20"/>
          <w:color w:val="auto"/>
        </w:rPr>
      </w:pPr>
      <w:r>
        <w:rPr>
          <w:rFonts w:ascii="Times New Roman" w:cs="Times New Roman" w:eastAsia="Times New Roman" w:hAnsi="Times New Roman"/>
          <w:sz w:val="18"/>
          <w:szCs w:val="18"/>
          <w:color w:val="auto"/>
        </w:rPr>
        <w:t>Polk</w:t>
        <w:tab/>
        <w:t>5</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Lien on any of the properties or revenues of the Guarantor pursuant to any Applicable Law or any such contractual obligation.</w:t>
      </w:r>
    </w:p>
    <w:p>
      <w:pPr>
        <w:spacing w:after="0" w:line="226" w:lineRule="exact"/>
        <w:rPr>
          <w:sz w:val="20"/>
          <w:szCs w:val="20"/>
          <w:color w:val="auto"/>
        </w:rPr>
      </w:pPr>
    </w:p>
    <w:p>
      <w:pPr>
        <w:jc w:val="both"/>
        <w:ind w:firstLine="1282"/>
        <w:spacing w:after="0" w:line="277" w:lineRule="auto"/>
        <w:rPr>
          <w:sz w:val="20"/>
          <w:szCs w:val="20"/>
          <w:color w:val="auto"/>
        </w:rPr>
      </w:pPr>
      <w:r>
        <w:rPr>
          <w:rFonts w:ascii="Times New Roman" w:cs="Times New Roman" w:eastAsia="Times New Roman" w:hAnsi="Times New Roman"/>
          <w:sz w:val="21"/>
          <w:szCs w:val="21"/>
          <w:color w:val="auto"/>
        </w:rPr>
        <w:t xml:space="preserve">3.1.4 </w:t>
      </w: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Guarantor is in compliance with all Applicable Laws, except any such non-compliance that could not reasonably be expected to have a material adverse effect on the Guarantor’s ability to perform its obligations under this Agreement.</w:t>
      </w:r>
    </w:p>
    <w:p>
      <w:pPr>
        <w:spacing w:after="0" w:line="139" w:lineRule="exact"/>
        <w:rPr>
          <w:sz w:val="20"/>
          <w:szCs w:val="20"/>
          <w:color w:val="auto"/>
        </w:rPr>
      </w:pPr>
    </w:p>
    <w:p>
      <w:pPr>
        <w:jc w:val="both"/>
        <w:ind w:firstLine="1282"/>
        <w:spacing w:after="0" w:line="262" w:lineRule="auto"/>
        <w:rPr>
          <w:sz w:val="20"/>
          <w:szCs w:val="20"/>
          <w:color w:val="auto"/>
        </w:rPr>
      </w:pPr>
      <w:r>
        <w:rPr>
          <w:rFonts w:ascii="Times New Roman" w:cs="Times New Roman" w:eastAsia="Times New Roman" w:hAnsi="Times New Roman"/>
          <w:sz w:val="21"/>
          <w:szCs w:val="21"/>
          <w:color w:val="auto"/>
        </w:rPr>
        <w:t xml:space="preserve">3.1.5 </w:t>
      </w:r>
      <w:r>
        <w:rPr>
          <w:rFonts w:ascii="Times New Roman" w:cs="Times New Roman" w:eastAsia="Times New Roman" w:hAnsi="Times New Roman"/>
          <w:sz w:val="21"/>
          <w:szCs w:val="21"/>
          <w:u w:val="single" w:color="auto"/>
          <w:color w:val="auto"/>
        </w:rPr>
        <w:t>No Litigation; Bankruptcy</w:t>
      </w:r>
      <w:r>
        <w:rPr>
          <w:rFonts w:ascii="Times New Roman" w:cs="Times New Roman" w:eastAsia="Times New Roman" w:hAnsi="Times New Roman"/>
          <w:sz w:val="21"/>
          <w:szCs w:val="21"/>
          <w:color w:val="auto"/>
        </w:rPr>
        <w:t>. (a) There are no pending or, to the Guarantor’s Knowledge, threatened actions, suits, proceedings or investigations of any kind, including actions or proceedings of or before any Governmental Authority, to which the Guarantor is a party or is subject, or by which it or its properties are bound that, if adversely determined to or against the Guarantor could reasonably be expected to have a material adverse effect on the Guarantor’s ability to perform its obligations under this Agreement. (b) No voluntary actions or, to the Knowledge of the Guarantor, involuntary actions are pending or threatened against the Guarantor under the insolvency or bankruptcy laws of the U.S. or any other jurisdiction.</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3.1.6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Guarantor has timely filed all federal, state and local tax returns</w:t>
      </w:r>
    </w:p>
    <w:p>
      <w:pPr>
        <w:spacing w:after="0" w:line="37"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21"/>
          <w:szCs w:val="21"/>
          <w:color w:val="auto"/>
        </w:rPr>
        <w:t>that it is required to file (except where a failure to file such local tax return could not reasonably be expected to have a material adverse effect on the Guarantor’s ability to perform its obligations under this Agreement), has paid all taxes it is required to pay to the extent due (other than those taxes that it is contesting in good faith and by appropriate proceedings, with adequate reserves established in accordance with GAAP for such taxes) and, to the extent such taxes are not due, has established reserves that are adequate for the payment thereof to the extent required by GAAP. The Guarantor does not know of any proposed tax assessment against it which could reasonably be expected to have a material adverse effect on the Guarantor’s ability to perform its obligations under this Agreement.</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3.1.7 </w:t>
      </w:r>
      <w:r>
        <w:rPr>
          <w:rFonts w:ascii="Times New Roman" w:cs="Times New Roman" w:eastAsia="Times New Roman" w:hAnsi="Times New Roman"/>
          <w:sz w:val="21"/>
          <w:szCs w:val="21"/>
          <w:u w:val="single" w:color="auto"/>
          <w:color w:val="auto"/>
        </w:rPr>
        <w:t>Financial and Other Information</w:t>
      </w:r>
      <w:r>
        <w:rPr>
          <w:rFonts w:ascii="Times New Roman" w:cs="Times New Roman" w:eastAsia="Times New Roman" w:hAnsi="Times New Roman"/>
          <w:sz w:val="21"/>
          <w:szCs w:val="21"/>
          <w:color w:val="auto"/>
        </w:rPr>
        <w:t>. The Guarantor has established adequate</w:t>
      </w:r>
    </w:p>
    <w:p>
      <w:pPr>
        <w:spacing w:after="0" w:line="37" w:lineRule="exact"/>
        <w:rPr>
          <w:sz w:val="20"/>
          <w:szCs w:val="20"/>
          <w:color w:val="auto"/>
        </w:rPr>
      </w:pPr>
    </w:p>
    <w:p>
      <w:pPr>
        <w:jc w:val="both"/>
        <w:ind w:hanging="8"/>
        <w:spacing w:after="0" w:line="260" w:lineRule="auto"/>
        <w:rPr>
          <w:sz w:val="20"/>
          <w:szCs w:val="20"/>
          <w:color w:val="auto"/>
        </w:rPr>
      </w:pPr>
      <w:r>
        <w:rPr>
          <w:rFonts w:ascii="Times New Roman" w:cs="Times New Roman" w:eastAsia="Times New Roman" w:hAnsi="Times New Roman"/>
          <w:sz w:val="21"/>
          <w:szCs w:val="21"/>
          <w:color w:val="auto"/>
        </w:rPr>
        <w:t>means of obtaining financial and other information pertaining to the businesses, operations and condition (financial and otherwise) of Seller, Project Company and their properties on a continuing basis, and the Guarantor now is and hereafter will have responsibility for maintaining familiarity with the businesses, operations and condition (financial and otherwise) of Seller, Project Company and their properties.</w:t>
      </w:r>
    </w:p>
    <w:p>
      <w:pPr>
        <w:spacing w:after="0" w:line="171" w:lineRule="exact"/>
        <w:rPr>
          <w:sz w:val="20"/>
          <w:szCs w:val="20"/>
          <w:color w:val="auto"/>
        </w:rPr>
      </w:pPr>
    </w:p>
    <w:p>
      <w:pPr>
        <w:ind w:right="3120" w:firstLine="1291"/>
        <w:spacing w:after="0" w:line="302" w:lineRule="auto"/>
        <w:rPr>
          <w:sz w:val="20"/>
          <w:szCs w:val="20"/>
          <w:color w:val="auto"/>
        </w:rPr>
      </w:pPr>
      <w:r>
        <w:rPr>
          <w:rFonts w:ascii="Times New Roman" w:cs="Times New Roman" w:eastAsia="Times New Roman" w:hAnsi="Times New Roman"/>
          <w:sz w:val="21"/>
          <w:szCs w:val="21"/>
          <w:color w:val="auto"/>
        </w:rPr>
        <w:t xml:space="preserve">3.1.8 </w:t>
      </w:r>
      <w:r>
        <w:rPr>
          <w:rFonts w:ascii="Times New Roman" w:cs="Times New Roman" w:eastAsia="Times New Roman" w:hAnsi="Times New Roman"/>
          <w:sz w:val="21"/>
          <w:szCs w:val="21"/>
          <w:u w:val="single" w:color="auto"/>
          <w:color w:val="auto"/>
        </w:rPr>
        <w:t>Purchase Agreement</w:t>
      </w:r>
      <w:r>
        <w:rPr>
          <w:rFonts w:ascii="Times New Roman" w:cs="Times New Roman" w:eastAsia="Times New Roman" w:hAnsi="Times New Roman"/>
          <w:sz w:val="21"/>
          <w:szCs w:val="21"/>
          <w:color w:val="auto"/>
        </w:rPr>
        <w:t>. The Guarantor has reviewed and is familiar with the terms of the Purchase Agreement.</w:t>
      </w:r>
    </w:p>
    <w:p>
      <w:pPr>
        <w:spacing w:after="0" w:line="127" w:lineRule="exact"/>
        <w:rPr>
          <w:sz w:val="20"/>
          <w:szCs w:val="20"/>
          <w:color w:val="auto"/>
        </w:rPr>
      </w:pPr>
    </w:p>
    <w:p>
      <w:pPr>
        <w:jc w:val="both"/>
        <w:ind w:firstLine="1282"/>
        <w:spacing w:after="0" w:line="260" w:lineRule="auto"/>
        <w:rPr>
          <w:sz w:val="20"/>
          <w:szCs w:val="20"/>
          <w:color w:val="auto"/>
        </w:rPr>
      </w:pPr>
      <w:r>
        <w:rPr>
          <w:rFonts w:ascii="Times New Roman" w:cs="Times New Roman" w:eastAsia="Times New Roman" w:hAnsi="Times New Roman"/>
          <w:sz w:val="21"/>
          <w:szCs w:val="21"/>
          <w:color w:val="auto"/>
        </w:rPr>
        <w:t xml:space="preserve">3.1.9 </w:t>
      </w:r>
      <w:r>
        <w:rPr>
          <w:rFonts w:ascii="Times New Roman" w:cs="Times New Roman" w:eastAsia="Times New Roman" w:hAnsi="Times New Roman"/>
          <w:sz w:val="21"/>
          <w:szCs w:val="21"/>
          <w:u w:val="single" w:color="auto"/>
          <w:color w:val="auto"/>
        </w:rPr>
        <w:t>Governmental Authority; Sanctions; Foreign Assets Control Regulations</w:t>
      </w:r>
      <w:r>
        <w:rPr>
          <w:rFonts w:ascii="Times New Roman" w:cs="Times New Roman" w:eastAsia="Times New Roman" w:hAnsi="Times New Roman"/>
          <w:sz w:val="21"/>
          <w:szCs w:val="21"/>
          <w:color w:val="auto"/>
        </w:rPr>
        <w:t>. No Governmental Approvals are required for the due execution, delivery and performance by the Guarantor of this Agreement. The Guarantor (a) is not a Sanctioned Person or otherwise a Person described or designated in the Specially Designated Nationals and Blocked Persons List of the Office of Foreign Assets Control or otherwise a Sanctioned Person, (b) does not have any of its assets in a Sanctioned Country or in the possession, custody or control of a Sanctioned Person, (c) has not violated, and is not in violation of, Sanctions, and (d) does not do business in or with, or derives any of its operating income from investments in or transactions with, any Sanctioned Country or Sanctioned Person. The Guarantor is in compliance with, and it does not engage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540" w:val="left"/>
          <w:tab w:leader="none" w:pos="840" w:val="left"/>
        </w:tabs>
        <w:rPr>
          <w:sz w:val="20"/>
          <w:szCs w:val="20"/>
          <w:color w:val="auto"/>
        </w:rPr>
      </w:pPr>
      <w:r>
        <w:rPr>
          <w:rFonts w:ascii="Times New Roman" w:cs="Times New Roman" w:eastAsia="Times New Roman" w:hAnsi="Times New Roman"/>
          <w:sz w:val="18"/>
          <w:szCs w:val="18"/>
          <w:color w:val="auto"/>
        </w:rPr>
        <w:t>Polk</w:t>
        <w:tab/>
        <w:t>6</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any dealings or transactions prohibited by, any Sanctions laws of the U.S. The Guarantor has taken reasonable measures appropriate to the circumstances (and in any event as required by applicable law) with respect to each holder of an interest in such Person, to assure that funds invested by such holder in such Person are derived from legal sources in accordance with Anti-Money Laundering Laws.</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3.1.10 </w:t>
      </w:r>
      <w:r>
        <w:rPr>
          <w:rFonts w:ascii="Times New Roman" w:cs="Times New Roman" w:eastAsia="Times New Roman" w:hAnsi="Times New Roman"/>
          <w:sz w:val="21"/>
          <w:szCs w:val="21"/>
          <w:u w:val="single" w:color="auto"/>
          <w:color w:val="auto"/>
        </w:rPr>
        <w:t>Solvency Matters</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ind w:left="4840" w:hanging="631"/>
        <w:spacing w:after="0"/>
        <w:tabs>
          <w:tab w:leader="none" w:pos="4840"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the transactions contemplated by this Agreement and</w:t>
      </w:r>
    </w:p>
    <w:p>
      <w:pPr>
        <w:spacing w:after="0" w:line="36" w:lineRule="exact"/>
        <w:rPr>
          <w:rFonts w:ascii="Times New Roman" w:cs="Times New Roman" w:eastAsia="Times New Roman" w:hAnsi="Times New Roman"/>
          <w:sz w:val="21"/>
          <w:szCs w:val="21"/>
          <w:color w:val="auto"/>
        </w:rPr>
      </w:pPr>
    </w:p>
    <w:p>
      <w:pPr>
        <w:ind w:right="80" w:hanging="9"/>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Agreement, including the contingent obligations evidenced hereby, the Guarantor is not, on either an unconsolidated basis or a consolidated basis, insolvent as such term is defined in the Bankruptcy Code, and the Guarantor has and will have assets which, fairly valued, exceed its indebtedness, liabilities or obligations.</w:t>
      </w:r>
    </w:p>
    <w:p>
      <w:pPr>
        <w:spacing w:after="0" w:line="123" w:lineRule="exact"/>
        <w:rPr>
          <w:rFonts w:ascii="Times New Roman" w:cs="Times New Roman" w:eastAsia="Times New Roman" w:hAnsi="Times New Roman"/>
          <w:sz w:val="21"/>
          <w:szCs w:val="21"/>
          <w:color w:val="auto"/>
        </w:rPr>
      </w:pPr>
    </w:p>
    <w:p>
      <w:pPr>
        <w:ind w:firstLine="4381"/>
        <w:spacing w:after="0" w:line="315" w:lineRule="auto"/>
        <w:tabs>
          <w:tab w:leader="none" w:pos="5019" w:val="left"/>
        </w:tabs>
        <w:numPr>
          <w:ilvl w:val="2"/>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is not executing this Agreement with any intent to hinder, delay or defraud any of its present or future creditor or creditors.</w:t>
      </w:r>
    </w:p>
    <w:p>
      <w:pPr>
        <w:spacing w:after="0" w:line="127" w:lineRule="exact"/>
        <w:rPr>
          <w:rFonts w:ascii="Times New Roman" w:cs="Times New Roman" w:eastAsia="Times New Roman" w:hAnsi="Times New Roman"/>
          <w:sz w:val="21"/>
          <w:szCs w:val="21"/>
          <w:color w:val="auto"/>
        </w:rPr>
      </w:pPr>
    </w:p>
    <w:p>
      <w:pPr>
        <w:jc w:val="both"/>
        <w:ind w:firstLine="4407"/>
        <w:spacing w:after="0" w:line="273" w:lineRule="auto"/>
        <w:tabs>
          <w:tab w:leader="none" w:pos="5047" w:val="left"/>
        </w:tabs>
        <w:numPr>
          <w:ilvl w:val="3"/>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is not engaged in any business or transaction which, after giving effect to the transaction contemplated by this Agreement, will leave it with capital or assets which are unreasonably small in relation to the business or transactions engaged in by it, and the Guarantor does not intend to engage in any such business or transaction.</w:t>
      </w:r>
    </w:p>
    <w:p>
      <w:pPr>
        <w:spacing w:after="0" w:line="170" w:lineRule="exact"/>
        <w:rPr>
          <w:rFonts w:ascii="Times New Roman" w:cs="Times New Roman" w:eastAsia="Times New Roman" w:hAnsi="Times New Roman"/>
          <w:sz w:val="21"/>
          <w:szCs w:val="21"/>
          <w:color w:val="auto"/>
        </w:rPr>
      </w:pPr>
    </w:p>
    <w:p>
      <w:pPr>
        <w:ind w:left="4820" w:hanging="646"/>
        <w:spacing w:after="0"/>
        <w:tabs>
          <w:tab w:leader="none" w:pos="4820"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does not intend to incur, nor does the Guarantor believe that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will incur, debts beyond the Guarantor’s ability to repay such debts as they mature.</w:t>
      </w:r>
    </w:p>
    <w:p>
      <w:pPr>
        <w:spacing w:after="0" w:line="2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 xml:space="preserve">ARTICLE IV. </w:t>
      </w:r>
      <w:r>
        <w:rPr>
          <w:rFonts w:ascii="Times New Roman" w:cs="Times New Roman" w:eastAsia="Times New Roman" w:hAnsi="Times New Roman"/>
          <w:sz w:val="21"/>
          <w:szCs w:val="21"/>
          <w:u w:val="single" w:color="auto"/>
          <w:color w:val="auto"/>
        </w:rPr>
        <w:t>COVENANTS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Guarantor hereby covenants and agrees for the benefit of each Buyer as follows, as long as this Agreement remains in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w:t>
      </w:r>
    </w:p>
    <w:p>
      <w:pPr>
        <w:spacing w:after="0" w:line="202"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Maintenance of Corporate Existence</w:t>
      </w:r>
      <w:r>
        <w:rPr>
          <w:rFonts w:ascii="Times New Roman" w:cs="Times New Roman" w:eastAsia="Times New Roman" w:hAnsi="Times New Roman"/>
          <w:sz w:val="21"/>
          <w:szCs w:val="21"/>
          <w:color w:val="auto"/>
        </w:rPr>
        <w:t>. The Guarantor shall maintain and preserve its existence in good standing in the jurisdiction of its formation and its qualification to do business in each other jurisdiction where such qualification is necessary to perform its obligations hereunder and all material rights, privileges and franchises necessary in the normal conduct of its business.</w:t>
      </w:r>
    </w:p>
    <w:p>
      <w:pPr>
        <w:spacing w:after="0" w:line="139"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Consents and Approvals</w:t>
      </w:r>
      <w:r>
        <w:rPr>
          <w:rFonts w:ascii="Times New Roman" w:cs="Times New Roman" w:eastAsia="Times New Roman" w:hAnsi="Times New Roman"/>
          <w:sz w:val="21"/>
          <w:szCs w:val="21"/>
          <w:color w:val="auto"/>
        </w:rPr>
        <w:t>. The Guarantor shall maintain in full force and effect all consents and approvals of any Governmental Authority that are required to be obtained by it in order for it to perform its obligations under this Agreement. The Guarantor shall obtain any such consents and approvals that may become required in the future in order for it to perform its obligations under this Agreement as and when the same shall be so required.</w:t>
      </w:r>
    </w:p>
    <w:p>
      <w:pPr>
        <w:spacing w:after="0" w:line="164"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Guarantor shall promptly comply with all Applicable Laws, except where the failure to comply could not reasonably be expected to have a material adverse effect on the Guarantor’s ability to perform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540" w:val="left"/>
          <w:tab w:leader="none" w:pos="840" w:val="left"/>
        </w:tabs>
        <w:rPr>
          <w:sz w:val="20"/>
          <w:szCs w:val="20"/>
          <w:color w:val="auto"/>
        </w:rPr>
      </w:pPr>
      <w:r>
        <w:rPr>
          <w:rFonts w:ascii="Times New Roman" w:cs="Times New Roman" w:eastAsia="Times New Roman" w:hAnsi="Times New Roman"/>
          <w:sz w:val="18"/>
          <w:szCs w:val="18"/>
          <w:color w:val="auto"/>
        </w:rPr>
        <w:t>Polk</w:t>
        <w:tab/>
        <w:t>7</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222"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Dissolution; Merger</w:t>
      </w:r>
      <w:r>
        <w:rPr>
          <w:rFonts w:ascii="Times New Roman" w:cs="Times New Roman" w:eastAsia="Times New Roman" w:hAnsi="Times New Roman"/>
          <w:sz w:val="21"/>
          <w:szCs w:val="21"/>
          <w:color w:val="auto"/>
        </w:rPr>
        <w:t xml:space="preserve">. The Guarantor shall not liquidate, wind-up or dissolve, or change its legal form;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Guarantor may merge or amalgamate with any other entity so long the Guarantor is the successor entity in such merger or amalgamation.</w:t>
      </w:r>
    </w:p>
    <w:p>
      <w:pPr>
        <w:spacing w:after="0" w:line="152"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During the Recapture Period, the Guarantor shall, (a) not later than the date that is sixty (60) days after the end of each fiscal quarter, deliver to each Buyer the unaudited financial statements of Guarantor for such fiscal quarter and (b) not later than the date that is one hundred twenty (120) days after the end of each fiscal year, deliver to each Buyer the audited financial statements of the Guarantor for such fiscal year.</w:t>
      </w:r>
    </w:p>
    <w:p>
      <w:pPr>
        <w:spacing w:after="0" w:line="166"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Required Credit Criteria and Required Credit Support</w:t>
      </w:r>
      <w:r>
        <w:rPr>
          <w:rFonts w:ascii="Times New Roman" w:cs="Times New Roman" w:eastAsia="Times New Roman" w:hAnsi="Times New Roman"/>
          <w:sz w:val="21"/>
          <w:szCs w:val="21"/>
          <w:color w:val="auto"/>
        </w:rPr>
        <w:t xml:space="preserve">. Without duplication of the Guaranteed Obligations related to Section 5(b)(xiv) of the Purchase Agreement, the Guarantor agrees that if a Credit Trigger has occurred, and a replacement guaranty, letter of credit or cash collateral as described in such Section 5(b)(xiv) of the Purchase Agreement has not been provided within the time period required therein, the Guarantor will (within such time period) provide such a letter of credit or cash collateral amount to each Buyer (the amount of which shall be applied, reduced or returned, as applicable, from time to time as described in such Section 5(b)(xiv) of the Purchase Agreement). The Parties agree that, upon a breach of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by the Guarantor, the remedies at law of each Buyer for such breach shall not be a sufficient remedy, that such breach would cause irreparable harm to each Buyer, and that each Buyer shall be entitled to specific performance of the obligation set forth in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to provide collateral security to each Buyer, without the necessity of proving the inadequacy of money damages as a remedy, in addition to any other remedy at law or in equity. The Guarantor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V.</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SUBORDINATION; SUBROGATION; ETC.</w:t>
      </w:r>
    </w:p>
    <w:p>
      <w:pPr>
        <w:spacing w:after="0" w:line="215"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Except as otherwise required by Applicable Laws or the Purchase Agreement, each payment required to be made by the Guarantor hereunder shall be made without deduction or withholding for or on account of taxes.</w:t>
      </w:r>
    </w:p>
    <w:p>
      <w:pPr>
        <w:spacing w:after="0" w:line="142"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Subordination</w:t>
      </w:r>
      <w:r>
        <w:rPr>
          <w:rFonts w:ascii="Times New Roman" w:cs="Times New Roman" w:eastAsia="Times New Roman" w:hAnsi="Times New Roman"/>
          <w:sz w:val="21"/>
          <w:szCs w:val="21"/>
          <w:color w:val="auto"/>
        </w:rPr>
        <w:t xml:space="preserve">. All existing and future indebtedness of, or other obligations owed by Seller to the Guarantor is hereby subordinated to all of the Guaranteed Obligations. Without the prior written consent of each Buyer, such subordinated indebtedness (including interest thereon) shall not be paid or withdrawn in whole or in part, nor shall the Guarantor accept any payment of or on account of any such indebtedness, at any time in which Guaranteed Obligations are due and payable, in each case until this Agreement is terminated in accordance with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Any payment by Seller in violation of this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shall be received by the Guarantor in trust for Buyer, and the Guarantor shall cause the same to be paid to the applicable Buyer immediately upon demand by any Buyer on account of the Guaranteed Obligations. The Guarantor shall not assign all or any portion of such indebtedness while this Agreement remains in effect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40" w:val="left"/>
          <w:tab w:leader="none" w:pos="840" w:val="left"/>
        </w:tabs>
        <w:rPr>
          <w:sz w:val="20"/>
          <w:szCs w:val="20"/>
          <w:color w:val="auto"/>
        </w:rPr>
      </w:pPr>
      <w:r>
        <w:rPr>
          <w:rFonts w:ascii="Times New Roman" w:cs="Times New Roman" w:eastAsia="Times New Roman" w:hAnsi="Times New Roman"/>
          <w:sz w:val="18"/>
          <w:szCs w:val="18"/>
          <w:color w:val="auto"/>
        </w:rPr>
        <w:t>Polk</w:t>
        <w:tab/>
        <w:t>8</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color w:val="auto"/>
        </w:rPr>
        <w:t>upon prior written notice to Seller and each Buyer by which the assignee of any such indebtedness agrees that the assignment is made subject to the terms of this Agreement, and that any attempted assignment of such indebtedness in violation of the provisions hereof shall be void.</w:t>
      </w:r>
    </w:p>
    <w:p>
      <w:pPr>
        <w:spacing w:after="0" w:line="152"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The Guarantor hereby unconditionally and irrevocably waives and relinquishes, to the maximum extent permitted by Applicable Law, all rights and remedies accorded to sureties or guarantors and agrees not to assert or take advantage of any such rights or remedies, including:</w:t>
      </w:r>
    </w:p>
    <w:p>
      <w:pPr>
        <w:spacing w:after="0" w:line="174" w:lineRule="exact"/>
        <w:rPr>
          <w:sz w:val="20"/>
          <w:szCs w:val="20"/>
          <w:color w:val="auto"/>
        </w:rPr>
      </w:pPr>
    </w:p>
    <w:p>
      <w:pPr>
        <w:ind w:left="3200" w:hanging="628"/>
        <w:spacing w:after="0"/>
        <w:tabs>
          <w:tab w:leader="none" w:pos="3200"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 to require any Person to proceed against or exhaust any security</w:t>
      </w:r>
    </w:p>
    <w:p>
      <w:pPr>
        <w:spacing w:after="0" w:line="39" w:lineRule="exact"/>
        <w:rPr>
          <w:sz w:val="20"/>
          <w:szCs w:val="20"/>
          <w:color w:val="auto"/>
        </w:rPr>
      </w:pPr>
    </w:p>
    <w:p>
      <w:pPr>
        <w:ind w:hanging="8"/>
        <w:spacing w:after="0" w:line="288" w:lineRule="auto"/>
        <w:rPr>
          <w:sz w:val="20"/>
          <w:szCs w:val="20"/>
          <w:color w:val="auto"/>
        </w:rPr>
      </w:pPr>
      <w:r>
        <w:rPr>
          <w:rFonts w:ascii="Times New Roman" w:cs="Times New Roman" w:eastAsia="Times New Roman" w:hAnsi="Times New Roman"/>
          <w:sz w:val="21"/>
          <w:szCs w:val="21"/>
          <w:color w:val="auto"/>
        </w:rPr>
        <w:t>held by Seller, Project Company or any Buyer at any time or to pursue any other remedy in Seller’s, Project Company’s or any Buyer’s power before proceeding against the Guarantor;</w:t>
      </w:r>
    </w:p>
    <w:p>
      <w:pPr>
        <w:spacing w:after="0" w:line="169" w:lineRule="exact"/>
        <w:rPr>
          <w:sz w:val="20"/>
          <w:szCs w:val="20"/>
          <w:color w:val="auto"/>
        </w:rPr>
      </w:pPr>
    </w:p>
    <w:p>
      <w:pPr>
        <w:ind w:left="3200" w:hanging="628"/>
        <w:spacing w:after="0"/>
        <w:tabs>
          <w:tab w:leader="none" w:pos="3200"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or limitation of status or of power or any defense that may arise by</w:t>
      </w:r>
    </w:p>
    <w:p>
      <w:pPr>
        <w:spacing w:after="0" w:line="37" w:lineRule="exact"/>
        <w:rPr>
          <w:sz w:val="20"/>
          <w:szCs w:val="20"/>
          <w:color w:val="auto"/>
        </w:rPr>
      </w:pPr>
    </w:p>
    <w:p>
      <w:pPr>
        <w:jc w:val="both"/>
        <w:ind w:hanging="8"/>
        <w:spacing w:after="0" w:line="265" w:lineRule="auto"/>
        <w:rPr>
          <w:sz w:val="20"/>
          <w:szCs w:val="20"/>
          <w:color w:val="auto"/>
        </w:rPr>
      </w:pPr>
      <w:r>
        <w:rPr>
          <w:rFonts w:ascii="Times New Roman" w:cs="Times New Roman" w:eastAsia="Times New Roman" w:hAnsi="Times New Roman"/>
          <w:sz w:val="21"/>
          <w:szCs w:val="21"/>
          <w:color w:val="auto"/>
        </w:rPr>
        <w:t>reason of the incapacity, lack of power or authority, death, dissolution, merger, termination or disability of the Guarantor, Seller or any other Person or any change whatsoever in the object, capital structure, constitution or business of Seller, Project Company or the Guarantor, or the failure of Seller, Project Company or any Buyer to file or enforce a claim against the estate (in administration, bankruptcy or any other proceeding) of the Guarantor or any other Person;</w:t>
      </w:r>
    </w:p>
    <w:p>
      <w:pPr>
        <w:spacing w:after="0" w:line="178" w:lineRule="exact"/>
        <w:rPr>
          <w:sz w:val="20"/>
          <w:szCs w:val="20"/>
          <w:color w:val="auto"/>
        </w:rPr>
      </w:pPr>
    </w:p>
    <w:p>
      <w:pPr>
        <w:ind w:left="3200" w:hanging="628"/>
        <w:spacing w:after="0"/>
        <w:tabs>
          <w:tab w:leader="none" w:pos="320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promptness, diligence, demand, presentment, protest and notice of any kind,</w:t>
      </w:r>
    </w:p>
    <w:p>
      <w:pPr>
        <w:spacing w:after="0" w:line="37" w:lineRule="exact"/>
        <w:rPr>
          <w:sz w:val="20"/>
          <w:szCs w:val="20"/>
          <w:color w:val="auto"/>
        </w:rPr>
      </w:pPr>
    </w:p>
    <w:p>
      <w:pPr>
        <w:jc w:val="both"/>
        <w:ind w:hanging="8"/>
        <w:spacing w:after="0" w:line="260" w:lineRule="auto"/>
        <w:rPr>
          <w:sz w:val="20"/>
          <w:szCs w:val="20"/>
          <w:color w:val="auto"/>
        </w:rPr>
      </w:pPr>
      <w:r>
        <w:rPr>
          <w:rFonts w:ascii="Times New Roman" w:cs="Times New Roman" w:eastAsia="Times New Roman" w:hAnsi="Times New Roman"/>
          <w:sz w:val="21"/>
          <w:szCs w:val="21"/>
          <w:color w:val="auto"/>
        </w:rPr>
        <w:t>including notice of the existence, creation or incurring of any new or additional obligation or of an action or non-action on the part of Seller, Project Company or any Buyer, any endorser or creditor of the foregoing or on the part of any other Person under this or any other instrument in connection with any obligation by Seller, Project Company or any Buyer as collateral or in connection with any Guaranteed Obligation;</w:t>
      </w:r>
    </w:p>
    <w:p>
      <w:pPr>
        <w:spacing w:after="0" w:line="198" w:lineRule="exact"/>
        <w:rPr>
          <w:sz w:val="20"/>
          <w:szCs w:val="20"/>
          <w:color w:val="auto"/>
        </w:rPr>
      </w:pPr>
    </w:p>
    <w:p>
      <w:pPr>
        <w:ind w:left="3200" w:hanging="628"/>
        <w:spacing w:after="0"/>
        <w:tabs>
          <w:tab w:leader="none" w:pos="3200"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 election of remedies, including an election to</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proceed by non-judicial rather than judicial foreclosure, which destroys or otherwise impairs the subrogation rights of the Guarantor or the right of the Guarantor to proceed against Seller or any other Person for reimbursement, or both;</w:t>
      </w:r>
    </w:p>
    <w:p>
      <w:pPr>
        <w:spacing w:after="0" w:line="166" w:lineRule="exact"/>
        <w:rPr>
          <w:sz w:val="20"/>
          <w:szCs w:val="20"/>
          <w:color w:val="auto"/>
        </w:rPr>
      </w:pPr>
    </w:p>
    <w:p>
      <w:pPr>
        <w:ind w:right="1740" w:firstLine="2572"/>
        <w:spacing w:after="0" w:line="302" w:lineRule="auto"/>
        <w:tabs>
          <w:tab w:leader="none" w:pos="3212"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on any offset against any amounts which may be owed by any Person to the Guarantor for any reason whatsoever;</w:t>
      </w:r>
    </w:p>
    <w:p>
      <w:pPr>
        <w:spacing w:after="0" w:line="140" w:lineRule="exact"/>
        <w:rPr>
          <w:rFonts w:ascii="Times New Roman" w:cs="Times New Roman" w:eastAsia="Times New Roman" w:hAnsi="Times New Roman"/>
          <w:sz w:val="21"/>
          <w:szCs w:val="21"/>
          <w:color w:val="auto"/>
        </w:rPr>
      </w:pPr>
    </w:p>
    <w:p>
      <w:pPr>
        <w:ind w:left="3220" w:hanging="648"/>
        <w:spacing w:after="0"/>
        <w:tabs>
          <w:tab w:leader="none" w:pos="3220"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on any act, failure to act, delay or omission whatsoever</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on the part of Seller, Project Company or any of their Affiliates or the failure by Seller, Project Company or any of their Affiliates to do any act or thing or to observe or perform any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540" w:val="left"/>
          <w:tab w:leader="none" w:pos="840" w:val="left"/>
        </w:tabs>
        <w:rPr>
          <w:sz w:val="20"/>
          <w:szCs w:val="20"/>
          <w:color w:val="auto"/>
        </w:rPr>
      </w:pPr>
      <w:r>
        <w:rPr>
          <w:rFonts w:ascii="Times New Roman" w:cs="Times New Roman" w:eastAsia="Times New Roman" w:hAnsi="Times New Roman"/>
          <w:sz w:val="18"/>
          <w:szCs w:val="18"/>
          <w:color w:val="auto"/>
        </w:rPr>
        <w:t>Polk</w:t>
        <w:tab/>
        <w:t>9</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condition or agreement to be observed or performed by such Person under the Purchase Agreement;</w:t>
      </w:r>
    </w:p>
    <w:p>
      <w:pPr>
        <w:spacing w:after="0" w:line="253" w:lineRule="exact"/>
        <w:rPr>
          <w:sz w:val="20"/>
          <w:szCs w:val="20"/>
          <w:color w:val="auto"/>
        </w:rPr>
      </w:pPr>
    </w:p>
    <w:p>
      <w:pPr>
        <w:ind w:right="980" w:firstLine="2572"/>
        <w:spacing w:after="0" w:line="302" w:lineRule="auto"/>
        <w:tabs>
          <w:tab w:leader="none" w:pos="321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statute or rule of law which provides that the obligation of a surety must be neither larger in amount nor in other respects more burdensome than that of the principal;</w:t>
      </w:r>
    </w:p>
    <w:p>
      <w:pPr>
        <w:spacing w:after="0" w:line="140" w:lineRule="exact"/>
        <w:rPr>
          <w:rFonts w:ascii="Times New Roman" w:cs="Times New Roman" w:eastAsia="Times New Roman" w:hAnsi="Times New Roman"/>
          <w:sz w:val="21"/>
          <w:szCs w:val="21"/>
          <w:color w:val="auto"/>
        </w:rPr>
      </w:pPr>
    </w:p>
    <w:p>
      <w:pPr>
        <w:ind w:left="3200" w:hanging="628"/>
        <w:spacing w:after="0"/>
        <w:tabs>
          <w:tab w:leader="none" w:pos="320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duty on the part of Seller, Project Company or any Buyer to disclose to</w:t>
      </w:r>
    </w:p>
    <w:p>
      <w:pPr>
        <w:spacing w:after="0" w:line="37" w:lineRule="exact"/>
        <w:rPr>
          <w:sz w:val="20"/>
          <w:szCs w:val="20"/>
          <w:color w:val="auto"/>
        </w:rPr>
      </w:pPr>
    </w:p>
    <w:p>
      <w:pPr>
        <w:jc w:val="both"/>
        <w:ind w:hanging="8"/>
        <w:spacing w:after="0" w:line="260" w:lineRule="auto"/>
        <w:rPr>
          <w:sz w:val="20"/>
          <w:szCs w:val="20"/>
          <w:color w:val="auto"/>
        </w:rPr>
      </w:pPr>
      <w:r>
        <w:rPr>
          <w:rFonts w:ascii="Times New Roman" w:cs="Times New Roman" w:eastAsia="Times New Roman" w:hAnsi="Times New Roman"/>
          <w:sz w:val="21"/>
          <w:szCs w:val="21"/>
          <w:color w:val="auto"/>
        </w:rPr>
        <w:t>the Guarantor any facts Seller, Project Company or any Buyer may now or hereafter know about Seller, Project Company or an Affiliate thereof, regardless of whether Seller, Project Company or any Buyer has reason to believe that any such facts materially increase the risk beyond that which the Guarantor intends to assume, or have reason to believe that such facts are unknown to the Guarantor, or have a reasonable opportunity to communicate such facts to the Guarantor, since the Guarantor acknowledges that the Guarantor is fully responsible for being and keeping informed of the financial condition of Seller and Project Company, and of all circumstances bearing on the risk of non-payment of any Guaranteed Obligation;</w:t>
      </w:r>
    </w:p>
    <w:p>
      <w:pPr>
        <w:spacing w:after="0" w:line="182" w:lineRule="exact"/>
        <w:rPr>
          <w:sz w:val="20"/>
          <w:szCs w:val="20"/>
          <w:color w:val="auto"/>
        </w:rPr>
      </w:pPr>
    </w:p>
    <w:p>
      <w:pPr>
        <w:ind w:left="3200" w:hanging="628"/>
        <w:spacing w:after="0"/>
        <w:tabs>
          <w:tab w:leader="none" w:pos="320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on any change in the time, manner or place of any</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payment under, or in any other term of, the Purchase Agreement, or any other amendment, renewal, extension, acceleration, compromise or waiver of or any consent or departure from the terms of the Purchase Agreement;</w:t>
      </w:r>
    </w:p>
    <w:p>
      <w:pPr>
        <w:spacing w:after="0" w:line="179" w:lineRule="exact"/>
        <w:rPr>
          <w:sz w:val="20"/>
          <w:szCs w:val="20"/>
          <w:color w:val="auto"/>
        </w:rPr>
      </w:pPr>
    </w:p>
    <w:p>
      <w:pPr>
        <w:ind w:left="3200" w:hanging="628"/>
        <w:spacing w:after="0"/>
        <w:tabs>
          <w:tab w:leader="none" w:pos="320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 to assert the bankruptcy or insolvency of Seller or any other Person</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as a defense hereunder or as the basis for rescission hereof and any defense arising because of any Buyer’s election, in any proceeding instituted under the Bankruptcy Code, of the application of Section 1111(b)(2) of the Bankruptcy Code;</w:t>
      </w:r>
    </w:p>
    <w:p>
      <w:pPr>
        <w:spacing w:after="0" w:line="153" w:lineRule="exact"/>
        <w:rPr>
          <w:sz w:val="20"/>
          <w:szCs w:val="20"/>
          <w:color w:val="auto"/>
        </w:rPr>
      </w:pPr>
    </w:p>
    <w:p>
      <w:pPr>
        <w:ind w:left="3200" w:hanging="628"/>
        <w:spacing w:after="0"/>
        <w:tabs>
          <w:tab w:leader="none" w:pos="320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borrowing or grant of a security interest under Section 364 of the</w:t>
      </w:r>
    </w:p>
    <w:p>
      <w:pPr>
        <w:spacing w:after="0" w:line="36" w:lineRule="exact"/>
        <w:rPr>
          <w:rFonts w:ascii="Times New Roman" w:cs="Times New Roman" w:eastAsia="Times New Roman" w:hAnsi="Times New Roman"/>
          <w:sz w:val="21"/>
          <w:szCs w:val="21"/>
          <w:color w:val="auto"/>
        </w:rPr>
      </w:pPr>
    </w:p>
    <w:p>
      <w:pPr>
        <w:ind w:left="1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Bankruptcy Code;</w:t>
      </w:r>
    </w:p>
    <w:p>
      <w:pPr>
        <w:spacing w:after="0" w:line="215" w:lineRule="exact"/>
        <w:rPr>
          <w:rFonts w:ascii="Times New Roman" w:cs="Times New Roman" w:eastAsia="Times New Roman" w:hAnsi="Times New Roman"/>
          <w:sz w:val="21"/>
          <w:szCs w:val="21"/>
          <w:color w:val="auto"/>
        </w:rPr>
      </w:pPr>
    </w:p>
    <w:p>
      <w:pPr>
        <w:ind w:left="3200" w:hanging="628"/>
        <w:spacing w:after="0"/>
        <w:tabs>
          <w:tab w:leader="none" w:pos="320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or circumstance constituting fraud in the inducement or any other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similar event or circumstances;</w:t>
      </w:r>
    </w:p>
    <w:p>
      <w:pPr>
        <w:spacing w:after="0" w:line="228" w:lineRule="exact"/>
        <w:rPr>
          <w:sz w:val="20"/>
          <w:szCs w:val="20"/>
          <w:color w:val="auto"/>
        </w:rPr>
      </w:pPr>
    </w:p>
    <w:p>
      <w:pPr>
        <w:ind w:left="3200" w:hanging="628"/>
        <w:spacing w:after="0"/>
        <w:tabs>
          <w:tab w:leader="none" w:pos="3200"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 or omission by Seller or Project Company or any existence of or</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reliance on any representation by Seller, Project Company or any Buyer that might otherwise constitute a defense available to, or discharge of, any guarantor or surety;</w:t>
      </w:r>
    </w:p>
    <w:p>
      <w:pPr>
        <w:spacing w:after="0" w:line="179" w:lineRule="exact"/>
        <w:rPr>
          <w:sz w:val="20"/>
          <w:szCs w:val="20"/>
          <w:color w:val="auto"/>
        </w:rPr>
      </w:pPr>
    </w:p>
    <w:p>
      <w:pPr>
        <w:ind w:left="3200" w:hanging="628"/>
        <w:spacing w:after="0"/>
        <w:tabs>
          <w:tab w:leader="none" w:pos="320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dispute between the Guarantor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540" w:val="left"/>
          <w:tab w:leader="none" w:pos="940" w:val="left"/>
        </w:tabs>
        <w:rPr>
          <w:sz w:val="20"/>
          <w:szCs w:val="20"/>
          <w:color w:val="auto"/>
        </w:rPr>
      </w:pPr>
      <w:r>
        <w:rPr>
          <w:rFonts w:ascii="Times New Roman" w:cs="Times New Roman" w:eastAsia="Times New Roman" w:hAnsi="Times New Roman"/>
          <w:sz w:val="18"/>
          <w:szCs w:val="18"/>
          <w:color w:val="auto"/>
        </w:rPr>
        <w:t>Polk</w:t>
        <w:tab/>
        <w:t>10</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thereof other than Seller) and any Buyer;</w:t>
      </w:r>
    </w:p>
    <w:p>
      <w:pPr>
        <w:spacing w:after="0" w:line="253" w:lineRule="exact"/>
        <w:rPr>
          <w:sz w:val="20"/>
          <w:szCs w:val="20"/>
          <w:color w:val="auto"/>
        </w:rPr>
      </w:pPr>
    </w:p>
    <w:p>
      <w:pPr>
        <w:ind w:left="3200" w:hanging="628"/>
        <w:spacing w:after="0"/>
        <w:tabs>
          <w:tab w:leader="none" w:pos="3200"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validity or enforceability of the Guaranteed Obligations or the Purchase Agreement;</w:t>
      </w:r>
    </w:p>
    <w:p>
      <w:pPr>
        <w:spacing w:after="0" w:line="239" w:lineRule="exact"/>
        <w:rPr>
          <w:rFonts w:ascii="Times New Roman" w:cs="Times New Roman" w:eastAsia="Times New Roman" w:hAnsi="Times New Roman"/>
          <w:sz w:val="21"/>
          <w:szCs w:val="21"/>
          <w:color w:val="auto"/>
        </w:rPr>
      </w:pPr>
    </w:p>
    <w:p>
      <w:pPr>
        <w:ind w:left="3200" w:hanging="628"/>
        <w:spacing w:after="0"/>
        <w:tabs>
          <w:tab w:leader="none" w:pos="3200"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assignment or transfer of any party’s interest in the Purchase Agreement;</w:t>
      </w:r>
    </w:p>
    <w:p>
      <w:pPr>
        <w:spacing w:after="0" w:line="239" w:lineRule="exact"/>
        <w:rPr>
          <w:rFonts w:ascii="Times New Roman" w:cs="Times New Roman" w:eastAsia="Times New Roman" w:hAnsi="Times New Roman"/>
          <w:sz w:val="21"/>
          <w:szCs w:val="21"/>
          <w:color w:val="auto"/>
        </w:rPr>
      </w:pPr>
    </w:p>
    <w:p>
      <w:pPr>
        <w:ind w:left="3200" w:hanging="628"/>
        <w:spacing w:after="0"/>
        <w:tabs>
          <w:tab w:leader="none" w:pos="3200"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taking of or delay or failure to take any action by any Buyer to enforce</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the Guaranteed Obligations or the Purchase Agreement, or to otherwise exercise any rights or remedies against Seller or any other Person;</w:t>
      </w:r>
    </w:p>
    <w:p>
      <w:pPr>
        <w:spacing w:after="0" w:line="153" w:lineRule="exact"/>
        <w:rPr>
          <w:sz w:val="20"/>
          <w:szCs w:val="20"/>
          <w:color w:val="auto"/>
        </w:rPr>
      </w:pPr>
    </w:p>
    <w:p>
      <w:pPr>
        <w:ind w:left="1280" w:firstLine="1292"/>
        <w:spacing w:after="0" w:line="288" w:lineRule="auto"/>
        <w:tabs>
          <w:tab w:leader="none" w:pos="3203"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insolvency, bankruptcy, liquidation or dissolution of the Guarantor, Seller or Project Company, including any discharge of obligations therefrom;</w:t>
      </w:r>
    </w:p>
    <w:p>
      <w:pPr>
        <w:spacing w:after="0" w:line="168" w:lineRule="exact"/>
        <w:rPr>
          <w:rFonts w:ascii="Times New Roman" w:cs="Times New Roman" w:eastAsia="Times New Roman" w:hAnsi="Times New Roman"/>
          <w:sz w:val="21"/>
          <w:szCs w:val="21"/>
          <w:color w:val="auto"/>
        </w:rPr>
      </w:pPr>
    </w:p>
    <w:p>
      <w:pPr>
        <w:ind w:left="3220" w:hanging="648"/>
        <w:spacing w:after="0"/>
        <w:tabs>
          <w:tab w:leader="none" w:pos="322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claim, set-off, counterclaim, defense or other rights that the Guarantor</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may have at any time and from time to time against any Buyer, whether in connection with this transaction or any unrelated transaction;</w:t>
      </w:r>
    </w:p>
    <w:p>
      <w:pPr>
        <w:spacing w:after="0" w:line="166" w:lineRule="exact"/>
        <w:rPr>
          <w:sz w:val="20"/>
          <w:szCs w:val="20"/>
          <w:color w:val="auto"/>
        </w:rPr>
      </w:pPr>
    </w:p>
    <w:p>
      <w:pPr>
        <w:ind w:left="3200" w:hanging="628"/>
        <w:spacing w:after="0"/>
        <w:tabs>
          <w:tab w:leader="none" w:pos="3200"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default, failure, omission or delay, willful or otherwise, on the part of</w:t>
      </w:r>
    </w:p>
    <w:p>
      <w:pPr>
        <w:spacing w:after="0" w:line="37" w:lineRule="exact"/>
        <w:rPr>
          <w:sz w:val="20"/>
          <w:szCs w:val="20"/>
          <w:color w:val="auto"/>
        </w:rPr>
      </w:pPr>
    </w:p>
    <w:p>
      <w:pPr>
        <w:ind w:hanging="8"/>
        <w:spacing w:after="0" w:line="277" w:lineRule="auto"/>
        <w:rPr>
          <w:sz w:val="20"/>
          <w:szCs w:val="20"/>
          <w:color w:val="auto"/>
        </w:rPr>
      </w:pPr>
      <w:r>
        <w:rPr>
          <w:rFonts w:ascii="Times New Roman" w:cs="Times New Roman" w:eastAsia="Times New Roman" w:hAnsi="Times New Roman"/>
          <w:sz w:val="21"/>
          <w:szCs w:val="21"/>
          <w:color w:val="auto"/>
        </w:rPr>
        <w:t>either Seller or the Guarantor to perform or comply with, or the impossibility or illegality of performance by Seller of any of the Guaranteed Obligations;</w:t>
      </w:r>
    </w:p>
    <w:p>
      <w:pPr>
        <w:spacing w:after="0" w:line="179" w:lineRule="exact"/>
        <w:rPr>
          <w:sz w:val="20"/>
          <w:szCs w:val="20"/>
          <w:color w:val="auto"/>
        </w:rPr>
      </w:pPr>
    </w:p>
    <w:p>
      <w:pPr>
        <w:ind w:left="3200" w:hanging="628"/>
        <w:spacing w:after="0"/>
        <w:tabs>
          <w:tab w:leader="none" w:pos="3200"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suit or other action brought by, or any judgment in favor of, any</w:t>
      </w:r>
    </w:p>
    <w:p>
      <w:pPr>
        <w:spacing w:after="0" w:line="37" w:lineRule="exact"/>
        <w:rPr>
          <w:sz w:val="20"/>
          <w:szCs w:val="20"/>
          <w:color w:val="auto"/>
        </w:rPr>
      </w:pPr>
    </w:p>
    <w:p>
      <w:pPr>
        <w:jc w:val="both"/>
        <w:ind w:hanging="8"/>
        <w:spacing w:after="0" w:line="260" w:lineRule="auto"/>
        <w:rPr>
          <w:sz w:val="20"/>
          <w:szCs w:val="20"/>
          <w:color w:val="auto"/>
        </w:rPr>
      </w:pPr>
      <w:r>
        <w:rPr>
          <w:rFonts w:ascii="Times New Roman" w:cs="Times New Roman" w:eastAsia="Times New Roman" w:hAnsi="Times New Roman"/>
          <w:sz w:val="21"/>
          <w:szCs w:val="21"/>
          <w:color w:val="auto"/>
        </w:rPr>
        <w:t>beneficiaries or creditors of any of the Seller, the Guarantor or any other Person for any reason whatsoever, including any suit or action in any way attaching or involving any issue, matter or thing in respect of any of the Purchase Agreement, the Guaranteed Obligations or any other agreement (other than a suit or action to which any Buyer is a party or by which any Buyer is bound concerning the scope of the Guaranteed Obligations or concerning the provisions of this Agreement);</w:t>
      </w:r>
    </w:p>
    <w:p>
      <w:pPr>
        <w:spacing w:after="0" w:line="171" w:lineRule="exact"/>
        <w:rPr>
          <w:sz w:val="20"/>
          <w:szCs w:val="20"/>
          <w:color w:val="auto"/>
        </w:rPr>
      </w:pPr>
    </w:p>
    <w:p>
      <w:pPr>
        <w:jc w:val="both"/>
        <w:ind w:left="1280" w:firstLine="1292"/>
        <w:spacing w:after="0" w:line="264" w:lineRule="auto"/>
        <w:tabs>
          <w:tab w:leader="none" w:pos="3199"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lease or transfer of any or all of the assets of Seller, Project Company or the Guarantor, including any transfer or purported transfer from Seller, Project Company or the Guarantor to any other Person, any invalidity of, illegality of, or inability to enforce, any such transfer or purported transfer, any consolidation or merger of Seller, Project Company or the Guarantor with or into any Person or any change in the ownership of Seller, Project Company or the Guarantor;</w:t>
      </w:r>
    </w:p>
    <w:p>
      <w:pPr>
        <w:spacing w:after="0" w:line="167" w:lineRule="exact"/>
        <w:rPr>
          <w:rFonts w:ascii="Times New Roman" w:cs="Times New Roman" w:eastAsia="Times New Roman" w:hAnsi="Times New Roman"/>
          <w:sz w:val="21"/>
          <w:szCs w:val="21"/>
          <w:color w:val="auto"/>
        </w:rPr>
      </w:pPr>
    </w:p>
    <w:p>
      <w:pPr>
        <w:ind w:left="3200" w:hanging="628"/>
        <w:spacing w:after="0"/>
        <w:tabs>
          <w:tab w:leader="none" w:pos="3200"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or failure to act in any manner referred to in this Agreement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540" w:val="left"/>
          <w:tab w:leader="none" w:pos="940" w:val="left"/>
        </w:tabs>
        <w:rPr>
          <w:sz w:val="20"/>
          <w:szCs w:val="20"/>
          <w:color w:val="auto"/>
        </w:rPr>
      </w:pPr>
      <w:r>
        <w:rPr>
          <w:rFonts w:ascii="Times New Roman" w:cs="Times New Roman" w:eastAsia="Times New Roman" w:hAnsi="Times New Roman"/>
          <w:sz w:val="18"/>
          <w:szCs w:val="18"/>
          <w:color w:val="auto"/>
        </w:rPr>
        <w:t>Polk</w:t>
        <w:tab/>
        <w:t>11</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209" w:lineRule="exact"/>
        <w:rPr>
          <w:sz w:val="20"/>
          <w:szCs w:val="20"/>
          <w:color w:val="auto"/>
        </w:rPr>
      </w:pPr>
    </w:p>
    <w:p>
      <w:pPr>
        <w:ind w:right="180" w:hanging="8"/>
        <w:spacing w:after="0" w:line="288" w:lineRule="auto"/>
        <w:rPr>
          <w:sz w:val="20"/>
          <w:szCs w:val="20"/>
          <w:color w:val="auto"/>
        </w:rPr>
      </w:pPr>
      <w:r>
        <w:rPr>
          <w:rFonts w:ascii="Times New Roman" w:cs="Times New Roman" w:eastAsia="Times New Roman" w:hAnsi="Times New Roman"/>
          <w:sz w:val="21"/>
          <w:szCs w:val="21"/>
          <w:color w:val="auto"/>
        </w:rPr>
        <w:t>may deprive the Guarantor of its rights to subrogation against Seller to recover full indemnity for any payments made pursuant to this Agreement or of the Guarantor’s right to contribution against any other party;</w:t>
      </w:r>
    </w:p>
    <w:p>
      <w:pPr>
        <w:spacing w:after="0" w:line="169" w:lineRule="exact"/>
        <w:rPr>
          <w:sz w:val="20"/>
          <w:szCs w:val="20"/>
          <w:color w:val="auto"/>
        </w:rPr>
      </w:pPr>
    </w:p>
    <w:p>
      <w:pPr>
        <w:ind w:left="3200" w:hanging="628"/>
        <w:spacing w:after="0"/>
        <w:tabs>
          <w:tab w:leader="none" w:pos="3200"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whether direct or indirect, in the Guarantor’s relation to Seller</w:t>
      </w:r>
    </w:p>
    <w:p>
      <w:pPr>
        <w:spacing w:after="0" w:line="39" w:lineRule="exact"/>
        <w:rPr>
          <w:sz w:val="20"/>
          <w:szCs w:val="20"/>
          <w:color w:val="auto"/>
        </w:rPr>
      </w:pPr>
    </w:p>
    <w:p>
      <w:pPr>
        <w:jc w:val="both"/>
        <w:ind w:hanging="8"/>
        <w:spacing w:after="0" w:line="270" w:lineRule="auto"/>
        <w:rPr>
          <w:sz w:val="20"/>
          <w:szCs w:val="20"/>
          <w:color w:val="auto"/>
        </w:rPr>
      </w:pPr>
      <w:r>
        <w:rPr>
          <w:rFonts w:ascii="Times New Roman" w:cs="Times New Roman" w:eastAsia="Times New Roman" w:hAnsi="Times New Roman"/>
          <w:sz w:val="21"/>
          <w:szCs w:val="21"/>
          <w:color w:val="auto"/>
        </w:rPr>
        <w:t>or Project Company, including any such change by reason of any merger or consolidation or any sale, transfer, issuance, spin-off, distribution or other disposition of any stock, equity interest or other security of Seller or Project Company, the Guarantor or any other entity;</w:t>
      </w:r>
    </w:p>
    <w:p>
      <w:pPr>
        <w:spacing w:after="0" w:line="174" w:lineRule="exact"/>
        <w:rPr>
          <w:sz w:val="20"/>
          <w:szCs w:val="20"/>
          <w:color w:val="auto"/>
        </w:rPr>
      </w:pPr>
    </w:p>
    <w:p>
      <w:pPr>
        <w:ind w:left="3200" w:hanging="628"/>
        <w:spacing w:after="0"/>
        <w:tabs>
          <w:tab w:leader="none" w:pos="3200"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settlement, compromise, release or discharge of, or acceptance or</w:t>
      </w:r>
    </w:p>
    <w:p>
      <w:pPr>
        <w:spacing w:after="0" w:line="39" w:lineRule="exact"/>
        <w:rPr>
          <w:sz w:val="20"/>
          <w:szCs w:val="20"/>
          <w:color w:val="auto"/>
        </w:rPr>
      </w:pPr>
    </w:p>
    <w:p>
      <w:pPr>
        <w:ind w:hanging="8"/>
        <w:spacing w:after="0" w:line="288" w:lineRule="auto"/>
        <w:rPr>
          <w:sz w:val="20"/>
          <w:szCs w:val="20"/>
          <w:color w:val="auto"/>
        </w:rPr>
      </w:pPr>
      <w:r>
        <w:rPr>
          <w:rFonts w:ascii="Times New Roman" w:cs="Times New Roman" w:eastAsia="Times New Roman" w:hAnsi="Times New Roman"/>
          <w:sz w:val="21"/>
          <w:szCs w:val="21"/>
          <w:color w:val="auto"/>
        </w:rPr>
        <w:t>refusal of any offer of payment with respect to, or any substitutions for, the Guaranteed Obligations or any subordination of the Guaranteed Obligations to any other obligations;</w:t>
      </w:r>
    </w:p>
    <w:p>
      <w:pPr>
        <w:spacing w:after="0" w:line="142" w:lineRule="exact"/>
        <w:rPr>
          <w:sz w:val="20"/>
          <w:szCs w:val="20"/>
          <w:color w:val="auto"/>
        </w:rPr>
      </w:pPr>
    </w:p>
    <w:p>
      <w:pPr>
        <w:ind w:left="3200" w:hanging="628"/>
        <w:spacing w:after="0"/>
        <w:tabs>
          <w:tab w:leader="none" w:pos="320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acceptance of any other guaranties or security for any of the Guaranteed Obligations;</w:t>
      </w:r>
    </w:p>
    <w:p>
      <w:pPr>
        <w:spacing w:after="0" w:line="226" w:lineRule="exact"/>
        <w:rPr>
          <w:sz w:val="20"/>
          <w:szCs w:val="20"/>
          <w:color w:val="auto"/>
        </w:rPr>
      </w:pPr>
    </w:p>
    <w:p>
      <w:pPr>
        <w:ind w:left="3220" w:hanging="648"/>
        <w:spacing w:after="0"/>
        <w:tabs>
          <w:tab w:leader="none" w:pos="3220"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by any other Person of a portion, but not all, of the Guaranteed Obligations; and</w:t>
      </w:r>
    </w:p>
    <w:p>
      <w:pPr>
        <w:spacing w:after="0" w:line="239" w:lineRule="exact"/>
        <w:rPr>
          <w:sz w:val="20"/>
          <w:szCs w:val="20"/>
          <w:color w:val="auto"/>
        </w:rPr>
      </w:pPr>
    </w:p>
    <w:p>
      <w:pPr>
        <w:ind w:right="1580" w:firstLine="2574"/>
        <w:spacing w:after="0" w:line="315" w:lineRule="auto"/>
        <w:rPr>
          <w:sz w:val="20"/>
          <w:szCs w:val="20"/>
          <w:color w:val="auto"/>
        </w:rPr>
      </w:pPr>
      <w:r>
        <w:rPr>
          <w:rFonts w:ascii="Times New Roman" w:cs="Times New Roman" w:eastAsia="Times New Roman" w:hAnsi="Times New Roman"/>
          <w:sz w:val="21"/>
          <w:szCs w:val="21"/>
          <w:color w:val="auto"/>
        </w:rPr>
        <w:t>(ab) any other circumstances that might otherwise constitute a legal or equitable discharge or defense of a guarantor (other than payment in full by Seller of the Guaranteed Obligations),</w:t>
      </w:r>
    </w:p>
    <w:p>
      <w:pPr>
        <w:spacing w:after="0" w:line="101" w:lineRule="exact"/>
        <w:rPr>
          <w:sz w:val="20"/>
          <w:szCs w:val="20"/>
          <w:color w:val="auto"/>
        </w:rPr>
      </w:pPr>
    </w:p>
    <w:p>
      <w:pPr>
        <w:jc w:val="both"/>
        <w:ind w:hanging="8"/>
        <w:spacing w:after="0" w:line="277" w:lineRule="auto"/>
        <w:rPr>
          <w:sz w:val="20"/>
          <w:szCs w:val="20"/>
          <w:color w:val="auto"/>
        </w:rPr>
      </w:pPr>
      <w:r>
        <w:rPr>
          <w:rFonts w:ascii="Times New Roman" w:cs="Times New Roman" w:eastAsia="Times New Roman" w:hAnsi="Times New Roman"/>
          <w:sz w:val="21"/>
          <w:szCs w:val="21"/>
          <w:color w:val="auto"/>
        </w:rPr>
        <w:t>other than, in each case, any defenses that either Seller or the Guarantor may assert with respect to its payment under the agreement under which such Guaranteed Obligations arise, or the written waiver, settlement or discharge of the Guaranteed Obligations or of this Agreement by each Buyer.</w:t>
      </w:r>
    </w:p>
    <w:p>
      <w:pPr>
        <w:spacing w:after="0" w:line="152" w:lineRule="exact"/>
        <w:rPr>
          <w:sz w:val="20"/>
          <w:szCs w:val="20"/>
          <w:color w:val="auto"/>
        </w:rPr>
      </w:pPr>
    </w:p>
    <w:p>
      <w:pPr>
        <w:jc w:val="both"/>
        <w:ind w:left="640" w:firstLine="641"/>
        <w:spacing w:after="0" w:line="257"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No Subrogation</w:t>
      </w:r>
      <w:r>
        <w:rPr>
          <w:rFonts w:ascii="Times New Roman" w:cs="Times New Roman" w:eastAsia="Times New Roman" w:hAnsi="Times New Roman"/>
          <w:sz w:val="21"/>
          <w:szCs w:val="21"/>
          <w:color w:val="auto"/>
        </w:rPr>
        <w:t>. Unless and until the discharge in full of all due and payable Guaranteed Obligations, (a) Guarantor shall not exercise any right of subrogation, reimbursement or indemnification or enforce any remedy which any Buyer may have now or may hereafter have against Seller, and (b) Guarantor shall not enforce any claim, right or remedy which the Guarantor may now have or may hereafter acquire against Seller that arises hereunder, from the existence or enforcement of this Agreement or from the payment by the Guarantor hereunder (including any claim, remedy or right of subrogation, reimbursement, exoneration, contribution, indemnification, or participation in any claim, right or remedy of any Buyer against Seller), whether or not such claim, right or remedy arises in equity, under contract, by statute, under common law or otherwise. If Guarantor receives any amounts on account of such subrogation, reimbursement or indemnification rights at any time prior to such payment in full, Guarantor shall hold such amounts in trust for the benefit of Buyer and shall forthwith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540" w:val="left"/>
          <w:tab w:leader="none" w:pos="940" w:val="left"/>
        </w:tabs>
        <w:rPr>
          <w:sz w:val="20"/>
          <w:szCs w:val="20"/>
          <w:color w:val="auto"/>
        </w:rPr>
      </w:pPr>
      <w:r>
        <w:rPr>
          <w:rFonts w:ascii="Times New Roman" w:cs="Times New Roman" w:eastAsia="Times New Roman" w:hAnsi="Times New Roman"/>
          <w:sz w:val="18"/>
          <w:szCs w:val="18"/>
          <w:color w:val="auto"/>
        </w:rPr>
        <w:t>Polk</w:t>
        <w:tab/>
        <w:t>12</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pay such amounts to Buyer to be credited and applied to the Guaranteed Obligations if and when due.</w:t>
      </w:r>
    </w:p>
    <w:p>
      <w:pPr>
        <w:spacing w:after="0" w:line="226" w:lineRule="exact"/>
        <w:rPr>
          <w:sz w:val="20"/>
          <w:szCs w:val="20"/>
          <w:color w:val="auto"/>
        </w:rPr>
      </w:pPr>
    </w:p>
    <w:p>
      <w:pPr>
        <w:jc w:val="both"/>
        <w:ind w:left="640" w:firstLine="641"/>
        <w:spacing w:after="0" w:line="260"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Reinstatement</w:t>
      </w:r>
      <w:r>
        <w:rPr>
          <w:rFonts w:ascii="Times New Roman" w:cs="Times New Roman" w:eastAsia="Times New Roman" w:hAnsi="Times New Roman"/>
          <w:sz w:val="21"/>
          <w:szCs w:val="21"/>
          <w:color w:val="auto"/>
        </w:rPr>
        <w:t>. This Agreement and the obligations of the Guarantor hereunder shall continue to be effective or be automatically reinstated, as the case may be, if and to the extent that for any reason any payment by or on behalf of the Guarantor in respect of the Guaranteed Obligations is rescinded or otherwise restored to the Guarantor, whether as a result of any proceedings in bankruptcy, insolvency or reorganization or otherwise, all as if such payment had not been made, and the Guarantor agrees that it will indemnify each Buyer and its successors and assigns, on demand for all costs and expenses (including reasonable fees of counsel) incurred by such Buyer and its successors and assigns in connection with any such rescission or restoration.</w:t>
      </w:r>
    </w:p>
    <w:p>
      <w:pPr>
        <w:spacing w:after="0" w:line="199"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jc w:val="both"/>
        <w:ind w:firstLine="4704"/>
        <w:spacing w:after="0" w:line="268" w:lineRule="auto"/>
        <w:tabs>
          <w:tab w:leader="none" w:pos="5343" w:val="left"/>
        </w:tabs>
        <w:numPr>
          <w:ilvl w:val="2"/>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 and liability of the Guarantor under this Agreement is specifically limited to payment in respect of the Guaranteed Obligations, subject to any and all rights, set-offs, offsets, claims, counterclaims, limitations, qualifications and other defenses, solely to the extent that each of the foregoing are available to Seller under the Purchase Agreement, other than as expressly waived by the Guarantor pursuant to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6.3</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4342"/>
        <w:spacing w:after="0" w:line="277" w:lineRule="auto"/>
        <w:tabs>
          <w:tab w:leader="none" w:pos="4981" w:val="left"/>
        </w:tabs>
        <w:numPr>
          <w:ilvl w:val="1"/>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Guarantor shall not have any obligation or liability to any Person relating to, arising out of or in connection with this Agreement or the Purchase Agreement, other than as expressly set forth herein and therein.</w:t>
      </w:r>
    </w:p>
    <w:p>
      <w:pPr>
        <w:spacing w:after="0" w:line="152" w:lineRule="exact"/>
        <w:rPr>
          <w:rFonts w:ascii="Times New Roman" w:cs="Times New Roman" w:eastAsia="Times New Roman" w:hAnsi="Times New Roman"/>
          <w:sz w:val="21"/>
          <w:szCs w:val="21"/>
          <w:color w:val="auto"/>
        </w:rPr>
      </w:pPr>
    </w:p>
    <w:p>
      <w:pPr>
        <w:jc w:val="right"/>
        <w:ind w:left="6540" w:hanging="5244"/>
        <w:spacing w:after="0" w:line="264" w:lineRule="auto"/>
        <w:tabs>
          <w:tab w:leader="none" w:pos="1939"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in no event shall (i) any Buyer be entitled to recover any amounts hereunder with respect to any Guaranteed</w:t>
      </w:r>
    </w:p>
    <w:p>
      <w:pPr>
        <w:spacing w:after="0" w:line="1" w:lineRule="exact"/>
        <w:rPr>
          <w:sz w:val="20"/>
          <w:szCs w:val="20"/>
          <w:color w:val="auto"/>
        </w:rPr>
      </w:pPr>
    </w:p>
    <w:p>
      <w:pPr>
        <w:jc w:val="both"/>
        <w:ind w:hanging="8"/>
        <w:spacing w:after="0" w:line="265" w:lineRule="auto"/>
        <w:rPr>
          <w:sz w:val="20"/>
          <w:szCs w:val="20"/>
          <w:color w:val="auto"/>
        </w:rPr>
      </w:pPr>
      <w:r>
        <w:rPr>
          <w:rFonts w:ascii="Times New Roman" w:cs="Times New Roman" w:eastAsia="Times New Roman" w:hAnsi="Times New Roman"/>
          <w:sz w:val="21"/>
          <w:szCs w:val="21"/>
          <w:color w:val="auto"/>
        </w:rPr>
        <w:t>Obligation to the extent such Buyer or its Affiliates has recovered such amounts in cash under the Purchase Agreement or (ii) there be any duplication of payments to or recovery by any Buyer or its Affiliates under different provisions of this Agreement, or under any provision of this Agreement and any provision of the Purchase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ARTICLE VI. </w:t>
      </w:r>
      <w:r>
        <w:rPr>
          <w:rFonts w:ascii="Times New Roman" w:cs="Times New Roman" w:eastAsia="Times New Roman" w:hAnsi="Times New Roman"/>
          <w:sz w:val="21"/>
          <w:szCs w:val="21"/>
          <w:u w:val="single" w:color="auto"/>
          <w:color w:val="auto"/>
        </w:rPr>
        <w:t>MISCELLANEOUS</w:t>
      </w:r>
    </w:p>
    <w:p>
      <w:pPr>
        <w:spacing w:after="0" w:line="213"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Successions or Assignments</w:t>
      </w:r>
      <w:r>
        <w:rPr>
          <w:rFonts w:ascii="Times New Roman" w:cs="Times New Roman" w:eastAsia="Times New Roman" w:hAnsi="Times New Roman"/>
          <w:sz w:val="21"/>
          <w:szCs w:val="21"/>
          <w:color w:val="auto"/>
        </w:rPr>
        <w:t>. This Agreement shall be binding upon and, except as provided below, inure solely to the benefit of each Party and their successors and assigns, and nothing in this Agreement, express or implied, is intended to confer upon any other Person any rights or remedies of any nature whatsoever under or by reason of this Agreement. No Party may assign any or all of its rights, privileges and obligations hereunder without the prior written consent of each other Party.</w:t>
      </w:r>
    </w:p>
    <w:p>
      <w:pPr>
        <w:spacing w:after="0" w:line="164"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Public Announcements</w:t>
      </w:r>
      <w:r>
        <w:rPr>
          <w:rFonts w:ascii="Times New Roman" w:cs="Times New Roman" w:eastAsia="Times New Roman" w:hAnsi="Times New Roman"/>
          <w:sz w:val="21"/>
          <w:szCs w:val="21"/>
          <w:color w:val="auto"/>
        </w:rPr>
        <w:t>. Subject to any requirements of Applicable Law, no Party shall issue, or permit any of their respective Affiliates to issue, any press release or otherwise make any public statements with respect to this Agreement or the transactions contemplated hereby without the prior written consent of the other Parties. Subject to any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540" w:val="left"/>
          <w:tab w:leader="none" w:pos="940" w:val="left"/>
        </w:tabs>
        <w:rPr>
          <w:sz w:val="20"/>
          <w:szCs w:val="20"/>
          <w:color w:val="auto"/>
        </w:rPr>
      </w:pPr>
      <w:r>
        <w:rPr>
          <w:rFonts w:ascii="Times New Roman" w:cs="Times New Roman" w:eastAsia="Times New Roman" w:hAnsi="Times New Roman"/>
          <w:sz w:val="18"/>
          <w:szCs w:val="18"/>
          <w:color w:val="auto"/>
        </w:rPr>
        <w:t>Polk</w:t>
        <w:tab/>
        <w:t>13</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22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21"/>
          <w:szCs w:val="21"/>
          <w:color w:val="auto"/>
        </w:rPr>
        <w:t>Applicable Law, each Party will be given the opportunity to review in advance all information relating hereto that appears in any filing made in connection with the transactions contemplated hereby.</w:t>
      </w:r>
    </w:p>
    <w:p>
      <w:pPr>
        <w:spacing w:after="0" w:line="11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No delay or omission on the part of any Buyer in exercising any of its rights (including those hereunder) and no partial or single exercise thereof and no action or nonaction by any Buyer with or without notice to the Guarantor, or any other Person, shall constitute a waiver of any rights or shall affect or impair this Agreement.</w:t>
      </w:r>
    </w:p>
    <w:p>
      <w:pPr>
        <w:spacing w:after="0" w:line="152"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and captions used in this Agreement are for reference purposes only and shall not affect in any way the meaning or interpretation of this Agreement.</w:t>
      </w:r>
    </w:p>
    <w:p>
      <w:pPr>
        <w:spacing w:after="0" w:line="142"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Remedies Cumulative</w:t>
      </w:r>
      <w:r>
        <w:rPr>
          <w:rFonts w:ascii="Times New Roman" w:cs="Times New Roman" w:eastAsia="Times New Roman" w:hAnsi="Times New Roman"/>
          <w:sz w:val="21"/>
          <w:szCs w:val="21"/>
          <w:color w:val="auto"/>
        </w:rPr>
        <w:t>. Each and every right and remedy of each Buyer hereunder shall be cumulative and shall be in addition to any other right or remedy given hereunder and under the Purchase Agreement, now or hereafter existing at law or in equity.</w:t>
      </w:r>
    </w:p>
    <w:p>
      <w:pPr>
        <w:spacing w:after="0" w:line="160"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contemplated herein are not affected in any manner materially adverse to any Party.</w:t>
      </w:r>
    </w:p>
    <w:p>
      <w:pPr>
        <w:spacing w:after="0" w:line="166"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This Agreement may not be amended or modified except by an instrument in writing signed by each Party hereto.</w:t>
      </w:r>
    </w:p>
    <w:p>
      <w:pPr>
        <w:spacing w:after="0" w:line="142" w:lineRule="exact"/>
        <w:rPr>
          <w:sz w:val="20"/>
          <w:szCs w:val="20"/>
          <w:color w:val="auto"/>
        </w:rPr>
      </w:pPr>
    </w:p>
    <w:p>
      <w:pPr>
        <w:jc w:val="both"/>
        <w:ind w:firstLine="641"/>
        <w:spacing w:after="0" w:line="260"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Governing Law; Choice of Forum; Waiver of Jury Trial</w:t>
      </w:r>
      <w:r>
        <w:rPr>
          <w:rFonts w:ascii="Times New Roman" w:cs="Times New Roman" w:eastAsia="Times New Roman" w:hAnsi="Times New Roman"/>
          <w:sz w:val="21"/>
          <w:szCs w:val="21"/>
          <w:color w:val="auto"/>
        </w:rPr>
        <w:t>. THIS AGREEMENT SHALL IN ALL RESPECTS, INCLUDING ALL MATTERS OF CONSTRUCTION, VALIDITY AND PERFORMANCE, BE GOVERNED BY, AND CONSTRUED IN ACCORDANCE WITH, THE LAWS OF THE STATE OF NEW YORK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SECTIONS 5-1401 AND 5-1402 OF THE GENERAL OBLIGATIONS LAW, BUT WITHOUT</w:t>
      </w:r>
    </w:p>
    <w:p>
      <w:pPr>
        <w:spacing w:after="0" w:line="25"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21"/>
          <w:szCs w:val="21"/>
          <w:color w:val="auto"/>
        </w:rPr>
        <w:t>REGARD TO ANY OTHER CONFLICT OF LAWS PROVISIONS THEREOF). ALL LEGAL ACTIONS OR PROCEEDINGS BROUGHT AGAINST ANY PARTY WITH RESPECT TO</w:t>
      </w:r>
    </w:p>
    <w:p>
      <w:pPr>
        <w:spacing w:after="0" w:line="2" w:lineRule="exact"/>
        <w:rPr>
          <w:sz w:val="20"/>
          <w:szCs w:val="20"/>
          <w:color w:val="auto"/>
        </w:rPr>
      </w:pPr>
    </w:p>
    <w:p>
      <w:pPr>
        <w:ind w:right="2920"/>
        <w:spacing w:after="0" w:line="258" w:lineRule="auto"/>
        <w:rPr>
          <w:sz w:val="20"/>
          <w:szCs w:val="20"/>
          <w:color w:val="auto"/>
        </w:rPr>
      </w:pPr>
      <w:r>
        <w:rPr>
          <w:rFonts w:ascii="Times New Roman" w:cs="Times New Roman" w:eastAsia="Times New Roman" w:hAnsi="Times New Roman"/>
          <w:sz w:val="21"/>
          <w:szCs w:val="21"/>
          <w:color w:val="auto"/>
        </w:rPr>
        <w:t>THIS AGREEMENT MAY BE BROUGHT IN ANY STATE OR FEDERAL COURT OF COMPETENT JURISDICTION IN THE COUNTY OF NEW YORK, STATE OF NEW YORK,</w:t>
      </w:r>
    </w:p>
    <w:p>
      <w:pPr>
        <w:spacing w:after="0" w:line="2" w:lineRule="exact"/>
        <w:rPr>
          <w:sz w:val="20"/>
          <w:szCs w:val="20"/>
          <w:color w:val="auto"/>
        </w:rPr>
      </w:pPr>
    </w:p>
    <w:p>
      <w:pPr>
        <w:ind w:right="20" w:hanging="8"/>
        <w:spacing w:after="0" w:line="258" w:lineRule="auto"/>
        <w:rPr>
          <w:sz w:val="20"/>
          <w:szCs w:val="20"/>
          <w:color w:val="auto"/>
        </w:rPr>
      </w:pPr>
      <w:r>
        <w:rPr>
          <w:rFonts w:ascii="Times New Roman" w:cs="Times New Roman" w:eastAsia="Times New Roman" w:hAnsi="Times New Roman"/>
          <w:sz w:val="21"/>
          <w:szCs w:val="21"/>
          <w:color w:val="auto"/>
        </w:rPr>
        <w:t>AND BY EXECUTION AND DELIVERY OF THIS AGREEMENT EACH PARTY ACCEPTS FOR ITSELF AND IN CONNECTION WITH ITS PROPERTIES, THE NON-EXCLUSIVE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JURISDICTION OF THE AFORESAID COURTS, AND IRREVOCABLY AGREES TO BE</w:t>
      </w:r>
    </w:p>
    <w:p>
      <w:pPr>
        <w:spacing w:after="0" w:line="13" w:lineRule="exact"/>
        <w:rPr>
          <w:sz w:val="20"/>
          <w:szCs w:val="20"/>
          <w:color w:val="auto"/>
        </w:rPr>
      </w:pPr>
    </w:p>
    <w:p>
      <w:pPr>
        <w:ind w:hanging="8"/>
        <w:spacing w:after="0" w:line="258" w:lineRule="auto"/>
        <w:rPr>
          <w:sz w:val="20"/>
          <w:szCs w:val="20"/>
          <w:color w:val="auto"/>
        </w:rPr>
      </w:pPr>
      <w:r>
        <w:rPr>
          <w:rFonts w:ascii="Times New Roman" w:cs="Times New Roman" w:eastAsia="Times New Roman" w:hAnsi="Times New Roman"/>
          <w:sz w:val="21"/>
          <w:szCs w:val="21"/>
          <w:color w:val="auto"/>
        </w:rPr>
        <w:t>BOUND BY ANY JUDGMENT RENDERED THEREBY IN CONNECTION WITH THIS AGREEMENT. EACH PARTY HEREBY EXPRESSLY AND IRREVOCABLY WAIVES ANY</w:t>
      </w:r>
    </w:p>
    <w:p>
      <w:pPr>
        <w:spacing w:after="0" w:line="1" w:lineRule="exact"/>
        <w:rPr>
          <w:sz w:val="20"/>
          <w:szCs w:val="20"/>
          <w:color w:val="auto"/>
        </w:rPr>
      </w:pPr>
    </w:p>
    <w:p>
      <w:pPr>
        <w:ind w:right="3000"/>
        <w:spacing w:after="0" w:line="259" w:lineRule="auto"/>
        <w:rPr>
          <w:sz w:val="20"/>
          <w:szCs w:val="20"/>
          <w:color w:val="auto"/>
        </w:rPr>
      </w:pPr>
      <w:r>
        <w:rPr>
          <w:rFonts w:ascii="Times New Roman" w:cs="Times New Roman" w:eastAsia="Times New Roman" w:hAnsi="Times New Roman"/>
          <w:sz w:val="21"/>
          <w:szCs w:val="21"/>
          <w:color w:val="auto"/>
        </w:rPr>
        <w:t>CLAIM OR DEFENSE IN ANY SUCH ACTION OR PROCEEDING BASED ON ANY ALLEGED LACK OF PERSONAL JURISDICTION, IMPROPER VENUE OR FORUM NON</w:t>
      </w:r>
    </w:p>
    <w:p>
      <w:pPr>
        <w:ind w:hanging="8"/>
        <w:spacing w:after="0" w:line="258" w:lineRule="auto"/>
        <w:rPr>
          <w:sz w:val="20"/>
          <w:szCs w:val="20"/>
          <w:color w:val="auto"/>
        </w:rPr>
      </w:pPr>
      <w:r>
        <w:rPr>
          <w:rFonts w:ascii="Times New Roman" w:cs="Times New Roman" w:eastAsia="Times New Roman" w:hAnsi="Times New Roman"/>
          <w:sz w:val="21"/>
          <w:szCs w:val="21"/>
          <w:color w:val="auto"/>
        </w:rPr>
        <w:t>CONVENIENS OR ANY SIMILAR BASIS. EACH PARTY FURTHER IRREVOCABLY CONSENTS TO THE SERVICE OF ANY COMPLAINT, SUMMONS, NOTICE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PROCESS RELATING TO ANY LEGAL ACTION OR PROCEEDING BY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540" w:val="left"/>
          <w:tab w:leader="none" w:pos="940" w:val="left"/>
        </w:tabs>
        <w:rPr>
          <w:sz w:val="20"/>
          <w:szCs w:val="20"/>
          <w:color w:val="auto"/>
        </w:rPr>
      </w:pPr>
      <w:r>
        <w:rPr>
          <w:rFonts w:ascii="Times New Roman" w:cs="Times New Roman" w:eastAsia="Times New Roman" w:hAnsi="Times New Roman"/>
          <w:sz w:val="18"/>
          <w:szCs w:val="18"/>
          <w:color w:val="auto"/>
        </w:rPr>
        <w:t>Polk</w:t>
        <w:tab/>
        <w:t>14</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222" w:lineRule="exact"/>
        <w:rPr>
          <w:sz w:val="20"/>
          <w:szCs w:val="20"/>
          <w:color w:val="auto"/>
        </w:rPr>
      </w:pPr>
    </w:p>
    <w:p>
      <w:pPr>
        <w:ind w:right="2840"/>
        <w:spacing w:after="0" w:line="271" w:lineRule="auto"/>
        <w:rPr>
          <w:sz w:val="20"/>
          <w:szCs w:val="20"/>
          <w:color w:val="auto"/>
        </w:rPr>
      </w:pPr>
      <w:r>
        <w:rPr>
          <w:rFonts w:ascii="Times New Roman" w:cs="Times New Roman" w:eastAsia="Times New Roman" w:hAnsi="Times New Roman"/>
          <w:sz w:val="21"/>
          <w:szCs w:val="21"/>
          <w:color w:val="auto"/>
        </w:rPr>
        <w:t xml:space="preserve">THEREOF TO IT BY HAND OR BY MAIL (BUT NOT BY E-MAIL) TO THE ADDRESS SET FORTH IN </w:t>
      </w:r>
      <w:r>
        <w:rPr>
          <w:rFonts w:ascii="Times New Roman" w:cs="Times New Roman" w:eastAsia="Times New Roman" w:hAnsi="Times New Roman"/>
          <w:sz w:val="21"/>
          <w:szCs w:val="21"/>
          <w:u w:val="single" w:color="auto"/>
          <w:color w:val="auto"/>
        </w:rPr>
        <w:t>SECTION 6.10</w:t>
      </w:r>
      <w:r>
        <w:rPr>
          <w:rFonts w:ascii="Times New Roman" w:cs="Times New Roman" w:eastAsia="Times New Roman" w:hAnsi="Times New Roman"/>
          <w:sz w:val="21"/>
          <w:szCs w:val="21"/>
          <w:color w:val="auto"/>
        </w:rPr>
        <w:t>. NOTHING HEREIN SHALL AFFECT THE RIGHT OF ANY</w:t>
      </w:r>
    </w:p>
    <w:p>
      <w:pPr>
        <w:jc w:val="both"/>
        <w:ind w:hanging="8"/>
        <w:spacing w:after="0" w:line="265" w:lineRule="auto"/>
        <w:rPr>
          <w:sz w:val="20"/>
          <w:szCs w:val="20"/>
          <w:color w:val="auto"/>
        </w:rPr>
      </w:pPr>
      <w:r>
        <w:rPr>
          <w:rFonts w:ascii="Times New Roman" w:cs="Times New Roman" w:eastAsia="Times New Roman" w:hAnsi="Times New Roman"/>
          <w:sz w:val="21"/>
          <w:szCs w:val="21"/>
          <w:color w:val="auto"/>
        </w:rPr>
        <w:t>PARTY TO BRING PROCEEDINGS AGAINST ANY OTHER PARTY IN THE COURTS OF ANY OTHER JURISDICTION OR TO SERVE PROCESS IN ANY MANNER PERMITTED BY LAW. EACH PARTY HEREBY IRREVOCABLY AND UNCONDITIONALLY WAIVES ANY AND ALL RIGHT TO TRIAL BY JURY IN ANY ACTION, SUIT OR COUNTERCLAIM ARISING IN CONNECTION WITH THIS AGREEMENT.</w:t>
      </w:r>
    </w:p>
    <w:p>
      <w:pPr>
        <w:spacing w:after="0" w:line="151" w:lineRule="exact"/>
        <w:rPr>
          <w:sz w:val="20"/>
          <w:szCs w:val="20"/>
          <w:color w:val="auto"/>
        </w:rPr>
      </w:pPr>
    </w:p>
    <w:p>
      <w:pPr>
        <w:jc w:val="both"/>
        <w:ind w:firstLine="641"/>
        <w:spacing w:after="0" w:line="261" w:lineRule="auto"/>
        <w:rPr>
          <w:sz w:val="20"/>
          <w:szCs w:val="20"/>
          <w:color w:val="auto"/>
        </w:rPr>
      </w:pPr>
      <w:r>
        <w:rPr>
          <w:rFonts w:ascii="Times New Roman" w:cs="Times New Roman" w:eastAsia="Times New Roman" w:hAnsi="Times New Roman"/>
          <w:sz w:val="21"/>
          <w:szCs w:val="21"/>
          <w:color w:val="auto"/>
        </w:rPr>
        <w:t xml:space="preserve">6.9 </w:t>
      </w:r>
      <w:r>
        <w:rPr>
          <w:rFonts w:ascii="Times New Roman" w:cs="Times New Roman" w:eastAsia="Times New Roman" w:hAnsi="Times New Roman"/>
          <w:sz w:val="21"/>
          <w:szCs w:val="21"/>
          <w:u w:val="single" w:color="auto"/>
          <w:color w:val="auto"/>
        </w:rPr>
        <w:t>Entire Agreement; No Other Representations</w:t>
      </w:r>
      <w:r>
        <w:rPr>
          <w:rFonts w:ascii="Times New Roman" w:cs="Times New Roman" w:eastAsia="Times New Roman" w:hAnsi="Times New Roman"/>
          <w:sz w:val="21"/>
          <w:szCs w:val="21"/>
          <w:color w:val="auto"/>
        </w:rPr>
        <w:t xml:space="preserve">. This Agreement and the Purchase Agreement embody the entire agreement and understanding of the Parties hereto in respect of the Transaction and supersede all prior agreements, letters of intent, representations, warranties, promises, covenants, arrangements, communications and understandings, oral or written, express or implied, among the Parties with respect to the transactions contemplated hereby. There are no agreements, representations, warranties, promises, covenants, arrangements or understandings among the Parties with respect to the Transactions, other than those expressly set forth or referred to herein. The representations and warranties made under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are the sole representations and warranties of the Guarantor with respect to this Agreement and any other representations and warranties, implied or otherwise, and any reliance thereon are hereby disclaimed by the Guarantor.</w:t>
      </w:r>
    </w:p>
    <w:p>
      <w:pPr>
        <w:spacing w:after="0" w:line="170" w:lineRule="exact"/>
        <w:rPr>
          <w:sz w:val="20"/>
          <w:szCs w:val="20"/>
          <w:color w:val="auto"/>
        </w:rPr>
      </w:pPr>
    </w:p>
    <w:p>
      <w:pPr>
        <w:jc w:val="both"/>
        <w:ind w:right="20" w:firstLine="641"/>
        <w:spacing w:after="0" w:line="288"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hereunder shall be in writing and be given to the Parties at the following addresses (or at such other address for a Party as shall be specified by like notice):</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Guarantor:</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Opal Fuels Inc.</w:t>
      </w:r>
    </w:p>
    <w:p>
      <w:pPr>
        <w:spacing w:after="0" w:line="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One North Lexington Avenue</w:t>
      </w:r>
    </w:p>
    <w:p>
      <w:pPr>
        <w:spacing w:after="0" w:line="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w:t>
      </w:r>
    </w:p>
    <w:p>
      <w:pPr>
        <w:ind w:left="1940"/>
        <w:spacing w:after="0"/>
        <w:rPr>
          <w:sz w:val="20"/>
          <w:szCs w:val="20"/>
          <w:color w:val="auto"/>
        </w:rPr>
      </w:pPr>
      <w:r>
        <w:rPr>
          <w:rFonts w:ascii="Times New Roman" w:cs="Times New Roman" w:eastAsia="Times New Roman" w:hAnsi="Times New Roman"/>
          <w:sz w:val="21"/>
          <w:szCs w:val="21"/>
          <w:color w:val="auto"/>
        </w:rPr>
        <w:t>White Plains, NY 10601</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E-mail: noticeofficer@opalfuels.com</w:t>
      </w:r>
    </w:p>
    <w:p>
      <w:pPr>
        <w:spacing w:after="0" w:line="21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Each Buyer: As specified in Schedule 6 to the Purchase Agreement.</w:t>
      </w:r>
    </w:p>
    <w:p>
      <w:pPr>
        <w:spacing w:after="0" w:line="239" w:lineRule="exact"/>
        <w:rPr>
          <w:sz w:val="20"/>
          <w:szCs w:val="20"/>
          <w:color w:val="auto"/>
        </w:rPr>
      </w:pPr>
    </w:p>
    <w:p>
      <w:pPr>
        <w:ind w:left="220"/>
        <w:spacing w:after="0"/>
        <w:tabs>
          <w:tab w:leader="none" w:pos="860" w:val="left"/>
        </w:tabs>
        <w:rPr>
          <w:sz w:val="20"/>
          <w:szCs w:val="20"/>
          <w:color w:val="auto"/>
        </w:rPr>
      </w:pPr>
      <w:r>
        <w:rPr>
          <w:rFonts w:ascii="Times New Roman" w:cs="Times New Roman" w:eastAsia="Times New Roman" w:hAnsi="Times New Roman"/>
          <w:sz w:val="21"/>
          <w:szCs w:val="21"/>
          <w:color w:val="auto"/>
        </w:rPr>
        <w:t>6.11</w:t>
      </w:r>
      <w:r>
        <w:rPr>
          <w:sz w:val="20"/>
          <w:szCs w:val="20"/>
          <w:color w:val="auto"/>
        </w:rPr>
        <w:tab/>
      </w:r>
      <w:r>
        <w:rPr>
          <w:rFonts w:ascii="Times New Roman" w:cs="Times New Roman" w:eastAsia="Times New Roman" w:hAnsi="Times New Roman"/>
          <w:sz w:val="21"/>
          <w:szCs w:val="21"/>
          <w:u w:val="single" w:color="auto"/>
          <w:color w:val="auto"/>
        </w:rPr>
        <w:t>Collection Expenses; Set-Off</w:t>
      </w:r>
      <w:r>
        <w:rPr>
          <w:rFonts w:ascii="Times New Roman" w:cs="Times New Roman" w:eastAsia="Times New Roman" w:hAnsi="Times New Roman"/>
          <w:sz w:val="21"/>
          <w:szCs w:val="21"/>
          <w:color w:val="auto"/>
        </w:rPr>
        <w:t>.</w:t>
      </w:r>
    </w:p>
    <w:p>
      <w:pPr>
        <w:spacing w:after="0" w:line="253" w:lineRule="exact"/>
        <w:rPr>
          <w:sz w:val="20"/>
          <w:szCs w:val="20"/>
          <w:color w:val="auto"/>
        </w:rPr>
      </w:pPr>
    </w:p>
    <w:p>
      <w:pPr>
        <w:jc w:val="both"/>
        <w:ind w:firstLine="4326"/>
        <w:spacing w:after="0" w:line="269" w:lineRule="auto"/>
        <w:tabs>
          <w:tab w:leader="none" w:pos="4966"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regard to any limitation set forth in this Agreement, if any Buyer is required to pursue any remedy against the Guarantor hereunder, the Guarantor shall pay to such Buyer, upon demand therefor, all reasonable and documented attorneys’ fees and all other reasonable and documented out of pocket costs and expenses incurred by any Buyer in enforcing this Agreement (and such fees, costs and expenses shall be deemed to be part of the Guaranteed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540" w:val="left"/>
          <w:tab w:leader="none" w:pos="940" w:val="left"/>
        </w:tabs>
        <w:rPr>
          <w:sz w:val="20"/>
          <w:szCs w:val="20"/>
          <w:color w:val="auto"/>
        </w:rPr>
      </w:pPr>
      <w:r>
        <w:rPr>
          <w:rFonts w:ascii="Times New Roman" w:cs="Times New Roman" w:eastAsia="Times New Roman" w:hAnsi="Times New Roman"/>
          <w:sz w:val="18"/>
          <w:szCs w:val="18"/>
          <w:color w:val="auto"/>
        </w:rPr>
        <w:t>Polk</w:t>
        <w:tab/>
        <w:t>15</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222" w:lineRule="exact"/>
        <w:rPr>
          <w:sz w:val="20"/>
          <w:szCs w:val="20"/>
          <w:color w:val="auto"/>
        </w:rPr>
      </w:pPr>
    </w:p>
    <w:p>
      <w:pPr>
        <w:jc w:val="both"/>
        <w:ind w:firstLine="4112"/>
        <w:spacing w:after="0" w:line="267" w:lineRule="auto"/>
        <w:tabs>
          <w:tab w:leader="none" w:pos="4750"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rights now or hereafter granted under Applicable Laws or otherwise, and not by way of limitation of any such rights, upon the failure of the Guarantor to make any payment as required hereunder, each Buyer is hereby authorized at any time or from time to time, without presentment, demand, protest or other notice of any kind to the Guarantor, or to any other Person, any such notice being hereby expressly waived, to set-off and to appropriate and apply any and all deposits (general or special) to or for the credit or the account of the Guarantor against and on account of the obligations of the Guarantor under this Agreement.</w:t>
      </w:r>
    </w:p>
    <w:p>
      <w:pPr>
        <w:spacing w:after="0" w:line="151" w:lineRule="exact"/>
        <w:rPr>
          <w:sz w:val="20"/>
          <w:szCs w:val="20"/>
          <w:color w:val="auto"/>
        </w:rPr>
      </w:pPr>
    </w:p>
    <w:p>
      <w:pPr>
        <w:jc w:val="both"/>
        <w:ind w:left="640" w:firstLine="641"/>
        <w:spacing w:after="0" w:line="258"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and delivered (including by electronic mail transmission) in one or more counterparts, all of which shall be considered one and the same agreement and shall become effective when one or more counterparts have been signed by the Guarantor and each Buyer and delivered to the other Parties, it being understood that all Parties need not sign the same counterpart. This Agreement may be executed by signatures delivered by email, and a copy hereof that is executed and delivered by a Party by email (including in .pdf format) will be binding upon 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signatures effected through DocuSign),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4"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1"/>
          <w:szCs w:val="21"/>
          <w:u w:val="single" w:color="auto"/>
          <w:color w:val="auto"/>
        </w:rPr>
        <w:t>Time</w:t>
      </w:r>
      <w:r>
        <w:rPr>
          <w:rFonts w:ascii="Times New Roman" w:cs="Times New Roman" w:eastAsia="Times New Roman" w:hAnsi="Times New Roman"/>
          <w:sz w:val="21"/>
          <w:szCs w:val="21"/>
          <w:color w:val="auto"/>
        </w:rPr>
        <w:t>. Time is of the essence in this Agreement.</w:t>
      </w:r>
    </w:p>
    <w:p>
      <w:pPr>
        <w:spacing w:after="0" w:line="226" w:lineRule="exact"/>
        <w:rPr>
          <w:sz w:val="20"/>
          <w:szCs w:val="20"/>
          <w:color w:val="auto"/>
        </w:rPr>
      </w:pPr>
    </w:p>
    <w:p>
      <w:pPr>
        <w:jc w:val="both"/>
        <w:ind w:left="640" w:firstLine="641"/>
        <w:spacing w:after="0" w:line="261"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 xml:space="preserve">, this Agreement and all of the obligations of the Guarantor hereunder shall automatically terminate on the date of the complete payment, expiration or termination of the Guaranteed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Sections 5.2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5.5</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survive such termination of this Agreement;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obligations of the Guarantor under this Agreement shall survive any termination pursuant to this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solely with respect to any claims made by any Buyer under this Agreement prior to such termination.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40" w:val="left"/>
          <w:tab w:leader="none" w:pos="940" w:val="left"/>
        </w:tabs>
        <w:rPr>
          <w:sz w:val="20"/>
          <w:szCs w:val="20"/>
          <w:color w:val="auto"/>
        </w:rPr>
      </w:pPr>
      <w:r>
        <w:rPr>
          <w:rFonts w:ascii="Times New Roman" w:cs="Times New Roman" w:eastAsia="Times New Roman" w:hAnsi="Times New Roman"/>
          <w:sz w:val="18"/>
          <w:szCs w:val="18"/>
          <w:color w:val="auto"/>
        </w:rPr>
        <w:t>Polk</w:t>
        <w:tab/>
        <w:t>16</w:t>
      </w:r>
      <w:r>
        <w:rPr>
          <w:sz w:val="20"/>
          <w:szCs w:val="20"/>
          <w:color w:val="auto"/>
        </w:rPr>
        <w:tab/>
      </w:r>
      <w:r>
        <w:rPr>
          <w:rFonts w:ascii="Times New Roman" w:cs="Times New Roman" w:eastAsia="Times New Roman" w:hAnsi="Times New Roman"/>
          <w:sz w:val="17"/>
          <w:szCs w:val="17"/>
          <w:color w:val="auto"/>
        </w:rPr>
        <w:t>Seller Guaranty</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347" w:lineRule="exact"/>
        <w:rPr>
          <w:sz w:val="20"/>
          <w:szCs w:val="20"/>
          <w:color w:val="auto"/>
        </w:rPr>
      </w:pPr>
    </w:p>
    <w:p>
      <w:pPr>
        <w:ind w:left="760" w:firstLine="641"/>
        <w:spacing w:after="0" w:line="262" w:lineRule="auto"/>
        <w:rPr>
          <w:sz w:val="20"/>
          <w:szCs w:val="20"/>
          <w:color w:val="auto"/>
        </w:rPr>
      </w:pPr>
      <w:r>
        <w:rPr>
          <w:rFonts w:ascii="Times New Roman" w:cs="Times New Roman" w:eastAsia="Times New Roman" w:hAnsi="Times New Roman"/>
          <w:sz w:val="20"/>
          <w:szCs w:val="20"/>
          <w:color w:val="auto"/>
        </w:rPr>
        <w:t>IN WITNESS WHEREOF, the parties hereto, by their officers duly authorized, intending to be legally bound, have caused this Agreement to be duly executed and delivered as of the date first above written.</w:t>
      </w:r>
    </w:p>
    <w:p>
      <w:pPr>
        <w:spacing w:after="0" w:line="17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OPAL FUELS INC., a Delaware corporation, as Guarantor</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Jonathan Maurer</w:t>
      </w:r>
    </w:p>
    <w:p>
      <w:pPr>
        <w:spacing w:after="0" w:line="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Jonathan Maurer</w:t>
      </w:r>
    </w:p>
    <w:p>
      <w:pPr>
        <w:spacing w:after="0" w:line="10" w:lineRule="exact"/>
        <w:rPr>
          <w:sz w:val="20"/>
          <w:szCs w:val="20"/>
          <w:color w:val="auto"/>
        </w:rPr>
      </w:pPr>
    </w:p>
    <w:p>
      <w:pPr>
        <w:ind w:left="3620"/>
        <w:spacing w:after="0"/>
        <w:tabs>
          <w:tab w:leader="none" w:pos="4260" w:val="left"/>
        </w:tabs>
        <w:rPr>
          <w:sz w:val="20"/>
          <w:szCs w:val="20"/>
          <w:color w:val="auto"/>
        </w:rPr>
      </w:pPr>
      <w:r>
        <w:rPr>
          <w:rFonts w:ascii="Times New Roman" w:cs="Times New Roman" w:eastAsia="Times New Roman" w:hAnsi="Times New Roman"/>
          <w:sz w:val="20"/>
          <w:szCs w:val="20"/>
          <w:color w:val="auto"/>
        </w:rPr>
        <w:t>Title:</w:t>
        <w:tab/>
        <w:t>Co-Chief Executive Officer</w:t>
      </w:r>
    </w:p>
    <w:p>
      <w:pPr>
        <w:sectPr>
          <w:pgSz w:w="11900" w:h="16838" w:orient="portrait"/>
          <w:cols w:equalWidth="0" w:num="1">
            <w:col w:w="10780"/>
          </w:cols>
          <w:pgMar w:left="540" w:top="1440" w:right="579" w:bottom="1440" w:gutter="0" w:footer="0" w:header="0"/>
        </w:sectPr>
      </w:pPr>
    </w:p>
    <w:bookmarkStart w:id="291" w:name="page292"/>
    <w:bookmarkEnd w:id="291"/>
    <w:p>
      <w:pPr>
        <w:spacing w:after="0"/>
        <w:tabs>
          <w:tab w:leader="none" w:pos="540" w:val="left"/>
        </w:tabs>
        <w:rPr>
          <w:sz w:val="20"/>
          <w:szCs w:val="20"/>
          <w:color w:val="auto"/>
        </w:rPr>
      </w:pPr>
      <w:r>
        <w:rPr>
          <w:rFonts w:ascii="Times New Roman" w:cs="Times New Roman" w:eastAsia="Times New Roman" w:hAnsi="Times New Roman"/>
          <w:sz w:val="18"/>
          <w:szCs w:val="18"/>
          <w:color w:val="auto"/>
        </w:rPr>
        <w:t>Polk</w:t>
        <w:tab/>
        <w:t>Seller Guaranty</w:t>
      </w:r>
    </w:p>
    <w:p>
      <w:pPr>
        <w:spacing w:after="0" w:line="200" w:lineRule="exact"/>
        <w:rPr>
          <w:sz w:val="20"/>
          <w:szCs w:val="20"/>
          <w:color w:val="auto"/>
        </w:rPr>
      </w:pP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Accepted:</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2024 TTC AGGREGATOR (B), L.P.,</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By: 2024 TTC Aggregator GP, LLC, its general partner</w:t>
      </w:r>
    </w:p>
    <w:p>
      <w:pPr>
        <w:spacing w:after="0" w:line="37" w:lineRule="exact"/>
        <w:rPr>
          <w:sz w:val="20"/>
          <w:szCs w:val="20"/>
          <w:color w:val="auto"/>
        </w:rPr>
      </w:pPr>
    </w:p>
    <w:p>
      <w:pPr>
        <w:ind w:left="760" w:right="2619" w:hanging="8"/>
        <w:spacing w:after="0" w:line="277" w:lineRule="auto"/>
        <w:rPr>
          <w:sz w:val="20"/>
          <w:szCs w:val="20"/>
          <w:color w:val="auto"/>
        </w:rPr>
      </w:pPr>
      <w:r>
        <w:rPr>
          <w:rFonts w:ascii="Times New Roman" w:cs="Times New Roman" w:eastAsia="Times New Roman" w:hAnsi="Times New Roman"/>
          <w:sz w:val="21"/>
          <w:szCs w:val="21"/>
          <w:color w:val="auto"/>
        </w:rPr>
        <w:t>By: Apollo Principal Holdings B, L.P., its sole member By: Apollo Principal Holdings B GP, LLC, its general partner</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By: /s/ William B. Kuesel</w:t>
      </w:r>
    </w:p>
    <w:p>
      <w:pPr>
        <w:spacing w:after="0" w:line="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Name: William B. Kuesel Title: Vice President</w:t>
      </w:r>
    </w:p>
    <w:p>
      <w:pPr>
        <w:spacing w:after="0" w:line="200" w:lineRule="exact"/>
        <w:rPr>
          <w:sz w:val="20"/>
          <w:szCs w:val="20"/>
          <w:color w:val="auto"/>
        </w:rPr>
      </w:pP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Accepted:</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ATHENE ANNUITY AND LIFE COMPANY,</w:t>
      </w:r>
    </w:p>
    <w:p>
      <w:pPr>
        <w:spacing w:after="0" w:line="217" w:lineRule="exact"/>
        <w:rPr>
          <w:sz w:val="20"/>
          <w:szCs w:val="20"/>
          <w:color w:val="auto"/>
        </w:rPr>
      </w:pPr>
    </w:p>
    <w:p>
      <w:pPr>
        <w:ind w:left="760" w:right="1539" w:hanging="8"/>
        <w:spacing w:after="0" w:line="302" w:lineRule="auto"/>
        <w:rPr>
          <w:sz w:val="20"/>
          <w:szCs w:val="20"/>
          <w:color w:val="auto"/>
        </w:rPr>
      </w:pPr>
      <w:r>
        <w:rPr>
          <w:rFonts w:ascii="Times New Roman" w:cs="Times New Roman" w:eastAsia="Times New Roman" w:hAnsi="Times New Roman"/>
          <w:sz w:val="21"/>
          <w:szCs w:val="21"/>
          <w:color w:val="auto"/>
        </w:rPr>
        <w:t>By: Apollo Insurance Solutions Group LP, its investment manager By: AISG GP Ltd., its general partner</w:t>
      </w:r>
    </w:p>
    <w:p>
      <w:pPr>
        <w:spacing w:after="0" w:line="3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By:</w:t>
      </w:r>
    </w:p>
    <w:p>
      <w:pPr>
        <w:spacing w:after="0" w:line="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Name: Pete Devonshire</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919"/>
          </w:cols>
          <w:pgMar w:left="540" w:top="602" w:right="1440" w:bottom="1440" w:gutter="0" w:footer="0" w:header="0"/>
        </w:sectPr>
      </w:pPr>
    </w:p>
    <w:bookmarkStart w:id="292" w:name="page293"/>
    <w:bookmarkEnd w:id="292"/>
    <w:p>
      <w:pPr>
        <w:ind w:left="5520"/>
        <w:spacing w:after="0"/>
        <w:rPr>
          <w:sz w:val="20"/>
          <w:szCs w:val="20"/>
          <w:color w:val="auto"/>
        </w:rPr>
      </w:pPr>
      <w:r>
        <w:rPr>
          <w:rFonts w:ascii="Times New Roman" w:cs="Times New Roman" w:eastAsia="Times New Roman" w:hAnsi="Times New Roman"/>
          <w:sz w:val="18"/>
          <w:szCs w:val="18"/>
          <w:color w:val="auto"/>
        </w:rPr>
        <w:t>[Signature Page to Seller Guaranty]</w:t>
      </w:r>
    </w:p>
    <w:p>
      <w:pPr>
        <w:spacing w:after="0" w:line="200" w:lineRule="exact"/>
        <w:rPr>
          <w:sz w:val="20"/>
          <w:szCs w:val="20"/>
          <w:color w:val="auto"/>
        </w:rPr>
      </w:pP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Accepted:</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2024 TTC AGGREGATOR (B), L.P.</w:t>
      </w:r>
      <w:r>
        <w:rPr>
          <w:rFonts w:ascii="Times New Roman" w:cs="Times New Roman" w:eastAsia="Times New Roman" w:hAnsi="Times New Roman"/>
          <w:sz w:val="21"/>
          <w:szCs w:val="21"/>
          <w:color w:val="auto"/>
        </w:rPr>
        <w:t>,</w:t>
      </w:r>
    </w:p>
    <w:p>
      <w:pPr>
        <w:spacing w:after="0" w:line="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a Delaware limited partnership, as a Buyer</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By: 2024 TTC Aggregator GP, LLC, its general partner</w:t>
      </w:r>
    </w:p>
    <w:p>
      <w:pPr>
        <w:spacing w:after="0" w:line="37" w:lineRule="exact"/>
        <w:rPr>
          <w:sz w:val="20"/>
          <w:szCs w:val="20"/>
          <w:color w:val="auto"/>
        </w:rPr>
      </w:pPr>
    </w:p>
    <w:p>
      <w:pPr>
        <w:ind w:left="700" w:right="2619" w:hanging="8"/>
        <w:spacing w:after="0" w:line="291" w:lineRule="auto"/>
        <w:rPr>
          <w:sz w:val="20"/>
          <w:szCs w:val="20"/>
          <w:color w:val="auto"/>
        </w:rPr>
      </w:pPr>
      <w:r>
        <w:rPr>
          <w:rFonts w:ascii="Times New Roman" w:cs="Times New Roman" w:eastAsia="Times New Roman" w:hAnsi="Times New Roman"/>
          <w:sz w:val="21"/>
          <w:szCs w:val="21"/>
          <w:color w:val="auto"/>
        </w:rPr>
        <w:t>By: Apollo Principal Holdings B, L.P., its sole member By: Apollo Principal Holdings B GP, its general partner</w:t>
      </w:r>
    </w:p>
    <w:p>
      <w:pPr>
        <w:spacing w:after="0" w:line="200" w:lineRule="exact"/>
        <w:rPr>
          <w:sz w:val="20"/>
          <w:szCs w:val="20"/>
          <w:color w:val="auto"/>
        </w:rPr>
      </w:pP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By:</w:t>
      </w:r>
    </w:p>
    <w:p>
      <w:pPr>
        <w:spacing w:after="0" w:line="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Name: William B. Kuesel Title: Vice President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Accepted:</w:t>
      </w:r>
    </w:p>
    <w:p>
      <w:pPr>
        <w:spacing w:after="0" w:line="2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ATHENE ANNUITY AND LIFE COMPANY,</w:t>
      </w:r>
    </w:p>
    <w:p>
      <w:pPr>
        <w:spacing w:after="0" w:line="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an Iowa corporation, as a Buyer</w:t>
      </w:r>
    </w:p>
    <w:p>
      <w:pPr>
        <w:spacing w:after="0" w:line="242" w:lineRule="exact"/>
        <w:rPr>
          <w:sz w:val="20"/>
          <w:szCs w:val="20"/>
          <w:color w:val="auto"/>
        </w:rPr>
      </w:pPr>
    </w:p>
    <w:p>
      <w:pPr>
        <w:ind w:left="700" w:right="1539" w:hanging="8"/>
        <w:spacing w:after="0" w:line="288" w:lineRule="auto"/>
        <w:rPr>
          <w:sz w:val="20"/>
          <w:szCs w:val="20"/>
          <w:color w:val="auto"/>
        </w:rPr>
      </w:pPr>
      <w:r>
        <w:rPr>
          <w:rFonts w:ascii="Times New Roman" w:cs="Times New Roman" w:eastAsia="Times New Roman" w:hAnsi="Times New Roman"/>
          <w:sz w:val="21"/>
          <w:szCs w:val="21"/>
          <w:color w:val="auto"/>
        </w:rPr>
        <w:t>By: Apollo Insurance Solutions Group LP, its investment manager By: AISG GP Ltd., its general partner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James R. Belardi</w:t>
      </w:r>
    </w:p>
    <w:p>
      <w:pPr>
        <w:spacing w:after="0" w:line="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Name: James R. Belardi</w:t>
      </w:r>
    </w:p>
    <w:p>
      <w:pPr>
        <w:spacing w:after="0" w:line="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[Signature Page to Seller Guaranty]</w:t>
      </w:r>
    </w:p>
    <w:p>
      <w:pPr>
        <w:sectPr>
          <w:pgSz w:w="11900" w:h="16838" w:orient="portrait"/>
          <w:cols w:equalWidth="0" w:num="1">
            <w:col w:w="9859"/>
          </w:cols>
          <w:pgMar w:left="600" w:top="815" w:right="1440" w:bottom="1440" w:gutter="0" w:footer="0" w:header="0"/>
        </w:sectPr>
      </w:pPr>
    </w:p>
    <w:bookmarkStart w:id="293" w:name="page294"/>
    <w:bookmarkEnd w:id="293"/>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OPAL Fuels Inc.</w:t>
            </w:r>
          </w:p>
        </w:tc>
      </w:tr>
      <w:tr>
        <w:trPr>
          <w:trHeight w:val="20"/>
        </w:trPr>
        <w:tc>
          <w:tcPr>
            <w:tcW w:w="4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515"/>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Origination</w:t>
            </w:r>
          </w:p>
        </w:tc>
      </w:tr>
      <w:tr>
        <w:trPr>
          <w:trHeight w:val="40"/>
        </w:trPr>
        <w:tc>
          <w:tcPr>
            <w:tcW w:w="4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r>
      <w:tr>
        <w:trPr>
          <w:trHeight w:val="234"/>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 Landfill Energy LLC</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Jersey</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Albany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Arbor Hills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Arbor Hills RNG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BC Landfill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Jersey</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Beacon HoldCo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Beacon Landfill Gas Holdings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Beacon RNG Acquisition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Beacon RNG Investments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Beacon RNG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Brownie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C&amp;C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C&amp;C RNG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Central Valley RNG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CMS Charlotte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CMS RNG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Concord Energy 2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Concord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Cottonwood RNG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CV RNG HoldCo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CV RNG Holdings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DB Digester,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East Bridgewater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Elk Run Renewable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Emerald RNG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Fall River Renewable Power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Grady Road Renewable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Greentree Landfill Gas Company,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Pennsylvania</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Guadalupe Renewable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Guadalupe RNG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Hickory Ridge Renewable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Hoosier Renewable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Imperial Landfill Gas Company,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Pennsylvania</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Indian Creek Renewable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Judith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Kirby Canyon RNG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Lakeway Renewable Energy LL</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Land2Gas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Lyon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Mayfield Renewable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MD Digester,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Miramar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MM Lopez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MM Prince William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MM San Diego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MM Taunton Energy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1"/>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MM West Covina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40" w:top="1440" w:right="359" w:bottom="892" w:gutter="0" w:footer="0" w:header="0"/>
        </w:sectPr>
      </w:pPr>
    </w:p>
    <w:bookmarkStart w:id="294" w:name="page295"/>
    <w:bookmarkEnd w:id="2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5" w:name="page296"/>
    <w:bookmarkEnd w:id="295"/>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 Albany,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 Lopez Canyon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 Prince William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 San Diego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 Taunton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 West Covina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River HoldCo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River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Road HoldCo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Road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CMS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Contracting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Elk Run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Emerald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Intermediate HoldCo 2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Intermediate HoldCo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Opal Fuels Intermediate ITC HoldCo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ITC HoldCo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ITC HoldCo II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Non-ITC HoldCo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Non-ITC HoldCo II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Non-ITC HoldCo III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Parent HoldCo 2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Parent HoldCo 3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RNG HoldCo II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Station Services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Grady Road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Hickory Ridge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HoldCo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Hoosier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Indian Creek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Lakeway HoldCo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Lakeway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Land2Gas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Paragon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Renewable Power HoldCo II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Renewable Power HoldCo III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Renewable Power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Rolling Meadows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Sapphire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Services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Seven Mile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Stones Throw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West Kentucky Mayfield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Wexford County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Paragon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Bend Energy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ectPr>
          <w:pgSz w:w="11900" w:h="16838" w:orient="portrait"/>
          <w:cols w:equalWidth="0" w:num="2">
            <w:col w:w="4980" w:space="720"/>
            <w:col w:w="4359"/>
          </w:cols>
          <w:pgMar w:left="400" w:top="1440" w:right="1440" w:bottom="864" w:gutter="0" w:footer="0" w:header="0"/>
        </w:sectPr>
      </w:pPr>
    </w:p>
    <w:bookmarkStart w:id="296" w:name="page297"/>
    <w:bookmarkEnd w:id="29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7" w:name="page298"/>
    <w:bookmarkEnd w:id="297"/>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Bend HoldCo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Bend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Pioneer Crossing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Pioneer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Polk County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 Charlotte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 William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 William Holdings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 William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Meadows Renewable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Bernardino Landfill Gas Partnership, L.P.</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Marcos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Cruz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Sapphire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 Mile Renewable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Stones Throw Renewable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Sunoma HoldCo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Sunoma Holdings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Sunoma Renewable Biofuel,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Sycamore Energy 1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Sycamore Energy 2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Sycamore Energy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Sycamore RNG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 Digester,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Wexford County Renewable Energy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Arizona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4980" w:space="720"/>
            <w:col w:w="4359"/>
          </w:cols>
          <w:pgMar w:left="400" w:top="1440" w:right="1440"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Consent of Independent Registered Public Accounting Firm</w:t>
      </w:r>
    </w:p>
    <w:p>
      <w:pPr>
        <w:spacing w:after="0" w:line="2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Statements on Form S-3 (No. 333-273584 and No. 333-266757) and Form S-8 (No. 333-267713) of OPAL Fuels Inc. of our report dated March 16, 2026 relating to the consolidated financial statements, which appears in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BDO USA, P.C.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Melville, New York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16, 2026</w:t>
      </w:r>
    </w:p>
    <w:p>
      <w:pPr>
        <w:sectPr>
          <w:pgSz w:w="11900" w:h="16838" w:orient="portrait"/>
          <w:cols w:equalWidth="0" w:num="1">
            <w:col w:w="11240"/>
          </w:cols>
          <w:pgMar w:left="320" w:top="1391"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7" w:lineRule="exact"/>
        <w:rPr>
          <w:sz w:val="20"/>
          <w:szCs w:val="20"/>
          <w:color w:val="auto"/>
        </w:rPr>
      </w:pPr>
    </w:p>
    <w:p>
      <w:pPr>
        <w:jc w:val="center"/>
        <w:ind w:left="340" w:right="2160"/>
        <w:spacing w:after="0" w:line="225"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Comora, certify that:</w:t>
      </w:r>
    </w:p>
    <w:p>
      <w:pPr>
        <w:spacing w:after="0" w:line="140" w:lineRule="exact"/>
        <w:rPr>
          <w:sz w:val="20"/>
          <w:szCs w:val="20"/>
          <w:color w:val="auto"/>
        </w:rPr>
      </w:pPr>
    </w:p>
    <w:p>
      <w:pPr>
        <w:ind w:left="480" w:hanging="455"/>
        <w:spacing w:after="0"/>
        <w:tabs>
          <w:tab w:leader="none" w:pos="4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OPAL Fuels Inc.;</w:t>
      </w:r>
    </w:p>
    <w:p>
      <w:pPr>
        <w:spacing w:after="0" w:line="300" w:lineRule="exact"/>
        <w:rPr>
          <w:rFonts w:ascii="Times New Roman" w:cs="Times New Roman" w:eastAsia="Times New Roman" w:hAnsi="Times New Roman"/>
          <w:sz w:val="18"/>
          <w:szCs w:val="18"/>
          <w:color w:val="auto"/>
        </w:rPr>
      </w:pPr>
    </w:p>
    <w:p>
      <w:pPr>
        <w:jc w:val="both"/>
        <w:ind w:left="480" w:right="400" w:hanging="455"/>
        <w:spacing w:after="0" w:line="270" w:lineRule="auto"/>
        <w:tabs>
          <w:tab w:leader="none" w:pos="4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6" w:lineRule="exact"/>
        <w:rPr>
          <w:rFonts w:ascii="Times New Roman" w:cs="Times New Roman" w:eastAsia="Times New Roman" w:hAnsi="Times New Roman"/>
          <w:sz w:val="18"/>
          <w:szCs w:val="18"/>
          <w:color w:val="auto"/>
        </w:rPr>
      </w:pPr>
    </w:p>
    <w:p>
      <w:pPr>
        <w:ind w:left="480" w:right="360" w:hanging="455"/>
        <w:spacing w:after="0" w:line="293" w:lineRule="auto"/>
        <w:tabs>
          <w:tab w:leader="none" w:pos="4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480" w:right="400" w:hanging="455"/>
        <w:spacing w:after="0" w:line="270" w:lineRule="auto"/>
        <w:tabs>
          <w:tab w:leader="none" w:pos="4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9" w:lineRule="exact"/>
        <w:rPr>
          <w:rFonts w:ascii="Times New Roman" w:cs="Times New Roman" w:eastAsia="Times New Roman" w:hAnsi="Times New Roman"/>
          <w:sz w:val="18"/>
          <w:szCs w:val="18"/>
          <w:color w:val="auto"/>
        </w:rPr>
      </w:pPr>
    </w:p>
    <w:p>
      <w:pPr>
        <w:ind w:left="1040" w:right="100" w:hanging="561"/>
        <w:spacing w:after="0" w:line="270" w:lineRule="auto"/>
        <w:tabs>
          <w:tab w:leader="none" w:pos="104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6" w:lineRule="exact"/>
        <w:rPr>
          <w:rFonts w:ascii="Times New Roman" w:cs="Times New Roman" w:eastAsia="Times New Roman" w:hAnsi="Times New Roman"/>
          <w:sz w:val="18"/>
          <w:szCs w:val="18"/>
          <w:color w:val="auto"/>
        </w:rPr>
      </w:pPr>
    </w:p>
    <w:p>
      <w:pPr>
        <w:ind w:left="1040" w:right="420" w:hanging="561"/>
        <w:spacing w:after="0" w:line="278" w:lineRule="auto"/>
        <w:tabs>
          <w:tab w:leader="none" w:pos="104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Times New Roman" w:cs="Times New Roman" w:eastAsia="Times New Roman" w:hAnsi="Times New Roman"/>
          <w:sz w:val="18"/>
          <w:szCs w:val="18"/>
          <w:color w:val="auto"/>
        </w:rPr>
      </w:pPr>
    </w:p>
    <w:p>
      <w:pPr>
        <w:jc w:val="both"/>
        <w:ind w:left="1040" w:right="580" w:hanging="561"/>
        <w:spacing w:after="0" w:line="324" w:lineRule="auto"/>
        <w:tabs>
          <w:tab w:leader="none" w:pos="1040"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Times New Roman" w:cs="Times New Roman" w:eastAsia="Times New Roman" w:hAnsi="Times New Roman"/>
          <w:sz w:val="17"/>
          <w:szCs w:val="17"/>
          <w:color w:val="auto"/>
        </w:rPr>
      </w:pPr>
    </w:p>
    <w:p>
      <w:pPr>
        <w:ind w:left="1040" w:right="100" w:hanging="561"/>
        <w:spacing w:after="0" w:line="270" w:lineRule="auto"/>
        <w:tabs>
          <w:tab w:leader="none" w:pos="104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6" w:lineRule="exact"/>
        <w:rPr>
          <w:rFonts w:ascii="Times New Roman" w:cs="Times New Roman" w:eastAsia="Times New Roman" w:hAnsi="Times New Roman"/>
          <w:sz w:val="18"/>
          <w:szCs w:val="18"/>
          <w:color w:val="auto"/>
        </w:rPr>
      </w:pPr>
    </w:p>
    <w:p>
      <w:pPr>
        <w:ind w:left="480" w:right="100" w:hanging="455"/>
        <w:spacing w:after="0" w:line="293" w:lineRule="auto"/>
        <w:tabs>
          <w:tab w:leader="none" w:pos="4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1040" w:right="820" w:hanging="561"/>
        <w:spacing w:after="0" w:line="324" w:lineRule="auto"/>
        <w:tabs>
          <w:tab w:leader="none" w:pos="1040"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3" w:lineRule="exact"/>
        <w:rPr>
          <w:rFonts w:ascii="Times New Roman" w:cs="Times New Roman" w:eastAsia="Times New Roman" w:hAnsi="Times New Roman"/>
          <w:sz w:val="17"/>
          <w:szCs w:val="17"/>
          <w:color w:val="auto"/>
        </w:rPr>
      </w:pPr>
    </w:p>
    <w:p>
      <w:pPr>
        <w:ind w:left="1040" w:right="500" w:hanging="561"/>
        <w:spacing w:after="0" w:line="277" w:lineRule="auto"/>
        <w:tabs>
          <w:tab w:leader="none" w:pos="104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5740" w:val="left"/>
          <w:tab w:leader="none" w:pos="6220" w:val="left"/>
        </w:tabs>
        <w:rPr>
          <w:sz w:val="20"/>
          <w:szCs w:val="20"/>
          <w:color w:val="auto"/>
        </w:rPr>
      </w:pPr>
      <w:r>
        <w:rPr>
          <w:rFonts w:ascii="Times New Roman" w:cs="Times New Roman" w:eastAsia="Times New Roman" w:hAnsi="Times New Roman"/>
          <w:sz w:val="18"/>
          <w:szCs w:val="18"/>
          <w:color w:val="auto"/>
        </w:rPr>
        <w:t>Date: March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41275</wp:posOffset>
            </wp:positionV>
            <wp:extent cx="31807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8">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6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7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612"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7" w:lineRule="exact"/>
        <w:rPr>
          <w:sz w:val="20"/>
          <w:szCs w:val="20"/>
          <w:color w:val="auto"/>
        </w:rPr>
      </w:pPr>
    </w:p>
    <w:p>
      <w:pPr>
        <w:jc w:val="center"/>
        <w:ind w:left="340" w:right="2160"/>
        <w:spacing w:after="0" w:line="225"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Maurer, certify that:</w:t>
      </w:r>
    </w:p>
    <w:p>
      <w:pPr>
        <w:spacing w:after="0" w:line="140" w:lineRule="exact"/>
        <w:rPr>
          <w:sz w:val="20"/>
          <w:szCs w:val="20"/>
          <w:color w:val="auto"/>
        </w:rPr>
      </w:pPr>
    </w:p>
    <w:p>
      <w:pPr>
        <w:ind w:left="480" w:hanging="455"/>
        <w:spacing w:after="0"/>
        <w:tabs>
          <w:tab w:leader="none" w:pos="4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OPAL Fuels Inc.;</w:t>
      </w:r>
    </w:p>
    <w:p>
      <w:pPr>
        <w:spacing w:after="0" w:line="300" w:lineRule="exact"/>
        <w:rPr>
          <w:rFonts w:ascii="Times New Roman" w:cs="Times New Roman" w:eastAsia="Times New Roman" w:hAnsi="Times New Roman"/>
          <w:sz w:val="18"/>
          <w:szCs w:val="18"/>
          <w:color w:val="auto"/>
        </w:rPr>
      </w:pPr>
    </w:p>
    <w:p>
      <w:pPr>
        <w:jc w:val="both"/>
        <w:ind w:left="480" w:right="400" w:hanging="455"/>
        <w:spacing w:after="0" w:line="270" w:lineRule="auto"/>
        <w:tabs>
          <w:tab w:leader="none" w:pos="4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6" w:lineRule="exact"/>
        <w:rPr>
          <w:rFonts w:ascii="Times New Roman" w:cs="Times New Roman" w:eastAsia="Times New Roman" w:hAnsi="Times New Roman"/>
          <w:sz w:val="18"/>
          <w:szCs w:val="18"/>
          <w:color w:val="auto"/>
        </w:rPr>
      </w:pPr>
    </w:p>
    <w:p>
      <w:pPr>
        <w:ind w:left="480" w:right="360" w:hanging="455"/>
        <w:spacing w:after="0" w:line="293" w:lineRule="auto"/>
        <w:tabs>
          <w:tab w:leader="none" w:pos="4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480" w:right="400" w:hanging="455"/>
        <w:spacing w:after="0" w:line="270" w:lineRule="auto"/>
        <w:tabs>
          <w:tab w:leader="none" w:pos="4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9" w:lineRule="exact"/>
        <w:rPr>
          <w:rFonts w:ascii="Times New Roman" w:cs="Times New Roman" w:eastAsia="Times New Roman" w:hAnsi="Times New Roman"/>
          <w:sz w:val="18"/>
          <w:szCs w:val="18"/>
          <w:color w:val="auto"/>
        </w:rPr>
      </w:pPr>
    </w:p>
    <w:p>
      <w:pPr>
        <w:ind w:left="1040" w:right="100" w:hanging="561"/>
        <w:spacing w:after="0" w:line="270" w:lineRule="auto"/>
        <w:tabs>
          <w:tab w:leader="none" w:pos="10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6" w:lineRule="exact"/>
        <w:rPr>
          <w:rFonts w:ascii="Times New Roman" w:cs="Times New Roman" w:eastAsia="Times New Roman" w:hAnsi="Times New Roman"/>
          <w:sz w:val="18"/>
          <w:szCs w:val="18"/>
          <w:color w:val="auto"/>
        </w:rPr>
      </w:pPr>
    </w:p>
    <w:p>
      <w:pPr>
        <w:ind w:left="1040" w:right="420" w:hanging="561"/>
        <w:spacing w:after="0" w:line="278" w:lineRule="auto"/>
        <w:tabs>
          <w:tab w:leader="none" w:pos="10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Times New Roman" w:cs="Times New Roman" w:eastAsia="Times New Roman" w:hAnsi="Times New Roman"/>
          <w:sz w:val="18"/>
          <w:szCs w:val="18"/>
          <w:color w:val="auto"/>
        </w:rPr>
      </w:pPr>
    </w:p>
    <w:p>
      <w:pPr>
        <w:jc w:val="both"/>
        <w:ind w:left="1040" w:right="580" w:hanging="561"/>
        <w:spacing w:after="0" w:line="324" w:lineRule="auto"/>
        <w:tabs>
          <w:tab w:leader="none" w:pos="1040"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Times New Roman" w:cs="Times New Roman" w:eastAsia="Times New Roman" w:hAnsi="Times New Roman"/>
          <w:sz w:val="17"/>
          <w:szCs w:val="17"/>
          <w:color w:val="auto"/>
        </w:rPr>
      </w:pPr>
    </w:p>
    <w:p>
      <w:pPr>
        <w:ind w:left="1040" w:right="100" w:hanging="561"/>
        <w:spacing w:after="0" w:line="270" w:lineRule="auto"/>
        <w:tabs>
          <w:tab w:leader="none" w:pos="10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6" w:lineRule="exact"/>
        <w:rPr>
          <w:rFonts w:ascii="Times New Roman" w:cs="Times New Roman" w:eastAsia="Times New Roman" w:hAnsi="Times New Roman"/>
          <w:sz w:val="18"/>
          <w:szCs w:val="18"/>
          <w:color w:val="auto"/>
        </w:rPr>
      </w:pPr>
    </w:p>
    <w:p>
      <w:pPr>
        <w:ind w:left="480" w:right="100" w:hanging="455"/>
        <w:spacing w:after="0" w:line="293" w:lineRule="auto"/>
        <w:tabs>
          <w:tab w:leader="none" w:pos="4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1040" w:right="820" w:hanging="561"/>
        <w:spacing w:after="0" w:line="324" w:lineRule="auto"/>
        <w:tabs>
          <w:tab w:leader="none" w:pos="1040"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3" w:lineRule="exact"/>
        <w:rPr>
          <w:rFonts w:ascii="Times New Roman" w:cs="Times New Roman" w:eastAsia="Times New Roman" w:hAnsi="Times New Roman"/>
          <w:sz w:val="17"/>
          <w:szCs w:val="17"/>
          <w:color w:val="auto"/>
        </w:rPr>
      </w:pPr>
    </w:p>
    <w:p>
      <w:pPr>
        <w:ind w:left="1040" w:right="500" w:hanging="561"/>
        <w:spacing w:after="0" w:line="277" w:lineRule="auto"/>
        <w:tabs>
          <w:tab w:leader="none" w:pos="10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5740" w:val="left"/>
          <w:tab w:leader="none" w:pos="6220" w:val="left"/>
        </w:tabs>
        <w:rPr>
          <w:sz w:val="20"/>
          <w:szCs w:val="20"/>
          <w:color w:val="auto"/>
        </w:rPr>
      </w:pPr>
      <w:r>
        <w:rPr>
          <w:rFonts w:ascii="Times New Roman" w:cs="Times New Roman" w:eastAsia="Times New Roman" w:hAnsi="Times New Roman"/>
          <w:sz w:val="18"/>
          <w:szCs w:val="18"/>
          <w:color w:val="auto"/>
        </w:rPr>
        <w:t>Date: March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41275</wp:posOffset>
            </wp:positionV>
            <wp:extent cx="31807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9">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6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7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612" w:right="339" w:bottom="1440" w:gutter="0" w:footer="0" w:header="0"/>
        </w:sectPr>
      </w:pPr>
    </w:p>
    <w:bookmarkStart w:id="301" w:name="page302"/>
    <w:bookmarkEnd w:id="3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9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ind w:left="2180"/>
        <w:spacing w:after="0" w:line="206" w:lineRule="auto"/>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Kazi Hasan, certify that:</w:t>
      </w:r>
    </w:p>
    <w:p>
      <w:pPr>
        <w:spacing w:after="0" w:line="154" w:lineRule="exact"/>
        <w:rPr>
          <w:sz w:val="20"/>
          <w:szCs w:val="20"/>
          <w:color w:val="auto"/>
        </w:rPr>
      </w:pPr>
    </w:p>
    <w:p>
      <w:pPr>
        <w:ind w:left="460" w:hanging="435"/>
        <w:spacing w:after="0"/>
        <w:tabs>
          <w:tab w:leader="none" w:pos="4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OPAL Fuels Inc.;</w:t>
      </w:r>
    </w:p>
    <w:p>
      <w:pPr>
        <w:spacing w:after="0" w:line="287" w:lineRule="exact"/>
        <w:rPr>
          <w:rFonts w:ascii="Times New Roman" w:cs="Times New Roman" w:eastAsia="Times New Roman" w:hAnsi="Times New Roman"/>
          <w:sz w:val="18"/>
          <w:szCs w:val="18"/>
          <w:color w:val="auto"/>
        </w:rPr>
      </w:pPr>
    </w:p>
    <w:p>
      <w:pPr>
        <w:jc w:val="both"/>
        <w:ind w:left="460" w:right="420" w:hanging="435"/>
        <w:spacing w:after="0" w:line="278" w:lineRule="auto"/>
        <w:tabs>
          <w:tab w:leader="none" w:pos="4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8"/>
          <w:szCs w:val="18"/>
          <w:color w:val="auto"/>
        </w:rPr>
      </w:pPr>
    </w:p>
    <w:p>
      <w:pPr>
        <w:ind w:left="460" w:right="380" w:hanging="435"/>
        <w:spacing w:after="0" w:line="293" w:lineRule="auto"/>
        <w:tabs>
          <w:tab w:leader="none" w:pos="4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460" w:right="420" w:hanging="435"/>
        <w:spacing w:after="0" w:line="270" w:lineRule="auto"/>
        <w:tabs>
          <w:tab w:leader="none" w:pos="4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6" w:lineRule="exact"/>
        <w:rPr>
          <w:rFonts w:ascii="Times New Roman" w:cs="Times New Roman" w:eastAsia="Times New Roman" w:hAnsi="Times New Roman"/>
          <w:sz w:val="18"/>
          <w:szCs w:val="18"/>
          <w:color w:val="auto"/>
        </w:rPr>
      </w:pPr>
    </w:p>
    <w:p>
      <w:pPr>
        <w:ind w:left="1040" w:right="100" w:hanging="575"/>
        <w:spacing w:after="0" w:line="278" w:lineRule="auto"/>
        <w:tabs>
          <w:tab w:leader="none" w:pos="104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Times New Roman" w:cs="Times New Roman" w:eastAsia="Times New Roman" w:hAnsi="Times New Roman"/>
          <w:sz w:val="18"/>
          <w:szCs w:val="18"/>
          <w:color w:val="auto"/>
        </w:rPr>
      </w:pPr>
    </w:p>
    <w:p>
      <w:pPr>
        <w:ind w:left="1040" w:right="420" w:hanging="575"/>
        <w:spacing w:after="0" w:line="270" w:lineRule="auto"/>
        <w:tabs>
          <w:tab w:leader="none" w:pos="104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9" w:lineRule="exact"/>
        <w:rPr>
          <w:rFonts w:ascii="Times New Roman" w:cs="Times New Roman" w:eastAsia="Times New Roman" w:hAnsi="Times New Roman"/>
          <w:sz w:val="18"/>
          <w:szCs w:val="18"/>
          <w:color w:val="auto"/>
        </w:rPr>
      </w:pPr>
    </w:p>
    <w:p>
      <w:pPr>
        <w:jc w:val="both"/>
        <w:ind w:left="1040" w:right="580" w:hanging="575"/>
        <w:spacing w:after="0" w:line="308" w:lineRule="auto"/>
        <w:tabs>
          <w:tab w:leader="none" w:pos="1040"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7"/>
          <w:szCs w:val="17"/>
          <w:color w:val="auto"/>
        </w:rPr>
      </w:pPr>
    </w:p>
    <w:p>
      <w:pPr>
        <w:ind w:left="1040" w:right="100" w:hanging="575"/>
        <w:spacing w:after="0" w:line="278" w:lineRule="auto"/>
        <w:tabs>
          <w:tab w:leader="none" w:pos="104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Times New Roman" w:cs="Times New Roman" w:eastAsia="Times New Roman" w:hAnsi="Times New Roman"/>
          <w:sz w:val="18"/>
          <w:szCs w:val="18"/>
          <w:color w:val="auto"/>
        </w:rPr>
      </w:pPr>
    </w:p>
    <w:p>
      <w:pPr>
        <w:ind w:left="460" w:right="120" w:hanging="435"/>
        <w:spacing w:after="0" w:line="293" w:lineRule="auto"/>
        <w:tabs>
          <w:tab w:leader="none" w:pos="4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1040" w:right="820" w:hanging="575"/>
        <w:spacing w:after="0" w:line="308" w:lineRule="auto"/>
        <w:tabs>
          <w:tab w:leader="none" w:pos="1040"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6" w:lineRule="exact"/>
        <w:rPr>
          <w:rFonts w:ascii="Times New Roman" w:cs="Times New Roman" w:eastAsia="Times New Roman" w:hAnsi="Times New Roman"/>
          <w:sz w:val="17"/>
          <w:szCs w:val="17"/>
          <w:color w:val="auto"/>
        </w:rPr>
      </w:pPr>
    </w:p>
    <w:p>
      <w:pPr>
        <w:ind w:left="1040" w:right="500" w:hanging="575"/>
        <w:spacing w:after="0" w:line="293" w:lineRule="auto"/>
        <w:tabs>
          <w:tab w:leader="none" w:pos="104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86" w:right="339" w:bottom="1440" w:gutter="0" w:footer="0" w:header="0"/>
        </w:sectPr>
      </w:pPr>
    </w:p>
    <w:bookmarkStart w:id="303" w:name="page304"/>
    <w:bookmarkEnd w:id="303"/>
    <w:p>
      <w:pPr>
        <w:spacing w:after="0" w:line="285" w:lineRule="exact"/>
        <w:rPr>
          <w:sz w:val="20"/>
          <w:szCs w:val="20"/>
          <w:color w:val="auto"/>
        </w:rPr>
      </w:pPr>
    </w:p>
    <w:p>
      <w:pPr>
        <w:spacing w:after="0"/>
        <w:tabs>
          <w:tab w:leader="none" w:pos="5680" w:val="left"/>
          <w:tab w:leader="none" w:pos="6220" w:val="left"/>
        </w:tabs>
        <w:rPr>
          <w:sz w:val="20"/>
          <w:szCs w:val="20"/>
          <w:color w:val="auto"/>
        </w:rPr>
      </w:pPr>
      <w:r>
        <w:rPr>
          <w:rFonts w:ascii="Times New Roman" w:cs="Times New Roman" w:eastAsia="Times New Roman" w:hAnsi="Times New Roman"/>
          <w:sz w:val="18"/>
          <w:szCs w:val="18"/>
          <w:color w:val="auto"/>
        </w:rPr>
        <w:t>Date: March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Kazi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41275</wp:posOffset>
            </wp:positionV>
            <wp:extent cx="31724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0">
                      <a:extLst>
                        <a:ext uri="{28A0092B-C50C-407E-A947-70E740481C1C}"/>
                      </a:extLst>
                    </a:blip>
                    <a:srcRect/>
                    <a:stretch>
                      <a:fillRect/>
                    </a:stretch>
                  </pic:blipFill>
                  <pic:spPr bwMode="auto">
                    <a:xfrm>
                      <a:off x="0" y="0"/>
                      <a:ext cx="3172460" cy="8255"/>
                    </a:xfrm>
                    <a:prstGeom prst="rect">
                      <a:avLst/>
                    </a:prstGeom>
                    <a:noFill/>
                  </pic:spPr>
                </pic:pic>
              </a:graphicData>
            </a:graphic>
          </wp:anchor>
        </w:drawing>
      </w:r>
    </w:p>
    <w:p>
      <w:pPr>
        <w:spacing w:after="0" w:line="6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0119"/>
          </w:cols>
          <w:pgMar w:left="340" w:top="1440" w:right="1440" w:bottom="1440" w:gutter="0" w:footer="0" w:header="0"/>
        </w:sectPr>
      </w:pPr>
    </w:p>
    <w:bookmarkStart w:id="304" w:name="page305"/>
    <w:bookmarkEnd w:id="30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80"/>
        <w:spacing w:after="0" w:line="20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Annual Report of OPAL Fuels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highlight w:val="white"/>
        </w:rPr>
        <w:t>”) on Form 10-K for the year ended December 31, 2025, as filed with the Securities</w:t>
      </w:r>
    </w:p>
    <w:p>
      <w:pPr>
        <w:spacing w:after="0" w:line="214" w:lineRule="auto"/>
        <w:rPr>
          <w:sz w:val="20"/>
          <w:szCs w:val="20"/>
          <w:color w:val="auto"/>
        </w:rPr>
      </w:pPr>
      <w:r>
        <w:rPr>
          <w:rFonts w:ascii="Times New Roman" w:cs="Times New Roman" w:eastAsia="Times New Roman" w:hAnsi="Times New Roman"/>
          <w:sz w:val="18"/>
          <w:szCs w:val="18"/>
          <w:color w:val="auto"/>
        </w:rPr>
        <w:t xml:space="preserve">and Exchange Commission on the date hereof (the “Report”), </w:t>
      </w:r>
      <w:r>
        <w:rPr>
          <w:rFonts w:ascii="Times New Roman" w:cs="Times New Roman" w:eastAsia="Times New Roman" w:hAnsi="Times New Roman"/>
          <w:sz w:val="18"/>
          <w:szCs w:val="18"/>
          <w:color w:val="auto"/>
          <w:highlight w:val="white"/>
        </w:rPr>
        <w:t>I, Adam Comora, Co-Chief Executive Officer of the Company, certify, pursuant to 18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7145" cy="762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1">
                      <a:extLst>
                        <a:ext uri="{28A0092B-C50C-407E-A947-70E740481C1C}"/>
                      </a:extLst>
                    </a:blip>
                    <a:srcRect/>
                    <a:stretch>
                      <a:fillRect/>
                    </a:stretch>
                  </pic:blipFill>
                  <pic:spPr bwMode="auto">
                    <a:xfrm>
                      <a:off x="0" y="0"/>
                      <a:ext cx="17145" cy="76200"/>
                    </a:xfrm>
                    <a:prstGeom prst="rect">
                      <a:avLst/>
                    </a:prstGeom>
                    <a:noFill/>
                  </pic:spPr>
                </pic:pic>
              </a:graphicData>
            </a:graphic>
          </wp:anchor>
        </w:drawing>
      </w:r>
    </w:p>
    <w:p>
      <w:pPr>
        <w:spacing w:after="0" w:line="100" w:lineRule="exact"/>
        <w:rPr>
          <w:sz w:val="20"/>
          <w:szCs w:val="20"/>
          <w:color w:val="auto"/>
        </w:rPr>
      </w:pPr>
    </w:p>
    <w:p>
      <w:pPr>
        <w:ind w:left="460" w:hanging="435"/>
        <w:spacing w:after="0"/>
        <w:tabs>
          <w:tab w:leader="none" w:pos="4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00" w:lineRule="exact"/>
        <w:rPr>
          <w:rFonts w:ascii="Times New Roman" w:cs="Times New Roman" w:eastAsia="Times New Roman" w:hAnsi="Times New Roman"/>
          <w:sz w:val="18"/>
          <w:szCs w:val="18"/>
          <w:color w:val="auto"/>
        </w:rPr>
      </w:pPr>
    </w:p>
    <w:p>
      <w:pPr>
        <w:ind w:left="460" w:hanging="435"/>
        <w:spacing w:after="0"/>
        <w:tabs>
          <w:tab w:leader="none" w:pos="4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7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41275</wp:posOffset>
            </wp:positionV>
            <wp:extent cx="32315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6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Adam Comora</w:t>
      </w:r>
    </w:p>
    <w:p>
      <w:pPr>
        <w:spacing w:after="0" w:line="7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7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1386" w:right="339" w:bottom="1440" w:gutter="0" w:footer="0" w:header="0"/>
        </w:sectPr>
      </w:pPr>
    </w:p>
    <w:bookmarkStart w:id="306" w:name="page307"/>
    <w:bookmarkEnd w:id="306"/>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80"/>
        <w:spacing w:after="0" w:line="20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Annual Report of OPAL Fuels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highlight w:val="white"/>
        </w:rPr>
        <w:t>”) on Form 10-K for the year ended December 31, 2025, as filed with the Securities</w:t>
      </w:r>
    </w:p>
    <w:p>
      <w:pPr>
        <w:spacing w:after="0" w:line="227" w:lineRule="auto"/>
        <w:rPr>
          <w:sz w:val="20"/>
          <w:szCs w:val="20"/>
          <w:color w:val="auto"/>
        </w:rPr>
      </w:pPr>
      <w:r>
        <w:rPr>
          <w:rFonts w:ascii="Times New Roman" w:cs="Times New Roman" w:eastAsia="Times New Roman" w:hAnsi="Times New Roman"/>
          <w:sz w:val="17"/>
          <w:szCs w:val="17"/>
          <w:color w:val="auto"/>
        </w:rPr>
        <w:t xml:space="preserve">and Exchange Commission on the date hereof (the “Report”), </w:t>
      </w:r>
      <w:r>
        <w:rPr>
          <w:rFonts w:ascii="Times New Roman" w:cs="Times New Roman" w:eastAsia="Times New Roman" w:hAnsi="Times New Roman"/>
          <w:sz w:val="17"/>
          <w:szCs w:val="17"/>
          <w:color w:val="auto"/>
          <w:highlight w:val="white"/>
        </w:rPr>
        <w:t>I, Jonathan Maurer, Co-Chief Executive Officer of the Company, certify, pursuant to 18 U.S.C.</w:t>
      </w:r>
    </w:p>
    <w:p>
      <w:pPr>
        <w:spacing w:after="0"/>
        <w:rPr>
          <w:sz w:val="20"/>
          <w:szCs w:val="20"/>
          <w:color w:val="auto"/>
        </w:rPr>
      </w:pPr>
      <w:r>
        <w:rPr>
          <w:rFonts w:ascii="Times New Roman" w:cs="Times New Roman" w:eastAsia="Times New Roman" w:hAnsi="Times New Roman"/>
          <w:sz w:val="18"/>
          <w:szCs w:val="18"/>
          <w:color w:val="auto"/>
          <w:highlight w:val="white"/>
        </w:rPr>
        <w:t>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7145" cy="762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3">
                      <a:extLst>
                        <a:ext uri="{28A0092B-C50C-407E-A947-70E740481C1C}"/>
                      </a:extLst>
                    </a:blip>
                    <a:srcRect/>
                    <a:stretch>
                      <a:fillRect/>
                    </a:stretch>
                  </pic:blipFill>
                  <pic:spPr bwMode="auto">
                    <a:xfrm>
                      <a:off x="0" y="0"/>
                      <a:ext cx="17145" cy="76200"/>
                    </a:xfrm>
                    <a:prstGeom prst="rect">
                      <a:avLst/>
                    </a:prstGeom>
                    <a:noFill/>
                  </pic:spPr>
                </pic:pic>
              </a:graphicData>
            </a:graphic>
          </wp:anchor>
        </w:drawing>
      </w:r>
    </w:p>
    <w:p>
      <w:pPr>
        <w:spacing w:after="0" w:line="100" w:lineRule="exact"/>
        <w:rPr>
          <w:sz w:val="20"/>
          <w:szCs w:val="20"/>
          <w:color w:val="auto"/>
        </w:rPr>
      </w:pPr>
    </w:p>
    <w:p>
      <w:pPr>
        <w:ind w:left="460" w:hanging="435"/>
        <w:spacing w:after="0"/>
        <w:tabs>
          <w:tab w:leader="none" w:pos="4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00" w:lineRule="exact"/>
        <w:rPr>
          <w:rFonts w:ascii="Times New Roman" w:cs="Times New Roman" w:eastAsia="Times New Roman" w:hAnsi="Times New Roman"/>
          <w:sz w:val="18"/>
          <w:szCs w:val="18"/>
          <w:color w:val="auto"/>
        </w:rPr>
      </w:pPr>
    </w:p>
    <w:p>
      <w:pPr>
        <w:ind w:left="460" w:hanging="435"/>
        <w:spacing w:after="0"/>
        <w:tabs>
          <w:tab w:leader="none" w:pos="4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7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41275</wp:posOffset>
            </wp:positionV>
            <wp:extent cx="32315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6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7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7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9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80"/>
        <w:spacing w:after="0" w:line="20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ind w:right="20"/>
        <w:spacing w:after="0" w:line="237" w:lineRule="auto"/>
        <w:rPr>
          <w:sz w:val="20"/>
          <w:szCs w:val="20"/>
          <w:color w:val="auto"/>
        </w:rPr>
      </w:pPr>
      <w:r>
        <w:rPr>
          <w:rFonts w:ascii="Times New Roman" w:cs="Times New Roman" w:eastAsia="Times New Roman" w:hAnsi="Times New Roman"/>
          <w:sz w:val="18"/>
          <w:szCs w:val="18"/>
          <w:color w:val="auto"/>
        </w:rPr>
        <w:t>In connection with the Annual Report of OPAL Fuels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highlight w:val="white"/>
        </w:rPr>
        <w:t>”) on Form 10-K for the year ended December 31, 2025, as filed with the Securities</w:t>
      </w:r>
      <w:r>
        <w:rPr>
          <w:rFonts w:ascii="Times New Roman" w:cs="Times New Roman" w:eastAsia="Times New Roman" w:hAnsi="Times New Roman"/>
          <w:sz w:val="18"/>
          <w:szCs w:val="18"/>
          <w:color w:val="auto"/>
        </w:rPr>
        <w:t xml:space="preserve">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Kazi Hasan, Chief Financial Officer of the Company, certify, pursuant to 18 U.S.C. Section 1350, as adopted pursuant to Section 906 of the Sarbanes-Oxley Act of 2002, that, to my knowledge:</w:t>
      </w:r>
    </w:p>
    <w:p>
      <w:pPr>
        <w:spacing w:after="0" w:line="142" w:lineRule="exact"/>
        <w:rPr>
          <w:sz w:val="20"/>
          <w:szCs w:val="20"/>
          <w:color w:val="auto"/>
        </w:rPr>
      </w:pPr>
    </w:p>
    <w:p>
      <w:pPr>
        <w:ind w:left="460" w:hanging="435"/>
        <w:spacing w:after="0"/>
        <w:tabs>
          <w:tab w:leader="none" w:pos="4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00" w:lineRule="exact"/>
        <w:rPr>
          <w:rFonts w:ascii="Times New Roman" w:cs="Times New Roman" w:eastAsia="Times New Roman" w:hAnsi="Times New Roman"/>
          <w:sz w:val="18"/>
          <w:szCs w:val="18"/>
          <w:color w:val="auto"/>
        </w:rPr>
      </w:pPr>
    </w:p>
    <w:p>
      <w:pPr>
        <w:ind w:left="460" w:hanging="435"/>
        <w:spacing w:after="0"/>
        <w:tabs>
          <w:tab w:leader="none" w:pos="4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7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Kazi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41275</wp:posOffset>
            </wp:positionV>
            <wp:extent cx="3231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6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Kazi Hasan</w:t>
      </w:r>
    </w:p>
    <w:p>
      <w:pPr>
        <w:spacing w:after="0" w:line="7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7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DF2233"/>
    <w:multiLevelType w:val="hybridMultilevel"/>
    <w:lvl w:ilvl="0">
      <w:lvlJc w:val="left"/>
      <w:lvlText w:val="☒"/>
      <w:numFmt w:val="bullet"/>
      <w:start w:val="1"/>
    </w:lvl>
  </w:abstractNum>
  <w:abstractNum w:abstractNumId="1">
    <w:nsid w:val="7AB49DAF"/>
    <w:multiLevelType w:val="hybridMultilevel"/>
    <w:lvl w:ilvl="0">
      <w:lvlJc w:val="left"/>
      <w:lvlText w:val="☐"/>
      <w:numFmt w:val="bullet"/>
      <w:start w:val="1"/>
    </w:lvl>
  </w:abstractNum>
  <w:abstractNum w:abstractNumId="2">
    <w:nsid w:val="759F82CD"/>
    <w:multiLevelType w:val="hybridMultilevel"/>
    <w:lvl w:ilvl="0">
      <w:lvlJc w:val="left"/>
      <w:lvlText w:val="•"/>
      <w:numFmt w:val="bullet"/>
      <w:start w:val="1"/>
    </w:lvl>
  </w:abstractNum>
  <w:abstractNum w:abstractNumId="3">
    <w:nsid w:val="61E74EA3"/>
    <w:multiLevelType w:val="hybridMultilevel"/>
    <w:lvl w:ilvl="0">
      <w:lvlJc w:val="left"/>
      <w:lvlText w:val="•"/>
      <w:numFmt w:val="bullet"/>
      <w:start w:val="1"/>
    </w:lvl>
  </w:abstractNum>
  <w:abstractNum w:abstractNumId="4">
    <w:nsid w:val="597B4D84"/>
    <w:multiLevelType w:val="hybridMultilevel"/>
    <w:lvl w:ilvl="0">
      <w:lvlJc w:val="left"/>
      <w:lvlText w:val="(%1)"/>
      <w:numFmt w:val="decimal"/>
      <w:start w:val="1"/>
    </w:lvl>
  </w:abstractNum>
  <w:abstractNum w:abstractNumId="5">
    <w:nsid w:val="F819E7F"/>
    <w:multiLevelType w:val="hybridMultilevel"/>
    <w:lvl w:ilvl="0">
      <w:lvlJc w:val="left"/>
      <w:lvlText w:val="(%1)"/>
      <w:numFmt w:val="decimal"/>
      <w:start w:val="2"/>
    </w:lvl>
  </w:abstractNum>
  <w:abstractNum w:abstractNumId="6">
    <w:nsid w:val="57C7D42D"/>
    <w:multiLevelType w:val="hybridMultilevel"/>
    <w:lvl w:ilvl="0">
      <w:lvlJc w:val="left"/>
      <w:lvlText w:val="(%1)"/>
      <w:numFmt w:val="decimal"/>
      <w:start w:val="1"/>
    </w:lvl>
  </w:abstractNum>
  <w:abstractNum w:abstractNumId="7">
    <w:nsid w:val="312167AD"/>
    <w:multiLevelType w:val="hybridMultilevel"/>
    <w:lvl w:ilvl="0">
      <w:lvlJc w:val="left"/>
      <w:lvlText w:val="(%1)"/>
      <w:numFmt w:val="decimal"/>
      <w:start w:val="3"/>
    </w:lvl>
  </w:abstractNum>
  <w:abstractNum w:abstractNumId="8">
    <w:nsid w:val="631B64D4"/>
    <w:multiLevelType w:val="hybridMultilevel"/>
    <w:lvl w:ilvl="0">
      <w:lvlJc w:val="left"/>
      <w:lvlText w:val="•"/>
      <w:numFmt w:val="bullet"/>
      <w:start w:val="1"/>
    </w:lvl>
  </w:abstractNum>
  <w:abstractNum w:abstractNumId="9">
    <w:nsid w:val="78B5E776"/>
    <w:multiLevelType w:val="hybridMultilevel"/>
    <w:lvl w:ilvl="0">
      <w:lvlJc w:val="left"/>
      <w:lvlText w:val="•"/>
      <w:numFmt w:val="bullet"/>
      <w:start w:val="1"/>
    </w:lvl>
  </w:abstractNum>
  <w:abstractNum w:abstractNumId="10">
    <w:nsid w:val="75486E47"/>
    <w:multiLevelType w:val="hybridMultilevel"/>
    <w:lvl w:ilvl="0">
      <w:lvlJc w:val="left"/>
      <w:lvlText w:val="•"/>
      <w:numFmt w:val="bullet"/>
      <w:start w:val="1"/>
    </w:lvl>
  </w:abstractNum>
  <w:abstractNum w:abstractNumId="11">
    <w:nsid w:val="6E534CDE"/>
    <w:multiLevelType w:val="hybridMultilevel"/>
    <w:lvl w:ilvl="0">
      <w:lvlJc w:val="left"/>
      <w:lvlText w:val="•"/>
      <w:numFmt w:val="bullet"/>
      <w:start w:val="1"/>
    </w:lvl>
  </w:abstractNum>
  <w:abstractNum w:abstractNumId="12">
    <w:nsid w:val="1A0DDE32"/>
    <w:multiLevelType w:val="hybridMultilevel"/>
    <w:lvl w:ilvl="0">
      <w:lvlJc w:val="left"/>
      <w:lvlText w:val="•"/>
      <w:numFmt w:val="bullet"/>
      <w:start w:val="1"/>
    </w:lvl>
  </w:abstractNum>
  <w:abstractNum w:abstractNumId="13">
    <w:nsid w:val="65968C1C"/>
    <w:multiLevelType w:val="hybridMultilevel"/>
    <w:lvl w:ilvl="0">
      <w:lvlJc w:val="left"/>
      <w:lvlText w:val="•"/>
      <w:numFmt w:val="bullet"/>
      <w:start w:val="1"/>
    </w:lvl>
  </w:abstractNum>
  <w:abstractNum w:abstractNumId="14">
    <w:nsid w:val="46263DEC"/>
    <w:multiLevelType w:val="hybridMultilevel"/>
    <w:lvl w:ilvl="0">
      <w:lvlJc w:val="left"/>
      <w:lvlText w:val="•"/>
      <w:numFmt w:val="bullet"/>
      <w:start w:val="1"/>
    </w:lvl>
  </w:abstractNum>
  <w:abstractNum w:abstractNumId="15">
    <w:nsid w:val="260D8C4A"/>
    <w:multiLevelType w:val="hybridMultilevel"/>
    <w:lvl w:ilvl="0">
      <w:lvlJc w:val="left"/>
      <w:lvlText w:val="•"/>
      <w:numFmt w:val="bullet"/>
      <w:start w:val="1"/>
    </w:lvl>
  </w:abstractNum>
  <w:abstractNum w:abstractNumId="16">
    <w:nsid w:val="73D4D3C4"/>
    <w:multiLevelType w:val="hybridMultilevel"/>
    <w:lvl w:ilvl="0">
      <w:lvlJc w:val="left"/>
      <w:lvlText w:val="•"/>
      <w:numFmt w:val="bullet"/>
      <w:start w:val="1"/>
    </w:lvl>
  </w:abstractNum>
  <w:abstractNum w:abstractNumId="17">
    <w:nsid w:val="746F2E30"/>
    <w:multiLevelType w:val="hybridMultilevel"/>
    <w:lvl w:ilvl="0">
      <w:lvlJc w:val="left"/>
      <w:lvlText w:val="(%1)"/>
      <w:numFmt w:val="lowerRoman"/>
      <w:start w:val="2"/>
    </w:lvl>
  </w:abstractNum>
  <w:abstractNum w:abstractNumId="18">
    <w:nsid w:val="6FDE8AF6"/>
    <w:multiLevelType w:val="hybridMultilevel"/>
    <w:lvl w:ilvl="0">
      <w:lvlJc w:val="left"/>
      <w:lvlText w:val="•"/>
      <w:numFmt w:val="bullet"/>
      <w:start w:val="1"/>
    </w:lvl>
  </w:abstractNum>
  <w:abstractNum w:abstractNumId="19">
    <w:nsid w:val="3FC32E20"/>
    <w:multiLevelType w:val="hybridMultilevel"/>
    <w:lvl w:ilvl="0">
      <w:lvlJc w:val="left"/>
      <w:lvlText w:val="•"/>
      <w:numFmt w:val="bullet"/>
      <w:start w:val="1"/>
    </w:lvl>
  </w:abstractNum>
  <w:abstractNum w:abstractNumId="20">
    <w:nsid w:val="49C0E823"/>
    <w:multiLevelType w:val="hybridMultilevel"/>
    <w:lvl w:ilvl="0">
      <w:lvlJc w:val="left"/>
      <w:lvlText w:val="•"/>
      <w:numFmt w:val="bullet"/>
      <w:start w:val="1"/>
    </w:lvl>
  </w:abstractNum>
  <w:abstractNum w:abstractNumId="21">
    <w:nsid w:val="14D53685"/>
    <w:multiLevelType w:val="hybridMultilevel"/>
    <w:lvl w:ilvl="0">
      <w:lvlJc w:val="left"/>
      <w:lvlText w:val="•"/>
      <w:numFmt w:val="bullet"/>
      <w:start w:val="1"/>
    </w:lvl>
  </w:abstractNum>
  <w:abstractNum w:abstractNumId="22">
    <w:nsid w:val="230F856C"/>
    <w:multiLevelType w:val="hybridMultilevel"/>
    <w:lvl w:ilvl="0">
      <w:lvlJc w:val="left"/>
      <w:lvlText w:val="•"/>
      <w:numFmt w:val="bullet"/>
      <w:start w:val="1"/>
    </w:lvl>
  </w:abstractNum>
  <w:abstractNum w:abstractNumId="23">
    <w:nsid w:val="6EAA85FB"/>
    <w:multiLevelType w:val="hybridMultilevel"/>
    <w:lvl w:ilvl="0">
      <w:lvlJc w:val="left"/>
      <w:lvlText w:val="•"/>
      <w:numFmt w:val="bullet"/>
      <w:start w:val="1"/>
    </w:lvl>
  </w:abstractNum>
  <w:abstractNum w:abstractNumId="24">
    <w:nsid w:val="3F06ECB2"/>
    <w:multiLevelType w:val="hybridMultilevel"/>
    <w:lvl w:ilvl="0">
      <w:lvlJc w:val="left"/>
      <w:lvlText w:val="(%1)"/>
      <w:numFmt w:val="decimal"/>
      <w:start w:val="1"/>
    </w:lvl>
  </w:abstractNum>
  <w:abstractNum w:abstractNumId="25">
    <w:nsid w:val="3B594807"/>
    <w:multiLevelType w:val="hybridMultilevel"/>
    <w:lvl w:ilvl="0">
      <w:lvlJc w:val="left"/>
      <w:lvlText w:val="•"/>
      <w:numFmt w:val="bullet"/>
      <w:start w:val="1"/>
    </w:lvl>
    <w:lvl w:ilvl="1">
      <w:lvlJc w:val="left"/>
      <w:lvlText w:val="◦"/>
      <w:numFmt w:val="bullet"/>
      <w:start w:val="1"/>
    </w:lvl>
  </w:abstractNum>
  <w:abstractNum w:abstractNumId="26">
    <w:nsid w:val="6CAA2304"/>
    <w:multiLevelType w:val="hybridMultilevel"/>
    <w:lvl w:ilvl="0">
      <w:lvlJc w:val="left"/>
      <w:lvlText w:val="•"/>
      <w:numFmt w:val="bullet"/>
      <w:start w:val="1"/>
    </w:lvl>
  </w:abstractNum>
  <w:abstractNum w:abstractNumId="27">
    <w:nsid w:val="3F7C2FF4"/>
    <w:multiLevelType w:val="hybridMultilevel"/>
    <w:lvl w:ilvl="0">
      <w:lvlJc w:val="left"/>
      <w:lvlText w:val="(%1)"/>
      <w:numFmt w:val="decimal"/>
      <w:start w:val="1"/>
    </w:lvl>
  </w:abstractNum>
  <w:abstractNum w:abstractNumId="28">
    <w:nsid w:val="25413BEC"/>
    <w:multiLevelType w:val="hybridMultilevel"/>
    <w:lvl w:ilvl="0">
      <w:lvlJc w:val="left"/>
      <w:lvlText w:val="(%1)"/>
      <w:numFmt w:val="decimal"/>
      <w:start w:val="1"/>
    </w:lvl>
  </w:abstractNum>
  <w:abstractNum w:abstractNumId="29">
    <w:nsid w:val="17180B0B"/>
    <w:multiLevelType w:val="hybridMultilevel"/>
    <w:lvl w:ilvl="0">
      <w:lvlJc w:val="left"/>
      <w:lvlText w:val="(%1)"/>
      <w:numFmt w:val="decimal"/>
      <w:start w:val="3"/>
    </w:lvl>
  </w:abstractNum>
  <w:abstractNum w:abstractNumId="30">
    <w:nsid w:val="579328B9"/>
    <w:multiLevelType w:val="hybridMultilevel"/>
    <w:lvl w:ilvl="0">
      <w:lvlJc w:val="left"/>
      <w:lvlText w:val="(%1)"/>
      <w:numFmt w:val="decimal"/>
      <w:start w:val="1"/>
    </w:lvl>
  </w:abstractNum>
  <w:abstractNum w:abstractNumId="31">
    <w:nsid w:val="5D205E20"/>
    <w:multiLevelType w:val="hybridMultilevel"/>
    <w:lvl w:ilvl="0">
      <w:lvlJc w:val="left"/>
      <w:lvlText w:val="(%1)"/>
      <w:numFmt w:val="decimal"/>
      <w:start w:val="1"/>
    </w:lvl>
  </w:abstractNum>
  <w:abstractNum w:abstractNumId="32">
    <w:nsid w:val="11CCA8BA"/>
    <w:multiLevelType w:val="hybridMultilevel"/>
    <w:lvl w:ilvl="0">
      <w:lvlJc w:val="left"/>
      <w:lvlText w:val="(%1)"/>
      <w:numFmt w:val="decimal"/>
      <w:start w:val="1"/>
    </w:lvl>
  </w:abstractNum>
  <w:abstractNum w:abstractNumId="33">
    <w:nsid w:val="4D32AB86"/>
    <w:multiLevelType w:val="hybridMultilevel"/>
    <w:lvl w:ilvl="0">
      <w:lvlJc w:val="left"/>
      <w:lvlText w:val="(%1)"/>
      <w:numFmt w:val="lowerLetter"/>
      <w:start w:val="1"/>
    </w:lvl>
    <w:lvl w:ilvl="1">
      <w:lvlJc w:val="left"/>
      <w:lvlText w:val="%2."/>
      <w:numFmt w:val="decimal"/>
      <w:start w:val="1"/>
    </w:lvl>
  </w:abstractNum>
  <w:abstractNum w:abstractNumId="34">
    <w:nsid w:val="3F07ACC3"/>
    <w:multiLevelType w:val="hybridMultilevel"/>
    <w:lvl w:ilvl="0">
      <w:lvlJc w:val="left"/>
      <w:lvlText w:val="*"/>
      <w:numFmt w:val="bullet"/>
      <w:start w:val="1"/>
    </w:lvl>
  </w:abstractNum>
  <w:abstractNum w:abstractNumId="35">
    <w:nsid w:val="6B47F63E"/>
    <w:multiLevelType w:val="hybridMultilevel"/>
    <w:lvl w:ilvl="0">
      <w:lvlJc w:val="left"/>
      <w:lvlText w:val="**"/>
      <w:numFmt w:val="bullet"/>
      <w:start w:val="1"/>
    </w:lvl>
  </w:abstractNum>
  <w:abstractNum w:abstractNumId="36">
    <w:nsid w:val="5CB44A05"/>
    <w:multiLevelType w:val="hybridMultilevel"/>
    <w:lvl w:ilvl="0">
      <w:lvlJc w:val="left"/>
      <w:lvlText w:val="&quot;"/>
      <w:numFmt w:val="bullet"/>
      <w:start w:val="1"/>
    </w:lvl>
  </w:abstractNum>
  <w:abstractNum w:abstractNumId="37">
    <w:nsid w:val="16CF80F1"/>
    <w:multiLevelType w:val="hybridMultilevel"/>
    <w:lvl w:ilvl="0">
      <w:lvlJc w:val="left"/>
      <w:lvlText w:val="†"/>
      <w:numFmt w:val="bullet"/>
      <w:start w:val="1"/>
    </w:lvl>
  </w:abstractNum>
  <w:abstractNum w:abstractNumId="38">
    <w:nsid w:val="1C695DEC"/>
    <w:multiLevelType w:val="hybridMultilevel"/>
    <w:lvl w:ilvl="0">
      <w:lvlJc w:val="left"/>
      <w:lvlText w:val="+"/>
      <w:numFmt w:val="bullet"/>
      <w:start w:val="1"/>
    </w:lvl>
  </w:abstractNum>
  <w:abstractNum w:abstractNumId="39">
    <w:nsid w:val="3FCFAED9"/>
    <w:multiLevelType w:val="hybridMultilevel"/>
    <w:lvl w:ilvl="0">
      <w:lvlJc w:val="left"/>
      <w:lvlText w:val="#"/>
      <w:numFmt w:val="bullet"/>
      <w:start w:val="1"/>
    </w:lvl>
  </w:abstractNum>
  <w:abstractNum w:abstractNumId="40">
    <w:nsid w:val="F856867"/>
    <w:multiLevelType w:val="hybridMultilevel"/>
    <w:lvl w:ilvl="0">
      <w:lvlJc w:val="left"/>
      <w:lvlText w:val="(%1)"/>
      <w:numFmt w:val="decimal"/>
      <w:start w:val="1"/>
    </w:lvl>
  </w:abstractNum>
  <w:abstractNum w:abstractNumId="41">
    <w:nsid w:val="11B1CC33"/>
    <w:multiLevelType w:val="hybridMultilevel"/>
    <w:lvl w:ilvl="0">
      <w:lvlJc w:val="left"/>
      <w:lvlText w:val="(%1)"/>
      <w:numFmt w:val="decimal"/>
      <w:start w:val="1"/>
    </w:lvl>
  </w:abstractNum>
  <w:abstractNum w:abstractNumId="42">
    <w:nsid w:val="2E22FBB7"/>
    <w:multiLevelType w:val="hybridMultilevel"/>
    <w:lvl w:ilvl="0">
      <w:lvlJc w:val="left"/>
      <w:lvlText w:val="%1."/>
      <w:numFmt w:val="decimal"/>
      <w:start w:val="2"/>
    </w:lvl>
  </w:abstractNum>
  <w:abstractNum w:abstractNumId="43">
    <w:nsid w:val="29934699"/>
    <w:multiLevelType w:val="hybridMultilevel"/>
    <w:lvl w:ilvl="0">
      <w:lvlJc w:val="left"/>
      <w:lvlText w:val="(%1)"/>
      <w:numFmt w:val="decimal"/>
      <w:start w:val="1"/>
    </w:lvl>
  </w:abstractNum>
  <w:abstractNum w:abstractNumId="44">
    <w:nsid w:val="77485850"/>
    <w:multiLevelType w:val="hybridMultilevel"/>
    <w:lvl w:ilvl="0">
      <w:lvlJc w:val="left"/>
      <w:lvlText w:val="%1."/>
      <w:numFmt w:val="decimal"/>
      <w:start w:val="7"/>
    </w:lvl>
  </w:abstractNum>
  <w:abstractNum w:abstractNumId="45">
    <w:nsid w:val="744939A3"/>
    <w:multiLevelType w:val="hybridMultilevel"/>
    <w:lvl w:ilvl="0">
      <w:lvlJc w:val="left"/>
      <w:lvlText w:val="%1."/>
      <w:numFmt w:val="decimal"/>
      <w:start w:val="8"/>
    </w:lvl>
  </w:abstractNum>
  <w:abstractNum w:abstractNumId="46">
    <w:nsid w:val="4FA0D2E3"/>
    <w:multiLevelType w:val="hybridMultilevel"/>
    <w:lvl w:ilvl="0">
      <w:lvlJc w:val="left"/>
      <w:lvlText w:val="(%1)"/>
      <w:numFmt w:val="decimal"/>
      <w:start w:val="1"/>
    </w:lvl>
  </w:abstractNum>
  <w:abstractNum w:abstractNumId="47">
    <w:nsid w:val="6B1D2C14"/>
    <w:multiLevelType w:val="hybridMultilevel"/>
    <w:lvl w:ilvl="0">
      <w:lvlJc w:val="left"/>
      <w:lvlText w:val="•"/>
      <w:numFmt w:val="bullet"/>
      <w:start w:val="1"/>
    </w:lvl>
    <w:lvl w:ilvl="1">
      <w:lvlJc w:val="left"/>
      <w:lvlText w:val="◦"/>
      <w:numFmt w:val="bullet"/>
      <w:start w:val="1"/>
    </w:lvl>
  </w:abstractNum>
  <w:abstractNum w:abstractNumId="48">
    <w:nsid w:val="68B867D3"/>
    <w:multiLevelType w:val="hybridMultilevel"/>
    <w:lvl w:ilvl="0">
      <w:lvlJc w:val="left"/>
      <w:lvlText w:val="$"/>
      <w:numFmt w:val="bullet"/>
      <w:start w:val="1"/>
    </w:lvl>
  </w:abstractNum>
  <w:abstractNum w:abstractNumId="49">
    <w:nsid w:val="3F7F5DD9"/>
    <w:multiLevelType w:val="hybridMultilevel"/>
    <w:lvl w:ilvl="0">
      <w:lvlJc w:val="left"/>
      <w:lvlText w:val="(%1)"/>
      <w:numFmt w:val="decimal"/>
      <w:start w:val="1"/>
    </w:lvl>
    <w:lvl w:ilvl="1">
      <w:lvlJc w:val="left"/>
      <w:lvlText w:val="•"/>
      <w:numFmt w:val="bullet"/>
      <w:start w:val="1"/>
    </w:lvl>
  </w:abstractNum>
  <w:abstractNum w:abstractNumId="50">
    <w:nsid w:val="2AE05A34"/>
    <w:multiLevelType w:val="hybridMultilevel"/>
    <w:lvl w:ilvl="0">
      <w:lvlJc w:val="left"/>
      <w:lvlText w:val="$"/>
      <w:numFmt w:val="bullet"/>
      <w:start w:val="1"/>
    </w:lvl>
  </w:abstractNum>
  <w:abstractNum w:abstractNumId="51">
    <w:nsid w:val="32794FF7"/>
    <w:multiLevelType w:val="hybridMultilevel"/>
    <w:lvl w:ilvl="0">
      <w:lvlJc w:val="left"/>
      <w:lvlText w:val="(%1)"/>
      <w:numFmt w:val="decimal"/>
      <w:start w:val="1"/>
    </w:lvl>
    <w:lvl w:ilvl="1">
      <w:lvlJc w:val="left"/>
      <w:lvlText w:val="•"/>
      <w:numFmt w:val="bullet"/>
      <w:start w:val="1"/>
    </w:lvl>
  </w:abstractNum>
  <w:abstractNum w:abstractNumId="52">
    <w:nsid w:val="5454945E"/>
    <w:multiLevelType w:val="hybridMultilevel"/>
    <w:lvl w:ilvl="0">
      <w:lvlJc w:val="left"/>
      <w:lvlText w:val="(%1)"/>
      <w:numFmt w:val="decimal"/>
      <w:start w:val="1"/>
    </w:lvl>
  </w:abstractNum>
  <w:abstractNum w:abstractNumId="53">
    <w:nsid w:val="4DEFDFA0"/>
    <w:multiLevelType w:val="hybridMultilevel"/>
    <w:lvl w:ilvl="0">
      <w:lvlJc w:val="left"/>
      <w:lvlText w:val="%1."/>
      <w:numFmt w:val="decimal"/>
      <w:start w:val="11"/>
    </w:lvl>
  </w:abstractNum>
  <w:abstractNum w:abstractNumId="54">
    <w:nsid w:val="2123D5F2"/>
    <w:multiLevelType w:val="hybridMultilevel"/>
    <w:lvl w:ilvl="0">
      <w:lvlJc w:val="left"/>
      <w:lvlText w:val="%1."/>
      <w:numFmt w:val="decimal"/>
      <w:start w:val="15"/>
    </w:lvl>
  </w:abstractNum>
  <w:abstractNum w:abstractNumId="55">
    <w:nsid w:val="135B8110"/>
    <w:multiLevelType w:val="hybridMultilevel"/>
    <w:lvl w:ilvl="0">
      <w:lvlJc w:val="left"/>
      <w:lvlText w:val="(%1)"/>
      <w:numFmt w:val="lowerRoman"/>
      <w:start w:val="2"/>
    </w:lvl>
  </w:abstractNum>
  <w:abstractNum w:abstractNumId="56">
    <w:nsid w:val="94927A8"/>
    <w:multiLevelType w:val="hybridMultilevel"/>
    <w:lvl w:ilvl="0">
      <w:lvlJc w:val="left"/>
      <w:lvlText w:val="-"/>
      <w:numFmt w:val="bullet"/>
      <w:start w:val="1"/>
    </w:lvl>
  </w:abstractNum>
  <w:abstractNum w:abstractNumId="57">
    <w:nsid w:val="DCDF8F6"/>
    <w:multiLevelType w:val="hybridMultilevel"/>
    <w:lvl w:ilvl="0">
      <w:lvlJc w:val="left"/>
      <w:lvlText w:val="(%1)"/>
      <w:numFmt w:val="lowerLetter"/>
      <w:start w:val="1"/>
    </w:lvl>
  </w:abstractNum>
  <w:abstractNum w:abstractNumId="58">
    <w:nsid w:val="52D7B105"/>
    <w:multiLevelType w:val="hybridMultilevel"/>
    <w:lvl w:ilvl="0">
      <w:lvlJc w:val="left"/>
      <w:lvlText w:val="(%1)"/>
      <w:numFmt w:val="lowerLetter"/>
      <w:start w:val="1"/>
    </w:lvl>
  </w:abstractNum>
  <w:abstractNum w:abstractNumId="59">
    <w:nsid w:val="2E8A6394"/>
    <w:multiLevelType w:val="hybridMultilevel"/>
    <w:lvl w:ilvl="0">
      <w:lvlJc w:val="left"/>
      <w:lvlText w:val="(%1)"/>
      <w:numFmt w:val="lowerLetter"/>
      <w:start w:val="8"/>
    </w:lvl>
  </w:abstractNum>
  <w:abstractNum w:abstractNumId="60">
    <w:nsid w:val="24E60401"/>
    <w:multiLevelType w:val="hybridMultilevel"/>
    <w:lvl w:ilvl="0">
      <w:lvlJc w:val="left"/>
      <w:lvlText w:val="(%1)"/>
      <w:numFmt w:val="lowerLetter"/>
      <w:start w:val="2"/>
    </w:lvl>
  </w:abstractNum>
  <w:abstractNum w:abstractNumId="61">
    <w:nsid w:val="2A6AD9BE"/>
    <w:multiLevelType w:val="hybridMultilevel"/>
    <w:lvl w:ilvl="0">
      <w:lvlJc w:val="left"/>
      <w:lvlText w:val="(%1)"/>
      <w:numFmt w:val="lowerLetter"/>
      <w:start w:val="1"/>
    </w:lvl>
  </w:abstractNum>
  <w:abstractNum w:abstractNumId="62">
    <w:nsid w:val="BAAC1B4"/>
    <w:multiLevelType w:val="hybridMultilevel"/>
    <w:lvl w:ilvl="0">
      <w:lvlJc w:val="left"/>
      <w:lvlText w:val="(%1)"/>
      <w:numFmt w:val="lowerLetter"/>
      <w:start w:val="1"/>
    </w:lvl>
  </w:abstractNum>
  <w:abstractNum w:abstractNumId="63">
    <w:nsid w:val="36B2ACBC"/>
    <w:multiLevelType w:val="hybridMultilevel"/>
    <w:lvl w:ilvl="0">
      <w:lvlJc w:val="left"/>
      <w:lvlText w:val="(%1)"/>
      <w:numFmt w:val="lowerLetter"/>
      <w:start w:val="9"/>
    </w:lvl>
  </w:abstractNum>
  <w:abstractNum w:abstractNumId="64">
    <w:nsid w:val="779D8544"/>
    <w:multiLevelType w:val="hybridMultilevel"/>
    <w:lvl w:ilvl="0">
      <w:lvlJc w:val="left"/>
      <w:lvlText w:val="(%1)"/>
      <w:numFmt w:val="lowerLetter"/>
      <w:start w:val="1"/>
    </w:lvl>
    <w:lvl w:ilvl="1">
      <w:lvlJc w:val="left"/>
      <w:lvlText w:val="(%2)"/>
      <w:numFmt w:val="lowerRoman"/>
      <w:start w:val="1"/>
    </w:lvl>
  </w:abstractNum>
  <w:abstractNum w:abstractNumId="65">
    <w:nsid w:val="4AB26E78"/>
    <w:multiLevelType w:val="hybridMultilevel"/>
    <w:lvl w:ilvl="0">
      <w:lvlJc w:val="left"/>
      <w:lvlText w:val="%1"/>
      <w:numFmt w:val="lowerLetter"/>
      <w:start w:val="1"/>
    </w:lvl>
    <w:lvl w:ilvl="1">
      <w:lvlJc w:val="left"/>
      <w:lvlText w:val="(%2)"/>
      <w:numFmt w:val="lowerRoman"/>
      <w:start w:val="5"/>
    </w:lvl>
  </w:abstractNum>
  <w:abstractNum w:abstractNumId="66">
    <w:nsid w:val="21FAA2FA"/>
    <w:multiLevelType w:val="hybridMultilevel"/>
    <w:lvl w:ilvl="0">
      <w:lvlJc w:val="left"/>
      <w:lvlText w:val="(%1)"/>
      <w:numFmt w:val="lowerLetter"/>
      <w:start w:val="2"/>
    </w:lvl>
    <w:lvl w:ilvl="1">
      <w:lvlJc w:val="left"/>
      <w:lvlText w:val="%2"/>
      <w:numFmt w:val="lowerRoman"/>
      <w:start w:val="1"/>
    </w:lvl>
  </w:abstractNum>
  <w:abstractNum w:abstractNumId="67">
    <w:nsid w:val="5451CF49"/>
    <w:multiLevelType w:val="hybridMultilevel"/>
    <w:lvl w:ilvl="0">
      <w:lvlJc w:val="left"/>
      <w:lvlText w:val="(%1)"/>
      <w:numFmt w:val="lowerLetter"/>
      <w:start w:val="1"/>
    </w:lvl>
    <w:lvl w:ilvl="1">
      <w:lvlJc w:val="left"/>
      <w:lvlText w:val="(%2)"/>
      <w:numFmt w:val="lowerRoman"/>
      <w:start w:val="1"/>
    </w:lvl>
  </w:abstractNum>
  <w:abstractNum w:abstractNumId="68">
    <w:nsid w:val="6181EF69"/>
    <w:multiLevelType w:val="hybridMultilevel"/>
    <w:lvl w:ilvl="0">
      <w:lvlJc w:val="left"/>
      <w:lvlText w:val="%1"/>
      <w:numFmt w:val="lowerLetter"/>
      <w:start w:val="1"/>
    </w:lvl>
    <w:lvl w:ilvl="1">
      <w:lvlJc w:val="left"/>
      <w:lvlText w:val="(%2)"/>
      <w:numFmt w:val="lowerRoman"/>
      <w:start w:val="3"/>
    </w:lvl>
  </w:abstractNum>
  <w:abstractNum w:abstractNumId="69">
    <w:nsid w:val="3E6400E6"/>
    <w:multiLevelType w:val="hybridMultilevel"/>
    <w:lvl w:ilvl="0">
      <w:lvlJc w:val="left"/>
      <w:lvlText w:val="(%1)"/>
      <w:numFmt w:val="lowerLetter"/>
      <w:start w:val="2"/>
    </w:lvl>
    <w:lvl w:ilvl="1">
      <w:lvlJc w:val="left"/>
      <w:lvlText w:val="(%2)"/>
      <w:numFmt w:val="lowerRoman"/>
      <w:start w:val="1"/>
    </w:lvl>
  </w:abstractNum>
  <w:abstractNum w:abstractNumId="70">
    <w:nsid w:val="14217E23"/>
    <w:multiLevelType w:val="hybridMultilevel"/>
    <w:lvl w:ilvl="0">
      <w:lvlJc w:val="left"/>
      <w:lvlText w:val="(%1)"/>
      <w:numFmt w:val="lowerRoman"/>
      <w:start w:val="5"/>
    </w:lvl>
  </w:abstractNum>
  <w:abstractNum w:abstractNumId="71">
    <w:nsid w:val="710757D0"/>
    <w:multiLevelType w:val="hybridMultilevel"/>
    <w:lvl w:ilvl="0">
      <w:lvlJc w:val="left"/>
      <w:lvlText w:val="(%1)"/>
      <w:numFmt w:val="lowerRoman"/>
      <w:start w:val="11"/>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72">
    <w:nsid w:val="5015CD1A"/>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lvl w:ilvl="3">
      <w:lvlJc w:val="left"/>
      <w:lvlText w:val="(%4)"/>
      <w:numFmt w:val="lowerRoman"/>
      <w:start w:val="14"/>
    </w:lvl>
  </w:abstractNum>
  <w:abstractNum w:abstractNumId="73">
    <w:nsid w:val="424479DA"/>
    <w:multiLevelType w:val="hybridMultilevel"/>
    <w:lvl w:ilvl="0">
      <w:lvlJc w:val="left"/>
      <w:lvlText w:val="(%1)"/>
      <w:numFmt w:val="lowerRoman"/>
      <w:start w:val="15"/>
    </w:lvl>
  </w:abstractNum>
  <w:abstractNum w:abstractNumId="74">
    <w:nsid w:val="1A9A9E69"/>
    <w:multiLevelType w:val="hybridMultilevel"/>
    <w:lvl w:ilvl="0">
      <w:lvlJc w:val="left"/>
      <w:lvlText w:val="%1"/>
      <w:numFmt w:val="lowerLetter"/>
      <w:start w:val="1"/>
    </w:lvl>
    <w:lvl w:ilvl="1">
      <w:lvlJc w:val="left"/>
      <w:lvlText w:val="(%2)"/>
      <w:numFmt w:val="lowerRoman"/>
      <w:start w:val="19"/>
    </w:lvl>
  </w:abstractNum>
  <w:abstractNum w:abstractNumId="75">
    <w:nsid w:val="475E256A"/>
    <w:multiLevelType w:val="hybridMultilevel"/>
    <w:lvl w:ilvl="0">
      <w:lvlJc w:val="left"/>
      <w:lvlText w:val="(%1)"/>
      <w:numFmt w:val="lowerLetter"/>
      <w:start w:val="3"/>
    </w:lvl>
    <w:lvl w:ilvl="1">
      <w:lvlJc w:val="left"/>
      <w:lvlText w:val="%2"/>
      <w:numFmt w:val="lowerRoman"/>
      <w:start w:val="1"/>
    </w:lvl>
  </w:abstractNum>
  <w:abstractNum w:abstractNumId="76">
    <w:nsid w:val="368DB37E"/>
    <w:multiLevelType w:val="hybridMultilevel"/>
    <w:lvl w:ilvl="0">
      <w:lvlJc w:val="left"/>
      <w:lvlText w:val="(%1)"/>
      <w:numFmt w:val="lowerLetter"/>
      <w:start w:val="1"/>
    </w:lvl>
  </w:abstractNum>
  <w:abstractNum w:abstractNumId="77">
    <w:nsid w:val="6A3B714C"/>
    <w:multiLevelType w:val="hybridMultilevel"/>
    <w:lvl w:ilvl="0">
      <w:lvlJc w:val="left"/>
      <w:lvlText w:val="(%1)"/>
      <w:numFmt w:val="upperLetter"/>
      <w:start w:val="1"/>
    </w:lvl>
  </w:abstractNum>
  <w:abstractNum w:abstractNumId="78">
    <w:nsid w:val="327B517E"/>
    <w:multiLevelType w:val="hybridMultilevel"/>
    <w:lvl w:ilvl="0">
      <w:lvlJc w:val="left"/>
      <w:lvlText w:val="(%1)"/>
      <w:numFmt w:val="lowerLetter"/>
      <w:start w:val="3"/>
    </w:lvl>
  </w:abstractNum>
  <w:abstractNum w:abstractNumId="79">
    <w:nsid w:val="1F461B51"/>
    <w:multiLevelType w:val="hybridMultilevel"/>
    <w:lvl w:ilvl="0">
      <w:lvlJc w:val="left"/>
      <w:lvlText w:val="(%1)"/>
      <w:numFmt w:val="lowerRoman"/>
      <w:start w:val="4"/>
    </w:lvl>
  </w:abstractNum>
  <w:abstractNum w:abstractNumId="80">
    <w:nsid w:val="29BACF25"/>
    <w:multiLevelType w:val="hybridMultilevel"/>
    <w:lvl w:ilvl="0">
      <w:lvlJc w:val="left"/>
      <w:lvlText w:val="(%1)"/>
      <w:numFmt w:val="lowerLetter"/>
      <w:start w:val="5"/>
    </w:lvl>
    <w:lvl w:ilvl="1">
      <w:lvlJc w:val="left"/>
      <w:lvlText w:val="(%2)"/>
      <w:numFmt w:val="lowerLetter"/>
      <w:start w:val="9"/>
    </w:lvl>
  </w:abstractNum>
  <w:abstractNum w:abstractNumId="81">
    <w:nsid w:val="5D5BABB3"/>
    <w:multiLevelType w:val="hybridMultilevel"/>
    <w:lvl w:ilvl="0">
      <w:lvlJc w:val="left"/>
      <w:lvlText w:val="%1"/>
      <w:numFmt w:val="lowerLetter"/>
      <w:start w:val="1"/>
    </w:lvl>
    <w:lvl w:ilvl="1">
      <w:lvlJc w:val="left"/>
      <w:lvlText w:val="(%2)"/>
      <w:numFmt w:val="lowerLetter"/>
      <w:start w:val="35"/>
    </w:lvl>
  </w:abstractNum>
  <w:abstractNum w:abstractNumId="82">
    <w:nsid w:val="51BF6B48"/>
    <w:multiLevelType w:val="hybridMultilevel"/>
    <w:lvl w:ilvl="0">
      <w:lvlJc w:val="left"/>
      <w:lvlText w:val="(%1)"/>
      <w:numFmt w:val="lowerLetter"/>
      <w:start w:val="6"/>
    </w:lvl>
    <w:lvl w:ilvl="1">
      <w:lvlJc w:val="left"/>
      <w:lvlText w:val="(%2)"/>
      <w:numFmt w:val="lowerLetter"/>
      <w:start w:val="9"/>
    </w:lvl>
  </w:abstractNum>
  <w:abstractNum w:abstractNumId="83">
    <w:nsid w:val="7E0F6384"/>
    <w:multiLevelType w:val="hybridMultilevel"/>
    <w:lvl w:ilvl="0">
      <w:lvlJc w:val="left"/>
      <w:lvlText w:val="%1"/>
      <w:numFmt w:val="lowerLetter"/>
      <w:start w:val="1"/>
    </w:lvl>
    <w:lvl w:ilvl="1">
      <w:lvlJc w:val="left"/>
      <w:lvlText w:val="(%2)"/>
      <w:numFmt w:val="lowerLetter"/>
      <w:start w:val="35"/>
    </w:lvl>
  </w:abstractNum>
  <w:abstractNum w:abstractNumId="84">
    <w:nsid w:val="2B4B8B53"/>
    <w:multiLevelType w:val="hybridMultilevel"/>
    <w:lvl w:ilvl="0">
      <w:lvlJc w:val="left"/>
      <w:lvlText w:val="(%1)"/>
      <w:numFmt w:val="lowerLetter"/>
      <w:start w:val="7"/>
    </w:lvl>
    <w:lvl w:ilvl="1">
      <w:lvlJc w:val="left"/>
      <w:lvlText w:val="%2"/>
      <w:numFmt w:val="lowerLetter"/>
      <w:start w:val="1"/>
    </w:lvl>
  </w:abstractNum>
  <w:abstractNum w:abstractNumId="85">
    <w:nsid w:val="72E3413A"/>
    <w:multiLevelType w:val="hybridMultilevel"/>
    <w:lvl w:ilvl="0">
      <w:lvlJc w:val="left"/>
      <w:lvlText w:val="(%1)"/>
      <w:numFmt w:val="lowerLetter"/>
      <w:start w:val="8"/>
    </w:lvl>
  </w:abstractNum>
  <w:abstractNum w:abstractNumId="86">
    <w:nsid w:val="116AE494"/>
    <w:multiLevelType w:val="hybridMultilevel"/>
    <w:lvl w:ilvl="0">
      <w:lvlJc w:val="left"/>
      <w:lvlText w:val="(%1)"/>
      <w:numFmt w:val="lowerLetter"/>
      <w:start w:val="1"/>
    </w:lvl>
  </w:abstractNum>
  <w:abstractNum w:abstractNumId="87">
    <w:nsid w:val="3494B2FB"/>
    <w:multiLevelType w:val="hybridMultilevel"/>
    <w:lvl w:ilvl="0">
      <w:lvlJc w:val="left"/>
      <w:lvlText w:val="(%1)"/>
      <w:numFmt w:val="lowerLetter"/>
      <w:start w:val="4"/>
    </w:lvl>
  </w:abstractNum>
  <w:abstractNum w:abstractNumId="88">
    <w:nsid w:val="B13A31"/>
    <w:multiLevelType w:val="hybridMultilevel"/>
    <w:lvl w:ilvl="0">
      <w:lvlJc w:val="left"/>
      <w:lvlText w:val="(%1)"/>
      <w:numFmt w:val="lowerLetter"/>
      <w:start w:val="8"/>
    </w:lvl>
  </w:abstractNum>
  <w:abstractNum w:abstractNumId="89">
    <w:nsid w:val="64429599"/>
    <w:multiLevelType w:val="hybridMultilevel"/>
    <w:lvl w:ilvl="0">
      <w:lvlJc w:val="left"/>
      <w:lvlText w:val="(%1)"/>
      <w:numFmt w:val="lowerLetter"/>
      <w:start w:val="9"/>
    </w:lvl>
  </w:abstractNum>
  <w:abstractNum w:abstractNumId="90">
    <w:nsid w:val="631F1690"/>
    <w:multiLevelType w:val="hybridMultilevel"/>
    <w:lvl w:ilvl="0">
      <w:lvlJc w:val="left"/>
      <w:lvlText w:val="%1"/>
      <w:numFmt w:val="upperLetter"/>
      <w:start w:val="1"/>
    </w:lvl>
    <w:lvl w:ilvl="1">
      <w:lvlJc w:val="left"/>
      <w:lvlText w:val="(%2)"/>
      <w:numFmt w:val="lowerRoman"/>
      <w:start w:val="1"/>
    </w:lvl>
  </w:abstractNum>
  <w:abstractNum w:abstractNumId="91">
    <w:nsid w:val="25973E32"/>
    <w:multiLevelType w:val="hybridMultilevel"/>
    <w:lvl w:ilvl="0">
      <w:lvlJc w:val="left"/>
      <w:lvlText w:val="(%1)"/>
      <w:numFmt w:val="upperLetter"/>
      <w:start w:val="3"/>
    </w:lvl>
    <w:lvl w:ilvl="1">
      <w:lvlJc w:val="left"/>
      <w:lvlText w:val="%2"/>
      <w:numFmt w:val="lowerRoman"/>
      <w:start w:val="1"/>
    </w:lvl>
  </w:abstractNum>
  <w:abstractNum w:abstractNumId="92">
    <w:nsid w:val="EAD6F57"/>
    <w:multiLevelType w:val="hybridMultilevel"/>
    <w:lvl w:ilvl="0">
      <w:lvlJc w:val="left"/>
      <w:lvlText w:val="%1"/>
      <w:numFmt w:val="lowerLetter"/>
      <w:start w:val="1"/>
    </w:lvl>
    <w:lvl w:ilvl="1">
      <w:lvlJc w:val="left"/>
      <w:lvlText w:val="(%2)"/>
      <w:numFmt w:val="lowerRoman"/>
      <w:start w:val="2"/>
    </w:lvl>
  </w:abstractNum>
  <w:abstractNum w:abstractNumId="93">
    <w:nsid w:val="6EC9D844"/>
    <w:multiLevelType w:val="hybridMultilevel"/>
    <w:lvl w:ilvl="0">
      <w:lvlJc w:val="left"/>
      <w:lvlText w:val="(%1)"/>
      <w:numFmt w:val="lowerLetter"/>
      <w:start w:val="12"/>
    </w:lvl>
    <w:lvl w:ilvl="1">
      <w:lvlJc w:val="left"/>
      <w:lvlText w:val="%2"/>
      <w:numFmt w:val="lowerRoman"/>
      <w:start w:val="1"/>
    </w:lvl>
  </w:abstractNum>
  <w:abstractNum w:abstractNumId="94">
    <w:nsid w:val="5C49EAEE"/>
    <w:multiLevelType w:val="hybridMultilevel"/>
    <w:lvl w:ilvl="0">
      <w:lvlJc w:val="left"/>
      <w:lvlText w:val="(%1)"/>
      <w:numFmt w:val="lowerLetter"/>
      <w:start w:val="13"/>
    </w:lvl>
    <w:lvl w:ilvl="1">
      <w:lvlJc w:val="left"/>
      <w:lvlText w:val="(%2)"/>
      <w:numFmt w:val="lowerRoman"/>
      <w:start w:val="1"/>
    </w:lvl>
  </w:abstractNum>
  <w:abstractNum w:abstractNumId="95">
    <w:nsid w:val="64AF49B"/>
    <w:multiLevelType w:val="hybridMultilevel"/>
    <w:lvl w:ilvl="0">
      <w:lvlJc w:val="left"/>
      <w:lvlText w:val="%1."/>
      <w:numFmt w:val="upperLetter"/>
      <w:start w:val="1"/>
    </w:lvl>
  </w:abstractNum>
  <w:abstractNum w:abstractNumId="96">
    <w:nsid w:val="397C46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97">
    <w:nsid w:val="7E448DE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98">
    <w:nsid w:val="5A9CC3E5"/>
    <w:multiLevelType w:val="hybridMultilevel"/>
    <w:lvl w:ilvl="0">
      <w:lvlJc w:val="left"/>
      <w:lvlText w:val="(%1)"/>
      <w:numFmt w:val="decimal"/>
      <w:start w:val="1"/>
    </w:lvl>
  </w:abstractNum>
  <w:abstractNum w:abstractNumId="99">
    <w:nsid w:val="1AFE3625"/>
    <w:multiLevelType w:val="hybridMultilevel"/>
    <w:lvl w:ilvl="0">
      <w:lvlJc w:val="left"/>
      <w:lvlText w:val="(%1)"/>
      <w:numFmt w:val="decimal"/>
      <w:start w:val="2"/>
    </w:lvl>
  </w:abstractNum>
  <w:abstractNum w:abstractNumId="100">
    <w:nsid w:val="3CA88ECF"/>
    <w:multiLevelType w:val="hybridMultilevel"/>
    <w:lvl w:ilvl="0">
      <w:lvlJc w:val="left"/>
      <w:lvlText w:val="(%1)"/>
      <w:numFmt w:val="decimal"/>
      <w:start w:val="3"/>
    </w:lvl>
  </w:abstractNum>
  <w:abstractNum w:abstractNumId="101">
    <w:nsid w:val="6EBE4208"/>
    <w:multiLevelType w:val="hybridMultilevel"/>
    <w:lvl w:ilvl="0">
      <w:lvlJc w:val="left"/>
      <w:lvlText w:val="(%1)"/>
      <w:numFmt w:val="decimal"/>
      <w:start w:val="5"/>
    </w:lvl>
  </w:abstractNum>
  <w:abstractNum w:abstractNumId="102">
    <w:nsid w:val="C058DF5"/>
    <w:multiLevelType w:val="hybridMultilevel"/>
    <w:lvl w:ilvl="0">
      <w:lvlJc w:val="left"/>
      <w:lvlText w:val="(%1)"/>
      <w:numFmt w:val="decimal"/>
      <w:start w:val="6"/>
    </w:lvl>
  </w:abstractNum>
  <w:abstractNum w:abstractNumId="103">
    <w:nsid w:val="CBE5BE9"/>
    <w:multiLevelType w:val="hybridMultilevel"/>
    <w:lvl w:ilvl="0">
      <w:lvlJc w:val="left"/>
      <w:lvlText w:val="(%1)"/>
      <w:numFmt w:val="decimal"/>
      <w:start w:val="7"/>
    </w:lvl>
  </w:abstractNum>
  <w:abstractNum w:abstractNumId="104">
    <w:nsid w:val="3102BBE2"/>
    <w:multiLevelType w:val="hybridMultilevel"/>
    <w:lvl w:ilvl="0">
      <w:lvlJc w:val="left"/>
      <w:lvlText w:val="(%1)"/>
      <w:numFmt w:val="lowerLetter"/>
      <w:start w:val="4"/>
    </w:lvl>
  </w:abstractNum>
  <w:abstractNum w:abstractNumId="105">
    <w:nsid w:val="26A02C5E"/>
    <w:multiLevelType w:val="hybridMultilevel"/>
    <w:lvl w:ilvl="0">
      <w:lvlJc w:val="left"/>
      <w:lvlText w:val="(%1)"/>
      <w:numFmt w:val="lowerLetter"/>
      <w:start w:val="1"/>
    </w:lvl>
  </w:abstractNum>
  <w:abstractNum w:abstractNumId="106">
    <w:nsid w:val="541C8153"/>
    <w:multiLevelType w:val="hybridMultilevel"/>
    <w:lvl w:ilvl="0">
      <w:lvlJc w:val="left"/>
      <w:lvlText w:val="(%1)"/>
      <w:numFmt w:val="lowerLetter"/>
      <w:start w:val="2"/>
    </w:lvl>
  </w:abstractNum>
  <w:abstractNum w:abstractNumId="107">
    <w:nsid w:val="67906F60"/>
    <w:multiLevelType w:val="hybridMultilevel"/>
    <w:lvl w:ilvl="0">
      <w:lvlJc w:val="left"/>
      <w:lvlText w:val="(%1)"/>
      <w:numFmt w:val="lowerLetter"/>
      <w:start w:val="4"/>
    </w:lvl>
  </w:abstractNum>
  <w:abstractNum w:abstractNumId="108">
    <w:nsid w:val="10DB9DAA"/>
    <w:multiLevelType w:val="hybridMultilevel"/>
    <w:lvl w:ilvl="0">
      <w:lvlJc w:val="left"/>
      <w:lvlText w:val="(%1)"/>
      <w:numFmt w:val="lowerLetter"/>
      <w:start w:val="1"/>
    </w:lvl>
  </w:abstractNum>
  <w:abstractNum w:abstractNumId="109">
    <w:nsid w:val="697D2D2"/>
    <w:multiLevelType w:val="hybridMultilevel"/>
    <w:lvl w:ilvl="0">
      <w:lvlJc w:val="left"/>
      <w:lvlText w:val="(%1)"/>
      <w:numFmt w:val="lowerLetter"/>
      <w:start w:val="2"/>
    </w:lvl>
  </w:abstractNum>
  <w:abstractNum w:abstractNumId="110">
    <w:nsid w:val="6D68AB2"/>
    <w:multiLevelType w:val="hybridMultilevel"/>
    <w:lvl w:ilvl="0">
      <w:lvlJc w:val="left"/>
      <w:lvlText w:val="(%1)"/>
      <w:numFmt w:val="lowerLetter"/>
      <w:start w:val="3"/>
    </w:lvl>
  </w:abstractNum>
  <w:abstractNum w:abstractNumId="111">
    <w:nsid w:val="3A966CD0"/>
    <w:multiLevelType w:val="hybridMultilevel"/>
    <w:lvl w:ilvl="0">
      <w:lvlJc w:val="left"/>
      <w:lvlText w:val="(%1)"/>
      <w:numFmt w:val="lowerLetter"/>
      <w:start w:val="4"/>
    </w:lvl>
  </w:abstractNum>
  <w:abstractNum w:abstractNumId="112">
    <w:nsid w:val="63F37E85"/>
    <w:multiLevelType w:val="hybridMultilevel"/>
    <w:lvl w:ilvl="0">
      <w:lvlJc w:val="left"/>
      <w:lvlText w:val="(%1)"/>
      <w:numFmt w:val="lowerLetter"/>
      <w:start w:val="5"/>
    </w:lvl>
  </w:abstractNum>
  <w:abstractNum w:abstractNumId="113">
    <w:nsid w:val="5895F5FA"/>
    <w:multiLevelType w:val="hybridMultilevel"/>
    <w:lvl w:ilvl="0">
      <w:lvlJc w:val="left"/>
      <w:lvlText w:val="(%1)"/>
      <w:numFmt w:val="lowerLetter"/>
      <w:start w:val="7"/>
    </w:lvl>
  </w:abstractNum>
  <w:abstractNum w:abstractNumId="114">
    <w:nsid w:val="38A5D054"/>
    <w:multiLevelType w:val="hybridMultilevel"/>
    <w:lvl w:ilvl="0">
      <w:lvlJc w:val="left"/>
      <w:lvlText w:val="(%1)"/>
      <w:numFmt w:val="lowerLetter"/>
      <w:start w:val="8"/>
    </w:lvl>
  </w:abstractNum>
  <w:abstractNum w:abstractNumId="115">
    <w:nsid w:val="F3F09D8"/>
    <w:multiLevelType w:val="hybridMultilevel"/>
    <w:lvl w:ilvl="0">
      <w:lvlJc w:val="left"/>
      <w:lvlText w:val="(%1)"/>
      <w:numFmt w:val="lowerRoman"/>
      <w:start w:val="1"/>
    </w:lvl>
  </w:abstractNum>
  <w:abstractNum w:abstractNumId="116">
    <w:nsid w:val="4B793735"/>
    <w:multiLevelType w:val="hybridMultilevel"/>
    <w:lvl w:ilvl="0">
      <w:lvlJc w:val="left"/>
      <w:lvlText w:val="(%1)"/>
      <w:numFmt w:val="lowerLetter"/>
      <w:start w:val="10"/>
    </w:lvl>
  </w:abstractNum>
  <w:abstractNum w:abstractNumId="117">
    <w:nsid w:val="4A10B4E8"/>
    <w:multiLevelType w:val="hybridMultilevel"/>
    <w:lvl w:ilvl="0">
      <w:lvlJc w:val="left"/>
      <w:lvlText w:val="(%1)"/>
      <w:numFmt w:val="lowerLetter"/>
      <w:start w:val="11"/>
    </w:lvl>
  </w:abstractNum>
  <w:abstractNum w:abstractNumId="118">
    <w:nsid w:val="43D3BCD4"/>
    <w:multiLevelType w:val="hybridMultilevel"/>
    <w:lvl w:ilvl="0">
      <w:lvlJc w:val="left"/>
      <w:lvlText w:val="(%1)"/>
      <w:numFmt w:val="lowerLetter"/>
      <w:start w:val="12"/>
    </w:lvl>
  </w:abstractNum>
  <w:abstractNum w:abstractNumId="119">
    <w:nsid w:val="4C2A7166"/>
    <w:multiLevelType w:val="hybridMultilevel"/>
    <w:lvl w:ilvl="0">
      <w:lvlJc w:val="left"/>
      <w:lvlText w:val="(%1)"/>
      <w:numFmt w:val="lowerLetter"/>
      <w:start w:val="14"/>
    </w:lvl>
  </w:abstractNum>
  <w:abstractNum w:abstractNumId="120">
    <w:nsid w:val="2E534A82"/>
    <w:multiLevelType w:val="hybridMultilevel"/>
    <w:lvl w:ilvl="0">
      <w:lvlJc w:val="left"/>
      <w:lvlText w:val="(%1)"/>
      <w:numFmt w:val="lowerLetter"/>
      <w:start w:val="20"/>
    </w:lvl>
  </w:abstractNum>
  <w:abstractNum w:abstractNumId="121">
    <w:nsid w:val="26F2D364"/>
    <w:multiLevelType w:val="hybridMultilevel"/>
    <w:lvl w:ilvl="0">
      <w:lvlJc w:val="left"/>
      <w:lvlText w:val="(%1)"/>
      <w:numFmt w:val="lowerLetter"/>
      <w:start w:val="21"/>
    </w:lvl>
  </w:abstractNum>
  <w:abstractNum w:abstractNumId="122">
    <w:nsid w:val="71C1AF98"/>
    <w:multiLevelType w:val="hybridMultilevel"/>
    <w:lvl w:ilvl="0">
      <w:lvlJc w:val="left"/>
      <w:lvlText w:val="(%1)"/>
      <w:numFmt w:val="lowerLetter"/>
      <w:start w:val="22"/>
    </w:lvl>
  </w:abstractNum>
  <w:abstractNum w:abstractNumId="123">
    <w:nsid w:val="3D00B9D9"/>
    <w:multiLevelType w:val="hybridMultilevel"/>
    <w:lvl w:ilvl="0">
      <w:lvlJc w:val="left"/>
      <w:lvlText w:val="(%1)"/>
      <w:numFmt w:val="lowerRoman"/>
      <w:start w:val="10"/>
    </w:lvl>
  </w:abstractNum>
  <w:abstractNum w:abstractNumId="124">
    <w:nsid w:val="15BCABA8"/>
    <w:multiLevelType w:val="hybridMultilevel"/>
    <w:lvl w:ilvl="0">
      <w:lvlJc w:val="left"/>
      <w:lvlText w:val="(%1)"/>
      <w:numFmt w:val="lowerLetter"/>
      <w:start w:val="25"/>
    </w:lvl>
  </w:abstractNum>
  <w:abstractNum w:abstractNumId="125">
    <w:nsid w:val="4E0B9A87"/>
    <w:multiLevelType w:val="hybridMultilevel"/>
    <w:lvl w:ilvl="0">
      <w:lvlJc w:val="left"/>
      <w:lvlText w:val="(%1)"/>
      <w:numFmt w:val="lowerLetter"/>
      <w:start w:val="26"/>
    </w:lvl>
  </w:abstractNum>
  <w:abstractNum w:abstractNumId="126">
    <w:nsid w:val="434BAE75"/>
    <w:multiLevelType w:val="hybridMultilevel"/>
    <w:lvl w:ilvl="0">
      <w:lvlJc w:val="left"/>
      <w:lvlText w:val="(%1)"/>
      <w:numFmt w:val="lowerLetter"/>
      <w:start w:val="27"/>
    </w:lvl>
  </w:abstractNum>
  <w:abstractNum w:abstractNumId="127">
    <w:nsid w:val="4F38F26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8">
    <w:nsid w:val="4C50287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29">
    <w:nsid w:val="1DE8725A"/>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130">
    <w:nsid w:val="6A37288A"/>
    <w:multiLevelType w:val="hybridMultilevel"/>
    <w:lvl w:ilvl="0">
      <w:lvlJc w:val="left"/>
      <w:lvlText w:val="%1"/>
      <w:numFmt w:val="lowerLetter"/>
      <w:start w:val="1"/>
    </w:lvl>
    <w:lvl w:ilvl="1">
      <w:lvlJc w:val="left"/>
      <w:lvlText w:val="(%2)"/>
      <w:numFmt w:val="lowerLetter"/>
      <w:start w:val="1"/>
    </w:lvl>
  </w:abstractNum>
  <w:abstractNum w:abstractNumId="131">
    <w:nsid w:val="8F8B73F"/>
    <w:multiLevelType w:val="hybridMultilevel"/>
    <w:lvl w:ilvl="0">
      <w:lvlJc w:val="left"/>
      <w:lvlText w:val="(%1)"/>
      <w:numFmt w:val="lowerLetter"/>
      <w:start w:val="2"/>
    </w:lvl>
    <w:lvl w:ilvl="1">
      <w:lvlJc w:val="left"/>
      <w:lvlText w:val="%2"/>
      <w:numFmt w:val="lowerLetter"/>
      <w:start w:val="1"/>
    </w:lvl>
  </w:abstractNum>
  <w:abstractNum w:abstractNumId="132">
    <w:nsid w:val="CA6B462"/>
    <w:multiLevelType w:val="hybridMultilevel"/>
    <w:lvl w:ilvl="0">
      <w:lvlJc w:val="left"/>
      <w:lvlText w:val="(%1)"/>
      <w:numFmt w:val="lowerLetter"/>
      <w:start w:val="1"/>
    </w:lvl>
  </w:abstractNum>
  <w:abstractNum w:abstractNumId="133">
    <w:nsid w:val="763CB680"/>
    <w:multiLevelType w:val="hybridMultilevel"/>
    <w:lvl w:ilvl="0">
      <w:lvlJc w:val="left"/>
      <w:lvlText w:val="(%1)"/>
      <w:numFmt w:val="lowerLetter"/>
      <w:start w:val="1"/>
    </w:lvl>
  </w:abstractNum>
  <w:abstractNum w:abstractNumId="134">
    <w:nsid w:val="15B71329"/>
    <w:multiLevelType w:val="hybridMultilevel"/>
    <w:lvl w:ilvl="0">
      <w:lvlJc w:val="left"/>
      <w:lvlText w:val="(%1)"/>
      <w:numFmt w:val="lowerLetter"/>
      <w:start w:val="8"/>
    </w:lvl>
  </w:abstractNum>
  <w:abstractNum w:abstractNumId="135">
    <w:nsid w:val="3DA97044"/>
    <w:multiLevelType w:val="hybridMultilevel"/>
    <w:lvl w:ilvl="0">
      <w:lvlJc w:val="left"/>
      <w:lvlText w:val="(%1)"/>
      <w:numFmt w:val="lowerLetter"/>
      <w:start w:val="2"/>
    </w:lvl>
  </w:abstractNum>
  <w:abstractNum w:abstractNumId="136">
    <w:nsid w:val="1CDCE2DE"/>
    <w:multiLevelType w:val="hybridMultilevel"/>
    <w:lvl w:ilvl="0">
      <w:lvlJc w:val="left"/>
      <w:lvlText w:val="(%1)"/>
      <w:numFmt w:val="lowerLetter"/>
      <w:start w:val="1"/>
    </w:lvl>
  </w:abstractNum>
  <w:abstractNum w:abstractNumId="137">
    <w:nsid w:val="69D3947C"/>
    <w:multiLevelType w:val="hybridMultilevel"/>
    <w:lvl w:ilvl="0">
      <w:lvlJc w:val="left"/>
      <w:lvlText w:val="(%1)"/>
      <w:numFmt w:val="lowerLetter"/>
      <w:start w:val="1"/>
    </w:lvl>
  </w:abstractNum>
  <w:abstractNum w:abstractNumId="138">
    <w:nsid w:val="2539DFA5"/>
    <w:multiLevelType w:val="hybridMultilevel"/>
    <w:lvl w:ilvl="0">
      <w:lvlJc w:val="left"/>
      <w:lvlText w:val="(%1)"/>
      <w:numFmt w:val="lowerLetter"/>
      <w:start w:val="9"/>
    </w:lvl>
  </w:abstractNum>
  <w:abstractNum w:abstractNumId="139">
    <w:nsid w:val="2DB88089"/>
    <w:multiLevelType w:val="hybridMultilevel"/>
    <w:lvl w:ilvl="0">
      <w:lvlJc w:val="left"/>
      <w:lvlText w:val="(%1)"/>
      <w:numFmt w:val="lowerLetter"/>
      <w:start w:val="1"/>
    </w:lvl>
    <w:lvl w:ilvl="1">
      <w:lvlJc w:val="left"/>
      <w:lvlText w:val="(%2)"/>
      <w:numFmt w:val="lowerRoman"/>
      <w:start w:val="1"/>
    </w:lvl>
  </w:abstractNum>
  <w:abstractNum w:abstractNumId="140">
    <w:nsid w:val="706B674E"/>
    <w:multiLevelType w:val="hybridMultilevel"/>
    <w:lvl w:ilvl="0">
      <w:lvlJc w:val="left"/>
      <w:lvlText w:val="%1"/>
      <w:numFmt w:val="lowerLetter"/>
      <w:start w:val="1"/>
    </w:lvl>
    <w:lvl w:ilvl="1">
      <w:lvlJc w:val="left"/>
      <w:lvlText w:val="(%2)"/>
      <w:numFmt w:val="lowerRoman"/>
      <w:start w:val="5"/>
    </w:lvl>
  </w:abstractNum>
  <w:abstractNum w:abstractNumId="141">
    <w:nsid w:val="2C106A57"/>
    <w:multiLevelType w:val="hybridMultilevel"/>
    <w:lvl w:ilvl="0">
      <w:lvlJc w:val="left"/>
      <w:lvlText w:val="(%1)"/>
      <w:numFmt w:val="lowerLetter"/>
      <w:start w:val="2"/>
    </w:lvl>
    <w:lvl w:ilvl="1">
      <w:lvlJc w:val="left"/>
      <w:lvlText w:val="%2"/>
      <w:numFmt w:val="lowerRoman"/>
      <w:start w:val="1"/>
    </w:lvl>
  </w:abstractNum>
  <w:abstractNum w:abstractNumId="142">
    <w:nsid w:val="684EED59"/>
    <w:multiLevelType w:val="hybridMultilevel"/>
    <w:lvl w:ilvl="0">
      <w:lvlJc w:val="left"/>
      <w:lvlText w:val="(%1)"/>
      <w:numFmt w:val="lowerLetter"/>
      <w:start w:val="1"/>
    </w:lvl>
    <w:lvl w:ilvl="1">
      <w:lvlJc w:val="left"/>
      <w:lvlText w:val="(%2)"/>
      <w:numFmt w:val="lowerRoman"/>
      <w:start w:val="1"/>
    </w:lvl>
  </w:abstractNum>
  <w:abstractNum w:abstractNumId="143">
    <w:nsid w:val="545EE5D3"/>
    <w:multiLevelType w:val="hybridMultilevel"/>
    <w:lvl w:ilvl="0">
      <w:lvlJc w:val="left"/>
      <w:lvlText w:val="%1"/>
      <w:numFmt w:val="lowerLetter"/>
      <w:start w:val="1"/>
    </w:lvl>
    <w:lvl w:ilvl="1">
      <w:lvlJc w:val="left"/>
      <w:lvlText w:val="(%2)"/>
      <w:numFmt w:val="lowerRoman"/>
      <w:start w:val="3"/>
    </w:lvl>
  </w:abstractNum>
  <w:abstractNum w:abstractNumId="144">
    <w:nsid w:val="4A66051"/>
    <w:multiLevelType w:val="hybridMultilevel"/>
    <w:lvl w:ilvl="0">
      <w:lvlJc w:val="left"/>
      <w:lvlText w:val="(%1)"/>
      <w:numFmt w:val="lowerLetter"/>
      <w:start w:val="2"/>
    </w:lvl>
    <w:lvl w:ilvl="1">
      <w:lvlJc w:val="left"/>
      <w:lvlText w:val="(%2)"/>
      <w:numFmt w:val="lowerRoman"/>
      <w:start w:val="1"/>
    </w:lvl>
  </w:abstractNum>
  <w:abstractNum w:abstractNumId="145">
    <w:nsid w:val="20F4BDAD"/>
    <w:multiLevelType w:val="hybridMultilevel"/>
    <w:lvl w:ilvl="0">
      <w:lvlJc w:val="left"/>
      <w:lvlText w:val="(%1)"/>
      <w:numFmt w:val="lowerRoman"/>
      <w:start w:val="5"/>
    </w:lvl>
  </w:abstractNum>
  <w:abstractNum w:abstractNumId="146">
    <w:nsid w:val="639DEFAC"/>
    <w:multiLevelType w:val="hybridMultilevel"/>
    <w:lvl w:ilvl="0">
      <w:lvlJc w:val="left"/>
      <w:lvlText w:val="(%1)"/>
      <w:numFmt w:val="lowerRoman"/>
      <w:start w:val="11"/>
    </w:lvl>
  </w:abstractNum>
  <w:abstractNum w:abstractNumId="147">
    <w:nsid w:val="501F9786"/>
    <w:multiLevelType w:val="hybridMultilevel"/>
    <w:lvl w:ilvl="0">
      <w:lvlJc w:val="left"/>
      <w:lvlText w:val="%1"/>
      <w:numFmt w:val="lowerRoman"/>
      <w:start w:val="1"/>
    </w:lvl>
    <w:lvl w:ilvl="1">
      <w:lvlJc w:val="left"/>
      <w:lvlText w:val="(%2)"/>
      <w:numFmt w:val="upperLetter"/>
      <w:start w:val="1"/>
    </w:lvl>
  </w:abstractNum>
  <w:abstractNum w:abstractNumId="148">
    <w:nsid w:val="6B057295"/>
    <w:multiLevelType w:val="hybridMultilevel"/>
    <w:lvl w:ilvl="0">
      <w:lvlJc w:val="left"/>
      <w:lvlText w:val="(%1)"/>
      <w:numFmt w:val="lowerRoman"/>
      <w:start w:val="2"/>
    </w:lvl>
    <w:lvl w:ilvl="1">
      <w:lvlJc w:val="left"/>
      <w:lvlText w:val="%2"/>
      <w:numFmt w:val="upperLetter"/>
      <w:start w:val="1"/>
    </w:lvl>
  </w:abstractNum>
  <w:abstractNum w:abstractNumId="149">
    <w:nsid w:val="2771AC80"/>
    <w:multiLevelType w:val="hybridMultilevel"/>
    <w:lvl w:ilvl="0">
      <w:lvlJc w:val="left"/>
      <w:lvlText w:val="(%1)"/>
      <w:numFmt w:val="upperLetter"/>
      <w:start w:val="2"/>
    </w:lvl>
    <w:lvl w:ilvl="1">
      <w:lvlJc w:val="left"/>
      <w:lvlText w:val="(%2)"/>
      <w:numFmt w:val="lowerRoman"/>
      <w:start w:val="14"/>
    </w:lvl>
  </w:abstractNum>
  <w:abstractNum w:abstractNumId="150">
    <w:nsid w:val="1C4A08EC"/>
    <w:multiLevelType w:val="hybridMultilevel"/>
    <w:lvl w:ilvl="0">
      <w:lvlJc w:val="left"/>
      <w:lvlText w:val="(%1)"/>
      <w:numFmt w:val="lowerRoman"/>
      <w:start w:val="15"/>
    </w:lvl>
  </w:abstractNum>
  <w:abstractNum w:abstractNumId="151">
    <w:nsid w:val="1958BD17"/>
    <w:multiLevelType w:val="hybridMultilevel"/>
    <w:lvl w:ilvl="0">
      <w:lvlJc w:val="left"/>
      <w:lvlText w:val="%1"/>
      <w:numFmt w:val="lowerLetter"/>
      <w:start w:val="1"/>
    </w:lvl>
    <w:lvl w:ilvl="1">
      <w:lvlJc w:val="left"/>
      <w:lvlText w:val="(%2)"/>
      <w:numFmt w:val="lowerRoman"/>
      <w:start w:val="19"/>
    </w:lvl>
  </w:abstractNum>
  <w:abstractNum w:abstractNumId="152">
    <w:nsid w:val="4E647FE4"/>
    <w:multiLevelType w:val="hybridMultilevel"/>
    <w:lvl w:ilvl="0">
      <w:lvlJc w:val="left"/>
      <w:lvlText w:val="(%1)"/>
      <w:numFmt w:val="lowerLetter"/>
      <w:start w:val="3"/>
    </w:lvl>
    <w:lvl w:ilvl="1">
      <w:lvlJc w:val="left"/>
      <w:lvlText w:val="%2"/>
      <w:numFmt w:val="lowerRoman"/>
      <w:start w:val="1"/>
    </w:lvl>
  </w:abstractNum>
  <w:abstractNum w:abstractNumId="153">
    <w:nsid w:val="E0BB885"/>
    <w:multiLevelType w:val="hybridMultilevel"/>
    <w:lvl w:ilvl="0">
      <w:lvlJc w:val="left"/>
      <w:lvlText w:val="(%1)"/>
      <w:numFmt w:val="lowerLetter"/>
      <w:start w:val="1"/>
    </w:lvl>
  </w:abstractNum>
  <w:abstractNum w:abstractNumId="154">
    <w:nsid w:val="565976F1"/>
    <w:multiLevelType w:val="hybridMultilevel"/>
    <w:lvl w:ilvl="0">
      <w:lvlJc w:val="left"/>
      <w:lvlText w:val="(%1)"/>
      <w:numFmt w:val="upperLetter"/>
      <w:start w:val="1"/>
    </w:lvl>
  </w:abstractNum>
  <w:abstractNum w:abstractNumId="155">
    <w:nsid w:val="64212B8C"/>
    <w:multiLevelType w:val="hybridMultilevel"/>
    <w:lvl w:ilvl="0">
      <w:lvlJc w:val="left"/>
      <w:lvlText w:val="%1"/>
      <w:numFmt w:val="lowerRoman"/>
      <w:start w:val="1"/>
    </w:lvl>
    <w:lvl w:ilvl="1">
      <w:lvlJc w:val="left"/>
      <w:lvlText w:val="(%2)"/>
      <w:numFmt w:val="lowerLetter"/>
      <w:start w:val="3"/>
    </w:lvl>
  </w:abstractNum>
  <w:abstractNum w:abstractNumId="156">
    <w:nsid w:val="5C17530C"/>
    <w:multiLevelType w:val="hybridMultilevel"/>
    <w:lvl w:ilvl="0">
      <w:lvlJc w:val="left"/>
      <w:lvlText w:val="(%1)"/>
      <w:numFmt w:val="lowerRoman"/>
      <w:start w:val="4"/>
    </w:lvl>
    <w:lvl w:ilvl="1">
      <w:lvlJc w:val="left"/>
      <w:lvlText w:val="%2"/>
      <w:numFmt w:val="lowerLetter"/>
      <w:start w:val="1"/>
    </w:lvl>
  </w:abstractNum>
  <w:abstractNum w:abstractNumId="157">
    <w:nsid w:val="19A52566"/>
    <w:multiLevelType w:val="hybridMultilevel"/>
    <w:lvl w:ilvl="0">
      <w:lvlJc w:val="left"/>
      <w:lvlText w:val="(%1)"/>
      <w:numFmt w:val="lowerLetter"/>
      <w:start w:val="5"/>
    </w:lvl>
    <w:lvl w:ilvl="1">
      <w:lvlJc w:val="left"/>
      <w:lvlText w:val="(%2)"/>
      <w:numFmt w:val="lowerLetter"/>
      <w:start w:val="9"/>
    </w:lvl>
  </w:abstractNum>
  <w:abstractNum w:abstractNumId="158">
    <w:nsid w:val="335A1DF1"/>
    <w:multiLevelType w:val="hybridMultilevel"/>
    <w:lvl w:ilvl="0">
      <w:lvlJc w:val="left"/>
      <w:lvlText w:val="%1"/>
      <w:numFmt w:val="lowerLetter"/>
      <w:start w:val="1"/>
    </w:lvl>
    <w:lvl w:ilvl="1">
      <w:lvlJc w:val="left"/>
      <w:lvlText w:val="(%2)"/>
      <w:numFmt w:val="lowerLetter"/>
      <w:start w:val="35"/>
    </w:lvl>
  </w:abstractNum>
  <w:abstractNum w:abstractNumId="159">
    <w:nsid w:val="28677B7C"/>
    <w:multiLevelType w:val="hybridMultilevel"/>
    <w:lvl w:ilvl="0">
      <w:lvlJc w:val="left"/>
      <w:lvlText w:val="(%1)"/>
      <w:numFmt w:val="lowerLetter"/>
      <w:start w:val="6"/>
    </w:lvl>
    <w:lvl w:ilvl="1">
      <w:lvlJc w:val="left"/>
      <w:lvlText w:val="(%2)"/>
      <w:numFmt w:val="lowerLetter"/>
      <w:start w:val="9"/>
    </w:lvl>
  </w:abstractNum>
  <w:abstractNum w:abstractNumId="160">
    <w:nsid w:val="378D97C0"/>
    <w:multiLevelType w:val="hybridMultilevel"/>
    <w:lvl w:ilvl="0">
      <w:lvlJc w:val="left"/>
      <w:lvlText w:val="%1"/>
      <w:numFmt w:val="lowerLetter"/>
      <w:start w:val="1"/>
    </w:lvl>
    <w:lvl w:ilvl="1">
      <w:lvlJc w:val="left"/>
      <w:lvlText w:val="(%2)"/>
      <w:numFmt w:val="lowerLetter"/>
      <w:start w:val="35"/>
    </w:lvl>
  </w:abstractNum>
  <w:abstractNum w:abstractNumId="161">
    <w:nsid w:val="1D91467C"/>
    <w:multiLevelType w:val="hybridMultilevel"/>
    <w:lvl w:ilvl="0">
      <w:lvlJc w:val="left"/>
      <w:lvlText w:val="(%1)"/>
      <w:numFmt w:val="lowerLetter"/>
      <w:start w:val="7"/>
    </w:lvl>
    <w:lvl w:ilvl="1">
      <w:lvlJc w:val="left"/>
      <w:lvlText w:val="%2"/>
      <w:numFmt w:val="lowerLetter"/>
      <w:start w:val="1"/>
    </w:lvl>
  </w:abstractNum>
  <w:abstractNum w:abstractNumId="162">
    <w:nsid w:val="316032BB"/>
    <w:multiLevelType w:val="hybridMultilevel"/>
    <w:lvl w:ilvl="0">
      <w:lvlJc w:val="left"/>
      <w:lvlText w:val="(%1)"/>
      <w:numFmt w:val="lowerLetter"/>
      <w:start w:val="8"/>
    </w:lvl>
  </w:abstractNum>
  <w:abstractNum w:abstractNumId="163">
    <w:nsid w:val="44344C22"/>
    <w:multiLevelType w:val="hybridMultilevel"/>
    <w:lvl w:ilvl="0">
      <w:lvlJc w:val="left"/>
      <w:lvlText w:val="(%1)"/>
      <w:numFmt w:val="lowerLetter"/>
      <w:start w:val="1"/>
    </w:lvl>
  </w:abstractNum>
  <w:abstractNum w:abstractNumId="164">
    <w:nsid w:val="13CDFCFC"/>
    <w:multiLevelType w:val="hybridMultilevel"/>
    <w:lvl w:ilvl="0">
      <w:lvlJc w:val="left"/>
      <w:lvlText w:val="(%1)"/>
      <w:numFmt w:val="lowerLetter"/>
      <w:start w:val="4"/>
    </w:lvl>
  </w:abstractNum>
  <w:abstractNum w:abstractNumId="165">
    <w:nsid w:val="471745E4"/>
    <w:multiLevelType w:val="hybridMultilevel"/>
    <w:lvl w:ilvl="0">
      <w:lvlJc w:val="left"/>
      <w:lvlText w:val="(%1)"/>
      <w:numFmt w:val="lowerLetter"/>
      <w:start w:val="9"/>
    </w:lvl>
  </w:abstractNum>
  <w:abstractNum w:abstractNumId="166">
    <w:nsid w:val="1DDBC66"/>
    <w:multiLevelType w:val="hybridMultilevel"/>
    <w:lvl w:ilvl="0">
      <w:lvlJc w:val="left"/>
      <w:lvlText w:val="%1"/>
      <w:numFmt w:val="upperLetter"/>
      <w:start w:val="1"/>
    </w:lvl>
    <w:lvl w:ilvl="1">
      <w:lvlJc w:val="left"/>
      <w:lvlText w:val="(%2)"/>
      <w:numFmt w:val="lowerRoman"/>
      <w:start w:val="1"/>
    </w:lvl>
  </w:abstractNum>
  <w:abstractNum w:abstractNumId="167">
    <w:nsid w:val="30AADFDA"/>
    <w:multiLevelType w:val="hybridMultilevel"/>
    <w:lvl w:ilvl="0">
      <w:lvlJc w:val="left"/>
      <w:lvlText w:val="(%1)"/>
      <w:numFmt w:val="upperLetter"/>
      <w:start w:val="3"/>
    </w:lvl>
    <w:lvl w:ilvl="1">
      <w:lvlJc w:val="left"/>
      <w:lvlText w:val="%2"/>
      <w:numFmt w:val="lowerRoman"/>
      <w:start w:val="1"/>
    </w:lvl>
  </w:abstractNum>
  <w:abstractNum w:abstractNumId="168">
    <w:nsid w:val="30EADA61"/>
    <w:multiLevelType w:val="hybridMultilevel"/>
    <w:lvl w:ilvl="0">
      <w:lvlJc w:val="left"/>
      <w:lvlText w:val="%1"/>
      <w:numFmt w:val="lowerLetter"/>
      <w:start w:val="1"/>
    </w:lvl>
    <w:lvl w:ilvl="1">
      <w:lvlJc w:val="left"/>
      <w:lvlText w:val="(%2)"/>
      <w:numFmt w:val="lowerRoman"/>
      <w:start w:val="2"/>
    </w:lvl>
  </w:abstractNum>
  <w:abstractNum w:abstractNumId="169">
    <w:nsid w:val="27179C0B"/>
    <w:multiLevelType w:val="hybridMultilevel"/>
    <w:lvl w:ilvl="0">
      <w:lvlJc w:val="left"/>
      <w:lvlText w:val="(%1)"/>
      <w:numFmt w:val="lowerLetter"/>
      <w:start w:val="12"/>
    </w:lvl>
    <w:lvl w:ilvl="1">
      <w:lvlJc w:val="left"/>
      <w:lvlText w:val="%2"/>
      <w:numFmt w:val="lowerRoman"/>
      <w:start w:val="1"/>
    </w:lvl>
  </w:abstractNum>
  <w:abstractNum w:abstractNumId="170">
    <w:nsid w:val="5E636063"/>
    <w:multiLevelType w:val="hybridMultilevel"/>
    <w:lvl w:ilvl="0">
      <w:lvlJc w:val="left"/>
      <w:lvlText w:val="(%1)"/>
      <w:numFmt w:val="lowerLetter"/>
      <w:start w:val="13"/>
    </w:lvl>
    <w:lvl w:ilvl="1">
      <w:lvlJc w:val="left"/>
      <w:lvlText w:val="(%2)"/>
      <w:numFmt w:val="lowerRoman"/>
      <w:start w:val="1"/>
    </w:lvl>
  </w:abstractNum>
  <w:abstractNum w:abstractNumId="171">
    <w:nsid w:val="215641AF"/>
    <w:multiLevelType w:val="hybridMultilevel"/>
    <w:lvl w:ilvl="0">
      <w:lvlJc w:val="left"/>
      <w:lvlText w:val="%1."/>
      <w:numFmt w:val="upperLetter"/>
      <w:start w:val="1"/>
    </w:lvl>
  </w:abstractNum>
  <w:abstractNum w:abstractNumId="172">
    <w:nsid w:val="5328066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73">
    <w:nsid w:val="46B24DBC"/>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174">
    <w:nsid w:val="75B52783"/>
    <w:multiLevelType w:val="hybridMultilevel"/>
    <w:lvl w:ilvl="0">
      <w:lvlJc w:val="left"/>
      <w:lvlText w:val="(%1)"/>
      <w:numFmt w:val="decimal"/>
      <w:start w:val="1"/>
    </w:lvl>
  </w:abstractNum>
  <w:abstractNum w:abstractNumId="175">
    <w:nsid w:val="57CE66B4"/>
    <w:multiLevelType w:val="hybridMultilevel"/>
    <w:lvl w:ilvl="0">
      <w:lvlJc w:val="left"/>
      <w:lvlText w:val="(%1)"/>
      <w:numFmt w:val="decimal"/>
      <w:start w:val="2"/>
    </w:lvl>
  </w:abstractNum>
  <w:abstractNum w:abstractNumId="176">
    <w:nsid w:val="67A70B69"/>
    <w:multiLevelType w:val="hybridMultilevel"/>
    <w:lvl w:ilvl="0">
      <w:lvlJc w:val="left"/>
      <w:lvlText w:val="(%1)"/>
      <w:numFmt w:val="decimal"/>
      <w:start w:val="3"/>
    </w:lvl>
  </w:abstractNum>
  <w:abstractNum w:abstractNumId="177">
    <w:nsid w:val="5953172F"/>
    <w:multiLevelType w:val="hybridMultilevel"/>
    <w:lvl w:ilvl="0">
      <w:lvlJc w:val="left"/>
      <w:lvlText w:val="(%1)"/>
      <w:numFmt w:val="decimal"/>
      <w:start w:val="5"/>
    </w:lvl>
  </w:abstractNum>
  <w:abstractNum w:abstractNumId="178">
    <w:nsid w:val="27EDFE3A"/>
    <w:multiLevelType w:val="hybridMultilevel"/>
    <w:lvl w:ilvl="0">
      <w:lvlJc w:val="left"/>
      <w:lvlText w:val="(%1)"/>
      <w:numFmt w:val="decimal"/>
      <w:start w:val="6"/>
    </w:lvl>
  </w:abstractNum>
  <w:abstractNum w:abstractNumId="179">
    <w:nsid w:val="52AC7DFF"/>
    <w:multiLevelType w:val="hybridMultilevel"/>
    <w:lvl w:ilvl="0">
      <w:lvlJc w:val="left"/>
      <w:lvlText w:val="(%1)"/>
      <w:numFmt w:val="decimal"/>
      <w:start w:val="7"/>
    </w:lvl>
  </w:abstractNum>
  <w:abstractNum w:abstractNumId="180">
    <w:nsid w:val="C4C3AF"/>
    <w:multiLevelType w:val="hybridMultilevel"/>
    <w:lvl w:ilvl="0">
      <w:lvlJc w:val="left"/>
      <w:lvlText w:val="(%1)"/>
      <w:numFmt w:val="lowerLetter"/>
      <w:start w:val="4"/>
    </w:lvl>
  </w:abstractNum>
  <w:abstractNum w:abstractNumId="181">
    <w:nsid w:val="44380727"/>
    <w:multiLevelType w:val="hybridMultilevel"/>
    <w:lvl w:ilvl="0">
      <w:lvlJc w:val="left"/>
      <w:lvlText w:val="(%1)"/>
      <w:numFmt w:val="lowerLetter"/>
      <w:start w:val="1"/>
    </w:lvl>
  </w:abstractNum>
  <w:abstractNum w:abstractNumId="182">
    <w:nsid w:val="6C053B16"/>
    <w:multiLevelType w:val="hybridMultilevel"/>
    <w:lvl w:ilvl="0">
      <w:lvlJc w:val="left"/>
      <w:lvlText w:val="(%1)"/>
      <w:numFmt w:val="lowerLetter"/>
      <w:start w:val="2"/>
    </w:lvl>
  </w:abstractNum>
  <w:abstractNum w:abstractNumId="183">
    <w:nsid w:val="4F294393"/>
    <w:multiLevelType w:val="hybridMultilevel"/>
    <w:lvl w:ilvl="0">
      <w:lvlJc w:val="left"/>
      <w:lvlText w:val="(%1)"/>
      <w:numFmt w:val="lowerLetter"/>
      <w:start w:val="4"/>
    </w:lvl>
  </w:abstractNum>
  <w:abstractNum w:abstractNumId="184">
    <w:nsid w:val="5243BFAC"/>
    <w:multiLevelType w:val="hybridMultilevel"/>
    <w:lvl w:ilvl="0">
      <w:lvlJc w:val="left"/>
      <w:lvlText w:val="(%1)"/>
      <w:numFmt w:val="lowerLetter"/>
      <w:start w:val="1"/>
    </w:lvl>
  </w:abstractNum>
  <w:abstractNum w:abstractNumId="185">
    <w:nsid w:val="425EB207"/>
    <w:multiLevelType w:val="hybridMultilevel"/>
    <w:lvl w:ilvl="0">
      <w:lvlJc w:val="left"/>
      <w:lvlText w:val="(%1)"/>
      <w:numFmt w:val="lowerLetter"/>
      <w:start w:val="2"/>
    </w:lvl>
  </w:abstractNum>
  <w:abstractNum w:abstractNumId="186">
    <w:nsid w:val="334A6F1F"/>
    <w:multiLevelType w:val="hybridMultilevel"/>
    <w:lvl w:ilvl="0">
      <w:lvlJc w:val="left"/>
      <w:lvlText w:val="(%1)"/>
      <w:numFmt w:val="lowerLetter"/>
      <w:start w:val="3"/>
    </w:lvl>
  </w:abstractNum>
  <w:abstractNum w:abstractNumId="187">
    <w:nsid w:val="2E5B12B8"/>
    <w:multiLevelType w:val="hybridMultilevel"/>
    <w:lvl w:ilvl="0">
      <w:lvlJc w:val="left"/>
      <w:lvlText w:val="(%1)"/>
      <w:numFmt w:val="lowerLetter"/>
      <w:start w:val="4"/>
    </w:lvl>
  </w:abstractNum>
  <w:abstractNum w:abstractNumId="188">
    <w:nsid w:val="5C03D76D"/>
    <w:multiLevelType w:val="hybridMultilevel"/>
    <w:lvl w:ilvl="0">
      <w:lvlJc w:val="left"/>
      <w:lvlText w:val="(%1)"/>
      <w:numFmt w:val="lowerLetter"/>
      <w:start w:val="5"/>
    </w:lvl>
  </w:abstractNum>
  <w:abstractNum w:abstractNumId="189">
    <w:nsid w:val="66A48D11"/>
    <w:multiLevelType w:val="hybridMultilevel"/>
    <w:lvl w:ilvl="0">
      <w:lvlJc w:val="left"/>
      <w:lvlText w:val="(%1)"/>
      <w:numFmt w:val="lowerLetter"/>
      <w:start w:val="7"/>
    </w:lvl>
  </w:abstractNum>
  <w:abstractNum w:abstractNumId="190">
    <w:nsid w:val="56C28E34"/>
    <w:multiLevelType w:val="hybridMultilevel"/>
    <w:lvl w:ilvl="0">
      <w:lvlJc w:val="left"/>
      <w:lvlText w:val="(%1)"/>
      <w:numFmt w:val="lowerLetter"/>
      <w:start w:val="8"/>
    </w:lvl>
  </w:abstractNum>
  <w:abstractNum w:abstractNumId="191">
    <w:nsid w:val="13916F2D"/>
    <w:multiLevelType w:val="hybridMultilevel"/>
    <w:lvl w:ilvl="0">
      <w:lvlJc w:val="left"/>
      <w:lvlText w:val="(%1)"/>
      <w:numFmt w:val="lowerLetter"/>
      <w:start w:val="10"/>
    </w:lvl>
  </w:abstractNum>
  <w:abstractNum w:abstractNumId="192">
    <w:nsid w:val="435D38D"/>
    <w:multiLevelType w:val="hybridMultilevel"/>
    <w:lvl w:ilvl="0">
      <w:lvlJc w:val="left"/>
      <w:lvlText w:val="(%1)"/>
      <w:numFmt w:val="lowerLetter"/>
      <w:start w:val="11"/>
    </w:lvl>
  </w:abstractNum>
  <w:abstractNum w:abstractNumId="193">
    <w:nsid w:val="822C0EF"/>
    <w:multiLevelType w:val="hybridMultilevel"/>
    <w:lvl w:ilvl="0">
      <w:lvlJc w:val="left"/>
      <w:lvlText w:val="(%1)"/>
      <w:numFmt w:val="lowerLetter"/>
      <w:start w:val="12"/>
    </w:lvl>
  </w:abstractNum>
  <w:abstractNum w:abstractNumId="194">
    <w:nsid w:val="57C5BB4F"/>
    <w:multiLevelType w:val="hybridMultilevel"/>
    <w:lvl w:ilvl="0">
      <w:lvlJc w:val="left"/>
      <w:lvlText w:val="(%1)"/>
      <w:numFmt w:val="lowerLetter"/>
      <w:start w:val="14"/>
    </w:lvl>
  </w:abstractNum>
  <w:abstractNum w:abstractNumId="195">
    <w:nsid w:val="1803D089"/>
    <w:multiLevelType w:val="hybridMultilevel"/>
    <w:lvl w:ilvl="0">
      <w:lvlJc w:val="left"/>
      <w:lvlText w:val="(%1)"/>
      <w:numFmt w:val="lowerLetter"/>
      <w:start w:val="20"/>
    </w:lvl>
  </w:abstractNum>
  <w:abstractNum w:abstractNumId="196">
    <w:nsid w:val="4F3A06D4"/>
    <w:multiLevelType w:val="hybridMultilevel"/>
    <w:lvl w:ilvl="0">
      <w:lvlJc w:val="left"/>
      <w:lvlText w:val="(%1)"/>
      <w:numFmt w:val="lowerLetter"/>
      <w:start w:val="21"/>
    </w:lvl>
  </w:abstractNum>
  <w:abstractNum w:abstractNumId="197">
    <w:nsid w:val="59A377B6"/>
    <w:multiLevelType w:val="hybridMultilevel"/>
    <w:lvl w:ilvl="0">
      <w:lvlJc w:val="left"/>
      <w:lvlText w:val="(%1)"/>
      <w:numFmt w:val="lowerLetter"/>
      <w:start w:val="22"/>
    </w:lvl>
  </w:abstractNum>
  <w:abstractNum w:abstractNumId="198">
    <w:nsid w:val="48AEB063"/>
    <w:multiLevelType w:val="hybridMultilevel"/>
    <w:lvl w:ilvl="0">
      <w:lvlJc w:val="left"/>
      <w:lvlText w:val="(%1)"/>
      <w:numFmt w:val="lowerRoman"/>
      <w:start w:val="10"/>
    </w:lvl>
  </w:abstractNum>
  <w:abstractNum w:abstractNumId="199">
    <w:nsid w:val="24E135"/>
    <w:multiLevelType w:val="hybridMultilevel"/>
    <w:lvl w:ilvl="0">
      <w:lvlJc w:val="left"/>
      <w:lvlText w:val="(%1)"/>
      <w:numFmt w:val="lowerLetter"/>
      <w:start w:val="25"/>
    </w:lvl>
  </w:abstractNum>
  <w:abstractNum w:abstractNumId="200">
    <w:nsid w:val="BB13C1"/>
    <w:multiLevelType w:val="hybridMultilevel"/>
    <w:lvl w:ilvl="0">
      <w:lvlJc w:val="left"/>
      <w:lvlText w:val="(%1)"/>
      <w:numFmt w:val="lowerLetter"/>
      <w:start w:val="26"/>
    </w:lvl>
  </w:abstractNum>
  <w:abstractNum w:abstractNumId="201">
    <w:nsid w:val="271210C7"/>
    <w:multiLevelType w:val="hybridMultilevel"/>
    <w:lvl w:ilvl="0">
      <w:lvlJc w:val="left"/>
      <w:lvlText w:val="(%1)"/>
      <w:numFmt w:val="lowerLetter"/>
      <w:start w:val="27"/>
    </w:lvl>
  </w:abstractNum>
  <w:abstractNum w:abstractNumId="202">
    <w:nsid w:val="217B22E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03">
    <w:nsid w:val="53E31A2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04">
    <w:nsid w:val="6DC45E83"/>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05">
    <w:nsid w:val="17304A67"/>
    <w:multiLevelType w:val="hybridMultilevel"/>
    <w:lvl w:ilvl="0">
      <w:lvlJc w:val="left"/>
      <w:lvlText w:val="(%1)"/>
      <w:numFmt w:val="lowerLetter"/>
      <w:start w:val="1"/>
    </w:lvl>
  </w:abstractNum>
  <w:abstractNum w:abstractNumId="206">
    <w:nsid w:val="2BB180D8"/>
    <w:multiLevelType w:val="hybridMultilevel"/>
    <w:lvl w:ilvl="0">
      <w:lvlJc w:val="left"/>
      <w:lvlText w:val="(%1)"/>
      <w:numFmt w:val="lowerLetter"/>
      <w:start w:val="2"/>
    </w:lvl>
  </w:abstractNum>
  <w:abstractNum w:abstractNumId="207">
    <w:nsid w:val="556B69ED"/>
    <w:multiLevelType w:val="hybridMultilevel"/>
    <w:lvl w:ilvl="0">
      <w:lvlJc w:val="left"/>
      <w:lvlText w:val="(%1)"/>
      <w:numFmt w:val="lowerLetter"/>
      <w:start w:val="1"/>
    </w:lvl>
  </w:abstractNum>
  <w:abstractNum w:abstractNumId="208">
    <w:nsid w:val="70836196"/>
    <w:multiLevelType w:val="hybridMultilevel"/>
    <w:lvl w:ilvl="0">
      <w:lvlJc w:val="left"/>
      <w:lvlText w:val="(%1)"/>
      <w:numFmt w:val="lowerLetter"/>
      <w:start w:val="1"/>
    </w:lvl>
  </w:abstractNum>
  <w:abstractNum w:abstractNumId="209">
    <w:nsid w:val="539F7F12"/>
    <w:multiLevelType w:val="hybridMultilevel"/>
    <w:lvl w:ilvl="0">
      <w:lvlJc w:val="left"/>
      <w:lvlText w:val="(%1)"/>
      <w:numFmt w:val="upperLetter"/>
      <w:start w:val="6"/>
    </w:lvl>
  </w:abstractNum>
  <w:abstractNum w:abstractNumId="210">
    <w:nsid w:val="2817E7EC"/>
    <w:multiLevelType w:val="hybridMultilevel"/>
    <w:lvl w:ilvl="0">
      <w:lvlJc w:val="left"/>
      <w:lvlText w:val="(%1)"/>
      <w:numFmt w:val="lowerLetter"/>
      <w:start w:val="2"/>
    </w:lvl>
  </w:abstractNum>
  <w:abstractNum w:abstractNumId="211">
    <w:nsid w:val="71482545"/>
    <w:multiLevelType w:val="hybridMultilevel"/>
    <w:lvl w:ilvl="0">
      <w:lvlJc w:val="left"/>
      <w:lvlText w:val="(%1)"/>
      <w:numFmt w:val="lowerLetter"/>
      <w:start w:val="1"/>
    </w:lvl>
  </w:abstractNum>
  <w:abstractNum w:abstractNumId="212">
    <w:nsid w:val="17D78639"/>
    <w:multiLevelType w:val="hybridMultilevel"/>
    <w:lvl w:ilvl="0">
      <w:lvlJc w:val="left"/>
      <w:lvlText w:val="(%1)"/>
      <w:numFmt w:val="lowerLetter"/>
      <w:start w:val="1"/>
    </w:lvl>
  </w:abstractNum>
  <w:abstractNum w:abstractNumId="213">
    <w:nsid w:val="141D2302"/>
    <w:multiLevelType w:val="hybridMultilevel"/>
    <w:lvl w:ilvl="0">
      <w:lvlJc w:val="left"/>
      <w:lvlText w:val="(%1)"/>
      <w:numFmt w:val="lowerLetter"/>
      <w:start w:val="2"/>
    </w:lvl>
  </w:abstractNum>
  <w:abstractNum w:abstractNumId="214">
    <w:nsid w:val="407168D8"/>
    <w:multiLevelType w:val="hybridMultilevel"/>
    <w:lvl w:ilvl="0">
      <w:lvlJc w:val="left"/>
      <w:lvlText w:val="(%1)"/>
      <w:numFmt w:val="lowerLetter"/>
      <w:start w:val="13"/>
    </w:lvl>
  </w:abstractNum>
  <w:abstractNum w:abstractNumId="215">
    <w:nsid w:val="6A1B45E5"/>
    <w:multiLevelType w:val="hybridMultilevel"/>
    <w:lvl w:ilvl="0">
      <w:lvlJc w:val="left"/>
      <w:lvlText w:val="(%1)"/>
      <w:numFmt w:val="lowerLetter"/>
      <w:start w:val="1"/>
    </w:lvl>
    <w:lvl w:ilvl="1">
      <w:lvlJc w:val="left"/>
      <w:lvlText w:val="(%2)"/>
      <w:numFmt w:val="lowerRoman"/>
      <w:start w:val="1"/>
    </w:lvl>
  </w:abstractNum>
  <w:abstractNum w:abstractNumId="216">
    <w:nsid w:val="567BD50A"/>
    <w:multiLevelType w:val="hybridMultilevel"/>
    <w:lvl w:ilvl="0">
      <w:lvlJc w:val="left"/>
      <w:lvlText w:val="%1"/>
      <w:numFmt w:val="lowerLetter"/>
      <w:start w:val="1"/>
    </w:lvl>
    <w:lvl w:ilvl="1">
      <w:lvlJc w:val="left"/>
      <w:lvlText w:val="(%2)"/>
      <w:numFmt w:val="lowerRoman"/>
      <w:start w:val="5"/>
    </w:lvl>
  </w:abstractNum>
  <w:abstractNum w:abstractNumId="217">
    <w:nsid w:val="73BBD7F8"/>
    <w:multiLevelType w:val="hybridMultilevel"/>
    <w:lvl w:ilvl="0">
      <w:lvlJc w:val="left"/>
      <w:lvlText w:val="(%1)"/>
      <w:numFmt w:val="lowerLetter"/>
      <w:start w:val="2"/>
    </w:lvl>
    <w:lvl w:ilvl="1">
      <w:lvlJc w:val="left"/>
      <w:lvlText w:val="%2"/>
      <w:numFmt w:val="lowerRoman"/>
      <w:start w:val="1"/>
    </w:lvl>
  </w:abstractNum>
  <w:abstractNum w:abstractNumId="218">
    <w:nsid w:val="1876589D"/>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219">
    <w:nsid w:val="327FAC7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220">
    <w:nsid w:val="5A606509"/>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21">
    <w:nsid w:val="6F38E6D1"/>
    <w:multiLevelType w:val="hybridMultilevel"/>
    <w:lvl w:ilvl="0">
      <w:lvlJc w:val="left"/>
      <w:lvlText w:val="%1"/>
      <w:numFmt w:val="decimal"/>
      <w:start w:val="1"/>
    </w:lvl>
    <w:lvl w:ilvl="1">
      <w:lvlJc w:val="left"/>
      <w:lvlText w:val="(%2)"/>
      <w:numFmt w:val="lowerRoman"/>
      <w:start w:val="2"/>
    </w:lvl>
  </w:abstractNum>
  <w:abstractNum w:abstractNumId="222">
    <w:nsid w:val="46111BA5"/>
    <w:multiLevelType w:val="hybridMultilevel"/>
    <w:lvl w:ilvl="0">
      <w:lvlJc w:val="left"/>
      <w:lvlText w:val="(%1)"/>
      <w:numFmt w:val="decimal"/>
      <w:start w:val="5"/>
    </w:lvl>
    <w:lvl w:ilvl="1">
      <w:lvlJc w:val="left"/>
      <w:lvlText w:val="(%2)"/>
      <w:numFmt w:val="lowerRoman"/>
      <w:start w:val="5"/>
    </w:lvl>
  </w:abstractNum>
  <w:abstractNum w:abstractNumId="223">
    <w:nsid w:val="5E963896"/>
    <w:multiLevelType w:val="hybridMultilevel"/>
    <w:lvl w:ilvl="0">
      <w:lvlJc w:val="left"/>
      <w:lvlText w:val="(%1)"/>
      <w:numFmt w:val="lowerRoman"/>
      <w:start w:val="8"/>
    </w:lvl>
  </w:abstractNum>
  <w:abstractNum w:abstractNumId="224">
    <w:nsid w:val="775BA7C1"/>
    <w:multiLevelType w:val="hybridMultilevel"/>
    <w:lvl w:ilvl="0">
      <w:lvlJc w:val="left"/>
      <w:lvlText w:val="%1"/>
      <w:numFmt w:val="decimal"/>
      <w:start w:val="1"/>
    </w:lvl>
    <w:lvl w:ilvl="1">
      <w:lvlJc w:val="left"/>
      <w:lvlText w:val="(%2)"/>
      <w:numFmt w:val="lowerRoman"/>
      <w:start w:val="13"/>
    </w:lvl>
    <w:lvl w:ilvl="2">
      <w:lvlJc w:val="left"/>
      <w:lvlText w:val="(%3)"/>
      <w:numFmt w:val="upperLetter"/>
      <w:start w:val="1"/>
    </w:lvl>
  </w:abstractNum>
  <w:abstractNum w:abstractNumId="225">
    <w:nsid w:val="1DD6D6F4"/>
    <w:multiLevelType w:val="hybridMultilevel"/>
    <w:lvl w:ilvl="0">
      <w:lvlJc w:val="left"/>
      <w:lvlText w:val="(%1)"/>
      <w:numFmt w:val="decimal"/>
      <w:start w:val="20"/>
    </w:lvl>
    <w:lvl w:ilvl="1">
      <w:lvlJc w:val="left"/>
      <w:lvlText w:val="%2"/>
      <w:numFmt w:val="lowerRoman"/>
      <w:start w:val="1"/>
    </w:lvl>
    <w:lvl w:ilvl="2">
      <w:lvlJc w:val="left"/>
      <w:lvlText w:val="%3"/>
      <w:numFmt w:val="upperLetter"/>
      <w:start w:val="1"/>
    </w:lvl>
  </w:abstractNum>
  <w:abstractNum w:abstractNumId="226">
    <w:nsid w:val="769A091F"/>
    <w:multiLevelType w:val="hybridMultilevel"/>
    <w:lvl w:ilvl="0">
      <w:lvlJc w:val="left"/>
      <w:lvlText w:val="(%1)"/>
      <w:numFmt w:val="lowerRoman"/>
      <w:start w:val="15"/>
    </w:lvl>
  </w:abstractNum>
  <w:abstractNum w:abstractNumId="227">
    <w:nsid w:val="4695AE95"/>
    <w:multiLevelType w:val="hybridMultilevel"/>
    <w:lvl w:ilvl="0">
      <w:lvlJc w:val="left"/>
      <w:lvlText w:val="(%1)"/>
      <w:numFmt w:val="upperLetter"/>
      <w:start w:val="3"/>
    </w:lvl>
    <w:lvl w:ilvl="1">
      <w:lvlJc w:val="left"/>
      <w:lvlText w:val="(%2)"/>
      <w:numFmt w:val="lowerRoman"/>
      <w:start w:val="19"/>
    </w:lvl>
  </w:abstractNum>
  <w:abstractNum w:abstractNumId="228">
    <w:nsid w:val="777A4EAA"/>
    <w:multiLevelType w:val="hybridMultilevel"/>
    <w:lvl w:ilvl="0">
      <w:lvlJc w:val="left"/>
      <w:lvlText w:val="(%1)"/>
      <w:numFmt w:val="lowerLetter"/>
      <w:start w:val="3"/>
    </w:lvl>
  </w:abstractNum>
  <w:abstractNum w:abstractNumId="229">
    <w:nsid w:val="3F48B982"/>
    <w:multiLevelType w:val="hybridMultilevel"/>
    <w:lvl w:ilvl="0">
      <w:lvlJc w:val="left"/>
      <w:lvlText w:val="(%1)"/>
      <w:numFmt w:val="lowerLetter"/>
      <w:start w:val="4"/>
    </w:lvl>
  </w:abstractNum>
  <w:abstractNum w:abstractNumId="230">
    <w:nsid w:val="46BA8FCA"/>
    <w:multiLevelType w:val="hybridMultilevel"/>
    <w:lvl w:ilvl="0">
      <w:lvlJc w:val="left"/>
      <w:lvlText w:val="%1"/>
      <w:numFmt w:val="upperLetter"/>
      <w:start w:val="1"/>
    </w:lvl>
    <w:lvl w:ilvl="1">
      <w:lvlJc w:val="left"/>
      <w:lvlText w:val="(%2)"/>
      <w:numFmt w:val="lowerLetter"/>
      <w:start w:val="1"/>
    </w:lvl>
  </w:abstractNum>
  <w:abstractNum w:abstractNumId="231">
    <w:nsid w:val="7835626C"/>
    <w:multiLevelType w:val="hybridMultilevel"/>
    <w:lvl w:ilvl="0">
      <w:lvlJc w:val="left"/>
      <w:lvlText w:val="(%1)"/>
      <w:numFmt w:val="upperLetter"/>
      <w:start w:val="1"/>
    </w:lvl>
    <w:lvl w:ilvl="1">
      <w:lvlJc w:val="left"/>
      <w:lvlText w:val="%2"/>
      <w:numFmt w:val="lowerLetter"/>
      <w:start w:val="1"/>
    </w:lvl>
  </w:abstractNum>
  <w:abstractNum w:abstractNumId="232">
    <w:nsid w:val="665ACA49"/>
    <w:multiLevelType w:val="hybridMultilevel"/>
    <w:lvl w:ilvl="0">
      <w:lvlJc w:val="left"/>
      <w:lvlText w:val="(%1)"/>
      <w:numFmt w:val="lowerLetter"/>
      <w:start w:val="2"/>
    </w:lvl>
  </w:abstractNum>
  <w:abstractNum w:abstractNumId="233">
    <w:nsid w:val="6835B2AE"/>
    <w:multiLevelType w:val="hybridMultilevel"/>
    <w:lvl w:ilvl="0">
      <w:lvlJc w:val="left"/>
      <w:lvlText w:val="(%1)"/>
      <w:numFmt w:val="lowerLetter"/>
      <w:start w:val="4"/>
    </w:lvl>
  </w:abstractNum>
  <w:abstractNum w:abstractNumId="234">
    <w:nsid w:val="4C187C90"/>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35">
    <w:nsid w:val="541F28CD"/>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36">
    <w:nsid w:val="7F65FD16"/>
    <w:multiLevelType w:val="hybridMultilevel"/>
    <w:lvl w:ilvl="0">
      <w:lvlJc w:val="left"/>
      <w:lvlText w:val="(%1)"/>
      <w:numFmt w:val="lowerLetter"/>
      <w:start w:val="1"/>
    </w:lvl>
  </w:abstractNum>
  <w:abstractNum w:abstractNumId="237">
    <w:nsid w:val="77C9FD68"/>
    <w:multiLevelType w:val="hybridMultilevel"/>
    <w:lvl w:ilvl="0">
      <w:lvlJc w:val="left"/>
      <w:lvlText w:val="(%1)"/>
      <w:numFmt w:val="lowerLetter"/>
      <w:start w:val="5"/>
    </w:lvl>
  </w:abstractNum>
  <w:abstractNum w:abstractNumId="238">
    <w:nsid w:val="298A92BA"/>
    <w:multiLevelType w:val="hybridMultilevel"/>
    <w:lvl w:ilvl="0">
      <w:lvlJc w:val="left"/>
      <w:lvlText w:val="(%1)"/>
      <w:numFmt w:val="lowerLetter"/>
      <w:start w:val="9"/>
    </w:lvl>
    <w:lvl w:ilvl="1">
      <w:lvlJc w:val="left"/>
      <w:lvlText w:val="(%2)"/>
      <w:numFmt w:val="lowerLetter"/>
      <w:start w:val="9"/>
    </w:lvl>
  </w:abstractNum>
  <w:abstractNum w:abstractNumId="239">
    <w:nsid w:val="6FE95EAC"/>
    <w:multiLevelType w:val="hybridMultilevel"/>
    <w:lvl w:ilvl="0">
      <w:lvlJc w:val="left"/>
      <w:lvlText w:val="(%1)"/>
      <w:numFmt w:val="lowerRoman"/>
      <w:start w:val="2"/>
    </w:lvl>
  </w:abstractNum>
  <w:abstractNum w:abstractNumId="240">
    <w:nsid w:val="4B697C7A"/>
    <w:multiLevelType w:val="hybridMultilevel"/>
    <w:lvl w:ilvl="0">
      <w:lvlJc w:val="left"/>
      <w:lvlText w:val="(%1)"/>
      <w:numFmt w:val="lowerLetter"/>
      <w:start w:val="12"/>
    </w:lvl>
    <w:lvl w:ilvl="1">
      <w:lvlJc w:val="left"/>
      <w:lvlText w:val="(%2)"/>
      <w:numFmt w:val="lowerRoman"/>
      <w:start w:val="1"/>
    </w:lvl>
  </w:abstractNum>
  <w:abstractNum w:abstractNumId="241">
    <w:nsid w:val="51A27AA6"/>
    <w:multiLevelType w:val="hybridMultilevel"/>
    <w:lvl w:ilvl="0">
      <w:lvlJc w:val="left"/>
      <w:lvlText w:val="(%1)"/>
      <w:numFmt w:val="lowerRoman"/>
      <w:start w:val="3"/>
    </w:lvl>
  </w:abstractNum>
  <w:abstractNum w:abstractNumId="242">
    <w:nsid w:val="613183F2"/>
    <w:multiLevelType w:val="hybridMultilevel"/>
    <w:lvl w:ilvl="0">
      <w:lvlJc w:val="left"/>
      <w:lvlText w:val="%1."/>
      <w:numFmt w:val="upperLetter"/>
      <w:start w:val="1"/>
    </w:lvl>
  </w:abstractNum>
  <w:abstractNum w:abstractNumId="243">
    <w:nsid w:val="634102B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44">
    <w:nsid w:val="65BF9DA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45">
    <w:nsid w:val="21A2ECCA"/>
    <w:multiLevelType w:val="hybridMultilevel"/>
    <w:lvl w:ilvl="0">
      <w:lvlJc w:val="left"/>
      <w:lvlText w:val="(%1)"/>
      <w:numFmt w:val="decimal"/>
      <w:start w:val="1"/>
    </w:lvl>
  </w:abstractNum>
  <w:abstractNum w:abstractNumId="246">
    <w:nsid w:val="4D5C4899"/>
    <w:multiLevelType w:val="hybridMultilevel"/>
    <w:lvl w:ilvl="0">
      <w:lvlJc w:val="left"/>
      <w:lvlText w:val="(%1)"/>
      <w:numFmt w:val="decimal"/>
      <w:start w:val="2"/>
    </w:lvl>
  </w:abstractNum>
  <w:abstractNum w:abstractNumId="247">
    <w:nsid w:val="3C3B72B2"/>
    <w:multiLevelType w:val="hybridMultilevel"/>
    <w:lvl w:ilvl="0">
      <w:lvlJc w:val="left"/>
      <w:lvlText w:val="(%1)"/>
      <w:numFmt w:val="decimal"/>
      <w:start w:val="3"/>
    </w:lvl>
  </w:abstractNum>
  <w:abstractNum w:abstractNumId="248">
    <w:nsid w:val="155EC4C2"/>
    <w:multiLevelType w:val="hybridMultilevel"/>
    <w:lvl w:ilvl="0">
      <w:lvlJc w:val="left"/>
      <w:lvlText w:val="(%1)"/>
      <w:numFmt w:val="decimal"/>
      <w:start w:val="5"/>
    </w:lvl>
  </w:abstractNum>
  <w:abstractNum w:abstractNumId="249">
    <w:nsid w:val="65D2A137"/>
    <w:multiLevelType w:val="hybridMultilevel"/>
    <w:lvl w:ilvl="0">
      <w:lvlJc w:val="left"/>
      <w:lvlText w:val="(%1)"/>
      <w:numFmt w:val="decimal"/>
      <w:start w:val="6"/>
    </w:lvl>
  </w:abstractNum>
  <w:abstractNum w:abstractNumId="250">
    <w:nsid w:val="6EBB1F2A"/>
    <w:multiLevelType w:val="hybridMultilevel"/>
    <w:lvl w:ilvl="0">
      <w:lvlJc w:val="left"/>
      <w:lvlText w:val="(%1)"/>
      <w:numFmt w:val="decimal"/>
      <w:start w:val="7"/>
    </w:lvl>
  </w:abstractNum>
  <w:abstractNum w:abstractNumId="251">
    <w:nsid w:val="6FBF29CB"/>
    <w:multiLevelType w:val="hybridMultilevel"/>
    <w:lvl w:ilvl="0">
      <w:lvlJc w:val="left"/>
      <w:lvlText w:val="(%1)"/>
      <w:numFmt w:val="lowerLetter"/>
      <w:start w:val="4"/>
    </w:lvl>
  </w:abstractNum>
  <w:abstractNum w:abstractNumId="252">
    <w:nsid w:val="550B880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253">
    <w:nsid w:val="34CC3ACF"/>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54">
    <w:nsid w:val="4E556261"/>
    <w:multiLevelType w:val="hybridMultilevel"/>
    <w:lvl w:ilvl="0">
      <w:lvlJc w:val="left"/>
      <w:lvlText w:val="(%1)"/>
      <w:numFmt w:val="lowerLetter"/>
      <w:start w:val="1"/>
    </w:lvl>
  </w:abstractNum>
  <w:abstractNum w:abstractNumId="255">
    <w:nsid w:val="4C672FC9"/>
    <w:multiLevelType w:val="hybridMultilevel"/>
    <w:lvl w:ilvl="0">
      <w:lvlJc w:val="left"/>
      <w:lvlText w:val="(%1)"/>
      <w:numFmt w:val="lowerLetter"/>
      <w:start w:val="2"/>
    </w:lvl>
  </w:abstractNum>
  <w:abstractNum w:abstractNumId="256">
    <w:nsid w:val="52A311C3"/>
    <w:multiLevelType w:val="hybridMultilevel"/>
    <w:lvl w:ilvl="0">
      <w:lvlJc w:val="left"/>
      <w:lvlText w:val="(%1)"/>
      <w:numFmt w:val="lowerLetter"/>
      <w:start w:val="3"/>
    </w:lvl>
  </w:abstractNum>
  <w:abstractNum w:abstractNumId="257">
    <w:nsid w:val="44EF6B80"/>
    <w:multiLevelType w:val="hybridMultilevel"/>
    <w:lvl w:ilvl="0">
      <w:lvlJc w:val="left"/>
      <w:lvlText w:val="(%1)"/>
      <w:numFmt w:val="lowerLetter"/>
      <w:start w:val="4"/>
    </w:lvl>
  </w:abstractNum>
  <w:abstractNum w:abstractNumId="258">
    <w:nsid w:val="12FCDE5E"/>
    <w:multiLevelType w:val="hybridMultilevel"/>
    <w:lvl w:ilvl="0">
      <w:lvlJc w:val="left"/>
      <w:lvlText w:val="(%1)"/>
      <w:numFmt w:val="lowerLetter"/>
      <w:start w:val="5"/>
    </w:lvl>
  </w:abstractNum>
  <w:abstractNum w:abstractNumId="259">
    <w:nsid w:val="4A1D606E"/>
    <w:multiLevelType w:val="hybridMultilevel"/>
    <w:lvl w:ilvl="0">
      <w:lvlJc w:val="left"/>
      <w:lvlText w:val="(%1)"/>
      <w:numFmt w:val="lowerLetter"/>
      <w:start w:val="7"/>
    </w:lvl>
  </w:abstractNum>
  <w:abstractNum w:abstractNumId="260">
    <w:nsid w:val="4382503"/>
    <w:multiLevelType w:val="hybridMultilevel"/>
    <w:lvl w:ilvl="0">
      <w:lvlJc w:val="left"/>
      <w:lvlText w:val="(%1)"/>
      <w:numFmt w:val="lowerRoman"/>
      <w:start w:val="1"/>
    </w:lvl>
  </w:abstractNum>
  <w:abstractNum w:abstractNumId="261">
    <w:nsid w:val="59B76E28"/>
    <w:multiLevelType w:val="hybridMultilevel"/>
    <w:lvl w:ilvl="0">
      <w:lvlJc w:val="left"/>
      <w:lvlText w:val="(%1)"/>
      <w:numFmt w:val="lowerLetter"/>
      <w:start w:val="10"/>
    </w:lvl>
  </w:abstractNum>
  <w:abstractNum w:abstractNumId="262">
    <w:nsid w:val="4252C2DA"/>
    <w:multiLevelType w:val="hybridMultilevel"/>
    <w:lvl w:ilvl="0">
      <w:lvlJc w:val="left"/>
      <w:lvlText w:val="(%1)"/>
      <w:numFmt w:val="lowerLetter"/>
      <w:start w:val="11"/>
    </w:lvl>
  </w:abstractNum>
  <w:abstractNum w:abstractNumId="263">
    <w:nsid w:val="6A92EF4C"/>
    <w:multiLevelType w:val="hybridMultilevel"/>
    <w:lvl w:ilvl="0">
      <w:lvlJc w:val="left"/>
      <w:lvlText w:val="(%1)"/>
      <w:numFmt w:val="lowerLetter"/>
      <w:start w:val="13"/>
    </w:lvl>
  </w:abstractNum>
  <w:abstractNum w:abstractNumId="264">
    <w:nsid w:val="41ED20D7"/>
    <w:multiLevelType w:val="hybridMultilevel"/>
    <w:lvl w:ilvl="0">
      <w:lvlJc w:val="left"/>
      <w:lvlText w:val="(%1)"/>
      <w:numFmt w:val="lowerLetter"/>
      <w:start w:val="14"/>
    </w:lvl>
  </w:abstractNum>
  <w:abstractNum w:abstractNumId="265">
    <w:nsid w:val="E6B3F6A"/>
    <w:multiLevelType w:val="hybridMultilevel"/>
    <w:lvl w:ilvl="0">
      <w:lvlJc w:val="left"/>
      <w:lvlText w:val="(%1)"/>
      <w:numFmt w:val="lowerLetter"/>
      <w:start w:val="15"/>
    </w:lvl>
  </w:abstractNum>
  <w:abstractNum w:abstractNumId="266">
    <w:nsid w:val="3EB21819"/>
    <w:multiLevelType w:val="hybridMultilevel"/>
    <w:lvl w:ilvl="0">
      <w:lvlJc w:val="left"/>
      <w:lvlText w:val="(%1)"/>
      <w:numFmt w:val="lowerLetter"/>
      <w:start w:val="18"/>
    </w:lvl>
  </w:abstractNum>
  <w:abstractNum w:abstractNumId="267">
    <w:nsid w:val="41531DED"/>
    <w:multiLevelType w:val="hybridMultilevel"/>
    <w:lvl w:ilvl="0">
      <w:lvlJc w:val="left"/>
      <w:lvlText w:val="(%1)"/>
      <w:numFmt w:val="lowerLetter"/>
      <w:start w:val="20"/>
    </w:lvl>
  </w:abstractNum>
  <w:abstractNum w:abstractNumId="268">
    <w:nsid w:val="6353CD2"/>
    <w:multiLevelType w:val="hybridMultilevel"/>
    <w:lvl w:ilvl="0">
      <w:lvlJc w:val="left"/>
      <w:lvlText w:val="(%1)"/>
      <w:numFmt w:val="lowerLetter"/>
      <w:start w:val="21"/>
    </w:lvl>
  </w:abstractNum>
  <w:abstractNum w:abstractNumId="269">
    <w:nsid w:val="683CAAD3"/>
    <w:multiLevelType w:val="hybridMultilevel"/>
    <w:lvl w:ilvl="0">
      <w:lvlJc w:val="left"/>
      <w:lvlText w:val="(%1)"/>
      <w:numFmt w:val="lowerLetter"/>
      <w:start w:val="22"/>
    </w:lvl>
  </w:abstractNum>
  <w:abstractNum w:abstractNumId="270">
    <w:nsid w:val="313C7C99"/>
    <w:multiLevelType w:val="hybridMultilevel"/>
    <w:lvl w:ilvl="0">
      <w:lvlJc w:val="left"/>
      <w:lvlText w:val="(%1)"/>
      <w:numFmt w:val="lowerRoman"/>
      <w:start w:val="10"/>
    </w:lvl>
  </w:abstractNum>
  <w:abstractNum w:abstractNumId="271">
    <w:nsid w:val="519EB94C"/>
    <w:multiLevelType w:val="hybridMultilevel"/>
    <w:lvl w:ilvl="0">
      <w:lvlJc w:val="left"/>
      <w:lvlText w:val="(%1)"/>
      <w:numFmt w:val="lowerLetter"/>
      <w:start w:val="25"/>
    </w:lvl>
  </w:abstractNum>
  <w:abstractNum w:abstractNumId="272">
    <w:nsid w:val="39DF2579"/>
    <w:multiLevelType w:val="hybridMultilevel"/>
    <w:lvl w:ilvl="0">
      <w:lvlJc w:val="left"/>
      <w:lvlText w:val="(%1)"/>
      <w:numFmt w:val="lowerLetter"/>
      <w:start w:val="26"/>
    </w:lvl>
  </w:abstractNum>
  <w:abstractNum w:abstractNumId="273">
    <w:nsid w:val="126E008B"/>
    <w:multiLevelType w:val="hybridMultilevel"/>
    <w:lvl w:ilvl="0">
      <w:lvlJc w:val="left"/>
      <w:lvlText w:val="(%1)"/>
      <w:numFmt w:val="lowerLetter"/>
      <w:start w:val="27"/>
    </w:lvl>
  </w:abstractNum>
  <w:abstractNum w:abstractNumId="274">
    <w:nsid w:val="34DFBC0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75">
    <w:nsid w:val="1F9EC32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76">
    <w:nsid w:val="3410ED56"/>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77">
    <w:nsid w:val="23C049A"/>
    <w:multiLevelType w:val="hybridMultilevel"/>
    <w:lvl w:ilvl="0">
      <w:lvlJc w:val="left"/>
      <w:lvlText w:val="(%1)"/>
      <w:numFmt w:val="lowerLetter"/>
      <w:start w:val="1"/>
    </w:lvl>
  </w:abstractNum>
  <w:abstractNum w:abstractNumId="278">
    <w:nsid w:val="5BDA35D4"/>
    <w:multiLevelType w:val="hybridMultilevel"/>
    <w:lvl w:ilvl="0">
      <w:lvlJc w:val="left"/>
      <w:lvlText w:val="(%1)"/>
      <w:numFmt w:val="lowerLetter"/>
      <w:start w:val="2"/>
    </w:lvl>
  </w:abstractNum>
  <w:abstractNum w:abstractNumId="279">
    <w:nsid w:val="496FB218"/>
    <w:multiLevelType w:val="hybridMultilevel"/>
    <w:lvl w:ilvl="0">
      <w:lvlJc w:val="left"/>
      <w:lvlText w:val="%1."/>
      <w:numFmt w:val="decimal"/>
      <w:start w:val="1"/>
    </w:lvl>
    <w:lvl w:ilvl="1">
      <w:lvlJc w:val="left"/>
      <w:lvlText w:val="%2."/>
      <w:numFmt w:val="lowerLetter"/>
      <w:start w:val="1"/>
    </w:lvl>
  </w:abstractNum>
  <w:abstractNum w:abstractNumId="280">
    <w:nsid w:val="680EA5D1"/>
    <w:multiLevelType w:val="hybridMultilevel"/>
    <w:lvl w:ilvl="0">
      <w:lvlJc w:val="left"/>
      <w:lvlText w:val="%1."/>
      <w:numFmt w:val="decimal"/>
      <w:start w:val="1"/>
    </w:lvl>
    <w:lvl w:ilvl="1">
      <w:lvlJc w:val="left"/>
      <w:lvlText w:val="%2."/>
      <w:numFmt w:val="lowerLetter"/>
      <w:start w:val="1"/>
    </w:lvl>
  </w:abstractNum>
  <w:abstractNum w:abstractNumId="281">
    <w:nsid w:val="4A9554FE"/>
    <w:multiLevelType w:val="hybridMultilevel"/>
    <w:lvl w:ilvl="0">
      <w:lvlJc w:val="left"/>
      <w:lvlText w:val="%1."/>
      <w:numFmt w:val="decimal"/>
      <w:start w:val="1"/>
    </w:lvl>
    <w:lvl w:ilvl="1">
      <w:lvlJc w:val="left"/>
      <w:lvlText w:val="%2."/>
      <w:numFmt w:val="lowerLetter"/>
      <w:start w:val="1"/>
    </w:lvl>
  </w:abstractNum>
  <w:abstractNum w:abstractNumId="282">
    <w:nsid w:val="392EDBE4"/>
    <w:multiLevelType w:val="hybridMultilevel"/>
    <w:lvl w:ilvl="0">
      <w:lvlJc w:val="left"/>
      <w:lvlText w:val="(%1)"/>
      <w:numFmt w:val="decimal"/>
      <w:start w:val="1"/>
    </w:lvl>
  </w:abstractNum>
  <w:abstractNum w:abstractNumId="283">
    <w:nsid w:val="3D1A2DD9"/>
    <w:multiLevelType w:val="hybridMultilevel"/>
    <w:lvl w:ilvl="0">
      <w:lvlJc w:val="left"/>
      <w:lvlText w:val="(%1)"/>
      <w:numFmt w:val="decimal"/>
      <w:start w:val="1"/>
    </w:lvl>
  </w:abstractNum>
  <w:abstractNum w:abstractNumId="284">
    <w:nsid w:val="7F618F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7" Type="http://schemas.openxmlformats.org/officeDocument/2006/relationships/image" Target="media/image78.png"/><Relationship Id="rId90" Type="http://schemas.openxmlformats.org/officeDocument/2006/relationships/image" Target="media/image79.png"/><Relationship Id="rId93" Type="http://schemas.openxmlformats.org/officeDocument/2006/relationships/image" Target="media/image80.png"/><Relationship Id="rId96" Type="http://schemas.openxmlformats.org/officeDocument/2006/relationships/image" Target="media/image81.png"/><Relationship Id="rId99" Type="http://schemas.openxmlformats.org/officeDocument/2006/relationships/image" Target="media/image82.png"/><Relationship Id="rId101" Type="http://schemas.openxmlformats.org/officeDocument/2006/relationships/image" Target="media/image83.png"/><Relationship Id="rId103" Type="http://schemas.openxmlformats.org/officeDocument/2006/relationships/image" Target="media/image84.png"/><Relationship Id="rId106" Type="http://schemas.openxmlformats.org/officeDocument/2006/relationships/image" Target="media/image85.png"/><Relationship Id="rId108" Type="http://schemas.openxmlformats.org/officeDocument/2006/relationships/image" Target="media/image86.png"/><Relationship Id="rId111" Type="http://schemas.openxmlformats.org/officeDocument/2006/relationships/image" Target="media/image87.png"/><Relationship Id="rId114" Type="http://schemas.openxmlformats.org/officeDocument/2006/relationships/image" Target="media/image88.png"/><Relationship Id="rId117" Type="http://schemas.openxmlformats.org/officeDocument/2006/relationships/image" Target="media/image89.png"/><Relationship Id="rId120" Type="http://schemas.openxmlformats.org/officeDocument/2006/relationships/image" Target="media/image90.png"/><Relationship Id="rId123" Type="http://schemas.openxmlformats.org/officeDocument/2006/relationships/image" Target="media/image91.png"/><Relationship Id="rId127" Type="http://schemas.openxmlformats.org/officeDocument/2006/relationships/image" Target="media/image92.png"/><Relationship Id="rId129" Type="http://schemas.openxmlformats.org/officeDocument/2006/relationships/image" Target="media/image93.png"/><Relationship Id="rId131" Type="http://schemas.openxmlformats.org/officeDocument/2006/relationships/image" Target="media/image94.png"/><Relationship Id="rId134" Type="http://schemas.openxmlformats.org/officeDocument/2006/relationships/image" Target="media/image95.png"/><Relationship Id="rId137" Type="http://schemas.openxmlformats.org/officeDocument/2006/relationships/image" Target="media/image96.png"/><Relationship Id="rId139" Type="http://schemas.openxmlformats.org/officeDocument/2006/relationships/image" Target="media/image97.png"/><Relationship Id="rId142" Type="http://schemas.openxmlformats.org/officeDocument/2006/relationships/image" Target="media/image98.png"/><Relationship Id="rId146" Type="http://schemas.openxmlformats.org/officeDocument/2006/relationships/image" Target="media/image99.png"/><Relationship Id="rId149" Type="http://schemas.openxmlformats.org/officeDocument/2006/relationships/image" Target="media/image100.png"/><Relationship Id="rId152" Type="http://schemas.openxmlformats.org/officeDocument/2006/relationships/image" Target="media/image101.png"/><Relationship Id="rId154" Type="http://schemas.openxmlformats.org/officeDocument/2006/relationships/image" Target="media/image102.png"/><Relationship Id="rId156" Type="http://schemas.openxmlformats.org/officeDocument/2006/relationships/image" Target="media/image103.png"/><Relationship Id="rId159" Type="http://schemas.openxmlformats.org/officeDocument/2006/relationships/image" Target="media/image104.png"/><Relationship Id="rId162" Type="http://schemas.openxmlformats.org/officeDocument/2006/relationships/image" Target="media/image105.png"/><Relationship Id="rId164" Type="http://schemas.openxmlformats.org/officeDocument/2006/relationships/image" Target="media/image106.png"/><Relationship Id="rId168" Type="http://schemas.openxmlformats.org/officeDocument/2006/relationships/image" Target="media/image107.png"/><Relationship Id="rId171" Type="http://schemas.openxmlformats.org/officeDocument/2006/relationships/image" Target="media/image108.png"/><Relationship Id="rId172" Type="http://schemas.openxmlformats.org/officeDocument/2006/relationships/image" Target="media/image109.png"/><Relationship Id="rId173" Type="http://schemas.openxmlformats.org/officeDocument/2006/relationships/image" Target="media/image110.png"/><Relationship Id="rId174" Type="http://schemas.openxmlformats.org/officeDocument/2006/relationships/image" Target="media/image111.png"/><Relationship Id="rId175" Type="http://schemas.openxmlformats.org/officeDocument/2006/relationships/image" Target="media/image112.png"/><Relationship Id="rId178" Type="http://schemas.openxmlformats.org/officeDocument/2006/relationships/image" Target="media/image113.png"/><Relationship Id="rId179"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7"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png"/><Relationship Id="rId230" Type="http://schemas.openxmlformats.org/officeDocument/2006/relationships/image" Target="media/image164.png"/><Relationship Id="rId231" Type="http://schemas.openxmlformats.org/officeDocument/2006/relationships/image" Target="media/image165.png"/><Relationship Id="rId232" Type="http://schemas.openxmlformats.org/officeDocument/2006/relationships/image" Target="media/image166.png"/><Relationship Id="rId233" Type="http://schemas.openxmlformats.org/officeDocument/2006/relationships/image" Target="media/image167.png"/><Relationship Id="rId234" Type="http://schemas.openxmlformats.org/officeDocument/2006/relationships/image" Target="media/image168.png"/><Relationship Id="rId235" Type="http://schemas.openxmlformats.org/officeDocument/2006/relationships/image" Target="media/image169.png"/><Relationship Id="rId236" Type="http://schemas.openxmlformats.org/officeDocument/2006/relationships/image" Target="media/image170.png"/><Relationship Id="rId237" Type="http://schemas.openxmlformats.org/officeDocument/2006/relationships/image" Target="media/image171.png"/><Relationship Id="rId238" Type="http://schemas.openxmlformats.org/officeDocument/2006/relationships/image" Target="media/image172.png"/><Relationship Id="rId239" Type="http://schemas.openxmlformats.org/officeDocument/2006/relationships/image" Target="media/image173.png"/><Relationship Id="rId240" Type="http://schemas.openxmlformats.org/officeDocument/2006/relationships/image" Target="media/image174.png"/><Relationship Id="rId241" Type="http://schemas.openxmlformats.org/officeDocument/2006/relationships/image" Target="media/image175.png"/><Relationship Id="rId242" Type="http://schemas.openxmlformats.org/officeDocument/2006/relationships/image" Target="media/image176.png"/><Relationship Id="rId243" Type="http://schemas.openxmlformats.org/officeDocument/2006/relationships/image" Target="media/image177.png"/><Relationship Id="rId244" Type="http://schemas.openxmlformats.org/officeDocument/2006/relationships/image" Target="media/image178.png"/><Relationship Id="rId245" Type="http://schemas.openxmlformats.org/officeDocument/2006/relationships/image" Target="media/image179.png"/><Relationship Id="rId246" Type="http://schemas.openxmlformats.org/officeDocument/2006/relationships/image" Target="media/image180.png"/><Relationship Id="rId247" Type="http://schemas.openxmlformats.org/officeDocument/2006/relationships/image" Target="media/image181.png"/><Relationship Id="rId248" Type="http://schemas.openxmlformats.org/officeDocument/2006/relationships/image" Target="media/image182.png"/><Relationship Id="rId249" Type="http://schemas.openxmlformats.org/officeDocument/2006/relationships/image" Target="media/image183.png"/><Relationship Id="rId250" Type="http://schemas.openxmlformats.org/officeDocument/2006/relationships/image" Target="media/image184.png"/><Relationship Id="rId251" Type="http://schemas.openxmlformats.org/officeDocument/2006/relationships/image" Target="media/image185.png"/><Relationship Id="rId252" Type="http://schemas.openxmlformats.org/officeDocument/2006/relationships/image" Target="media/image186.png"/><Relationship Id="rId253" Type="http://schemas.openxmlformats.org/officeDocument/2006/relationships/image" Target="media/image187.png"/><Relationship Id="rId254" Type="http://schemas.openxmlformats.org/officeDocument/2006/relationships/image" Target="media/image188.png"/><Relationship Id="rId255" Type="http://schemas.openxmlformats.org/officeDocument/2006/relationships/image" Target="media/image189.png"/><Relationship Id="rId256" Type="http://schemas.openxmlformats.org/officeDocument/2006/relationships/image" Target="media/image190.png"/><Relationship Id="rId257" Type="http://schemas.openxmlformats.org/officeDocument/2006/relationships/image" Target="media/image191.png"/><Relationship Id="rId258" Type="http://schemas.openxmlformats.org/officeDocument/2006/relationships/image" Target="media/image192.png"/><Relationship Id="rId259" Type="http://schemas.openxmlformats.org/officeDocument/2006/relationships/image" Target="media/image193.png"/><Relationship Id="rId260" Type="http://schemas.openxmlformats.org/officeDocument/2006/relationships/image" Target="media/image194.png"/><Relationship Id="rId261" Type="http://schemas.openxmlformats.org/officeDocument/2006/relationships/image" Target="media/image195.png"/><Relationship Id="rId262" Type="http://schemas.openxmlformats.org/officeDocument/2006/relationships/image" Target="media/image196.png"/><Relationship Id="rId263" Type="http://schemas.openxmlformats.org/officeDocument/2006/relationships/image" Target="media/image197.png"/><Relationship Id="rId264" Type="http://schemas.openxmlformats.org/officeDocument/2006/relationships/image" Target="media/image198.png"/><Relationship Id="rId265" Type="http://schemas.openxmlformats.org/officeDocument/2006/relationships/image" Target="media/image199.png"/><Relationship Id="rId266" Type="http://schemas.openxmlformats.org/officeDocument/2006/relationships/image" Target="media/image200.png"/><Relationship Id="rId267" Type="http://schemas.openxmlformats.org/officeDocument/2006/relationships/image" Target="media/image201.png"/><Relationship Id="rId268" Type="http://schemas.openxmlformats.org/officeDocument/2006/relationships/image" Target="media/image202.png"/><Relationship Id="rId269" Type="http://schemas.openxmlformats.org/officeDocument/2006/relationships/image" Target="media/image203.png"/><Relationship Id="rId270" Type="http://schemas.openxmlformats.org/officeDocument/2006/relationships/image" Target="media/image204.png"/><Relationship Id="rId271" Type="http://schemas.openxmlformats.org/officeDocument/2006/relationships/image" Target="media/image205.png"/><Relationship Id="rId272" Type="http://schemas.openxmlformats.org/officeDocument/2006/relationships/image" Target="media/image206.png"/><Relationship Id="rId273" Type="http://schemas.openxmlformats.org/officeDocument/2006/relationships/image" Target="media/image207.png"/><Relationship Id="rId274" Type="http://schemas.openxmlformats.org/officeDocument/2006/relationships/image" Target="media/image208.png"/><Relationship Id="rId275" Type="http://schemas.openxmlformats.org/officeDocument/2006/relationships/image" Target="media/image209.png"/><Relationship Id="rId276" Type="http://schemas.openxmlformats.org/officeDocument/2006/relationships/image" Target="media/image210.png"/><Relationship Id="rId277" Type="http://schemas.openxmlformats.org/officeDocument/2006/relationships/image" Target="media/image211.png"/><Relationship Id="rId278" Type="http://schemas.openxmlformats.org/officeDocument/2006/relationships/image" Target="media/image212.png"/><Relationship Id="rId279" Type="http://schemas.openxmlformats.org/officeDocument/2006/relationships/image" Target="media/image213.png"/><Relationship Id="rId280" Type="http://schemas.openxmlformats.org/officeDocument/2006/relationships/image" Target="media/image214.png"/><Relationship Id="rId281" Type="http://schemas.openxmlformats.org/officeDocument/2006/relationships/image" Target="media/image215.png"/><Relationship Id="rId282" Type="http://schemas.openxmlformats.org/officeDocument/2006/relationships/image" Target="media/image216.png"/><Relationship Id="rId283" Type="http://schemas.openxmlformats.org/officeDocument/2006/relationships/image" Target="media/image217.png"/><Relationship Id="rId284" Type="http://schemas.openxmlformats.org/officeDocument/2006/relationships/image" Target="media/image218.png"/><Relationship Id="rId285" Type="http://schemas.openxmlformats.org/officeDocument/2006/relationships/image" Target="media/image219.png"/><Relationship Id="rId85" Type="http://schemas.openxmlformats.org/officeDocument/2006/relationships/hyperlink" Target="https://www.sec.gov/Archives/edgar/data/1842279/000119312521347023/d270539dex21.htm" TargetMode="External"/><Relationship Id="rId86" Type="http://schemas.openxmlformats.org/officeDocument/2006/relationships/hyperlink" Target="https://www.sec.gov/Archives/edgar/data/1842279/000121390022046338/ea164030ex3-1_opal.htm" TargetMode="External"/><Relationship Id="rId88" Type="http://schemas.openxmlformats.org/officeDocument/2006/relationships/hyperlink" Target="https://www.sec.gov/Archives/edgar/data/1842279/000121390022042020/ea163248ex3-2_opal.htm" TargetMode="External"/><Relationship Id="rId89" Type="http://schemas.openxmlformats.org/officeDocument/2006/relationships/hyperlink" Target="https://www.sec.gov/Archives/edgar/data/1842279/000162828026016131/a31opalfuelsllc-amendedand.htm" TargetMode="External"/><Relationship Id="rId91" Type="http://schemas.openxmlformats.org/officeDocument/2006/relationships/hyperlink" Target="https://www.sec.gov/Archives/edgar/data/1842279/000184227923000009/opal-shortxtermincentivepl.htm" TargetMode="External"/><Relationship Id="rId92" Type="http://schemas.openxmlformats.org/officeDocument/2006/relationships/hyperlink" Target="https://www.sec.gov/Archives/edgar/data/1842279/000184227923000009/opalfuelsinc-formoptionagr.htm" TargetMode="External"/><Relationship Id="rId94" Type="http://schemas.openxmlformats.org/officeDocument/2006/relationships/hyperlink" Target="https://www.sec.gov/Archives/edgar/data/1842279/000184227923000009/opalfuelsinc-formofperform.htm" TargetMode="External"/><Relationship Id="rId95" Type="http://schemas.openxmlformats.org/officeDocument/2006/relationships/hyperlink" Target="https://www.sec.gov/Archives/edgar/data/1842279/000162828026016131/a41opalfuelsinc-warrant2026.htm" TargetMode="External"/><Relationship Id="rId97" Type="http://schemas.openxmlformats.org/officeDocument/2006/relationships/hyperlink" Target="https://www.sec.gov/Archives/edgar/data/1842279/000121390022024612/fs42022a3ex10-1_arclight2.htm" TargetMode="External"/><Relationship Id="rId98" Type="http://schemas.openxmlformats.org/officeDocument/2006/relationships/hyperlink" Target="https://www.sec.gov/Archives/edgar/data/1842279/000121390022042020/ea163248ex10-2_opal.htm" TargetMode="External"/><Relationship Id="rId100" Type="http://schemas.openxmlformats.org/officeDocument/2006/relationships/hyperlink" Target="https://www.sec.gov/Archives/edgar/data/1842279/000119312521347023/d270539dex102.htm" TargetMode="External"/><Relationship Id="rId102" Type="http://schemas.openxmlformats.org/officeDocument/2006/relationships/hyperlink" Target="https://www.sec.gov/Archives/edgar/data/1842279/000119312521347023/d270539dex101.htm" TargetMode="External"/><Relationship Id="rId104" Type="http://schemas.openxmlformats.org/officeDocument/2006/relationships/hyperlink" Target="https://www.sec.gov/Archives/edgar/data/1842279/000121390022025716/ea159809ex10-1_arclight2.htm" TargetMode="External"/><Relationship Id="rId105" Type="http://schemas.openxmlformats.org/officeDocument/2006/relationships/hyperlink" Target="https://www.sec.gov/Archives/edgar/data/1842279/000121390022042020/ea163248ex10-6_opal.htm" TargetMode="External"/><Relationship Id="rId107" Type="http://schemas.openxmlformats.org/officeDocument/2006/relationships/hyperlink" Target="https://www.sec.gov/Archives/edgar/data/1842279/000121390022042020/ea163248ex10-7_opal.htm" TargetMode="External"/><Relationship Id="rId109" Type="http://schemas.openxmlformats.org/officeDocument/2006/relationships/hyperlink" Target="https://www.sec.gov/Archives/edgar/data/1842279/000121390022042020/ea163248ex10-8_opal.htm" TargetMode="External"/><Relationship Id="rId110" Type="http://schemas.openxmlformats.org/officeDocument/2006/relationships/hyperlink" Target="https://www.sec.gov/Archives/edgar/data/1842279/000121390022015221/ea157420ex10-8_arclight2.htm" TargetMode="External"/><Relationship Id="rId112" Type="http://schemas.openxmlformats.org/officeDocument/2006/relationships/hyperlink" Target="https://www.sec.gov/Archives/edgar/data/1842279/000121390022015221/ea157420ex10-9_arclight2.htm" TargetMode="External"/><Relationship Id="rId113" Type="http://schemas.openxmlformats.org/officeDocument/2006/relationships/hyperlink" Target="https://www.sec.gov/Archives/edgar/data/1842279/000121390022015221/ea157420ex10-10_arclight2.htm" TargetMode="External"/><Relationship Id="rId115" Type="http://schemas.openxmlformats.org/officeDocument/2006/relationships/hyperlink" Target="https://www.sec.gov/Archives/edgar/data/1842279/000121390022015221/ea157420ex10-11_arclight2.htm" TargetMode="External"/><Relationship Id="rId116" Type="http://schemas.openxmlformats.org/officeDocument/2006/relationships/hyperlink" Target="https://www.sec.gov/Archives/edgar/data/1842279/000121390022015221/ea157420ex10-12_arclight2.htm" TargetMode="External"/><Relationship Id="rId118" Type="http://schemas.openxmlformats.org/officeDocument/2006/relationships/hyperlink" Target="https://www.sec.gov/Archives/edgar/data/1842279/000184227922000016/opalfuelsinc-formrestricte.htm" TargetMode="External"/><Relationship Id="rId119" Type="http://schemas.openxmlformats.org/officeDocument/2006/relationships/hyperlink" Target="https://www.sec.gov/Archives/edgar/data/1842279/000184227922000009/projectopal-creditagreemen.htm" TargetMode="External"/><Relationship Id="rId121" Type="http://schemas.openxmlformats.org/officeDocument/2006/relationships/hyperlink" Target="https://www.sec.gov/Archives/edgar/data/1842279/000119312522216411/d251514dex106.htm" TargetMode="External"/><Relationship Id="rId122" Type="http://schemas.openxmlformats.org/officeDocument/2006/relationships/hyperlink" Target="https://www.sec.gov/Archives/edgar/data/1842279/000184227922000070/opal-upsxagreementxredacte.htm" TargetMode="External"/><Relationship Id="rId124" Type="http://schemas.openxmlformats.org/officeDocument/2006/relationships/hyperlink" Target="https://www.sec.gov/Archives/edgar/data/1842279/000184227923000011/opal-form8xkpipemarch2023e.htm" TargetMode="External"/><Relationship Id="rId125" Type="http://schemas.openxmlformats.org/officeDocument/2006/relationships/hyperlink" Target="https://www.sec.gov/Archives/edgar/data/1842279/000184227923000050/opal-wmlfgpurchaseagreemen.htm" TargetMode="External"/><Relationship Id="rId126" Type="http://schemas.openxmlformats.org/officeDocument/2006/relationships/hyperlink" Target="https://www.sec.gov/Archives/edgar/data/1842279/000184227923000050/opal-polkcountycontractred.htm" TargetMode="External"/><Relationship Id="rId128" Type="http://schemas.openxmlformats.org/officeDocument/2006/relationships/hyperlink" Target="https://www.sec.gov/Archives/edgar/data/1842279/000184227923000054/projectopal-arcreditagreem.htm" TargetMode="External"/><Relationship Id="rId130" Type="http://schemas.openxmlformats.org/officeDocument/2006/relationships/hyperlink" Target="https://www.sec.gov/Archives/edgar/data/1842279/000184227923000072/opal-bfifallriverthirdamdg.htm" TargetMode="External"/><Relationship Id="rId132" Type="http://schemas.openxmlformats.org/officeDocument/2006/relationships/hyperlink" Target="https://www.sec.gov/Archives/edgar/data/1842279/000184227923000075/opal-8xkex101kirbygspa4871.htm" TargetMode="External"/><Relationship Id="rId133" Type="http://schemas.openxmlformats.org/officeDocument/2006/relationships/hyperlink" Target="https://www.sec.gov/Archives/edgar/data/1842279/000184227923000075/opal-8xkex102kirbylease487.htm" TargetMode="External"/><Relationship Id="rId135" Type="http://schemas.openxmlformats.org/officeDocument/2006/relationships/hyperlink" Target="https://www.sec.gov/Archives/edgar/data/1842279/000184227923000075/opal-8xkex103guadalupegspa.htm" TargetMode="External"/><Relationship Id="rId136" Type="http://schemas.openxmlformats.org/officeDocument/2006/relationships/hyperlink" Target="https://www.sec.gov/Archives/edgar/data/1842279/000184227923000075/opal-8xkex104guadalupeleas.htm" TargetMode="External"/><Relationship Id="rId138" Type="http://schemas.openxmlformats.org/officeDocument/2006/relationships/hyperlink" Target="https://www.sec.gov/Archives/edgar/data/1842279/000184227923000077/opal-8xkcreditagreementex1.htm" TargetMode="External"/><Relationship Id="rId140" Type="http://schemas.openxmlformats.org/officeDocument/2006/relationships/hyperlink" Target="https://www.sec.gov/Archives/edgar/data/1842279/000184227923000077/opal-8xkpledgeagreementex1.htm" TargetMode="External"/><Relationship Id="rId141" Type="http://schemas.openxmlformats.org/officeDocument/2006/relationships/hyperlink" Target="https://www.sec.gov/Archives/edgar/data/1842279/000184227923000077/opal-8xksecurityagreemente.htm" TargetMode="External"/><Relationship Id="rId143" Type="http://schemas.openxmlformats.org/officeDocument/2006/relationships/hyperlink" Target="https://www.sec.gov/Archives/edgar/data/1842279/000184227923000077/opal-8xkbankunitedtermloan.htm" TargetMode="External"/><Relationship Id="rId144" Type="http://schemas.openxmlformats.org/officeDocument/2006/relationships/hyperlink" Target="https://www.sec.gov/Archives/edgar/data/1842279/000184227923000077/opal-8xkbankunitedrevolvin.htm" TargetMode="External"/><Relationship Id="rId145" Type="http://schemas.openxmlformats.org/officeDocument/2006/relationships/hyperlink" Target="https://www.sec.gov/Archives/edgar/data/1842279/000184227923000079/sjiopal-land2gasllcxjvllca.htm" TargetMode="External"/><Relationship Id="rId147" Type="http://schemas.openxmlformats.org/officeDocument/2006/relationships/hyperlink" Target="https://www.sec.gov/Archives/edgar/data/1842279/000184227923000085/opal-8xkex101wglxpwrng_psa.htm" TargetMode="External"/><Relationship Id="rId148" Type="http://schemas.openxmlformats.org/officeDocument/2006/relationships/hyperlink" Target="https://www.sec.gov/Archives/edgar/data/1842279/000184227923000092/opal_naesbbaseagreementxmm.htm" TargetMode="External"/><Relationship Id="rId150" Type="http://schemas.openxmlformats.org/officeDocument/2006/relationships/hyperlink" Target="https://www.sec.gov/Archives/edgar/data/1842279/000184227923000092/opal_naesbbaseagreementxri.htm" TargetMode="External"/><Relationship Id="rId151" Type="http://schemas.openxmlformats.org/officeDocument/2006/relationships/hyperlink" Target="https://www.sec.gov/Archives/edgar/data/1842279/000184227923000097/opalfuelsatm-salesagreemen.htm" TargetMode="External"/><Relationship Id="rId153" Type="http://schemas.openxmlformats.org/officeDocument/2006/relationships/hyperlink" Target="https://www.sec.gov/Archives/edgar/data/1842279/000184227924000003/a101opal-paragonxfirstamen.htm" TargetMode="External"/><Relationship Id="rId155" Type="http://schemas.openxmlformats.org/officeDocument/2006/relationships/hyperlink" Target="https://www.sec.gov/Archives/edgar/data/1842279/000184227924000003/a102opal-paragonxfirstamen.htm" TargetMode="External"/><Relationship Id="rId157" Type="http://schemas.openxmlformats.org/officeDocument/2006/relationships/hyperlink" Target="https://www.sec.gov/Archives/edgar/data/1842279/000184227924000016/a1stamdtopiggybackagmtfo.htm" TargetMode="External"/><Relationship Id="rId158" Type="http://schemas.openxmlformats.org/officeDocument/2006/relationships/hyperlink" Target="https://www.sec.gov/Archives/edgar/data/1842279/000184227924000016/leaseandaccessagmt_xnclf.htm" TargetMode="External"/><Relationship Id="rId160" Type="http://schemas.openxmlformats.org/officeDocument/2006/relationships/hyperlink" Target="https://www.sec.gov/Archives/edgar/data/1842279/000184227924000054/apollo-opalxtcpa20240913xr.htm" TargetMode="External"/><Relationship Id="rId161" Type="http://schemas.openxmlformats.org/officeDocument/2006/relationships/hyperlink" Target="https://www.sec.gov/Archives/edgar/data/1842279/000184227924000054/apollo-opalxsellerguaranty.htm" TargetMode="External"/><Relationship Id="rId163" Type="http://schemas.openxmlformats.org/officeDocument/2006/relationships/hyperlink" Target="https://www.sec.gov/Archives/edgar/data/1842279/000184227925000025/exhibit101.htm" TargetMode="External"/><Relationship Id="rId165" Type="http://schemas.openxmlformats.org/officeDocument/2006/relationships/hyperlink" Target="https://www.sec.gov/Archives/edgar/data/1842279/000184227925000053/opal-ex101xtcpaxform8xkmar.htm" TargetMode="External"/><Relationship Id="rId166" Type="http://schemas.openxmlformats.org/officeDocument/2006/relationships/hyperlink" Target="https://www.sec.gov/Archives/edgar/data/1842279/000184227925000053/opal-ex102xguarantyxform8x.htm" TargetMode="External"/><Relationship Id="rId167" Type="http://schemas.openxmlformats.org/officeDocument/2006/relationships/hyperlink" Target="https://www.sec.gov/Archives/edgar/data/1842279/000162828025024828/opal-10xqq12025xex104xfirs.htm" TargetMode="External"/><Relationship Id="rId169" Type="http://schemas.openxmlformats.org/officeDocument/2006/relationships/hyperlink" Target="https://www.sec.gov/Archives/edgar/data/1842279/000162828025024828/opal-10xqq12025xex105xopti.htm" TargetMode="External"/><Relationship Id="rId170" Type="http://schemas.openxmlformats.org/officeDocument/2006/relationships/hyperlink" Target="https://www.sec.gov/Archives/edgar/data/0001842279/000162828025024828/opal-10xqq12025xex106xllca.htm" TargetMode="External"/><Relationship Id="rId176" Type="http://schemas.openxmlformats.org/officeDocument/2006/relationships/hyperlink" Target="https://www.sec.gov/Archives/edgar/data/1842279/000162828026016131/a101opalfuelsllc-seriesapr.htm" TargetMode="External"/><Relationship Id="rId177" Type="http://schemas.openxmlformats.org/officeDocument/2006/relationships/hyperlink" Target="https://www.sec.gov/Archives/edgar/data/1842279/000184227925000049/insidertradingpolicy.htm" TargetMode="External"/><Relationship Id="rId184" Type="http://schemas.openxmlformats.org/officeDocument/2006/relationships/hyperlink" Target="https://www.sec.gov/Archives/edgar/data/1842279/000184227924000012/opalfuels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2026-03-16T06:32:06Z</dcterms:created>
  <dcterms:modified xsi:type="dcterms:W3CDTF">2026-03-16T06:32:06Z</dcterms:modified>
</cp:coreProperties>
</file>