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before="0" w:after="0"/>
        <w:jc w:val="center"/>
        <w:rPr/>
      </w:pPr>
      <w:r>
        <w:rPr/>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6" w:before="53" w:after="3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_______________ to ____________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001-40272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OPAL FUELS INC.</w:t>
      </w:r>
    </w:p>
    <w:p>
      <w:pPr>
        <w:pStyle w:val="TextBody"/>
        <w:bidi w:val="0"/>
        <w:spacing w:lineRule="auto" w:line="288" w:before="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color w:val="000000"/>
                <w:sz w:val="20"/>
              </w:rPr>
            </w:pPr>
            <w:r>
              <w:rPr>
                <w:rFonts w:ascii="Times New Roman;serif" w:hAnsi="Times New Roman;serif"/>
                <w:b/>
                <w:color w:val="000000"/>
                <w:sz w:val="20"/>
              </w:rPr>
              <w:t>98-1578357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erif" w:hAnsi="Times New Roman;serif"/>
                <w:b/>
                <w:color w:val="000000"/>
                <w:sz w:val="20"/>
              </w:rPr>
            </w:pPr>
            <w:r>
              <w:rPr>
                <w:rFonts w:ascii="Times New Roman;serif" w:hAnsi="Times New Roman;serif"/>
                <w:b/>
                <w:color w:val="000000"/>
                <w:sz w:val="20"/>
              </w:rPr>
              <w:t>One North Lexington Avenue, Suite 1450</w:t>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White Plains,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erif" w:hAnsi="Times New Roman;serif"/>
                <w:b/>
                <w:color w:val="000000"/>
                <w:sz w:val="20"/>
              </w:rPr>
            </w:pPr>
            <w:r>
              <w:rPr>
                <w:rFonts w:ascii="Times New Roman;serif" w:hAnsi="Times New Roman;serif"/>
                <w:b/>
                <w:color w:val="000000"/>
                <w:sz w:val="20"/>
              </w:rPr>
              <w:t>10601</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(914) 705-4000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89" w:type="dxa"/>
        <w:jc w:val="left"/>
        <w:tblInd w:w="0" w:type="dxa"/>
        <w:tblLayout w:type="fixed"/>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OPAL</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 </w:t>
      </w:r>
    </w:p>
    <w:p>
      <w:pPr>
        <w:pStyle w:val="TextBody"/>
        <w:bidi w:val="0"/>
        <w:spacing w:before="0" w:after="0"/>
        <w:jc w:val="both"/>
        <w:rPr/>
      </w:pPr>
      <w:r>
        <w:rPr/>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53" w:after="283"/>
        <w:jc w:val="right"/>
        <w:rPr>
          <w:color w:val="000000"/>
        </w:rPr>
      </w:pPr>
      <w:r>
        <w:rPr>
          <w:color w:val="000000"/>
        </w:rPr>
        <w:t>☐</w:t>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val="false"/>
          <w:color w:val="000000"/>
          <w:sz w:val="20"/>
        </w:rPr>
        <w:t>As of November 7, 2025</w:t>
      </w:r>
      <w:r>
        <w:rPr>
          <w:rFonts w:ascii="Times New Roman;serif" w:hAnsi="Times New Roman;serif"/>
          <w:b w:val="false"/>
          <w:color w:val="000000"/>
          <w:sz w:val="24"/>
        </w:rPr>
        <w:t xml:space="preserve">, </w:t>
      </w:r>
      <w:r>
        <w:rPr>
          <w:rFonts w:ascii="Times New Roman;serif" w:hAnsi="Times New Roman;serif"/>
          <w:b w:val="false"/>
          <w:color w:val="000000"/>
          <w:sz w:val="20"/>
        </w:rPr>
        <w:t>a total of 28,996,177 shares of Class A common stock, par value $0.0001 per share, 121,500,000 shares of Class B common stock, par value of $0.0001 per share and 22,899,037 shares of Class D common stock, par value $0.0001 per share were outstanding.</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TextBody"/>
        <w:bidi w:val="0"/>
        <w:spacing w:before="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forward-looking statements within the meaning of the Private Securities Litigation Reform Act of 1995, that involve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“anticipates,” “believes,” “estimates,” “expects,” “forecasts,” “future,” “goal,” “intends,” “may,” “objective,” “outlook,” “plans,” “projected,” “propose,” “seeks,” “target,” “will,” “would”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which could cause actual results or outcomes to differ materially from those discussed in the forward-looking statements. Important factors, among others, which may affect actual results or outcomes include: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ability to grow and manage growth profitably, and maintain relationships with customers and suppliers;</w:t>
      </w:r>
    </w:p>
    <w:p>
      <w:pPr>
        <w:pStyle w:val="TextBody"/>
        <w:bidi w:val="0"/>
        <w:spacing w:lineRule="auto" w:line="288" w:before="0" w:after="200"/>
        <w:jc w:val="both"/>
        <w:rPr/>
      </w:pPr>
      <w:r>
        <w:rPr>
          <w:color w:val="000000"/>
        </w:rPr>
        <w:t>▪</w:t>
      </w:r>
      <w:r>
        <w:rPr>
          <w:rFonts w:ascii="Times New Roman;serif" w:hAnsi="Times New Roman;serif"/>
          <w:b w:val="false"/>
          <w:color w:val="000000"/>
          <w:sz w:val="20"/>
        </w:rPr>
        <w:t>our success in retaining or recruiting, our principal officers, key employees or directors;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intense competition and competitive pressures from other companies in the industry in which we operate;</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increased costs of, or delays in obtaining, key components or labor for the construction and completion of LFG (as defined below) and livestock waste projects that generate electricity and RNG (as defined below), CNG (as defined below) and hydrogen dispensing stations;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factors relating to our business, operations and financial performance, including market conditions and global and economic factors beyond our control; </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reduction or elimination of government economic incentives to the renewable energy market;</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LCFS (as defined below) credits and other incentives;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ability to identify, acquire, develop and operate renewable projects and Fueling Stations (as defined below);</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ability to issue equity or equity-linked securities or obtain or amend debt financing;</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the demand for renewable energy not being sustained;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impacts of climate change, changing weather patterns and conditions and natural disasters; and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 xml:space="preserve">the effect of legal, tax and regulatory changes.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and in our Annual Report on Form 10-K, which was filed with the SEC on March 17, 2025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5"/>
        <w:gridCol w:w="364"/>
        <w:gridCol w:w="364"/>
        <w:gridCol w:w="2946"/>
        <w:gridCol w:w="2777"/>
        <w:gridCol w:w="2646"/>
        <w:gridCol w:w="202"/>
        <w:gridCol w:w="202"/>
        <w:gridCol w:w="289"/>
      </w:tblGrid>
      <w:tr>
        <w:trPr/>
        <w:tc>
          <w:tcPr>
            <w:tcW w:w="4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3">
              <w:r>
                <w:rPr>
                  <w:rStyle w:val="InternetLink"/>
                  <w:rFonts w:ascii="Times New Roman;serif" w:hAnsi="Times New Roman;serif"/>
                  <w:b/>
                  <w:color w:val="000000"/>
                  <w:sz w:val="20"/>
                  <w:u w:val="single"/>
                </w:rPr>
                <w:t>PART I. FINANCIAL INFORMATION</w:t>
              </w:r>
            </w:hyperlink>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6">
              <w:r>
                <w:rPr>
                  <w:rStyle w:val="InternetLink"/>
                  <w:rFonts w:ascii="Times New Roman;serif" w:hAnsi="Times New Roman;serif"/>
                  <w:b w:val="false"/>
                  <w:color w:val="000000"/>
                  <w:sz w:val="20"/>
                  <w:u w:val="single"/>
                </w:rPr>
                <w:t>ITEM 1.</w:t>
              </w:r>
            </w:hyperlink>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3">
              <w:r>
                <w:rPr>
                  <w:rStyle w:val="InternetLink"/>
                  <w:rFonts w:ascii="Times New Roman;serif" w:hAnsi="Times New Roman;serif"/>
                  <w:b w:val="false"/>
                  <w:color w:val="000080"/>
                  <w:sz w:val="20"/>
                  <w:u w:val="single"/>
                </w:rPr>
                <w:t>FINANCIAL STATEMENTS</w:t>
              </w:r>
            </w:hyperlink>
            <w:r>
              <w:rPr>
                <w:rFonts w:ascii="Times New Roman;serif" w:hAnsi="Times New Roman;serif"/>
                <w:b w:val="false"/>
                <w:color w:val="000000"/>
                <w:sz w:val="20"/>
                <w:u w:val="single"/>
              </w:rPr>
              <w:t xml:space="preserve"> (Unaudited)</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6">
              <w:r>
                <w:rPr>
                  <w:rStyle w:val="InternetLink"/>
                  <w:rFonts w:ascii="Times New Roman;serif" w:hAnsi="Times New Roman;serif"/>
                  <w:b w:val="false"/>
                  <w:color w:val="000000"/>
                  <w:sz w:val="20"/>
                  <w:u w:val="single"/>
                </w:rPr>
                <w:t>1</w:t>
              </w:r>
            </w:hyperlink>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9">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000000"/>
                <w:sz w:val="20"/>
                <w:u w:val="single"/>
              </w:rPr>
              <w:t>September 30, 2025</w:t>
            </w:r>
            <w:hyperlink w:anchor="i5fa4844a784141489635aff4429082a7_19">
              <w:r>
                <w:rPr>
                  <w:rStyle w:val="InternetLink"/>
                  <w:rFonts w:ascii="Times New Roman;serif" w:hAnsi="Times New Roman;serif"/>
                  <w:b w:val="false"/>
                  <w:color w:val="000080"/>
                  <w:sz w:val="20"/>
                  <w:u w:val="single"/>
                </w:rPr>
                <w:t xml:space="preserve"> and December 31, 202</w:t>
              </w:r>
            </w:hyperlink>
            <w:r>
              <w:rPr>
                <w:rFonts w:ascii="Times New Roman;serif" w:hAnsi="Times New Roman;serif"/>
                <w:b w:val="false"/>
                <w:color w:val="000000"/>
                <w:sz w:val="20"/>
                <w:u w:val="single"/>
              </w:rPr>
              <w:t>4</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9">
              <w:r>
                <w:rPr>
                  <w:rStyle w:val="InternetLink"/>
                  <w:rFonts w:ascii="Times New Roman;serif" w:hAnsi="Times New Roman;serif"/>
                  <w:b w:val="false"/>
                  <w:color w:val="000000"/>
                  <w:sz w:val="20"/>
                  <w:u w:val="single"/>
                </w:rPr>
                <w:t>1</w:t>
              </w:r>
            </w:hyperlink>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25">
              <w:r>
                <w:rPr>
                  <w:rStyle w:val="InternetLink"/>
                  <w:rFonts w:ascii="Times New Roman;serif" w:hAnsi="Times New Roman;serif"/>
                  <w:b w:val="false"/>
                  <w:color w:val="000080"/>
                  <w:sz w:val="20"/>
                  <w:u w:val="single"/>
                </w:rPr>
                <w:t xml:space="preserve">Condensed Consolidated Statements of Operations for the </w:t>
              </w:r>
            </w:hyperlink>
            <w:r>
              <w:rPr>
                <w:rFonts w:ascii="Times New Roman;serif" w:hAnsi="Times New Roman;serif"/>
                <w:b w:val="false"/>
                <w:color w:val="000000"/>
                <w:sz w:val="20"/>
                <w:u w:val="single"/>
              </w:rPr>
              <w:t>three and nine</w:t>
            </w:r>
            <w:hyperlink w:anchor="i5fa4844a784141489635aff4429082a7_25">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00"/>
                <w:sz w:val="20"/>
                <w:u w:val="single"/>
              </w:rPr>
              <w:t>September 30, 2025</w:t>
            </w:r>
            <w:hyperlink w:anchor="i5fa4844a784141489635aff4429082a7_25">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00"/>
                <w:sz w:val="20"/>
                <w:u w:val="single"/>
              </w:rPr>
              <w:t>4</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25">
              <w:r>
                <w:rPr>
                  <w:rStyle w:val="InternetLink"/>
                  <w:rFonts w:ascii="Times New Roman;serif" w:hAnsi="Times New Roman;serif"/>
                  <w:b w:val="false"/>
                  <w:color w:val="000000"/>
                  <w:sz w:val="20"/>
                  <w:u w:val="single"/>
                </w:rPr>
                <w:t>3</w:t>
              </w:r>
            </w:hyperlink>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28">
              <w:r>
                <w:rPr>
                  <w:rStyle w:val="InternetLink"/>
                  <w:rFonts w:ascii="Times New Roman;serif" w:hAnsi="Times New Roman;serif"/>
                  <w:b w:val="false"/>
                  <w:color w:val="000080"/>
                  <w:sz w:val="20"/>
                  <w:u w:val="single"/>
                </w:rPr>
                <w:t>Condensed Consolidated Statements of Comprehensive Income</w:t>
              </w:r>
            </w:hyperlink>
            <w:hyperlink w:anchor="i5fa4844a784141489635aff4429082a7_28">
              <w:r>
                <w:rPr>
                  <w:rStyle w:val="InternetLink"/>
                  <w:rFonts w:ascii="Times New Roman;serif" w:hAnsi="Times New Roman;serif"/>
                  <w:b w:val="false"/>
                  <w:color w:val="000080"/>
                  <w:sz w:val="20"/>
                  <w:u w:val="single"/>
                </w:rPr>
                <w:t xml:space="preserve"> for the </w:t>
              </w:r>
            </w:hyperlink>
            <w:r>
              <w:rPr>
                <w:rFonts w:ascii="Times New Roman;serif" w:hAnsi="Times New Roman;serif"/>
                <w:b w:val="false"/>
                <w:color w:val="000000"/>
                <w:sz w:val="20"/>
                <w:u w:val="single"/>
              </w:rPr>
              <w:t>three and nine</w:t>
            </w:r>
            <w:hyperlink w:anchor="i5fa4844a784141489635aff4429082a7_28">
              <w:r>
                <w:rPr>
                  <w:rStyle w:val="InternetLink"/>
                  <w:rFonts w:ascii="Times New Roman;serif" w:hAnsi="Times New Roman;serif"/>
                  <w:b w:val="false"/>
                  <w:color w:val="000080"/>
                  <w:sz w:val="20"/>
                  <w:u w:val="single"/>
                </w:rPr>
                <w:t xml:space="preserve"> months ended </w:t>
              </w:r>
            </w:hyperlink>
            <w:r>
              <w:rPr>
                <w:rFonts w:ascii="Times New Roman;serif" w:hAnsi="Times New Roman;serif"/>
                <w:b w:val="false"/>
                <w:color w:val="000000"/>
                <w:sz w:val="20"/>
                <w:u w:val="single"/>
              </w:rPr>
              <w:t>September 30, 2025</w:t>
            </w:r>
            <w:hyperlink w:anchor="i5fa4844a784141489635aff4429082a7_28">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00"/>
                <w:sz w:val="20"/>
                <w:u w:val="single"/>
              </w:rPr>
              <w:t>4</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28">
              <w:r>
                <w:rPr>
                  <w:rStyle w:val="InternetLink"/>
                  <w:rFonts w:ascii="Times New Roman;serif" w:hAnsi="Times New Roman;serif"/>
                  <w:b w:val="false"/>
                  <w:color w:val="000000"/>
                  <w:sz w:val="20"/>
                  <w:u w:val="single"/>
                </w:rPr>
                <w:t>4</w:t>
              </w:r>
            </w:hyperlink>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31">
              <w:r>
                <w:rPr>
                  <w:rStyle w:val="InternetLink"/>
                  <w:rFonts w:ascii="Times New Roman;serif" w:hAnsi="Times New Roman;serif"/>
                  <w:b w:val="false"/>
                  <w:color w:val="000080"/>
                  <w:sz w:val="20"/>
                  <w:u w:val="single"/>
                </w:rPr>
                <w:t>Condensed Consolidated Statements of Changes In Redeemable Non-Controlling Interest, Redeemable Preferred Non-Controlling Interest And Stockholders'</w:t>
              </w:r>
            </w:hyperlink>
            <w:hyperlink w:anchor="i5fa4844a784141489635aff4429082a7_31">
              <w:r>
                <w:rPr>
                  <w:rStyle w:val="InternetLink"/>
                  <w:rFonts w:ascii="Times New Roman;serif" w:hAnsi="Times New Roman;serif"/>
                  <w:b w:val="false"/>
                  <w:color w:val="000080"/>
                  <w:sz w:val="20"/>
                  <w:u w:val="single"/>
                </w:rPr>
                <w:t xml:space="preserve"> Equity</w:t>
              </w:r>
            </w:hyperlink>
            <w:hyperlink w:anchor="i5fa4844a784141489635aff4429082a7_31">
              <w:r>
                <w:rPr>
                  <w:rStyle w:val="InternetLink"/>
                  <w:rFonts w:ascii="Times New Roman;serif" w:hAnsi="Times New Roman;serif"/>
                  <w:b w:val="false"/>
                  <w:color w:val="000080"/>
                  <w:sz w:val="20"/>
                  <w:u w:val="single"/>
                </w:rPr>
                <w:t xml:space="preserve"> </w:t>
              </w:r>
            </w:hyperlink>
            <w:hyperlink w:anchor="i5fa4844a784141489635aff4429082a7_31">
              <w:r>
                <w:rPr>
                  <w:rStyle w:val="InternetLink"/>
                  <w:rFonts w:ascii="Times New Roman;serif" w:hAnsi="Times New Roman;serif"/>
                  <w:b w:val="false"/>
                  <w:color w:val="000080"/>
                  <w:sz w:val="20"/>
                  <w:u w:val="single"/>
                </w:rPr>
                <w:t>(Deficit)</w:t>
              </w:r>
            </w:hyperlink>
            <w:hyperlink w:anchor="i5fa4844a784141489635aff4429082a7_31">
              <w:r>
                <w:rPr>
                  <w:rStyle w:val="InternetLink"/>
                  <w:rFonts w:ascii="Times New Roman;serif" w:hAnsi="Times New Roman;serif"/>
                  <w:b w:val="false"/>
                  <w:color w:val="000080"/>
                  <w:sz w:val="20"/>
                  <w:u w:val="single"/>
                </w:rPr>
                <w:t xml:space="preserve"> </w:t>
              </w:r>
            </w:hyperlink>
            <w:hyperlink w:anchor="i5fa4844a784141489635aff4429082a7_31">
              <w:r>
                <w:rPr>
                  <w:rStyle w:val="InternetLink"/>
                  <w:rFonts w:ascii="Times New Roman;serif" w:hAnsi="Times New Roman;serif"/>
                  <w:b w:val="false"/>
                  <w:color w:val="000080"/>
                  <w:sz w:val="20"/>
                  <w:u w:val="single"/>
                </w:rPr>
                <w:t xml:space="preserve">for the </w:t>
              </w:r>
            </w:hyperlink>
            <w:r>
              <w:rPr>
                <w:rFonts w:ascii="Times New Roman;serif" w:hAnsi="Times New Roman;serif"/>
                <w:b w:val="false"/>
                <w:color w:val="000000"/>
                <w:sz w:val="20"/>
                <w:u w:val="single"/>
              </w:rPr>
              <w:t>three and nine months ended</w:t>
            </w:r>
            <w:hyperlink w:anchor="i5fa4844a784141489635aff4429082a7_31">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u w:val="single"/>
              </w:rPr>
              <w:t>September 30, 2025</w:t>
            </w:r>
            <w:hyperlink w:anchor="i5fa4844a784141489635aff4429082a7_31">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00"/>
                <w:sz w:val="20"/>
                <w:u w:val="single"/>
              </w:rPr>
              <w:t>4</w:t>
            </w:r>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31">
              <w:r>
                <w:rPr>
                  <w:rStyle w:val="InternetLink"/>
                  <w:rFonts w:ascii="Times New Roman;serif" w:hAnsi="Times New Roman;serif"/>
                  <w:b w:val="false"/>
                  <w:color w:val="000000"/>
                  <w:sz w:val="20"/>
                  <w:u w:val="single"/>
                </w:rPr>
                <w:t>5</w:t>
              </w:r>
            </w:hyperlink>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34">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00000"/>
                <w:sz w:val="20"/>
                <w:u w:val="single"/>
              </w:rPr>
              <w:t>nine months ended</w:t>
            </w:r>
            <w:hyperlink w:anchor="i5fa4844a784141489635aff4429082a7_34">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u w:val="single"/>
              </w:rPr>
              <w:t>September 30, 2025</w:t>
            </w:r>
            <w:hyperlink w:anchor="i5fa4844a784141489635aff4429082a7_34">
              <w:r>
                <w:rPr>
                  <w:rStyle w:val="InternetLink"/>
                  <w:rFonts w:ascii="Times New Roman;serif" w:hAnsi="Times New Roman;serif"/>
                  <w:b w:val="false"/>
                  <w:color w:val="000080"/>
                  <w:sz w:val="20"/>
                  <w:u w:val="single"/>
                </w:rPr>
                <w:t xml:space="preserve"> and 202</w:t>
              </w:r>
            </w:hyperlink>
            <w:r>
              <w:rPr>
                <w:rFonts w:ascii="Times New Roman;serif" w:hAnsi="Times New Roman;serif"/>
                <w:b w:val="false"/>
                <w:color w:val="000000"/>
                <w:sz w:val="20"/>
                <w:u w:val="single"/>
              </w:rPr>
              <w:t>4</w:t>
            </w:r>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34">
              <w:r>
                <w:rPr>
                  <w:rStyle w:val="InternetLink"/>
                  <w:rFonts w:ascii="Times New Roman;serif" w:hAnsi="Times New Roman;serif"/>
                  <w:b w:val="false"/>
                  <w:color w:val="000000"/>
                  <w:sz w:val="20"/>
                  <w:u w:val="single"/>
                </w:rPr>
                <w:t>8</w:t>
              </w:r>
            </w:hyperlink>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37">
              <w:r>
                <w:rPr>
                  <w:rStyle w:val="InternetLink"/>
                  <w:rFonts w:ascii="Times New Roman;serif" w:hAnsi="Times New Roman;serif"/>
                  <w:b w:val="false"/>
                  <w:color w:val="000000"/>
                  <w:sz w:val="20"/>
                  <w:u w:val="single"/>
                </w:rPr>
                <w:t>Notes To Condensed Consolidated Financial Statements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37">
              <w:r>
                <w:rPr>
                  <w:rStyle w:val="InternetLink"/>
                  <w:rFonts w:ascii="Times New Roman;serif" w:hAnsi="Times New Roman;serif"/>
                  <w:b w:val="false"/>
                  <w:color w:val="000000"/>
                  <w:sz w:val="20"/>
                  <w:u w:val="single"/>
                </w:rPr>
                <w:t>10</w:t>
              </w:r>
            </w:hyperlink>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79">
              <w:r>
                <w:rPr>
                  <w:rStyle w:val="InternetLink"/>
                  <w:rFonts w:ascii="Times New Roman;serif" w:hAnsi="Times New Roman;serif"/>
                  <w:b w:val="false"/>
                  <w:color w:val="000000"/>
                  <w:sz w:val="20"/>
                  <w:u w:val="single"/>
                </w:rPr>
                <w:t>ITEM 2.</w:t>
              </w:r>
            </w:hyperlink>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79">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79">
              <w:r>
                <w:rPr>
                  <w:rStyle w:val="InternetLink"/>
                  <w:rFonts w:ascii="Times New Roman;serif" w:hAnsi="Times New Roman;serif"/>
                  <w:b w:val="false"/>
                  <w:color w:val="000000"/>
                  <w:sz w:val="20"/>
                  <w:u w:val="single"/>
                </w:rPr>
                <w:t>35</w:t>
              </w:r>
            </w:hyperlink>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ITEM 3.</w:t>
            </w:r>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94">
              <w:r>
                <w:rPr>
                  <w:rStyle w:val="InternetLink"/>
                  <w:rFonts w:ascii="Times New Roman;serif" w:hAnsi="Times New Roman;serif"/>
                  <w:b w:val="false"/>
                  <w:color w:val="000000"/>
                  <w:sz w:val="20"/>
                  <w:u w:val="single"/>
                </w:rPr>
                <w:t>QUANTITATIVE AND QUALITATIVE DISCLOSURES ABOUT MARKET RISK</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94">
              <w:r>
                <w:rPr>
                  <w:rStyle w:val="InternetLink"/>
                  <w:rFonts w:ascii="Times New Roman;serif" w:hAnsi="Times New Roman;serif"/>
                  <w:b w:val="false"/>
                  <w:color w:val="000000"/>
                  <w:sz w:val="20"/>
                  <w:u w:val="single"/>
                </w:rPr>
                <w:t>49</w:t>
              </w:r>
            </w:hyperlink>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97">
              <w:r>
                <w:rPr>
                  <w:rStyle w:val="InternetLink"/>
                  <w:rFonts w:ascii="Times New Roman;serif" w:hAnsi="Times New Roman;serif"/>
                  <w:b w:val="false"/>
                  <w:color w:val="000000"/>
                  <w:sz w:val="20"/>
                  <w:u w:val="single"/>
                </w:rPr>
                <w:t>ITEM 4.</w:t>
              </w:r>
            </w:hyperlink>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97">
              <w:r>
                <w:rPr>
                  <w:rStyle w:val="InternetLink"/>
                  <w:rFonts w:ascii="Times New Roman;serif" w:hAnsi="Times New Roman;serif"/>
                  <w:b w:val="false"/>
                  <w:color w:val="000000"/>
                  <w:sz w:val="20"/>
                  <w:u w:val="single"/>
                </w:rPr>
                <w:t>CONTROLS AND PROCEDURES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97">
              <w:r>
                <w:rPr>
                  <w:rStyle w:val="InternetLink"/>
                  <w:rFonts w:ascii="Times New Roman;serif" w:hAnsi="Times New Roman;serif"/>
                  <w:b w:val="false"/>
                  <w:color w:val="000000"/>
                  <w:sz w:val="20"/>
                  <w:u w:val="single"/>
                </w:rPr>
                <w:t>49</w:t>
              </w:r>
            </w:hyperlink>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00">
              <w:r>
                <w:rPr>
                  <w:rStyle w:val="InternetLink"/>
                  <w:rFonts w:ascii="Times New Roman;serif" w:hAnsi="Times New Roman;serif"/>
                  <w:b/>
                  <w:color w:val="000000"/>
                  <w:sz w:val="20"/>
                  <w:u w:val="single"/>
                </w:rPr>
                <w:t>PART II. OTHER INFORMATION</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03">
              <w:r>
                <w:rPr>
                  <w:rStyle w:val="InternetLink"/>
                  <w:rFonts w:ascii="Times New Roman;serif" w:hAnsi="Times New Roman;serif"/>
                  <w:b w:val="false"/>
                  <w:color w:val="000000"/>
                  <w:sz w:val="20"/>
                  <w:u w:val="single"/>
                </w:rPr>
                <w:t>ITEM 1.</w:t>
              </w:r>
            </w:hyperlink>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03">
              <w:r>
                <w:rPr>
                  <w:rStyle w:val="InternetLink"/>
                  <w:rFonts w:ascii="Times New Roman;serif" w:hAnsi="Times New Roman;serif"/>
                  <w:b w:val="false"/>
                  <w:color w:val="000000"/>
                  <w:sz w:val="20"/>
                  <w:u w:val="single"/>
                </w:rPr>
                <w:t>LEGAL PROCEEDINGS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03">
              <w:r>
                <w:rPr>
                  <w:rStyle w:val="InternetLink"/>
                  <w:rFonts w:ascii="Times New Roman;serif" w:hAnsi="Times New Roman;serif"/>
                  <w:b w:val="false"/>
                  <w:color w:val="000000"/>
                  <w:sz w:val="20"/>
                  <w:u w:val="single"/>
                </w:rPr>
                <w:t>51</w:t>
              </w:r>
            </w:hyperlink>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06">
              <w:r>
                <w:rPr>
                  <w:rStyle w:val="InternetLink"/>
                  <w:rFonts w:ascii="Times New Roman;serif" w:hAnsi="Times New Roman;serif"/>
                  <w:b w:val="false"/>
                  <w:color w:val="000000"/>
                  <w:sz w:val="20"/>
                  <w:u w:val="single"/>
                </w:rPr>
                <w:t>ITEM 1A.</w:t>
              </w:r>
            </w:hyperlink>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06">
              <w:r>
                <w:rPr>
                  <w:rStyle w:val="InternetLink"/>
                  <w:rFonts w:ascii="Times New Roman;serif" w:hAnsi="Times New Roman;serif"/>
                  <w:b w:val="false"/>
                  <w:color w:val="000000"/>
                  <w:sz w:val="20"/>
                  <w:u w:val="single"/>
                </w:rPr>
                <w:t>RISK FACTORS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06">
              <w:r>
                <w:rPr>
                  <w:rStyle w:val="InternetLink"/>
                  <w:rFonts w:ascii="Times New Roman;serif" w:hAnsi="Times New Roman;serif"/>
                  <w:b w:val="false"/>
                  <w:color w:val="000000"/>
                  <w:sz w:val="20"/>
                  <w:u w:val="single"/>
                </w:rPr>
                <w:t>51</w:t>
              </w:r>
            </w:hyperlink>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09">
              <w:r>
                <w:rPr>
                  <w:rStyle w:val="InternetLink"/>
                  <w:rFonts w:ascii="Times New Roman;serif" w:hAnsi="Times New Roman;serif"/>
                  <w:b w:val="false"/>
                  <w:color w:val="000000"/>
                  <w:sz w:val="20"/>
                  <w:u w:val="single"/>
                </w:rPr>
                <w:t>ITEM 2.</w:t>
              </w:r>
            </w:hyperlink>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09">
              <w:r>
                <w:rPr>
                  <w:rStyle w:val="InternetLink"/>
                  <w:rFonts w:ascii="Times New Roman;serif" w:hAnsi="Times New Roman;serif"/>
                  <w:b w:val="false"/>
                  <w:color w:val="000000"/>
                  <w:sz w:val="20"/>
                  <w:u w:val="single"/>
                </w:rPr>
                <w:t>UNREGISTERED SALES OF EQUITY SECURITIES AND USE OF PROCEEDS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09">
              <w:r>
                <w:rPr>
                  <w:rStyle w:val="InternetLink"/>
                  <w:rFonts w:ascii="Times New Roman;serif" w:hAnsi="Times New Roman;serif"/>
                  <w:b w:val="false"/>
                  <w:color w:val="000000"/>
                  <w:sz w:val="20"/>
                  <w:u w:val="single"/>
                </w:rPr>
                <w:t>51</w:t>
              </w:r>
            </w:hyperlink>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12">
              <w:r>
                <w:rPr>
                  <w:rStyle w:val="InternetLink"/>
                  <w:rFonts w:ascii="Times New Roman;serif" w:hAnsi="Times New Roman;serif"/>
                  <w:b w:val="false"/>
                  <w:color w:val="000000"/>
                  <w:sz w:val="20"/>
                  <w:u w:val="single"/>
                </w:rPr>
                <w:t>ITEM 3.</w:t>
              </w:r>
            </w:hyperlink>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12">
              <w:r>
                <w:rPr>
                  <w:rStyle w:val="InternetLink"/>
                  <w:rFonts w:ascii="Times New Roman;serif" w:hAnsi="Times New Roman;serif"/>
                  <w:b w:val="false"/>
                  <w:color w:val="000000"/>
                  <w:sz w:val="20"/>
                  <w:u w:val="single"/>
                </w:rPr>
                <w:t>DEFAULTS UPON SENIOR SECURITIES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12">
              <w:r>
                <w:rPr>
                  <w:rStyle w:val="InternetLink"/>
                  <w:rFonts w:ascii="Times New Roman;serif" w:hAnsi="Times New Roman;serif"/>
                  <w:b w:val="false"/>
                  <w:color w:val="000000"/>
                  <w:sz w:val="20"/>
                  <w:u w:val="single"/>
                </w:rPr>
                <w:t>51</w:t>
              </w:r>
            </w:hyperlink>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15">
              <w:r>
                <w:rPr>
                  <w:rStyle w:val="InternetLink"/>
                  <w:rFonts w:ascii="Times New Roman;serif" w:hAnsi="Times New Roman;serif"/>
                  <w:b w:val="false"/>
                  <w:color w:val="000000"/>
                  <w:sz w:val="20"/>
                  <w:u w:val="single"/>
                </w:rPr>
                <w:t>ITEM 4.</w:t>
              </w:r>
            </w:hyperlink>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15">
              <w:r>
                <w:rPr>
                  <w:rStyle w:val="InternetLink"/>
                  <w:rFonts w:ascii="Times New Roman;serif" w:hAnsi="Times New Roman;serif"/>
                  <w:b w:val="false"/>
                  <w:color w:val="000000"/>
                  <w:sz w:val="20"/>
                  <w:u w:val="single"/>
                </w:rPr>
                <w:t>MINE SAFETY DISCLOSURES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15">
              <w:r>
                <w:rPr>
                  <w:rStyle w:val="InternetLink"/>
                  <w:rFonts w:ascii="Times New Roman;serif" w:hAnsi="Times New Roman;serif"/>
                  <w:b w:val="false"/>
                  <w:color w:val="000000"/>
                  <w:sz w:val="20"/>
                  <w:u w:val="single"/>
                </w:rPr>
                <w:t>51</w:t>
              </w:r>
            </w:hyperlink>
          </w:p>
        </w:tc>
      </w:tr>
      <w:tr>
        <w:trPr/>
        <w:tc>
          <w:tcPr>
            <w:tcW w:w="11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18">
              <w:r>
                <w:rPr>
                  <w:rStyle w:val="InternetLink"/>
                  <w:rFonts w:ascii="Times New Roman;serif" w:hAnsi="Times New Roman;serif"/>
                  <w:b w:val="false"/>
                  <w:color w:val="000000"/>
                  <w:sz w:val="20"/>
                  <w:u w:val="single"/>
                </w:rPr>
                <w:t>ITEM 5.</w:t>
              </w:r>
            </w:hyperlink>
          </w:p>
        </w:tc>
        <w:tc>
          <w:tcPr>
            <w:tcW w:w="8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18">
              <w:r>
                <w:rPr>
                  <w:rStyle w:val="InternetLink"/>
                  <w:rFonts w:ascii="Times New Roman;serif" w:hAnsi="Times New Roman;serif"/>
                  <w:b w:val="false"/>
                  <w:color w:val="000000"/>
                  <w:sz w:val="20"/>
                  <w:u w:val="single"/>
                </w:rPr>
                <w:t>OTHER INFORMATION</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18">
              <w:r>
                <w:rPr>
                  <w:rStyle w:val="InternetLink"/>
                  <w:rFonts w:ascii="Times New Roman;serif" w:hAnsi="Times New Roman;serif"/>
                  <w:b w:val="false"/>
                  <w:color w:val="000000"/>
                  <w:sz w:val="20"/>
                  <w:u w:val="single"/>
                </w:rPr>
                <w:t>52</w:t>
              </w:r>
            </w:hyperlink>
          </w:p>
        </w:tc>
      </w:tr>
      <w:tr>
        <w:trPr/>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21">
              <w:r>
                <w:rPr>
                  <w:rStyle w:val="InternetLink"/>
                  <w:rFonts w:ascii="Times New Roman;serif" w:hAnsi="Times New Roman;serif"/>
                  <w:b w:val="false"/>
                  <w:color w:val="000000"/>
                  <w:sz w:val="20"/>
                  <w:u w:val="single"/>
                </w:rPr>
                <w:t>ITEM 6.</w:t>
              </w:r>
            </w:hyperlink>
          </w:p>
        </w:tc>
        <w:tc>
          <w:tcPr>
            <w:tcW w:w="8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21">
              <w:r>
                <w:rPr>
                  <w:rStyle w:val="InternetLink"/>
                  <w:rFonts w:ascii="Times New Roman;serif" w:hAnsi="Times New Roman;serif"/>
                  <w:b w:val="false"/>
                  <w:color w:val="000000"/>
                  <w:sz w:val="20"/>
                  <w:u w:val="single"/>
                </w:rPr>
                <w:t>EXHIBITS</w:t>
              </w:r>
            </w:hyperlink>
          </w:p>
        </w:tc>
        <w:tc>
          <w:tcPr>
            <w:tcW w:w="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21">
              <w:r>
                <w:rPr>
                  <w:rStyle w:val="InternetLink"/>
                  <w:rFonts w:ascii="Times New Roman;serif" w:hAnsi="Times New Roman;serif"/>
                  <w:b w:val="false"/>
                  <w:color w:val="000000"/>
                  <w:sz w:val="20"/>
                  <w:u w:val="single"/>
                </w:rPr>
                <w:t>52</w:t>
              </w:r>
            </w:hyperlink>
          </w:p>
        </w:tc>
      </w:tr>
      <w:tr>
        <w:trPr/>
        <w:tc>
          <w:tcPr>
            <w:tcW w:w="951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fa4844a784141489635aff4429082a7_124">
              <w:r>
                <w:rPr>
                  <w:rStyle w:val="InternetLink"/>
                  <w:rFonts w:ascii="Times New Roman;serif" w:hAnsi="Times New Roman;serif"/>
                  <w:b w:val="false"/>
                  <w:color w:val="000000"/>
                  <w:sz w:val="20"/>
                  <w:u w:val="single"/>
                </w:rPr>
                <w:t>SIGNATURES</w:t>
              </w:r>
            </w:hyperlink>
          </w:p>
        </w:tc>
        <w:tc>
          <w:tcPr>
            <w:tcW w:w="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fa4844a784141489635aff4429082a7_124">
              <w:r>
                <w:rPr>
                  <w:rStyle w:val="InternetLink"/>
                  <w:rFonts w:ascii="Times New Roman;serif" w:hAnsi="Times New Roman;serif"/>
                  <w:b w:val="false"/>
                  <w:color w:val="000000"/>
                  <w:sz w:val="20"/>
                  <w:u w:val="single"/>
                </w:rPr>
                <w:t>53</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Glossary of Key Terms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uses several terms of art that are specific to our industry and business. For the convenience of the reader, a glossary of such terms is provided here. Capitalized terms that are used in this Quarterly Report are either defined when they are first used or in the Glossary. Unless we otherwise indicate, or unless the context requires otherwise, any references in this Quarterly Report on Form 10-Q to:</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ArcLight” refers to ArcLight Clean Transition Corp. II, a blank check company incorporated as a Cayman Islands exempt company, and our previous name prior to the closing of the Business Combination.</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Biogas Conversion Projects” refers to projects derived from the recovery and processing of biogas from landfills and other non-fossil fuel sources, such as livestock and dairy farms, for beneficial use as a replacement to fossil fuels.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Business Combination” refers to the transactions contemplated by the Business Combination Agreement dated as of December 2, 2021 (as the same has been or may be amended, modified, supplemented or waived from time to time), by and among ArcLight, OPAL Fuels and OPAL Holdco.</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Class A common stock” refers to the shares of Class A common stock, par value $0.0001 per share, of OPAL.</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Class B common stock” refers to the shares of Class B common stock, par value $0.0001 per share, of OPAL.</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Class C common stock” refers to the shares of Class C common stock, par value $0.0001 per share, of OPAL.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Class D common stock” refers to the shares of Class D common stock, par value $0.0001 per share, of OPAL.</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Company”, “we”, “our”, “us”, "Opal Fuels" or similar terms refers to OPAL Fuels Inc. individually or on a consolidated basis, as the context may require.</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Exchange Act” refers to the Securities Exchange Act of 1934, as amended.</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FASB” refers to the Financial Accounting Standards Board.</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Fortistar” refers to Fortistar LLC, a Delaware limited liability company.</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Sarbanes-Oxley Act” refers to the Sarbanes-Oxley Act of 2002.</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Securities Act” refers to the Securities Act of 1933, as amended.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addition, the following is a glossary of key industry terms used herein:</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Btu” refers to British thermal units.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CNG” refers to compressed natural gas.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D3” refers to cellulosic biofuel with a 60% GHG reduction requirement.</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EPA” refers to the U.S. Environmental Protection Agency.</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GGE” refers to gasoline gallon equivalent. The conversion ratio is 1 MMBtu of natural gas equal to 7.74 GGE.</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GHG” refers to greenhouse gases.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"ISCC Carbon Credits" refers to Environmental Attributes associated with renewable biomethane.</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ISOs” refers to independent system operators.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LCFS” refers to Low Carbon Fuel Standard or similar types of federal and state programs.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LFG” refers to landfill gas.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"MMBtus" refers to million British thermal units.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"PTC" refers to the Production Tax Credit.</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RECs” refers to renewable energy credits.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Renewable Power” refers to electricity generated from renewable sources.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RFS” refers to the EPA’s Renewable Fuel Standard.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RINs” refers to Renewable Identification Numbers.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RNG” refers to renewable natural gas.</w:t>
      </w:r>
    </w:p>
    <w:p>
      <w:pPr>
        <w:pStyle w:val="TextBody"/>
        <w:bidi w:val="0"/>
        <w:spacing w:lineRule="auto" w:line="288" w:before="0" w:after="200"/>
        <w:jc w:val="both"/>
        <w:rPr>
          <w:color w:val="000000"/>
        </w:rPr>
      </w:pPr>
      <w:r>
        <w:rPr>
          <w:color w:val="000000"/>
        </w:rPr>
        <w:t>“</w:t>
      </w:r>
      <w:r>
        <w:rPr>
          <w:rFonts w:ascii="Times New Roman;serif" w:hAnsi="Times New Roman;serif"/>
          <w:b w:val="false"/>
          <w:i/>
          <w:color w:val="000000"/>
          <w:sz w:val="20"/>
        </w:rPr>
        <w:t>RVOs” refers to renewable volume obligations.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90"/>
        <w:gridCol w:w="2543"/>
        <w:gridCol w:w="2531"/>
        <w:gridCol w:w="218"/>
        <w:gridCol w:w="720"/>
        <w:gridCol w:w="121"/>
        <w:gridCol w:w="212"/>
        <w:gridCol w:w="700"/>
        <w:gridCol w:w="170"/>
      </w:tblGrid>
      <w:tr>
        <w:trPr/>
        <w:tc>
          <w:tcPr>
            <w:tcW w:w="2990"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Cash and cash equivalents (includes $119 and $358 at September 30, 2025 and December 31, 2024, respectively, related to consolidated VIEs)</w:t>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29,928 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24,310 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allowances of $2,454 and $—, respectively (includes $17 and $435 at September 30, 2025 and December 31, 2024, respectively, related to consolidated VIEs)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31,113 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32,013 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related party</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14,522 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Restricted cash - current (includes $906 and $972 at September 30, 2025 and December 31, 2024, respectively, related to consolidated VIEs)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972 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Fuel tax credits receivable</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5,639 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11,075 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Parts inventory </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Prepaid expense and other current assets (includes $1,100 and $144 at September 30, 2025 and December 31, 2024, respectively, related to consolidated VIEs)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18,363 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122,785 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117,188 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 (includes $30,931 and $25,428 at September 30, 2025 and December 31, 2024, respectively, related to consolidated VIEs)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484,351 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458,258 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other entities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227,545 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223,594 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 xml:space="preserve">Other long-term assets </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23,483 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Restricted cash - non-current (includes $2,633 and $2,315 at September 30, 2025 and December 31, 2024, respectively, related to consolidated VIEs)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3,946 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54,608 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916,749 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881,077 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16"/>
              </w:rPr>
            </w:pPr>
            <w:r>
              <w:rPr>
                <w:rFonts w:ascii="Times New Roman;serif" w:hAnsi="Times New Roman;serif"/>
                <w:b/>
                <w:color w:val="000000"/>
                <w:sz w:val="16"/>
              </w:rPr>
              <w:t>Liabilities and Stockholders' Equity (Deficit)</w:t>
            </w:r>
          </w:p>
        </w:tc>
        <w:tc>
          <w:tcPr>
            <w:tcW w:w="1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Accounts payable (includes $178 and $22 at September 30, 2025 and December 31, 2024, respectively, related to consolidated VIEs)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 xml:space="preserve">Accounts payable, related party (includes $83 and $426 at September 30, 2025 and December 31, 2024, respectively, related to consolidated VIEs) </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7,932 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Fuel tax credits payable</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4,422 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Accrued payroll (includes $39 and $45 at September 30, 2025 and December 31, 2024, respectively, related to consolidated VIEs)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Accrued and payable capital expenditures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23,238 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environmental credit rebates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4,593 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 (includes $1,148 and $974 at September 30, 2025 and December 31, 2024, respectively, related to consolidated VIEs)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14,717 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9,276 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OPAL Term Loan - current portion</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Sunoma Loan - current portion (includes $1,861 and $1,756 at September 30, 2025 and December 31, 2024, respectively, related to consolidated VIEs)</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83,461 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103,596 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OPAL Term Loan, net of debt issuance costs</w:t>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313,324 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266,630 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Sunoma Loan, net of debt issuance costs (includes $17,071 and $18,373 at September 30, 2025 and December 31, 2024, respectively, related to consolidated VIEs)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17,071 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18,373 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 non-current portion</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Other long-term liabilities (includes $1,307 and $2,495 at September 30, 2025 and December 31, 2024, respectively, related to consolidated VIEs)</w:t>
            </w:r>
          </w:p>
        </w:tc>
        <w:tc>
          <w:tcPr>
            <w:tcW w:w="9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8,157 </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15,291 </w:t>
            </w:r>
          </w:p>
        </w:tc>
        <w:tc>
          <w:tcPr>
            <w:tcW w:w="17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7860"/>
                <wp:effectExtent l="0" t="0" r="0" b="0"/>
                <wp:wrapNone/>
                <wp:docPr id="7" name="Frame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162"/>
        <w:gridCol w:w="2447"/>
        <w:gridCol w:w="2467"/>
        <w:gridCol w:w="196"/>
        <w:gridCol w:w="736"/>
        <w:gridCol w:w="109"/>
        <w:gridCol w:w="196"/>
        <w:gridCol w:w="736"/>
        <w:gridCol w:w="156"/>
      </w:tblGrid>
      <w:tr>
        <w:trPr/>
        <w:tc>
          <w:tcPr>
            <w:tcW w:w="3162"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00"/>
              <w:jc w:val="left"/>
              <w:rPr>
                <w:sz w:val="4"/>
                <w:szCs w:val="4"/>
              </w:rPr>
            </w:pPr>
            <w:r>
              <w:rPr>
                <w:sz w:val="4"/>
                <w:szCs w:val="4"/>
              </w:rPr>
            </w:r>
          </w:p>
        </w:tc>
      </w:tr>
      <w:tr>
        <w:trPr/>
        <w:tc>
          <w:tcPr>
            <w:tcW w:w="8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433,953 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416,045 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16"/>
              </w:rPr>
              <w:t xml:space="preserve">Commitments and contingencies </w:t>
            </w:r>
            <w:r>
              <w:rPr>
                <w:rFonts w:ascii="Times New Roman;serif" w:hAnsi="Times New Roman;serif"/>
                <w:b w:val="false"/>
                <w:i/>
                <w:color w:val="000000"/>
                <w:sz w:val="16"/>
              </w:rPr>
              <w:t>Note 12</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Stockholders' equity (deficit)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340,000,000 shares authorized as of September 30, 2025 and December 31, 2024; shares issued: 30,631,960 and 30,065,260 at September 30, 2025 and December 31, 2024, respectively; shares outstanding: 28,996,177 and 28,429,477 at September 30, 2025 and December 31, 2024,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160,000,000 shares authorized as of September 30, 2025 and December 31, 2024; 121,500,000 issued and outstanding as of September 30, 2025 and 71,500,000 issued and outstanding as of December 31,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C common stock, $0.0001 par value, 160,000,000 shares authorized as of September 30, 2025 and December 31, 2024; none issued and outstanding as of September 30, 2025 and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D common stock, $0.0001 par value, 160,000,000 shares authorized as of September 30, 2025 and December 31, 2024; 22,899,037 shares issued and outstanding at September 30, 2025 and 72,899,037 issued and outstanding as of December 31, 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807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color w:val="000000"/>
              </w:rPr>
            </w:pPr>
            <w:r>
              <w:rPr>
                <w:color w:val="000000"/>
              </w:rPr>
              <w:t> </w:t>
            </w:r>
            <w:r>
              <w:rPr>
                <w:rFonts w:ascii="Times New Roman;serif" w:hAnsi="Times New Roman;serif"/>
                <w:b w:val="false"/>
                <w:color w:val="000000"/>
                <w:sz w:val="16"/>
              </w:rPr>
              <w:t>Retained earnings (accumulated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(137,004)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Class A common stock in treasury, at cost; 1,635,783 at September 30, 2025 and December 31, 2024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Total Stockholders' equity (deficit)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(148,449)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80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Non-redeemable non-controlling interests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Total Stockholders' equity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(147,831)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Total liabilities, Redeemable preferred non-controlling interests, Redeemable non-controlling interests and Stockholders' equity (deficit)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916,749 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881,077 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7860"/>
                <wp:effectExtent l="0" t="0" r="0" b="0"/>
                <wp:wrapNone/>
                <wp:docPr id="8" name="Frame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90"/>
        <w:gridCol w:w="1752"/>
        <w:gridCol w:w="1771"/>
        <w:gridCol w:w="276"/>
        <w:gridCol w:w="745"/>
        <w:gridCol w:w="120"/>
        <w:gridCol w:w="276"/>
        <w:gridCol w:w="745"/>
        <w:gridCol w:w="120"/>
        <w:gridCol w:w="265"/>
        <w:gridCol w:w="743"/>
        <w:gridCol w:w="119"/>
        <w:gridCol w:w="265"/>
        <w:gridCol w:w="743"/>
        <w:gridCol w:w="175"/>
      </w:tblGrid>
      <w:tr>
        <w:trPr/>
        <w:tc>
          <w:tcPr>
            <w:tcW w:w="2090"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61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Revenues: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RNG Fuel (includes revenues from related parties of $17,950 and $22,798 for the three months ended September 30, 2025 and 2024, respectively; $55,929 and $54,174 for the nine months ended September 30, 2025 and 2024, respectively)</w:t>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25,864 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75,650 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63,036 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Fuel Station Services (includes revenues from related parties of $11,492 and $12,526 for the three months ended September 30, 2025 and 2024, respectively; $40,921 and $34,234 for the nine months ended September 30, 2025 and 2024, respectively)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51,722 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45,395 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149,426 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121,794 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Renewable Power (includes revenues from related parties of $2,022 and $1,799 for the three months ended September 30, 2025 and 2024, respectively; $4,676 and $5,129 for the nine months ended September 30, 2025 and 2024, respectively)</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35,119 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83,357 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84,047 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249,220 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219,949 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RNG Fuel</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9,985 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26,644 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Fuel Station Services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40,230 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33,609 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118,683 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94,882 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 Renewable Power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25,931 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Project development and startup costs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10,523 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12,692 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47,803 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39,552 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12,677 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Income from equity method investments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(3,822)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(11,828)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79,769 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71,738 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248,401 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198,381 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income</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3,588 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12,309 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21,568 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color w:val="000000"/>
                <w:sz w:val="16"/>
              </w:rPr>
            </w:pPr>
            <w:r>
              <w:rPr>
                <w:rFonts w:ascii="Times New Roman;serif" w:hAnsi="Times New Roman;serif"/>
                <w:b/>
                <w:color w:val="000000"/>
                <w:sz w:val="16"/>
              </w:rPr>
              <w:t>Other (expense) income:</w:t>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financing expense, net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(6,898)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(19,330)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(13,976)</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 instruments, net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1,457 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(6,769)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(4,108)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(16,880)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(10,782)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before income tax benefit</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(3,181)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8,201 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(16,061)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10,786 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14,567 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8,906 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36,290 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8,906 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17,107 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20,229 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19,692 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redeemable non-controlling interests</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7,226 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11,998 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10,034 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9,618 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non-redeemable non-controlling interests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7,853 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attributable to Class A common stockholders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2,362 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1,893 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 of Class A common stock:</w:t>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11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28,279,527 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27,709,203 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28,090,014 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27,585,620 </w:t>
            </w:r>
          </w:p>
        </w:tc>
        <w:tc>
          <w:tcPr>
            <w:tcW w:w="17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29,592,822 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27,743,417 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29,013,705 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27,644,164 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Per share amounts: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Basic </w:t>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7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center"/>
        <w:rPr>
          <w:rFonts w:ascii="Times New Roman;serif" w:hAnsi="Times New Roman;serif"/>
          <w:b w:val="false"/>
          <w:color w:val="000000"/>
          <w:sz w:val="16"/>
        </w:rPr>
      </w:pPr>
      <w:r>
        <w:rPr>
          <w:rFonts w:ascii="Times New Roman;serif" w:hAnsi="Times New Roman;serif"/>
          <w:b w:val="false"/>
          <w:color w:val="000000"/>
          <w:sz w:val="16"/>
        </w:rPr>
        <w:t xml:space="preserve">The accompanying notes are an integral part of these unaudited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7860"/>
                <wp:effectExtent l="0" t="0" r="0" b="0"/>
                <wp:wrapNone/>
                <wp:docPr id="9" name="Frame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55"/>
        <w:gridCol w:w="1626"/>
        <w:gridCol w:w="1634"/>
        <w:gridCol w:w="263"/>
        <w:gridCol w:w="870"/>
        <w:gridCol w:w="146"/>
        <w:gridCol w:w="263"/>
        <w:gridCol w:w="870"/>
        <w:gridCol w:w="146"/>
        <w:gridCol w:w="254"/>
        <w:gridCol w:w="839"/>
        <w:gridCol w:w="141"/>
        <w:gridCol w:w="254"/>
        <w:gridCol w:w="839"/>
        <w:gridCol w:w="205"/>
      </w:tblGrid>
      <w:tr>
        <w:trPr/>
        <w:tc>
          <w:tcPr>
            <w:tcW w:w="1855"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253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2024</w:t>
            </w:r>
          </w:p>
        </w:tc>
        <w:tc>
          <w:tcPr>
            <w:tcW w:w="12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2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2024</w:t>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20,229 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w:t>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Effective portion of the cash flow hedge attributable to equity method investments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cash flow hedges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16,538 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redeemable non-controlling interests (1)</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attributable to redeemable non-controlling interests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non-redeemable non-controlling interests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Class A common stockholders</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color w:val="000000"/>
          <w:sz w:val="10"/>
        </w:rPr>
        <w:t xml:space="preserve">(1) </w:t>
      </w:r>
      <w:r>
        <w:rPr>
          <w:rFonts w:ascii="Times New Roman;serif" w:hAnsi="Times New Roman;serif"/>
          <w:b w:val="false"/>
          <w:color w:val="000000"/>
          <w:sz w:val="16"/>
        </w:rPr>
        <w:t>Includes $2,179 and $2,186 of dividends attributable to redeemable non-controlling interests for the three months ended September 30, 2025 and 2024, respectively; includes $6,538 and $6,561 of dividends attributable to redeemable non-controlling interests for the nine months ended September 30, 2025 and 2024, respectively.</w:t>
      </w:r>
    </w:p>
    <w:p>
      <w:pPr>
        <w:pStyle w:val="TextBody"/>
        <w:bidi w:val="0"/>
        <w:spacing w:lineRule="auto" w:line="288" w:before="20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7860"/>
                <wp:effectExtent l="0" t="0" r="0" b="0"/>
                <wp:wrapNone/>
                <wp:docPr id="10" name="Frame1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OPAL FUELS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CONDENSED CONSOLIDATED STATEMENTS OF CHANGES IN REDEEMABLE NON-CONTROLLING INTEREST, REDEEMABLE PREFERRED NON-CONTROLLING INTEREST AND STOCKHOLDERS' EQUITY (DEFICIT)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6186" w:type="dxa"/>
        <w:jc w:val="center"/>
        <w:tblInd w:w="0" w:type="dxa"/>
        <w:tblLayout w:type="fixed"/>
        <w:tblCellMar>
          <w:top w:w="28" w:type="dxa"/>
          <w:left w:w="28" w:type="dxa"/>
          <w:bottom w:w="28" w:type="dxa"/>
          <w:right w:w="28" w:type="dxa"/>
        </w:tblCellMar>
      </w:tblPr>
      <w:tblGrid>
        <w:gridCol w:w="622"/>
        <w:gridCol w:w="355"/>
        <w:gridCol w:w="269"/>
        <w:gridCol w:w="667"/>
        <w:gridCol w:w="294"/>
        <w:gridCol w:w="127"/>
        <w:gridCol w:w="298"/>
        <w:gridCol w:w="247"/>
        <w:gridCol w:w="131"/>
        <w:gridCol w:w="663"/>
        <w:gridCol w:w="298"/>
        <w:gridCol w:w="127"/>
        <w:gridCol w:w="296"/>
        <w:gridCol w:w="249"/>
        <w:gridCol w:w="131"/>
        <w:gridCol w:w="677"/>
        <w:gridCol w:w="299"/>
        <w:gridCol w:w="127"/>
        <w:gridCol w:w="298"/>
        <w:gridCol w:w="247"/>
        <w:gridCol w:w="131"/>
        <w:gridCol w:w="280"/>
        <w:gridCol w:w="280"/>
        <w:gridCol w:w="281"/>
        <w:gridCol w:w="391"/>
        <w:gridCol w:w="360"/>
        <w:gridCol w:w="361"/>
        <w:gridCol w:w="385"/>
        <w:gridCol w:w="385"/>
        <w:gridCol w:w="386"/>
        <w:gridCol w:w="420"/>
        <w:gridCol w:w="420"/>
        <w:gridCol w:w="421"/>
        <w:gridCol w:w="623"/>
        <w:gridCol w:w="263"/>
        <w:gridCol w:w="127"/>
        <w:gridCol w:w="440"/>
        <w:gridCol w:w="221"/>
        <w:gridCol w:w="131"/>
        <w:gridCol w:w="521"/>
        <w:gridCol w:w="230"/>
        <w:gridCol w:w="231"/>
        <w:gridCol w:w="400"/>
        <w:gridCol w:w="400"/>
        <w:gridCol w:w="401"/>
        <w:gridCol w:w="390"/>
        <w:gridCol w:w="361"/>
        <w:gridCol w:w="524"/>
      </w:tblGrid>
      <w:tr>
        <w:trPr/>
        <w:tc>
          <w:tcPr>
            <w:tcW w:w="6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176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1779"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D Common Stock</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Class A Common stock in Treasury</w:t>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 Retained Earnings</w:t>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(loss)/income</w:t>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Non-redeemable non-controlling interests</w:t>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(Deficit) Equity</w:t>
            </w:r>
          </w:p>
        </w:tc>
        <w:tc>
          <w:tcPr>
            <w:tcW w:w="12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interests</w:t>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30,065,260 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72,899,037 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(137,004)</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(147,831)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482,863 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1,006 </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for vesting of equity awards net of tax withholdings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542,404 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205,870 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205,959 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(205,959)</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30,607,664 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72,899,037 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68,631 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57,726 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276,719 </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6,162 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under the ATM program</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 conversion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for vesting of equity awards net of tax withholdings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from non-redeemable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(82,872)</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(83,294)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83,294 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9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w:t>
            </w:r>
          </w:p>
        </w:tc>
        <w:tc>
          <w:tcPr>
            <w:tcW w:w="4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57860"/>
                <wp:effectExtent l="0" t="0" r="0" b="0"/>
                <wp:wrapNone/>
                <wp:docPr id="11" name="Frame1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856" w:type="dxa"/>
        <w:jc w:val="center"/>
        <w:tblInd w:w="0" w:type="dxa"/>
        <w:tblLayout w:type="fixed"/>
        <w:tblCellMar>
          <w:top w:w="28" w:type="dxa"/>
          <w:left w:w="28" w:type="dxa"/>
          <w:bottom w:w="28" w:type="dxa"/>
          <w:right w:w="28" w:type="dxa"/>
        </w:tblCellMar>
      </w:tblPr>
      <w:tblGrid>
        <w:gridCol w:w="692"/>
        <w:gridCol w:w="274"/>
        <w:gridCol w:w="280"/>
        <w:gridCol w:w="480"/>
        <w:gridCol w:w="481"/>
        <w:gridCol w:w="109"/>
        <w:gridCol w:w="202"/>
        <w:gridCol w:w="204"/>
        <w:gridCol w:w="109"/>
        <w:gridCol w:w="525"/>
        <w:gridCol w:w="526"/>
        <w:gridCol w:w="109"/>
        <w:gridCol w:w="202"/>
        <w:gridCol w:w="204"/>
        <w:gridCol w:w="109"/>
        <w:gridCol w:w="480"/>
        <w:gridCol w:w="481"/>
        <w:gridCol w:w="109"/>
        <w:gridCol w:w="202"/>
        <w:gridCol w:w="204"/>
        <w:gridCol w:w="109"/>
        <w:gridCol w:w="217"/>
        <w:gridCol w:w="219"/>
        <w:gridCol w:w="109"/>
        <w:gridCol w:w="330"/>
        <w:gridCol w:w="331"/>
        <w:gridCol w:w="109"/>
        <w:gridCol w:w="202"/>
        <w:gridCol w:w="204"/>
        <w:gridCol w:w="109"/>
        <w:gridCol w:w="278"/>
        <w:gridCol w:w="278"/>
        <w:gridCol w:w="109"/>
        <w:gridCol w:w="443"/>
        <w:gridCol w:w="443"/>
        <w:gridCol w:w="109"/>
        <w:gridCol w:w="330"/>
        <w:gridCol w:w="331"/>
        <w:gridCol w:w="109"/>
        <w:gridCol w:w="330"/>
        <w:gridCol w:w="331"/>
        <w:gridCol w:w="109"/>
        <w:gridCol w:w="368"/>
        <w:gridCol w:w="368"/>
        <w:gridCol w:w="109"/>
        <w:gridCol w:w="368"/>
        <w:gridCol w:w="368"/>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2025</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30,631,960 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121,500,000 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22,899,037 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365,548 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545"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30,631,960 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121,500,000 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22,899,037 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left w:val="single" w:sz="8" w:space="0" w:color="000000"/>
              <w:bottom w:val="double" w:sz="8" w:space="0" w:color="000000"/>
            </w:tcBorders>
            <w:shd w:fill="FFFF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186" w:type="dxa"/>
        <w:jc w:val="center"/>
        <w:tblInd w:w="0" w:type="dxa"/>
        <w:tblLayout w:type="fixed"/>
        <w:tblCellMar>
          <w:top w:w="28" w:type="dxa"/>
          <w:left w:w="28" w:type="dxa"/>
          <w:bottom w:w="28" w:type="dxa"/>
          <w:right w:w="28" w:type="dxa"/>
        </w:tblCellMar>
      </w:tblPr>
      <w:tblGrid>
        <w:gridCol w:w="622"/>
        <w:gridCol w:w="355"/>
        <w:gridCol w:w="269"/>
        <w:gridCol w:w="667"/>
        <w:gridCol w:w="294"/>
        <w:gridCol w:w="127"/>
        <w:gridCol w:w="298"/>
        <w:gridCol w:w="247"/>
        <w:gridCol w:w="131"/>
        <w:gridCol w:w="663"/>
        <w:gridCol w:w="298"/>
        <w:gridCol w:w="127"/>
        <w:gridCol w:w="296"/>
        <w:gridCol w:w="249"/>
        <w:gridCol w:w="131"/>
        <w:gridCol w:w="730"/>
        <w:gridCol w:w="321"/>
        <w:gridCol w:w="127"/>
        <w:gridCol w:w="298"/>
        <w:gridCol w:w="247"/>
        <w:gridCol w:w="131"/>
        <w:gridCol w:w="280"/>
        <w:gridCol w:w="280"/>
        <w:gridCol w:w="281"/>
        <w:gridCol w:w="411"/>
        <w:gridCol w:w="340"/>
        <w:gridCol w:w="341"/>
        <w:gridCol w:w="385"/>
        <w:gridCol w:w="385"/>
        <w:gridCol w:w="386"/>
        <w:gridCol w:w="420"/>
        <w:gridCol w:w="420"/>
        <w:gridCol w:w="421"/>
        <w:gridCol w:w="623"/>
        <w:gridCol w:w="263"/>
        <w:gridCol w:w="127"/>
        <w:gridCol w:w="440"/>
        <w:gridCol w:w="221"/>
        <w:gridCol w:w="131"/>
        <w:gridCol w:w="375"/>
        <w:gridCol w:w="376"/>
        <w:gridCol w:w="191"/>
        <w:gridCol w:w="400"/>
        <w:gridCol w:w="400"/>
        <w:gridCol w:w="401"/>
        <w:gridCol w:w="375"/>
        <w:gridCol w:w="361"/>
        <w:gridCol w:w="524"/>
      </w:tblGrid>
      <w:tr>
        <w:trPr/>
        <w:tc>
          <w:tcPr>
            <w:tcW w:w="62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176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185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D Common Stock</w:t>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6"/>
            <w:tcBorders/>
            <w:shd w:fill="CCEEFF" w:val="clear"/>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Class A Common stock in Treasury</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6"/>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11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0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w:t>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Non-redeemable non-controlling interests</w:t>
            </w:r>
          </w:p>
        </w:tc>
        <w:tc>
          <w:tcPr>
            <w:tcW w:w="10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Total Deficit</w:t>
            </w:r>
          </w:p>
        </w:tc>
        <w:tc>
          <w:tcPr>
            <w:tcW w:w="120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Preferred non-controlling interests</w:t>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29,701,146 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144,399,037 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(467,195)</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(477,852)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132,617 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802,720 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565 </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under the ATM program</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conversion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for vesting of equity awards net of tax withholdings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96,679 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(97,044)</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(5,235)</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March 31,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30,022,288 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72,899,037 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(370,832)</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(381,663)</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705,190 </w:t>
            </w:r>
          </w:p>
        </w:tc>
        <w:tc>
          <w:tcPr>
            <w:tcW w:w="5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under the ATM program</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for vesting of equity awards net of tax withholdings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57860"/>
                <wp:effectExtent l="0" t="0" r="0" b="0"/>
                <wp:wrapNone/>
                <wp:docPr id="12" name="Frame1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841" w:type="dxa"/>
        <w:jc w:val="center"/>
        <w:tblInd w:w="0" w:type="dxa"/>
        <w:tblLayout w:type="fixed"/>
        <w:tblCellMar>
          <w:top w:w="28" w:type="dxa"/>
          <w:left w:w="28" w:type="dxa"/>
          <w:bottom w:w="28" w:type="dxa"/>
          <w:right w:w="28" w:type="dxa"/>
        </w:tblCellMar>
      </w:tblPr>
      <w:tblGrid>
        <w:gridCol w:w="556"/>
        <w:gridCol w:w="344"/>
        <w:gridCol w:w="346"/>
        <w:gridCol w:w="480"/>
        <w:gridCol w:w="481"/>
        <w:gridCol w:w="109"/>
        <w:gridCol w:w="203"/>
        <w:gridCol w:w="203"/>
        <w:gridCol w:w="109"/>
        <w:gridCol w:w="480"/>
        <w:gridCol w:w="481"/>
        <w:gridCol w:w="109"/>
        <w:gridCol w:w="203"/>
        <w:gridCol w:w="203"/>
        <w:gridCol w:w="109"/>
        <w:gridCol w:w="480"/>
        <w:gridCol w:w="481"/>
        <w:gridCol w:w="109"/>
        <w:gridCol w:w="203"/>
        <w:gridCol w:w="203"/>
        <w:gridCol w:w="109"/>
        <w:gridCol w:w="217"/>
        <w:gridCol w:w="219"/>
        <w:gridCol w:w="109"/>
        <w:gridCol w:w="375"/>
        <w:gridCol w:w="376"/>
        <w:gridCol w:w="109"/>
        <w:gridCol w:w="203"/>
        <w:gridCol w:w="203"/>
        <w:gridCol w:w="109"/>
        <w:gridCol w:w="218"/>
        <w:gridCol w:w="218"/>
        <w:gridCol w:w="109"/>
        <w:gridCol w:w="443"/>
        <w:gridCol w:w="443"/>
        <w:gridCol w:w="109"/>
        <w:gridCol w:w="330"/>
        <w:gridCol w:w="331"/>
        <w:gridCol w:w="109"/>
        <w:gridCol w:w="373"/>
        <w:gridCol w:w="378"/>
        <w:gridCol w:w="109"/>
        <w:gridCol w:w="367"/>
        <w:gridCol w:w="369"/>
        <w:gridCol w:w="109"/>
        <w:gridCol w:w="374"/>
        <w:gridCol w:w="377"/>
        <w:gridCol w:w="154"/>
      </w:tblGrid>
      <w:tr>
        <w:trPr/>
        <w:tc>
          <w:tcPr>
            <w:tcW w:w="5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2024</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30,058,569 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72,899,037 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597,069 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for vesting of equity awards net of tax withholdings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redeemable preferred non-controlling interests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redemption value of 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September 30,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30,065,260 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72,899,037 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(1,635,783)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(179,495)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left w:val="single" w:sz="8" w:space="0" w:color="000000"/>
              <w:bottom w:val="double" w:sz="8"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57860"/>
                <wp:effectExtent l="0" t="0" r="0" b="0"/>
                <wp:wrapNone/>
                <wp:docPr id="13" name="Frame1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OPAL FUELS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of U.S. dollars)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662" w:type="dxa"/>
        <w:jc w:val="center"/>
        <w:tblInd w:w="0" w:type="dxa"/>
        <w:tblLayout w:type="fixed"/>
        <w:tblCellMar>
          <w:top w:w="28" w:type="dxa"/>
          <w:left w:w="28" w:type="dxa"/>
          <w:bottom w:w="28" w:type="dxa"/>
          <w:right w:w="28" w:type="dxa"/>
        </w:tblCellMar>
      </w:tblPr>
      <w:tblGrid>
        <w:gridCol w:w="2069"/>
        <w:gridCol w:w="1820"/>
        <w:gridCol w:w="1826"/>
        <w:gridCol w:w="196"/>
        <w:gridCol w:w="646"/>
        <w:gridCol w:w="109"/>
        <w:gridCol w:w="196"/>
        <w:gridCol w:w="646"/>
        <w:gridCol w:w="154"/>
      </w:tblGrid>
      <w:tr>
        <w:trPr/>
        <w:tc>
          <w:tcPr>
            <w:tcW w:w="206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color w:val="000000"/>
              </w:rPr>
            </w:pPr>
            <w:r>
              <w:rPr>
                <w:color w:val="000000"/>
              </w:rPr>
              <w:t> </w:t>
            </w:r>
            <w:r>
              <w:rPr>
                <w:rFonts w:ascii="Times New Roman;serif" w:hAnsi="Times New Roman;serif"/>
                <w:b/>
                <w:color w:val="000000"/>
                <w:sz w:val="16"/>
              </w:rPr>
              <w:t>2024</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Depreciation, amortization, and accretion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Allowance for 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equity method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Distributions from return on investment in equity method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Gain on nonmonetary asset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 on lease termination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of carrying amount of 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Write-offs of capitalized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Paid-in-kind 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commodity swaps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 on note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derivative financial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(11,986)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Fuel tax credits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Parts 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 and other current and long-term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Fuel tax credits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and non-current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 current and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31,917 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(72,805)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Payment for short-term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Distributions from return of investment in equity method investment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to equity method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(13,956)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Cash received from (paid for) note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(86,546)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Proceeds from OPAL Term Loan and Revolving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costs paid to other third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OPAL Revolving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Sunoma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principal portion of finance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preferred dividends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non-redeemable non-controlling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contribution from non-redeemable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57860"/>
                <wp:effectExtent l="0" t="0" r="0" b="0"/>
                <wp:wrapNone/>
                <wp:docPr id="14" name="Frame1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232" w:type="dxa"/>
        <w:jc w:val="center"/>
        <w:tblInd w:w="0" w:type="dxa"/>
        <w:tblLayout w:type="fixed"/>
        <w:tblCellMar>
          <w:top w:w="28" w:type="dxa"/>
          <w:left w:w="28" w:type="dxa"/>
          <w:bottom w:w="28" w:type="dxa"/>
          <w:right w:w="28" w:type="dxa"/>
        </w:tblCellMar>
      </w:tblPr>
      <w:tblGrid>
        <w:gridCol w:w="2273"/>
        <w:gridCol w:w="2002"/>
        <w:gridCol w:w="2010"/>
        <w:gridCol w:w="196"/>
        <w:gridCol w:w="646"/>
        <w:gridCol w:w="109"/>
        <w:gridCol w:w="196"/>
        <w:gridCol w:w="646"/>
        <w:gridCol w:w="154"/>
      </w:tblGrid>
      <w:tr>
        <w:trPr/>
        <w:tc>
          <w:tcPr>
            <w:tcW w:w="2273"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shares of Class A common stock under the ATM program,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 related to net share settlement of equity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restricted cash, and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cash, and cash equivalents,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47,242 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cash, and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834" w:type="dxa"/>
        <w:jc w:val="center"/>
        <w:tblInd w:w="0" w:type="dxa"/>
        <w:tblLayout w:type="fixed"/>
        <w:tblCellMar>
          <w:top w:w="28" w:type="dxa"/>
          <w:left w:w="28" w:type="dxa"/>
          <w:bottom w:w="28" w:type="dxa"/>
          <w:right w:w="28" w:type="dxa"/>
        </w:tblCellMar>
      </w:tblPr>
      <w:tblGrid>
        <w:gridCol w:w="2771"/>
        <w:gridCol w:w="2436"/>
        <w:gridCol w:w="2443"/>
        <w:gridCol w:w="196"/>
        <w:gridCol w:w="646"/>
        <w:gridCol w:w="109"/>
        <w:gridCol w:w="109"/>
        <w:gridCol w:w="109"/>
        <w:gridCol w:w="109"/>
        <w:gridCol w:w="196"/>
        <w:gridCol w:w="556"/>
        <w:gridCol w:w="154"/>
      </w:tblGrid>
      <w:tr>
        <w:trPr/>
        <w:tc>
          <w:tcPr>
            <w:tcW w:w="2771" w:type="dxa"/>
            <w:tcBorders/>
            <w:vAlign w:val="center"/>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Interest paid, net of $2,082 and $3,093 capitalized,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Tax benefit received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Accrual for asset retirement obligation included in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arising from lease modifications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Right-of-use assets for finance leases included in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Accrual for purchase of property, plant and equipment included in accrued and payable capital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57860"/>
                <wp:effectExtent l="0" t="0" r="0" b="0"/>
                <wp:wrapNone/>
                <wp:docPr id="15" name="Frame1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1. Summary of Significant Accounting Policies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Basis of Presentation and Principles of Consolidation</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The unaudited condensed consolidated financial statements include the accounts of OPAL Fuels, Inc. and its subsidiaries </w:t>
      </w:r>
      <w:r>
        <w:rPr>
          <w:rFonts w:ascii="Times New Roman;serif" w:hAnsi="Times New Roman;serif"/>
          <w:b w:val="false"/>
          <w:color w:val="000000"/>
          <w:sz w:val="20"/>
        </w:rPr>
        <w:t>(the “Company”, “OPAL Fuels”, “we,” “us” or “our”)</w:t>
      </w:r>
      <w:r>
        <w:rPr>
          <w:color w:val="000000"/>
          <w:shd w:fill="FFFFFF" w:val="clear"/>
        </w:rPr>
        <w:t xml:space="preserve"> </w:t>
      </w:r>
      <w:r>
        <w:rPr>
          <w:rFonts w:ascii="Times New Roman;serif" w:hAnsi="Times New Roman;serif"/>
          <w:b w:val="false"/>
          <w:color w:val="000000"/>
          <w:sz w:val="20"/>
          <w:shd w:fill="FFFFFF" w:val="clear"/>
        </w:rPr>
        <w:t xml:space="preserve">and reflect all normal recurring adjustments which are, in the opinion of management, necessary for a fair statement of the results of operations for the interim period. In addition, we have consolidated the financial results of jointly owned affiliated companies in which our principal stockholder or other entities have a noncontrolling interest. All intercompany transactions and balances have been eliminated in consolidation. The non-controlling interest attributable to the Company's variable interest entities ("VIE") are presented as a separate component from the Stockholders' </w:t>
      </w:r>
      <w:r>
        <w:rPr>
          <w:rFonts w:ascii="Times New Roman;serif" w:hAnsi="Times New Roman;serif"/>
          <w:b w:val="false"/>
          <w:color w:val="000000"/>
          <w:sz w:val="20"/>
        </w:rPr>
        <w:t>equity (deficit) in t</w:t>
      </w:r>
      <w:r>
        <w:rPr>
          <w:rFonts w:ascii="Times New Roman;serif" w:hAnsi="Times New Roman;serif"/>
          <w:b w:val="false"/>
          <w:color w:val="000000"/>
          <w:sz w:val="20"/>
          <w:shd w:fill="FFFFFF" w:val="clear"/>
        </w:rPr>
        <w:t xml:space="preserve">he condensed consolidated balance sheets and as a non-redeemable non-controlling interest in the condensed consolidated statements of changes in redeemable non-controlling interests, redeemable preferred non-controlling interests and stockholders' </w:t>
      </w:r>
      <w:r>
        <w:rPr>
          <w:rFonts w:ascii="Times New Roman;serif" w:hAnsi="Times New Roman;serif"/>
          <w:b w:val="false"/>
          <w:color w:val="000000"/>
          <w:sz w:val="20"/>
        </w:rPr>
        <w:t>equity (deficit)</w:t>
      </w:r>
      <w:r>
        <w:rPr>
          <w:rFonts w:ascii="Times New Roman;serif" w:hAnsi="Times New Roman;serif"/>
          <w:b w:val="false"/>
          <w:color w:val="000000"/>
          <w:sz w:val="20"/>
          <w:shd w:fill="FFFFFF" w:val="clear"/>
        </w:rPr>
        <w:t xml:space="preserve">. </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rFonts w:ascii="Times New Roman;serif" w:hAnsi="Times New Roman;serif"/>
          <w:b w:val="false"/>
          <w:color w:val="000000"/>
          <w:sz w:val="20"/>
          <w:shd w:fill="FFFFFF" w:val="clear"/>
        </w:rPr>
        <w:t>, the Company held equity interests in twelve VIEs —</w:t>
      </w:r>
      <w:r>
        <w:rPr>
          <w:color w:val="000000"/>
        </w:rPr>
        <w:t xml:space="preserve"> </w:t>
      </w:r>
      <w:r>
        <w:rPr>
          <w:rFonts w:ascii="Times New Roman;serif" w:hAnsi="Times New Roman;serif"/>
          <w:b w:val="false"/>
          <w:color w:val="000000"/>
          <w:sz w:val="20"/>
        </w:rPr>
        <w:t>Pine Bend RNG LLC ("Pine Bend"), Noble Road RNG LLC ("Noble Road"), Paragon RNG LLC ("Paragon"), Emerald RNG LLC ("Emerald") - Para</w:t>
      </w:r>
      <w:r>
        <w:rPr>
          <w:rFonts w:ascii="Times New Roman;serif" w:hAnsi="Times New Roman;serif"/>
          <w:b w:val="false"/>
          <w:color w:val="000000"/>
          <w:sz w:val="20"/>
          <w:shd w:fill="FFFFFF" w:val="clear"/>
        </w:rPr>
        <w:t>gon project, Sapphire RNG LLC ("Sapphire") - Paragon project, Land2Gas LLC ("Land2Gas"), Atlantic RNG LLC ("Atlantic") - Land2Gas project, Burlington RNG LLC ("Burlington") - Land2Gas project, GREP BTB Holdings LLC ("GREP"), Sunoma Holdings, LLC (“Sunoma”), Central Valley LLC (“Central Valley”), and CMS RNG LLC ("CMS"). Pine Bend, Noble Road GREP, Paragon projects, Land2Gas projects were presented as equity method investments and the remaining three VIEs — Sunoma, Central Valley, and CMS are consolidated by the Company.</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9, 2025, the Company acquired a variable interest in CMS, a joint venture formed with a third party to develop, construct, own, and operate a renewable natural gas facility. The Company holds a 70% membership interest in CMS RNG, and the remaining 30% is held by the third-party partner.</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Based on an evaluation under ASC 810, </w:t>
      </w:r>
      <w:r>
        <w:rPr>
          <w:rFonts w:ascii="Times New Roman;serif" w:hAnsi="Times New Roman;serif"/>
          <w:b w:val="false"/>
          <w:i/>
          <w:color w:val="000000"/>
          <w:sz w:val="20"/>
          <w:shd w:fill="FFFFFF" w:val="clear"/>
        </w:rPr>
        <w:t>Consolidation</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 xml:space="preserve">"ASC 810"), </w:t>
      </w:r>
      <w:r>
        <w:rPr>
          <w:rFonts w:ascii="Times New Roman;serif" w:hAnsi="Times New Roman;serif"/>
          <w:b w:val="false"/>
          <w:color w:val="000000"/>
          <w:sz w:val="20"/>
          <w:shd w:fill="FFFFFF" w:val="clear"/>
        </w:rPr>
        <w:t>management determined that CMS RNG is a VIE and that the Company is the primary beneficiary. This conclusion is based on the Company’s power to direct the activities that most significantly impact CMS RNG’s economic performance and its exposure to the entity’s residual returns. As a result, CMS RNG has been consolidated in the Company’s financial statements beginning in the second quarter of 2025.</w:t>
      </w:r>
    </w:p>
    <w:p>
      <w:pPr>
        <w:pStyle w:val="TextBody"/>
        <w:bidi w:val="0"/>
        <w:spacing w:lineRule="auto" w:line="288" w:before="0" w:after="200"/>
        <w:jc w:val="both"/>
        <w:rPr/>
      </w:pPr>
      <w:r>
        <w:rPr>
          <w:rFonts w:ascii="Times New Roman;serif" w:hAnsi="Times New Roman;serif"/>
          <w:b w:val="false"/>
          <w:color w:val="000000"/>
          <w:sz w:val="20"/>
          <w:shd w:fill="FFFFFF" w:val="clear"/>
        </w:rPr>
        <w:t>At the time of formation of CMS RNG, the Company and the third-party partner made net capital co</w:t>
      </w:r>
      <w:r>
        <w:rPr>
          <w:rFonts w:ascii="Times New Roman;serif" w:hAnsi="Times New Roman;serif"/>
          <w:b w:val="false"/>
          <w:color w:val="000000"/>
          <w:sz w:val="20"/>
        </w:rPr>
        <w:t>ntributions of $4,646 an</w:t>
      </w:r>
      <w:r>
        <w:rPr>
          <w:rFonts w:ascii="Times New Roman;serif" w:hAnsi="Times New Roman;serif"/>
          <w:b w:val="false"/>
          <w:color w:val="000000"/>
          <w:sz w:val="20"/>
          <w:shd w:fill="FFFFFF" w:val="clear"/>
        </w:rPr>
        <w:t>d $1,998, respectively. A noncontrolling interest ("NCI") of $1,998 was recognized for the portion of CMS RNG not owned by the Company.</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will reassess its primary beneficiary conclusion on an ongoing basis, including upon execution of additional agreements and commencement of commercial operations.</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The condensed consolidated balance sheets summarize the major consolidated balance sheet items for consolidated VIEs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and December 31, 2024. The information is presented on an aggregate basis based on similar risk and reward characteristics and the nature of our involvement with the VIEs, such as:</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All of the VIEs are RNG facilities and they are reported under the RNG Fuel Supply segment;</w:t>
      </w:r>
    </w:p>
    <w:p>
      <w:pPr>
        <w:pStyle w:val="TextBody"/>
        <w:bidi w:val="0"/>
        <w:spacing w:lineRule="auto" w:line="288" w:before="0" w:after="200"/>
        <w:ind w:left="0" w:right="0" w:hanging="360"/>
        <w:jc w:val="both"/>
        <w:rPr/>
      </w:pPr>
      <w:r>
        <w:rPr>
          <w:color w:val="000000"/>
          <w:shd w:fill="FFFFFF" w:val="clear"/>
        </w:rPr>
        <w:t>•</w:t>
      </w:r>
      <w:r>
        <w:rPr>
          <w:rFonts w:ascii="Times New Roman;serif" w:hAnsi="Times New Roman;serif"/>
          <w:b w:val="false"/>
          <w:color w:val="000000"/>
          <w:sz w:val="20"/>
          <w:shd w:fill="FFFFFF" w:val="clear"/>
        </w:rPr>
        <w:t>The nature of our interest in these entities is primarily equity based and therefore carry similar risk and reward characteristics.</w:t>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The 2024 year-end consolidated balance sheet data was derived from audited financial statements, but does not include all disclosures required by accounting principles generally accepted in the United States of America ("U.S. GAAP"). The interim financial information and notes thereto should be read in conjunction with the Company's latest Annual Report on Form 10-K for the fiscal year ended December 31, 2024 (the "Annual Report") as the interim disclosures generally do not repeat those in the annual financial statements and are condensed in accordance with the instructions to Form 10-Q and Article 10 of Regulation S-X. The results of operations for the </w:t>
      </w:r>
      <w:r>
        <w:rPr>
          <w:rFonts w:ascii="Times New Roman;serif" w:hAnsi="Times New Roman;serif"/>
          <w:b w:val="false"/>
          <w:color w:val="000000"/>
          <w:sz w:val="20"/>
        </w:rPr>
        <w:t>three and nine</w:t>
      </w:r>
      <w:r>
        <w:rPr>
          <w:color w:val="000000"/>
          <w:shd w:fill="FFFFFF" w:val="clear"/>
        </w:rPr>
        <w:t xml:space="preserve"> </w:t>
      </w:r>
      <w:r>
        <w:rPr>
          <w:rFonts w:ascii="Times New Roman;serif" w:hAnsi="Times New Roman;serif"/>
          <w:b w:val="false"/>
          <w:color w:val="000000"/>
          <w:sz w:val="20"/>
          <w:shd w:fill="FFFFFF" w:val="clear"/>
        </w:rPr>
        <w:t>months ended September 30, 2025, are not necessarily indicative of results to be expected for the entire fiscal year.</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organized into three operating segments which are RNG Fuel, Fuel Station Services and Renewable Power.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57860"/>
                <wp:effectExtent l="0" t="0" r="0" b="0"/>
                <wp:wrapNone/>
                <wp:docPr id="16" name="Frame1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amounts in these footnotes are presented in thousands of dollars except share and per share data.</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The significant estimates and assumptions of the Company include the residual value of the useful lives of our property, plant and equipment, the fair value of long-lived assets, the fair value of stock-based compensation, asset retirement obligations, percentage completion for revenue recognition, incremental borrowing rate for calculating the right-of-use lease assets and lease liabilities, the fair value of the reporting units of goodwill and the fair value of derivative instruments. Actual results could differ from those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interim periods presented are not necessarily indicative of the results that may be expected for the entire year.</w:t>
      </w:r>
    </w:p>
    <w:p>
      <w:pPr>
        <w:pStyle w:val="TextBody"/>
        <w:bidi w:val="0"/>
        <w:spacing w:lineRule="auto" w:line="288" w:before="0" w:after="200"/>
        <w:jc w:val="both"/>
        <w:rPr/>
      </w:pPr>
      <w:r>
        <w:rPr>
          <w:rFonts w:ascii="Times New Roman;serif" w:hAnsi="Times New Roman;serif"/>
          <w:b w:val="false"/>
          <w:color w:val="000000"/>
          <w:sz w:val="20"/>
        </w:rPr>
        <w:t xml:space="preserve">The Company provides all third-party construction contracts with a warranty, typically for a period of one year after substantial completion of the construction project. These warranties are accounted for under ASC 460, </w:t>
      </w:r>
      <w:r>
        <w:rPr>
          <w:rFonts w:ascii="Times New Roman;serif" w:hAnsi="Times New Roman;serif"/>
          <w:b w:val="false"/>
          <w:i/>
          <w:color w:val="000000"/>
          <w:sz w:val="20"/>
        </w:rPr>
        <w:t>Guarantees</w:t>
      </w:r>
      <w:r>
        <w:rPr>
          <w:color w:val="000000"/>
        </w:rPr>
        <w:t xml:space="preserve"> </w:t>
      </w:r>
      <w:r>
        <w:rPr>
          <w:rFonts w:ascii="Times New Roman;serif" w:hAnsi="Times New Roman;serif"/>
          <w:b w:val="false"/>
          <w:color w:val="000000"/>
          <w:sz w:val="20"/>
        </w:rPr>
        <w:t>("ASC 460"), and not as a separate performance obligation. Generally, the company estimates warranty costs based on historical claims experience, and other factors. Actual warranty claims may differ from the estimates, and adjustments to the liability are made, as necessary. The Company accrued $280 and $171 of warranty reserves under accrued expenses and other current liabilities as of September 30, 2025, and December 31, 2024, respectively.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Related Party Revenues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revised its disclosure of Fuel Station Services revenues from related parties included parenthetically on the face of the condensed consolidated statements of operations to include amounts that were previously excluded. The amounts are immaterial and the revision had no impact on previously reported net income, cash flows, or financial position.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Accounting Pronouncements Adopted </w:t>
      </w:r>
    </w:p>
    <w:p>
      <w:pPr>
        <w:pStyle w:val="TextBody"/>
        <w:bidi w:val="0"/>
        <w:spacing w:lineRule="auto" w:line="288" w:before="0" w:after="200"/>
        <w:jc w:val="both"/>
        <w:rPr/>
      </w:pPr>
      <w:r>
        <w:rPr>
          <w:rFonts w:ascii="Times New Roman;serif" w:hAnsi="Times New Roman;serif"/>
          <w:b w:val="false"/>
          <w:color w:val="000000"/>
          <w:sz w:val="20"/>
        </w:rPr>
        <w:t xml:space="preserve">In August 2023, the FASB issued Accounting Standards Update No. 2023-05, </w:t>
      </w:r>
      <w:r>
        <w:rPr>
          <w:rFonts w:ascii="Times New Roman;serif" w:hAnsi="Times New Roman;serif"/>
          <w:b w:val="false"/>
          <w:i/>
          <w:color w:val="000000"/>
          <w:sz w:val="20"/>
        </w:rPr>
        <w:t>Business Combinations- Joint Venture Formations</w:t>
      </w:r>
      <w:r>
        <w:rPr>
          <w:color w:val="000000"/>
        </w:rPr>
        <w:t xml:space="preserve"> </w:t>
      </w:r>
      <w:r>
        <w:rPr>
          <w:rFonts w:ascii="Times New Roman;serif" w:hAnsi="Times New Roman;serif"/>
          <w:b w:val="false"/>
          <w:color w:val="000000"/>
          <w:sz w:val="20"/>
        </w:rPr>
        <w:t>(Subtopic 805-60) ("ASU 2023-05"). The update requires all joint ventures formed after January 1, 2025, upon formation, to apply a new basis of accounting and initially measure its assets and liabilities at fair value. ASU 2023-05 is effective prospectively for joint ventures with a formation date on or after January 1, 2025. During the nine months ended September 30, 2025, the Company formed a joint venture that was excluded from this guidance due to the scope exception applicable to combinations between entities, businesses, or nonprofit activities under common control. The adoption did not have a material effect on the Company’s financial position, results of operations, cash flows or disclosures.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0" w:after="200"/>
        <w:jc w:val="both"/>
        <w:rPr/>
      </w:pPr>
      <w:r>
        <w:rPr>
          <w:rFonts w:ascii="Times New Roman;serif" w:hAnsi="Times New Roman;serif"/>
          <w:b w:val="false"/>
          <w:color w:val="000000"/>
          <w:sz w:val="20"/>
        </w:rPr>
        <w:t xml:space="preserve">In December 2023, the FASB issued ASU 2023-09, Income Taxes (Topic 740): </w:t>
      </w:r>
      <w:r>
        <w:rPr>
          <w:rFonts w:ascii="Times New Roman;serif" w:hAnsi="Times New Roman;serif"/>
          <w:b w:val="false"/>
          <w:i/>
          <w:color w:val="000000"/>
          <w:sz w:val="20"/>
        </w:rPr>
        <w:t>Improvement to Income Tax Disclosures</w:t>
      </w:r>
      <w:r>
        <w:rPr>
          <w:rFonts w:ascii="Times New Roman;serif" w:hAnsi="Times New Roman;serif"/>
          <w:b w:val="false"/>
          <w:color w:val="000000"/>
          <w:sz w:val="20"/>
        </w:rPr>
        <w:t>. The amendments further enhance income tax disclosures, primarily through standardization and disaggregation of rate reconciliation categories and income taxes paid by jurisdiction. The amendments require disclosure of specific categories in the rate reconciliation and provide additional information for reconciling items that meet a quantitative threshold and further disaggregation of income taxes paid for individually significant jurisdictions. The ASU is effective for fiscal years beginning after December 15, 2024, with early adoption permitted. The Company is currently evaluating the impact that this guidance will have on the disclosures and the Company believes the adoption will not have a material effect on our condensed consolidated financial statements.</w:t>
      </w:r>
    </w:p>
    <w:p>
      <w:pPr>
        <w:pStyle w:val="TextBody"/>
        <w:bidi w:val="0"/>
        <w:spacing w:lineRule="auto" w:line="288" w:before="0" w:after="200"/>
        <w:jc w:val="both"/>
        <w:rPr/>
      </w:pPr>
      <w:r>
        <w:rPr>
          <w:rFonts w:ascii="Times New Roman;serif" w:hAnsi="Times New Roman;serif"/>
          <w:b w:val="false"/>
          <w:color w:val="000000"/>
          <w:sz w:val="20"/>
        </w:rPr>
        <w:t xml:space="preserve">In November 2024, the FASB issued ASU 2024-03, Income Statement - Reporting Comprehensive Income - Expense Disaggregation Disclosures (Subtopic 220-40): </w:t>
      </w:r>
      <w:r>
        <w:rPr>
          <w:rFonts w:ascii="Times New Roman;serif" w:hAnsi="Times New Roman;serif"/>
          <w:b w:val="false"/>
          <w:i/>
          <w:color w:val="000000"/>
          <w:sz w:val="20"/>
        </w:rPr>
        <w:t xml:space="preserve">Disaggregation of Income Statement Expenses, </w:t>
      </w:r>
      <w:r>
        <w:rPr>
          <w:rFonts w:ascii="Times New Roman;serif" w:hAnsi="Times New Roman;serif"/>
          <w:b w:val="false"/>
          <w:color w:val="000000"/>
          <w:sz w:val="20"/>
        </w:rPr>
        <w:t>which requires additional, disaggregated disclosure about certain income statement line items. The ASU is effective for fiscal years beginning after December 15, 2026, and is required to be applied prospectively with the option for retrospective application. The Company is currently evaluating the impact that this guidance will have on the disclosures within our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57860"/>
                <wp:effectExtent l="0" t="0" r="0" b="0"/>
                <wp:wrapNone/>
                <wp:docPr id="17" name="Frame1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pPr>
      <w:r>
        <w:rPr>
          <w:rFonts w:ascii="Times New Roman;serif" w:hAnsi="Times New Roman;serif"/>
          <w:b w:val="false"/>
          <w:color w:val="000000"/>
          <w:sz w:val="20"/>
        </w:rPr>
        <w:t>In July 2025, the Financial Accounting Standards Board (“FASB”) issued ASU 2025</w:t>
        <w:noBreakHyphen/>
        <w:t xml:space="preserve">05, Financial Instruments — Credit Losses (Topic 326): </w:t>
      </w:r>
      <w:r>
        <w:rPr>
          <w:rFonts w:ascii="Times New Roman;serif" w:hAnsi="Times New Roman;serif"/>
          <w:b w:val="false"/>
          <w:i/>
          <w:color w:val="000000"/>
          <w:sz w:val="20"/>
        </w:rPr>
        <w:t>Measurement of Credit Losses for Accounts Receivable and Contract Assets</w:t>
      </w:r>
      <w:r>
        <w:rPr>
          <w:rFonts w:ascii="Times New Roman;serif" w:hAnsi="Times New Roman;serif"/>
          <w:b w:val="false"/>
          <w:color w:val="000000"/>
          <w:sz w:val="20"/>
        </w:rPr>
        <w:t>. The amendments provide a practical expedient applicable to all entities for estimating expected credit losses on current accounts receivable and current contract assets that arise under ASC 606, permitting the assumption that existing conditions at the balance</w:t>
        <w:noBreakHyphen/>
        <w:t>sheet date will remain unchanged over the remaining life of such assets. The amendments are effective for fiscal years beginning after December 15, 2025, including interim periods within those fiscal years, with early adoption permitted. The Company is currently evaluating the impact that this guidance will have on the disclosures within our condensed consolidated financial statements.</w:t>
      </w:r>
    </w:p>
    <w:p>
      <w:pPr>
        <w:pStyle w:val="TextBody"/>
        <w:bidi w:val="0"/>
        <w:spacing w:lineRule="auto" w:line="288" w:before="0" w:after="200"/>
        <w:jc w:val="both"/>
        <w:rPr/>
      </w:pPr>
      <w:r>
        <w:rPr>
          <w:rFonts w:ascii="Times New Roman;serif" w:hAnsi="Times New Roman;serif"/>
          <w:b w:val="false"/>
          <w:color w:val="000000"/>
          <w:sz w:val="20"/>
        </w:rPr>
        <w:t>In September 2025, the FASB issued ASU 2025</w:t>
        <w:noBreakHyphen/>
        <w:t xml:space="preserve">06, Intangibles — Goodwill and Other (Topic 350): </w:t>
      </w:r>
      <w:r>
        <w:rPr>
          <w:rFonts w:ascii="Times New Roman;serif" w:hAnsi="Times New Roman;serif"/>
          <w:b w:val="false"/>
          <w:i/>
          <w:color w:val="000000"/>
          <w:sz w:val="20"/>
        </w:rPr>
        <w:t>Internal</w:t>
        <w:noBreakHyphen/>
        <w:t>Use Software — Targeted Improvements to the Accounting for Internal</w:t>
        <w:noBreakHyphen/>
        <w:t>Use Software</w:t>
      </w:r>
      <w:r>
        <w:rPr>
          <w:rFonts w:ascii="Times New Roman;serif" w:hAnsi="Times New Roman;serif"/>
          <w:b w:val="false"/>
          <w:color w:val="000000"/>
          <w:sz w:val="20"/>
        </w:rPr>
        <w:t>. The amendments modernize the guidance for capitalizing costs of internally</w:t>
        <w:noBreakHyphen/>
        <w:t>developed software by removing references to defined development stages and instead focusing on two principal criteria: (1) management has authorized and committed to funding the project, and (2) it is probable that the project will be completed and the software will be used to perform the intended function. The ASU is effective for fiscal years beginning after December 15, 2027, including interim periods within those years, with early adoption permitted. The Company is currently evaluating the impact that this guidance will have on the disclosures within our condensed consolidated financial statements.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Earnout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Business Combination completed in July 2022 and pursuant to a sponsor letter agreement, ArcLight CTC Holdings II, L.P.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As of September 30, 2025 and December 31, 2024, the number of shares subject to forfeiture was 716,650 (the "Sponsor Earnout Awards").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Company recorded a gain from the Sponsor Earnout Awards of $— and $281, respectively, in its condensed consolidated statements of operations. For the three and nine months ended September 30, 2024, the Company recorded a gain of $278 and $1,457, respectively, in its condensed consolidated statements of operations. As of September 30, 2025 and December 31, 2024, the Company recorded a Sponsor Earnout liability of $23 and $304, respectively, as part of other long-term liabilities on its condensed consolidated balance sheets.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Redeemable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Redeemable non-controlling interests represent the portion of the Company's consolidated subsidiary OPAL Fuels LLC, that the Company does not own. The Redeemable non-controlling interest represents 144,399,037 Class B and D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statements of operations.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At each balance sheet date, the mezzanine equity classified Redeemable non-controlling interests is adjusted up to their maximum redemption value if necessary, with an offset in Stockholders' equity (deficit). As of September 30, 2025, the maximum redemption value was $342,528.</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Parts Inventory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Parts inventory, also referred to as supplies inventory, consists of shop spare parts inventory and construction site parts inventory. The substantial amount of inventory is identified, tracked and treated as finished goods.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Revenues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disaggregation of revenue according to product 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57860"/>
                <wp:effectExtent l="0" t="0" r="0" b="0"/>
                <wp:wrapNone/>
                <wp:docPr id="18" name="Frame1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9160" w:type="dxa"/>
        <w:jc w:val="center"/>
        <w:tblInd w:w="0" w:type="dxa"/>
        <w:tblLayout w:type="fixed"/>
        <w:tblCellMar>
          <w:top w:w="28" w:type="dxa"/>
          <w:left w:w="28" w:type="dxa"/>
          <w:bottom w:w="28" w:type="dxa"/>
          <w:right w:w="28" w:type="dxa"/>
        </w:tblCellMar>
      </w:tblPr>
      <w:tblGrid>
        <w:gridCol w:w="1340"/>
        <w:gridCol w:w="1180"/>
        <w:gridCol w:w="1185"/>
        <w:gridCol w:w="316"/>
        <w:gridCol w:w="1080"/>
        <w:gridCol w:w="163"/>
        <w:gridCol w:w="316"/>
        <w:gridCol w:w="1080"/>
        <w:gridCol w:w="163"/>
        <w:gridCol w:w="211"/>
        <w:gridCol w:w="826"/>
        <w:gridCol w:w="109"/>
        <w:gridCol w:w="211"/>
        <w:gridCol w:w="82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33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center"/>
              <w:rPr>
                <w:color w:val="000000"/>
              </w:rPr>
            </w:pPr>
            <w:r>
              <w:rPr>
                <w:color w:val="000000"/>
              </w:rPr>
              <w:t> </w:t>
            </w:r>
            <w:r>
              <w:rPr>
                <w:rFonts w:ascii="Times New Roman;serif" w:hAnsi="Times New Roman;serif"/>
                <w:b/>
                <w:color w:val="000000"/>
                <w:sz w:val="20"/>
              </w:rPr>
              <w:t>2024</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Electricity sales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construction</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10,358 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Service and parts</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6,926 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6,512 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Brown gas sales</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Environmental credits </w:t>
            </w:r>
            <w:r>
              <w:rPr>
                <w:rFonts w:ascii="Times New Roman;serif" w:hAnsi="Times New Roman;serif"/>
                <w:b w:val="false"/>
                <w:color w:val="000000"/>
                <w:sz w:val="13"/>
              </w:rPr>
              <w:t>(1)</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41,567 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50,483 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77,889 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82,626 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216,392 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Lease revenue </w:t>
            </w:r>
            <w:r>
              <w:rPr>
                <w:rFonts w:ascii="Times New Roman;serif" w:hAnsi="Times New Roman;serif"/>
                <w:b w:val="false"/>
                <w:color w:val="000000"/>
                <w:sz w:val="13"/>
              </w:rPr>
              <w:t>(3)</w:t>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5,468 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83,357 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84,047 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219,949 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Includes revenues of $0 and $5,151 respectively, for the three months ended September 30, 2025 and 2024, from customers domiciled outside of United States. Includes revenues of $0 and $13,439 respectively, for the nine months ended September 30, 2025 and 2024, from customers domiciled outside of United States. </w:t>
      </w:r>
    </w:p>
    <w:p>
      <w:pPr>
        <w:pStyle w:val="TextBody"/>
        <w:bidi w:val="0"/>
        <w:spacing w:lineRule="auto" w:line="288" w:before="0" w:after="2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management fee revenues earned from management of operations of equity method entities.</w:t>
      </w:r>
    </w:p>
    <w:p>
      <w:pPr>
        <w:pStyle w:val="TextBody"/>
        <w:bidi w:val="0"/>
        <w:spacing w:lineRule="auto" w:line="288" w:before="0" w:after="20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 xml:space="preserve">Lease revenue relates to revenue from fuel purchasing agreements and power purchase agreements where we determined that we transferred the right to control the use of the power plant to the purchaser.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 third party construction revenue was recognized over time, and the remainder was for products and services transferred at a point in time.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receivables, contract assets, and contract liabilities from contracts with customers:</w:t>
      </w:r>
    </w:p>
    <w:tbl>
      <w:tblPr>
        <w:tblW w:w="6733" w:type="dxa"/>
        <w:jc w:val="center"/>
        <w:tblInd w:w="0" w:type="dxa"/>
        <w:tblLayout w:type="fixed"/>
        <w:tblCellMar>
          <w:top w:w="28" w:type="dxa"/>
          <w:left w:w="28" w:type="dxa"/>
          <w:bottom w:w="28" w:type="dxa"/>
          <w:right w:w="28" w:type="dxa"/>
        </w:tblCellMar>
      </w:tblPr>
      <w:tblGrid>
        <w:gridCol w:w="1496"/>
        <w:gridCol w:w="1310"/>
        <w:gridCol w:w="1318"/>
        <w:gridCol w:w="264"/>
        <w:gridCol w:w="904"/>
        <w:gridCol w:w="136"/>
        <w:gridCol w:w="253"/>
        <w:gridCol w:w="867"/>
        <w:gridCol w:w="185"/>
      </w:tblGrid>
      <w:tr>
        <w:trPr/>
        <w:tc>
          <w:tcPr>
            <w:tcW w:w="14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31,113 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32,013 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Contract assets:</w:t>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and estimated earnings in excess of billings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11,171 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8,547 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retainage,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total</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12,646 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11,075 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Contract liabilities:</w:t>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total</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9,276 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recognized revenue of $5,006 that was included in "Contract liabilities" at December 31, 2024. During the nine months ended September 30, 2024, the Company recognized revenue of $3,746 that was included in "Contract liabilities" at December 31, 2023.</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Environmental credits held for sale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 the Company recorded $4,515 and $1,443 as part of Cost of sales - Fuel Station Services in its condensed consolidated statements of operations to adjust environmental credits held for sale to lower of cost and net realizable value. For the nine months ended September 30, 2025 and 2024, the Company recorded $15,055 and $8,293 as part of Cost of sales - Fuel Station Services in its condensed consolidated statements of operations to adjust environmental credits held for sale to lower of cost and net realizable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57860"/>
                <wp:effectExtent l="0" t="0" r="0" b="0"/>
                <wp:wrapNone/>
                <wp:docPr id="19" name="Frame1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Fuel Station Services Construction Backlog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remaining performance obligations ("Backlog") represent the unrecognized revenue value of its contract commitments. The Company's Backlog may significantly vary each reporting period based on the timing of major new contract commitments. At September 30, 2025, the Company had a Backlog of $51,484.</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Significant Customers, Vendors and Concentration of Credit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one customer accounted for 34% and 38%, respectively, of the revenue. For the three and nine months ended September 30, 2024, two customers accounted for 56% and 54% of the revenue, respectively. At September 30, 2025, two customers accounted for 55% of accounts receivable. At December 31, 2024, two customers accounted for 50% of accounts receivable.</w:t>
      </w:r>
    </w:p>
    <w:p>
      <w:pPr>
        <w:pStyle w:val="TextBody"/>
        <w:bidi w:val="0"/>
        <w:spacing w:lineRule="auto" w:line="288" w:before="0" w:after="200"/>
        <w:jc w:val="both"/>
        <w:rPr/>
      </w:pPr>
      <w:r>
        <w:rPr>
          <w:rFonts w:ascii="Times New Roman;serif" w:hAnsi="Times New Roman;serif"/>
          <w:b w:val="false"/>
          <w:color w:val="000000"/>
          <w:sz w:val="20"/>
        </w:rPr>
        <w:t>As of September 30, 2025</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one vendor accounted for 10% of the accounts payable. As of December 31, 2024, one vendor accounted for 17% of the accounts payable. Vendor concentration percentages are calculated excluding statutory obligations to government authorities.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Investment Tax Credits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second, and third quarters of 2025, the Company sold to third-party purchasers certain transferable Investment Tax Credits ("ITCs") that had been generated by the Company from its investments in the Renewable Natural Gas segment. </w:t>
      </w:r>
    </w:p>
    <w:p>
      <w:pPr>
        <w:pStyle w:val="TextBody"/>
        <w:bidi w:val="0"/>
        <w:spacing w:lineRule="auto" w:line="288" w:before="0" w:after="200"/>
        <w:jc w:val="both"/>
        <w:rPr/>
      </w:pPr>
      <w:r>
        <w:rPr>
          <w:rFonts w:ascii="Times New Roman;serif" w:hAnsi="Times New Roman;serif"/>
          <w:b w:val="false"/>
          <w:color w:val="000000"/>
          <w:sz w:val="20"/>
        </w:rPr>
        <w:t xml:space="preserve">The Company elected to consider expected transfers of the credits in assessing their realizability as part of the valuation allowance analysis and recognize changes in the estimated proceeds as an adjustment to its valuation allowance. The Company accounted for the ITC sale in accordance with ASC 740,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("ASC 740"), by electing the flow-through method to recognize the ITC benefit when it arises.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received net proceeds from the sale of tax credits totaling $14,567 and $36,290, respectively. During the three and nine months ended September 30, 2024, the Company received net proceeds from the sale of tax credits totaling $8,906. These amounts were received in cash and recorded as income tax benefit. The cash flows related to the total income tax benefits are presented in the statement of cash flow in the ‘Net income’ line item within operating activities. Additionally, during the three and nine months ended September 30, 2025, the Company incurred legal and insurance fees associated with the transactions totaling $1,873 and $4,510, respectively. During the three and nine months ended September 30, 2024, the Company incurred legal and insurance fees associated with the transactions totaling $1,182. These amounts represent buyer’s expenses paid by the Company and are recorded as part of the income tax benefit. The transaction costs are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2. Investment in Other Entities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movement in Investment in Other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57860"/>
                <wp:effectExtent l="0" t="0" r="0" b="0"/>
                <wp:wrapNone/>
                <wp:docPr id="20" name="Frame2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26"/>
        <w:gridCol w:w="883"/>
        <w:gridCol w:w="888"/>
        <w:gridCol w:w="211"/>
        <w:gridCol w:w="721"/>
        <w:gridCol w:w="271"/>
        <w:gridCol w:w="211"/>
        <w:gridCol w:w="721"/>
        <w:gridCol w:w="271"/>
        <w:gridCol w:w="211"/>
        <w:gridCol w:w="616"/>
        <w:gridCol w:w="271"/>
        <w:gridCol w:w="211"/>
        <w:gridCol w:w="721"/>
        <w:gridCol w:w="271"/>
        <w:gridCol w:w="211"/>
        <w:gridCol w:w="826"/>
        <w:gridCol w:w="271"/>
        <w:gridCol w:w="211"/>
        <w:gridCol w:w="826"/>
        <w:gridCol w:w="156"/>
      </w:tblGrid>
      <w:tr>
        <w:trPr/>
        <w:tc>
          <w:tcPr>
            <w:tcW w:w="12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Pine Bend</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Noble Road</w:t>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GREP</w:t>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Land2Gas</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Paragon</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ownership</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by the Company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Distributions from return on investment in equity method investment </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Distributions from return of investment in equity method investment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basis difference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153,699 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227,545 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Recorded as part of cash flows from operating activities for the nine months ended September 30, 2025.</w:t>
      </w:r>
    </w:p>
    <w:p>
      <w:pPr>
        <w:pStyle w:val="TextBody"/>
        <w:bidi w:val="0"/>
        <w:spacing w:lineRule="auto" w:line="288" w:before="0" w:after="20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Recorded as part of cash flows from investing activities for the nine months ended September 30, 2025.</w:t>
      </w:r>
    </w:p>
    <w:p>
      <w:pPr>
        <w:pStyle w:val="TextBody"/>
        <w:bidi w:val="0"/>
        <w:spacing w:lineRule="auto" w:line="288" w:before="0" w:after="20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Reflected in income from equity method investments in the condensed consolidated statements of operations for the nine months ended September 30,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statement of operations information for equity method investments and the Company's portion of net income from equity method investments:</w:t>
      </w:r>
    </w:p>
    <w:tbl>
      <w:tblPr>
        <w:tblW w:w="9988" w:type="dxa"/>
        <w:jc w:val="center"/>
        <w:tblInd w:w="0" w:type="dxa"/>
        <w:tblLayout w:type="fixed"/>
        <w:tblCellMar>
          <w:top w:w="28" w:type="dxa"/>
          <w:left w:w="28" w:type="dxa"/>
          <w:bottom w:w="28" w:type="dxa"/>
          <w:right w:w="28" w:type="dxa"/>
        </w:tblCellMar>
      </w:tblPr>
      <w:tblGrid>
        <w:gridCol w:w="1406"/>
        <w:gridCol w:w="1238"/>
        <w:gridCol w:w="1241"/>
        <w:gridCol w:w="316"/>
        <w:gridCol w:w="1080"/>
        <w:gridCol w:w="163"/>
        <w:gridCol w:w="316"/>
        <w:gridCol w:w="1080"/>
        <w:gridCol w:w="163"/>
        <w:gridCol w:w="296"/>
        <w:gridCol w:w="1012"/>
        <w:gridCol w:w="153"/>
        <w:gridCol w:w="296"/>
        <w:gridCol w:w="1012"/>
        <w:gridCol w:w="216"/>
      </w:tblGrid>
      <w:tr>
        <w:trPr/>
        <w:tc>
          <w:tcPr>
            <w:tcW w:w="140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98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2024</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color w:val="000000"/>
              </w:rPr>
            </w:pPr>
            <w:r>
              <w:rPr>
                <w:color w:val="000000"/>
              </w:rPr>
              <w:t> </w:t>
            </w:r>
            <w:r>
              <w:rPr>
                <w:rFonts w:ascii="Times New Roman;serif" w:hAnsi="Times New Roman;serif"/>
                <w:b/>
                <w:color w:val="000000"/>
                <w:sz w:val="20"/>
              </w:rPr>
              <w:t>2024</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26,570 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80,844 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77,097 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21,167 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31,812 </w:t>
            </w:r>
          </w:p>
        </w:tc>
        <w:tc>
          <w:tcPr>
            <w:tcW w:w="21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26,579 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Net income from equity method investments</w:t>
            </w:r>
            <w:r>
              <w:rPr>
                <w:rFonts w:ascii="Times New Roman;serif" w:hAnsi="Times New Roman;serif"/>
                <w:b w:val="false"/>
                <w:color w:val="000000"/>
                <w:sz w:val="13"/>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Net income from equity method investments represents the Company's portion of the net income from equity method investments including amortization of any basis differences.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summary of financial information for our portion of the assets and liabilities in equity method investees in the aggregate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57860"/>
                <wp:effectExtent l="0" t="0" r="0" b="0"/>
                <wp:wrapNone/>
                <wp:docPr id="21" name="Frame2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4468" w:type="dxa"/>
        <w:jc w:val="center"/>
        <w:tblInd w:w="0" w:type="dxa"/>
        <w:tblLayout w:type="fixed"/>
        <w:tblCellMar>
          <w:top w:w="28" w:type="dxa"/>
          <w:left w:w="28" w:type="dxa"/>
          <w:bottom w:w="28" w:type="dxa"/>
          <w:right w:w="28" w:type="dxa"/>
        </w:tblCellMar>
      </w:tblPr>
      <w:tblGrid>
        <w:gridCol w:w="672"/>
        <w:gridCol w:w="591"/>
        <w:gridCol w:w="596"/>
        <w:gridCol w:w="264"/>
        <w:gridCol w:w="904"/>
        <w:gridCol w:w="136"/>
        <w:gridCol w:w="253"/>
        <w:gridCol w:w="867"/>
        <w:gridCol w:w="185"/>
      </w:tblGrid>
      <w:tr>
        <w:trPr/>
        <w:tc>
          <w:tcPr>
            <w:tcW w:w="67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136,295 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121,934 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144,957 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132,488 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11,121 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15,993 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33,991 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24,612 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45,112 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40,605 </w:t>
            </w:r>
          </w:p>
        </w:tc>
        <w:tc>
          <w:tcPr>
            <w:tcW w:w="1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3. Borrowings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borrowings under the various debt facilities as of September 30, 2025 and December 31, 2024:</w:t>
      </w:r>
    </w:p>
    <w:tbl>
      <w:tblPr>
        <w:tblW w:w="8953" w:type="dxa"/>
        <w:jc w:val="center"/>
        <w:tblInd w:w="0" w:type="dxa"/>
        <w:tblLayout w:type="fixed"/>
        <w:tblCellMar>
          <w:top w:w="28" w:type="dxa"/>
          <w:left w:w="28" w:type="dxa"/>
          <w:bottom w:w="28" w:type="dxa"/>
          <w:right w:w="28" w:type="dxa"/>
        </w:tblCellMar>
      </w:tblPr>
      <w:tblGrid>
        <w:gridCol w:w="1961"/>
        <w:gridCol w:w="1721"/>
        <w:gridCol w:w="1732"/>
        <w:gridCol w:w="326"/>
        <w:gridCol w:w="1276"/>
        <w:gridCol w:w="168"/>
        <w:gridCol w:w="313"/>
        <w:gridCol w:w="1228"/>
        <w:gridCol w:w="228"/>
      </w:tblGrid>
      <w:tr>
        <w:trPr/>
        <w:tc>
          <w:tcPr>
            <w:tcW w:w="196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OPAL Term Loan and Revolving Loan</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331,618 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286,617 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(9,122)</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(9,349)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(10,865)</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OPAL Term Loan and Revolving Loan, net of debt issuance costs</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313,324 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266,630 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Sunoma Loan</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20,846 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22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(1,756)</w:t>
            </w:r>
          </w:p>
        </w:tc>
        <w:tc>
          <w:tcPr>
            <w:tcW w:w="22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Sunoma Loan, net of debt issuance costs</w:t>
            </w:r>
          </w:p>
        </w:tc>
        <w:tc>
          <w:tcPr>
            <w:tcW w:w="1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17,071 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18,373 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borrowings total</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330,395 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285,003 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48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principal maturities of debt are expected as follows, excluding any undrawn debt facilities as of the date of the condensed consolidated balance sheets: </w:t>
      </w:r>
    </w:p>
    <w:tbl>
      <w:tblPr>
        <w:tblW w:w="7610" w:type="dxa"/>
        <w:jc w:val="center"/>
        <w:tblInd w:w="0" w:type="dxa"/>
        <w:tblLayout w:type="fixed"/>
        <w:tblCellMar>
          <w:top w:w="28" w:type="dxa"/>
          <w:left w:w="28" w:type="dxa"/>
          <w:bottom w:w="28" w:type="dxa"/>
          <w:right w:w="28" w:type="dxa"/>
        </w:tblCellMar>
      </w:tblPr>
      <w:tblGrid>
        <w:gridCol w:w="1251"/>
        <w:gridCol w:w="1102"/>
        <w:gridCol w:w="1112"/>
        <w:gridCol w:w="306"/>
        <w:gridCol w:w="1200"/>
        <w:gridCol w:w="158"/>
        <w:gridCol w:w="261"/>
        <w:gridCol w:w="894"/>
        <w:gridCol w:w="135"/>
        <w:gridCol w:w="211"/>
        <w:gridCol w:w="82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OPAL Term Loan</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Sunoma Loan</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w:t>
            </w:r>
          </w:p>
        </w:tc>
        <w:tc>
          <w:tcPr>
            <w:tcW w:w="1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ending December 31, 2025</w:t>
            </w:r>
          </w:p>
        </w:tc>
        <w:tc>
          <w:tcPr>
            <w:tcW w:w="3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306,688 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2,213 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308,901 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331,618 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351,157 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Amended OPAL Term Loan and Revolving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57860"/>
                <wp:effectExtent l="0" t="0" r="0" b="0"/>
                <wp:wrapNone/>
                <wp:docPr id="22" name="Frame2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 The Amendment was accounted for as a modification in the nine month period ended September 30,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Credit Agreement Amendment, the Borrower paid the Administrative Agent, for the account of each lender, a one-time nonrefundable fee of $1,250. These costs have been recorded as a direct reduction against the debt and amortized over the life of the associated debt as a component of interest expense using the effective interest method.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borrowed $40,000 under its term loan, drew $20,000 from its revolving loan and repaid $15,000 on its revolving loan. As of September 30, 2025, the Company utilized $34,517 of availability under the revolver loan to provide for the issuance of letters of credit to support the operations of the Borrower and the Guarantors.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 As of September 30, 2025, the Company is in compliance with the financial covenants under the OPAL Term Loan. The amounts outstanding under the Credit Agreement are secured by the assets of the indirect subsidiaries of OPAL Intermediate Holdco.</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Sunoma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27, 2020, Sunoma, an indirect wholly-owned subsidiary of the Company entered into a debt agreement (the "Sunoma Loan Agreement") with Live Oak Banking Company for an aggregate principal amount of $20,000 that was increased to $23,000 in 2022. As of September 30, 2025, Sunoma is in compliance with the financial covenants under the Sunoma Loan Agreement.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also utilized $968 for the issuance of letters of credit to support the operations of the Borrower. The amounts outstanding under the Sunoma Loan are secured by the assets of Sunoma.</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2025, the weighted average effective interest rate including amortization of debt issuance costs on OPAL Term Loan was 8.8% and 8.5% respectively. For the three and nine months ended September 30, 2025, the interest rate on the Sunoma Loan was 8.7%.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2024</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2024, the weighted average effective interest rate on OPAL Term Loan including amortization of debt issuance costs was 9.2% and 8.7%, respectively. For the three and nine months ended September 30, 2024, the interest rate on the Sunoma loan was 8.1% and 8.2%,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total interest expense for the three and nine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57860"/>
                <wp:effectExtent l="0" t="0" r="0" b="0"/>
                <wp:wrapNone/>
                <wp:docPr id="23" name="Frame2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9070" w:type="dxa"/>
        <w:jc w:val="center"/>
        <w:tblInd w:w="0" w:type="dxa"/>
        <w:tblLayout w:type="fixed"/>
        <w:tblCellMar>
          <w:top w:w="28" w:type="dxa"/>
          <w:left w:w="28" w:type="dxa"/>
          <w:bottom w:w="28" w:type="dxa"/>
          <w:right w:w="28" w:type="dxa"/>
        </w:tblCellMar>
      </w:tblPr>
      <w:tblGrid>
        <w:gridCol w:w="1218"/>
        <w:gridCol w:w="1067"/>
        <w:gridCol w:w="1074"/>
        <w:gridCol w:w="404"/>
        <w:gridCol w:w="1180"/>
        <w:gridCol w:w="208"/>
        <w:gridCol w:w="404"/>
        <w:gridCol w:w="1180"/>
        <w:gridCol w:w="208"/>
        <w:gridCol w:w="211"/>
        <w:gridCol w:w="721"/>
        <w:gridCol w:w="109"/>
        <w:gridCol w:w="211"/>
        <w:gridCol w:w="721"/>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2127"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335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center"/>
              <w:rPr>
                <w:color w:val="000000"/>
              </w:rPr>
            </w:pPr>
            <w:r>
              <w:rPr>
                <w:color w:val="000000"/>
              </w:rPr>
              <w:t> </w:t>
            </w:r>
            <w:r>
              <w:rPr>
                <w:rFonts w:ascii="Times New Roman;serif" w:hAnsi="Times New Roman;serif"/>
                <w:b/>
                <w:color w:val="000000"/>
                <w:sz w:val="20"/>
              </w:rPr>
              <w:t>2024</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Sunoma Loan</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OPAL Term Loan </w:t>
            </w:r>
            <w:r>
              <w:rPr>
                <w:rFonts w:ascii="Times New Roman;serif" w:hAnsi="Times New Roman;serif"/>
                <w:b w:val="false"/>
                <w:color w:val="000000"/>
                <w:sz w:val="13"/>
              </w:rPr>
              <w:t>(1)</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4,023 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 fees and other finance fees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finance leases</w:t>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Total interest and financing expense</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Excludes $841 and $1,019 of interest capitalized and recorded as part of Property, Plant and Equipment for the three months ended September 30, 2025 and 2024. Excludes $2,082 and $3,093 of interest capitalized and recorded as part of Property, Plant and Equipment for the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left"/>
        <w:rPr>
          <w:rFonts w:ascii="Times New Roman;serif" w:hAnsi="Times New Roman;serif"/>
          <w:b/>
          <w:color w:val="000000"/>
          <w:sz w:val="20"/>
        </w:rPr>
      </w:pPr>
      <w:r>
        <w:rPr>
          <w:rFonts w:ascii="Times New Roman;serif" w:hAnsi="Times New Roman;serif"/>
          <w:b/>
          <w:color w:val="000000"/>
          <w:sz w:val="20"/>
        </w:rPr>
        <w:t>4. Leases</w:t>
      </w:r>
    </w:p>
    <w:p>
      <w:pPr>
        <w:pStyle w:val="TextBody"/>
        <w:bidi w:val="0"/>
        <w:spacing w:lineRule="auto" w:line="288" w:before="0" w:after="200"/>
        <w:ind w:left="0" w:right="0" w:hanging="480"/>
        <w:jc w:val="both"/>
        <w:rPr>
          <w:rFonts w:ascii="Times New Roman;serif" w:hAnsi="Times New Roman;serif"/>
          <w:b/>
          <w:i/>
          <w:color w:val="000000"/>
          <w:sz w:val="20"/>
        </w:rPr>
      </w:pPr>
      <w:r>
        <w:rPr>
          <w:rFonts w:ascii="Times New Roman;serif" w:hAnsi="Times New Roman;serif"/>
          <w:b/>
          <w:i/>
          <w:color w:val="000000"/>
          <w:sz w:val="20"/>
        </w:rPr>
        <w:t>Lessor contracts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Fuel provider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We have determined that the FPAs contain a lease component for the use of the Fueling Station in addition to the non-lease components related to providing CNG/RNG as well as providing all-inclusive maintenance and warranty services. </w:t>
      </w:r>
    </w:p>
    <w:p>
      <w:pPr>
        <w:pStyle w:val="TextBody"/>
        <w:bidi w:val="0"/>
        <w:spacing w:lineRule="auto" w:line="288" w:before="0" w:after="200"/>
        <w:ind w:left="0" w:right="0" w:hanging="480"/>
        <w:jc w:val="both"/>
        <w:rPr>
          <w:rFonts w:ascii="Times New Roman;serif" w:hAnsi="Times New Roman;serif"/>
          <w:b w:val="false"/>
          <w:i/>
          <w:color w:val="000000"/>
          <w:sz w:val="20"/>
        </w:rPr>
      </w:pPr>
      <w:r>
        <w:rPr>
          <w:rFonts w:ascii="Times New Roman;serif" w:hAnsi="Times New Roman;serif"/>
          <w:b w:val="false"/>
          <w:i/>
          <w:color w:val="000000"/>
          <w:sz w:val="20"/>
        </w:rPr>
        <w:t xml:space="preserve">Power purchase agreements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w:t>
      </w:r>
    </w:p>
    <w:tbl>
      <w:tblPr>
        <w:tblW w:w="6792" w:type="dxa"/>
        <w:jc w:val="center"/>
        <w:tblInd w:w="0" w:type="dxa"/>
        <w:tblLayout w:type="fixed"/>
        <w:tblCellMar>
          <w:top w:w="28" w:type="dxa"/>
          <w:left w:w="28" w:type="dxa"/>
          <w:bottom w:w="28" w:type="dxa"/>
          <w:right w:w="28" w:type="dxa"/>
        </w:tblCellMar>
      </w:tblPr>
      <w:tblGrid>
        <w:gridCol w:w="272"/>
        <w:gridCol w:w="238"/>
        <w:gridCol w:w="240"/>
        <w:gridCol w:w="345"/>
        <w:gridCol w:w="1007"/>
        <w:gridCol w:w="178"/>
        <w:gridCol w:w="345"/>
        <w:gridCol w:w="1007"/>
        <w:gridCol w:w="178"/>
        <w:gridCol w:w="311"/>
        <w:gridCol w:w="1064"/>
        <w:gridCol w:w="160"/>
        <w:gridCol w:w="311"/>
        <w:gridCol w:w="909"/>
        <w:gridCol w:w="227"/>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982"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c>
          <w:tcPr>
            <w:tcW w:w="15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r>
      <w:tr>
        <w:trPr/>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FPAs </w:t>
            </w:r>
            <w:r>
              <w:rPr>
                <w:rFonts w:ascii="Times New Roman;serif" w:hAnsi="Times New Roman;serif"/>
                <w:b w:val="false"/>
                <w:color w:val="000000"/>
                <w:sz w:val="13"/>
              </w:rPr>
              <w:t>(1)</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PPAs </w:t>
            </w:r>
            <w:r>
              <w:rPr>
                <w:rFonts w:ascii="Times New Roman;serif" w:hAnsi="Times New Roman;serif"/>
                <w:b w:val="false"/>
                <w:color w:val="000000"/>
                <w:sz w:val="13"/>
              </w:rPr>
              <w:t>(2)</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Included in Fuel Station Service revenues</w:t>
      </w:r>
    </w:p>
    <w:p>
      <w:pPr>
        <w:pStyle w:val="TextBody"/>
        <w:bidi w:val="0"/>
        <w:spacing w:lineRule="auto" w:line="288" w:before="0" w:after="20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Included in Renewable Power revenues</w:t>
      </w:r>
    </w:p>
    <w:p>
      <w:pPr>
        <w:pStyle w:val="TextBody"/>
        <w:bidi w:val="0"/>
        <w:spacing w:lineRule="auto" w:line="288" w:before="0" w:after="200"/>
        <w:ind w:left="0" w:right="0" w:hanging="480"/>
        <w:jc w:val="both"/>
        <w:rPr>
          <w:rFonts w:ascii="Times New Roman;serif" w:hAnsi="Times New Roman;serif"/>
          <w:b/>
          <w:i/>
          <w:color w:val="000000"/>
          <w:sz w:val="20"/>
        </w:rPr>
      </w:pPr>
      <w:r>
        <w:rPr>
          <w:rFonts w:ascii="Times New Roman;serif" w:hAnsi="Times New Roman;serif"/>
          <w:b/>
          <w:i/>
          <w:color w:val="000000"/>
          <w:sz w:val="20"/>
        </w:rPr>
        <w:t>Lessee contracts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the Company derecognized the right-of-use (ROU) asset and corresponding lease liability associated with a site lease following a formal release from all future lease obligations by the vendor under the current agreement. The ROU asset had a carrying value of approximately $5,397 at the time of termination. The derecognition resulted in $600 gain recognized in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left"/>
        <w:rPr>
          <w:rFonts w:ascii="Times New Roman;serif" w:hAnsi="Times New Roman;serif"/>
          <w:b/>
          <w:color w:val="000000"/>
          <w:sz w:val="20"/>
        </w:rPr>
      </w:pPr>
      <w:r>
        <w:rPr>
          <w:rFonts w:ascii="Times New Roman;serif" w:hAnsi="Times New Roman;serif"/>
          <w:b/>
          <w:color w:val="000000"/>
          <w:sz w:val="20"/>
        </w:rPr>
        <w:t>5. Derivative Financial Instruments and Fair Value Measurements</w:t>
      </w:r>
    </w:p>
    <w:p>
      <w:pPr>
        <w:pStyle w:val="TextBody"/>
        <w:bidi w:val="0"/>
        <w:spacing w:lineRule="auto" w:line="288" w:before="0" w:after="200"/>
        <w:ind w:left="0" w:right="0" w:hanging="480"/>
        <w:jc w:val="left"/>
        <w:rPr>
          <w:rFonts w:ascii="Times New Roman;serif" w:hAnsi="Times New Roman;serif"/>
          <w:b/>
          <w:i/>
          <w:color w:val="000000"/>
          <w:sz w:val="20"/>
        </w:rPr>
      </w:pPr>
      <w:r>
        <w:rPr>
          <w:rFonts w:ascii="Times New Roman;serif" w:hAnsi="Times New Roman;serif"/>
          <w:b/>
          <w:i/>
          <w:color w:val="000000"/>
          <w:sz w:val="20"/>
        </w:rPr>
        <w:t>Interest rate swaps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57860"/>
                <wp:effectExtent l="0" t="0" r="0" b="0"/>
                <wp:wrapNone/>
                <wp:docPr id="24" name="Frame2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records the fair value of the interest rate swap as an asset or liability on its balance sheet. This instrument is classified as Level 2 in the fair value hierarchy. The effective portion of the swap is recorded in accumulated other comprehensive income. The Company expects to release $84 from the other comprehensive income in the next twelve months.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location and amounts of interest rate swaps and their fair values in the condensed consolidated balance sheets are:</w:t>
      </w:r>
    </w:p>
    <w:tbl>
      <w:tblPr>
        <w:tblW w:w="10205" w:type="dxa"/>
        <w:jc w:val="center"/>
        <w:tblInd w:w="0" w:type="dxa"/>
        <w:tblLayout w:type="fixed"/>
        <w:tblCellMar>
          <w:top w:w="28" w:type="dxa"/>
          <w:left w:w="28" w:type="dxa"/>
          <w:bottom w:w="28" w:type="dxa"/>
          <w:right w:w="28" w:type="dxa"/>
        </w:tblCellMar>
      </w:tblPr>
      <w:tblGrid>
        <w:gridCol w:w="1269"/>
        <w:gridCol w:w="1116"/>
        <w:gridCol w:w="1118"/>
        <w:gridCol w:w="385"/>
        <w:gridCol w:w="688"/>
        <w:gridCol w:w="201"/>
        <w:gridCol w:w="329"/>
        <w:gridCol w:w="728"/>
        <w:gridCol w:w="172"/>
        <w:gridCol w:w="1228"/>
        <w:gridCol w:w="1226"/>
        <w:gridCol w:w="1745"/>
      </w:tblGrid>
      <w:tr>
        <w:trPr/>
        <w:tc>
          <w:tcPr>
            <w:tcW w:w="126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4199"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Location of Fair Value Recognized in Balance Sheet</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Derivatives designated as cash flow hedges: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portion of the interest rate swaps</w:t>
            </w:r>
          </w:p>
        </w:tc>
        <w:tc>
          <w:tcPr>
            <w:tcW w:w="3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portion of the interest rate swaps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portion of the interest rate swaps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effect of interest rate swaps on the condensed consolidated statement of operations were as follows:</w:t>
      </w:r>
    </w:p>
    <w:tbl>
      <w:tblPr>
        <w:tblW w:w="10205" w:type="dxa"/>
        <w:jc w:val="center"/>
        <w:tblInd w:w="0" w:type="dxa"/>
        <w:tblLayout w:type="fixed"/>
        <w:tblCellMar>
          <w:top w:w="28" w:type="dxa"/>
          <w:left w:w="28" w:type="dxa"/>
          <w:bottom w:w="28" w:type="dxa"/>
          <w:right w:w="28" w:type="dxa"/>
        </w:tblCellMar>
      </w:tblPr>
      <w:tblGrid>
        <w:gridCol w:w="773"/>
        <w:gridCol w:w="681"/>
        <w:gridCol w:w="683"/>
        <w:gridCol w:w="371"/>
        <w:gridCol w:w="634"/>
        <w:gridCol w:w="191"/>
        <w:gridCol w:w="371"/>
        <w:gridCol w:w="713"/>
        <w:gridCol w:w="191"/>
        <w:gridCol w:w="339"/>
        <w:gridCol w:w="750"/>
        <w:gridCol w:w="175"/>
        <w:gridCol w:w="339"/>
        <w:gridCol w:w="653"/>
        <w:gridCol w:w="175"/>
        <w:gridCol w:w="922"/>
        <w:gridCol w:w="922"/>
        <w:gridCol w:w="1322"/>
      </w:tblGrid>
      <w:tr>
        <w:trPr/>
        <w:tc>
          <w:tcPr>
            <w:tcW w:w="77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4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1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Gain in Operations from Derivatives</w:t>
            </w:r>
          </w:p>
        </w:tc>
      </w:tr>
      <w:tr>
        <w:trPr/>
        <w:tc>
          <w:tcPr>
            <w:tcW w:w="2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color w:val="000000"/>
              </w:rPr>
            </w:pPr>
            <w:r>
              <w:rPr>
                <w:color w:val="000000"/>
              </w:rPr>
              <w:t> </w:t>
            </w:r>
            <w:r>
              <w:rPr>
                <w:rFonts w:ascii="Times New Roman;serif" w:hAnsi="Times New Roman;serif"/>
                <w:b/>
                <w:color w:val="000000"/>
                <w:sz w:val="20"/>
              </w:rPr>
              <w:t>2024</w:t>
            </w:r>
          </w:p>
        </w:tc>
        <w:tc>
          <w:tcPr>
            <w:tcW w:w="31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net periodic settlements</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r>
      <w:tr>
        <w:trPr/>
        <w:tc>
          <w:tcPr>
            <w:tcW w:w="213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1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Commodity swap contracts</w:t>
      </w:r>
    </w:p>
    <w:p>
      <w:pPr>
        <w:pStyle w:val="TextBody"/>
        <w:bidi w:val="0"/>
        <w:spacing w:lineRule="auto" w:line="288" w:before="0" w:after="200"/>
        <w:ind w:left="0" w:right="0" w:firstLine="450"/>
        <w:jc w:val="both"/>
        <w:rPr/>
      </w:pPr>
      <w:r>
        <w:rPr>
          <w:rFonts w:ascii="Times New Roman;serif" w:hAnsi="Times New Roman;serif"/>
          <w:b w:val="false"/>
          <w:color w:val="000000"/>
          <w:sz w:val="20"/>
        </w:rPr>
        <w:t>In February 2025, the Company entered into a power purchase and sale agreement with NextEra Energy Marketing, LLC (together with its affiliates, "NextEra") for sale of electricity over the period from March through December 2025, with a fixed contract price. The forward contract is expected to be settled by physical delivery of electricity on a monthly basis. The Company elected the normal purchase normal sale exclusion and will not apply fair value accounting under ASC 815,</w:t>
      </w:r>
      <w:r>
        <w:rPr>
          <w:color w:val="000000"/>
        </w:rPr>
        <w:t xml:space="preserve">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("ASC 815"). </w:t>
      </w:r>
    </w:p>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Additionally, during the nine months ended September 30, 2025, the Company entered into multiple ISDA agreements with JPMorgan Chase, Merrill Lynch, and Investec Bank for pay-variable, receive-fixed, cash-settled natural gas commodity swaps. The Company applied fair value accounting under ASC 815 for these transactions.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commodity swaps accounted for as derivatives under ASC 815 on the condensed consolidated statements of operations for the three and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1082"/>
        <w:gridCol w:w="953"/>
        <w:gridCol w:w="955"/>
        <w:gridCol w:w="821"/>
        <w:gridCol w:w="719"/>
        <w:gridCol w:w="721"/>
        <w:gridCol w:w="304"/>
        <w:gridCol w:w="889"/>
        <w:gridCol w:w="157"/>
        <w:gridCol w:w="304"/>
        <w:gridCol w:w="673"/>
        <w:gridCol w:w="157"/>
        <w:gridCol w:w="294"/>
        <w:gridCol w:w="858"/>
        <w:gridCol w:w="151"/>
        <w:gridCol w:w="294"/>
        <w:gridCol w:w="649"/>
        <w:gridCol w:w="224"/>
      </w:tblGrid>
      <w:tr>
        <w:trPr/>
        <w:tc>
          <w:tcPr>
            <w:tcW w:w="108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4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Location of Gain (Loss) Recognized</w:t>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1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swaps - realized gain (loss)</w:t>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 Renewable Power</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swaps - unrealized gain (loss)</w:t>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 Renewable Power</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swaps - realized gain</w:t>
            </w:r>
          </w:p>
        </w:tc>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 RNG Fuel</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swaps - unrealized gain</w:t>
            </w:r>
          </w:p>
        </w:tc>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 RNG Fuel</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and unrealized gain</w:t>
            </w:r>
          </w:p>
        </w:tc>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derivative assets and liabilities related to commodity swaps as of September 30,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57860"/>
                <wp:effectExtent l="0" t="0" r="0" b="0"/>
                <wp:wrapNone/>
                <wp:docPr id="25" name="Frame2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67"/>
        <w:gridCol w:w="1196"/>
        <w:gridCol w:w="1203"/>
        <w:gridCol w:w="408"/>
        <w:gridCol w:w="902"/>
        <w:gridCol w:w="211"/>
        <w:gridCol w:w="429"/>
        <w:gridCol w:w="825"/>
        <w:gridCol w:w="222"/>
        <w:gridCol w:w="1004"/>
        <w:gridCol w:w="1004"/>
        <w:gridCol w:w="1434"/>
      </w:tblGrid>
      <w:tr>
        <w:trPr/>
        <w:tc>
          <w:tcPr>
            <w:tcW w:w="136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Fair Value Recognized in Balance Sheet</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not designated as hedging instruments</w:t>
            </w:r>
          </w:p>
        </w:tc>
        <w:tc>
          <w:tcPr>
            <w:tcW w:w="15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unrealized gain on commodity swaps</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 and other current assets</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unrealized loss on commodity swaps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r>
      <w:tr>
        <w:trPr/>
        <w:tc>
          <w:tcPr>
            <w:tcW w:w="3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 - current portion of unrealized loss on commodity swaps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r>
      <w:tr>
        <w:trPr/>
        <w:tc>
          <w:tcPr>
            <w:tcW w:w="3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commodity swaps - unrealized gain (loss)</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Other derivative liabilities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21, 2022, the Company recorded a derivative liability for the Sponsor Earnout Awards and the OPAL Earnout Awards. The OPAL Earnout Awards expired in December 2024. The change in fair value on Sponsor Earnout and OPAL Earnout Awards is recorded as change in fair value of derivative instruments, net in the condensed consolidated statement of operations for the three and nine months ended September 30, 2025 and 2024.</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 of change in fair value of other derivative liabilities on the condensed consolidated statements of operations for the three and nine months ended September 30, 2025 and 2024:</w:t>
      </w:r>
    </w:p>
    <w:tbl>
      <w:tblPr>
        <w:tblW w:w="10205" w:type="dxa"/>
        <w:jc w:val="center"/>
        <w:tblInd w:w="0" w:type="dxa"/>
        <w:tblLayout w:type="fixed"/>
        <w:tblCellMar>
          <w:top w:w="28" w:type="dxa"/>
          <w:left w:w="28" w:type="dxa"/>
          <w:bottom w:w="28" w:type="dxa"/>
          <w:right w:w="28" w:type="dxa"/>
        </w:tblCellMar>
      </w:tblPr>
      <w:tblGrid>
        <w:gridCol w:w="723"/>
        <w:gridCol w:w="635"/>
        <w:gridCol w:w="636"/>
        <w:gridCol w:w="351"/>
        <w:gridCol w:w="675"/>
        <w:gridCol w:w="181"/>
        <w:gridCol w:w="351"/>
        <w:gridCol w:w="776"/>
        <w:gridCol w:w="181"/>
        <w:gridCol w:w="307"/>
        <w:gridCol w:w="679"/>
        <w:gridCol w:w="159"/>
        <w:gridCol w:w="307"/>
        <w:gridCol w:w="899"/>
        <w:gridCol w:w="159"/>
        <w:gridCol w:w="932"/>
        <w:gridCol w:w="927"/>
        <w:gridCol w:w="1327"/>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Derivative liability</w:t>
            </w:r>
          </w:p>
        </w:tc>
        <w:tc>
          <w:tcPr>
            <w:tcW w:w="251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51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 of Gain in Operations from Derivatives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3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Sponsor Earnout Awards gain</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 net</w:t>
            </w:r>
          </w:p>
        </w:tc>
      </w:tr>
    </w:tbl>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carrying amount of cash and cash equivalents, accounts receivable, net, and accounts payable and accrued expenses approximates fair value due to their short-term maturities.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carrying value of the Company's long-term debt, classified as Level 2 within the fair value hierarchy, approximates its fair value as of as of September 30, 2025 and December 31, 2024, because the interest rates are variable and therefore reflect current market conditions.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estimated the fair value of its asset retirement obligations based on discount rates ranging from 5.8% to 8.5%.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fair value of the Sponsor Earnout Awards as of September 30, 2025 was determined using a Black-Scholes valuation model with a distribution of potential outcomes on a daily basis over the 2.0 years remaining in the vesting window. Assumptions used in the valuation are as follows: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Current stock price — The Company's closing stock price of $2.20 as of September 30, 2025;</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Expected volatility —50% based on historical and implied volatilities of selected industry peers deemed to be comparable to our business corresponding to the expected term of the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57860"/>
                <wp:effectExtent l="0" t="0" r="0" b="0"/>
                <wp:wrapNone/>
                <wp:docPr id="26" name="Frame2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Risk-free interest rate — 3.6% based on the U.S. Treasury yield curve in effect at the time of issuance for zero-coupon U.S. Treasury notes with maturities corresponding to the expected 1.8 year term of the earnout period;</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Dividend yield - zero.</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Convertible note receivable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July 2024, the Company purchased a convertible note pursuant to which the Company has the right to convert the note into shares of Class A common stock of the investee for $750. In the third quarter of 2025, the investee underwent an exit event, resulting in the note settlement. The Company received $1,377 in cash proceeds, with an additional $198 remaining in escrow recorded under prepaid expense and other current assets.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of assets between Level 1, Level 2, or Level 3 of the fair value hierarchy as of September 30,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assets and liabilities that are measured at fair value on a recurring basis include the following as of September 30, 2025 and December 31, 2024, set forth by level, within the fair value hierarchy:</w:t>
      </w:r>
    </w:p>
    <w:tbl>
      <w:tblPr>
        <w:tblW w:w="9370" w:type="dxa"/>
        <w:jc w:val="center"/>
        <w:tblInd w:w="0" w:type="dxa"/>
        <w:tblLayout w:type="fixed"/>
        <w:tblCellMar>
          <w:top w:w="28" w:type="dxa"/>
          <w:left w:w="28" w:type="dxa"/>
          <w:bottom w:w="28" w:type="dxa"/>
          <w:right w:w="28" w:type="dxa"/>
        </w:tblCellMar>
      </w:tblPr>
      <w:tblGrid>
        <w:gridCol w:w="2198"/>
        <w:gridCol w:w="1934"/>
        <w:gridCol w:w="1942"/>
        <w:gridCol w:w="246"/>
        <w:gridCol w:w="475"/>
        <w:gridCol w:w="121"/>
        <w:gridCol w:w="234"/>
        <w:gridCol w:w="451"/>
        <w:gridCol w:w="121"/>
        <w:gridCol w:w="234"/>
        <w:gridCol w:w="401"/>
        <w:gridCol w:w="121"/>
        <w:gridCol w:w="265"/>
        <w:gridCol w:w="456"/>
        <w:gridCol w:w="171"/>
      </w:tblGrid>
      <w:tr>
        <w:trPr/>
        <w:tc>
          <w:tcPr>
            <w:tcW w:w="2198"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 as of September 30, 2025</w:t>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w:t>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 contracts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Cash and cash equivalents and restricted cash - current and non-current </w:t>
            </w:r>
            <w:r>
              <w:rPr>
                <w:rFonts w:ascii="Times New Roman;serif" w:hAnsi="Times New Roman;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34,283 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 contracts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326" w:type="dxa"/>
        <w:jc w:val="center"/>
        <w:tblInd w:w="0" w:type="dxa"/>
        <w:tblLayout w:type="fixed"/>
        <w:tblCellMar>
          <w:top w:w="28" w:type="dxa"/>
          <w:left w:w="28" w:type="dxa"/>
          <w:bottom w:w="28" w:type="dxa"/>
          <w:right w:w="28" w:type="dxa"/>
        </w:tblCellMar>
      </w:tblPr>
      <w:tblGrid>
        <w:gridCol w:w="2198"/>
        <w:gridCol w:w="1934"/>
        <w:gridCol w:w="1942"/>
        <w:gridCol w:w="246"/>
        <w:gridCol w:w="475"/>
        <w:gridCol w:w="111"/>
        <w:gridCol w:w="215"/>
        <w:gridCol w:w="414"/>
        <w:gridCol w:w="111"/>
        <w:gridCol w:w="215"/>
        <w:gridCol w:w="476"/>
        <w:gridCol w:w="111"/>
        <w:gridCol w:w="224"/>
        <w:gridCol w:w="497"/>
        <w:gridCol w:w="157"/>
      </w:tblGrid>
      <w:tr>
        <w:trPr/>
        <w:tc>
          <w:tcPr>
            <w:tcW w:w="2198"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Fair value as of December 31, 2024</w:t>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Earnout liabilities</w:t>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swap contracts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Cash and cash equivalents and restricted cash - current and non-current </w:t>
            </w:r>
            <w:r>
              <w:rPr>
                <w:rFonts w:ascii="Times New Roman;serif" w:hAnsi="Times New Roman;serif"/>
                <w:b w:val="false"/>
                <w:color w:val="000000"/>
                <w:sz w:val="13"/>
              </w:rPr>
              <w:t>(1)</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29,228 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contracts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receivable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balances in money market accounts of $26,213 and $19,786, respectively as of September 30, 2025 and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6. Related Parties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Related parties are represented by Fortistar and other affiliates, subsidiaries, entities under common control with Fortistar or NextEra, and equity method investments.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Purchase and sale agreement for environmental attributes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57860"/>
                <wp:effectExtent l="0" t="0" r="0" b="0"/>
                <wp:wrapNone/>
                <wp:docPr id="27" name="Frame2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pPr>
      <w:r>
        <w:rPr>
          <w:rFonts w:ascii="Times New Roman;serif" w:hAnsi="Times New Roman;serif"/>
          <w:b w:val="false"/>
          <w:color w:val="000000"/>
          <w:sz w:val="20"/>
        </w:rPr>
        <w:t xml:space="preserve">In January 2025, the EPA implemented a new framework in which (1) RNG producers are eligible to claim a “K-1” </w:t>
      </w:r>
      <w:r>
        <w:rPr>
          <w:rFonts w:ascii="Times New Roman;serif" w:hAnsi="Times New Roman;serif"/>
          <w:b w:val="false"/>
          <w:color w:val="000000"/>
          <w:sz w:val="20"/>
          <w:shd w:fill="FFFFFF" w:val="clear"/>
        </w:rPr>
        <w:t>RINs</w:t>
      </w:r>
      <w:r>
        <w:rPr>
          <w:color w:val="000000"/>
        </w:rPr>
        <w:t xml:space="preserve"> </w:t>
      </w:r>
      <w:r>
        <w:rPr>
          <w:rFonts w:ascii="Times New Roman;serif" w:hAnsi="Times New Roman;serif"/>
          <w:b w:val="false"/>
          <w:color w:val="000000"/>
          <w:sz w:val="20"/>
        </w:rPr>
        <w:t xml:space="preserve">on their volumes of RNG produced, and (2) dispensers are eligible to claim “K-2” RINs on natural gas volumes dispensed as truck fuel, provided they also have a corresponding K-1 RIN to demonstrate the renewable sourcing of gas. The creation of distinct “K-1” and “K-2” RINs creates flexibility for RNG producers to generate and sell K-1 RINs to dispensers independent of the K-2 registration process or dispensing activities. K-1 RINs are only useful for the purpose of registering a K-2 RIN, and K-2 RINs are used to record the environmental offset (similar to a traditional RIN). The introduction of K-1 and K-2 RINs gives rise to a new form of commercial transaction for Opal that is distinct from previous RIN minting arrangements.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26, 2025, the Company entered into a NAESB Base Contract with NextEra (together with certain special conditions, a letter agreement, and an RNG addendum, the "NAESB Contract"). In accordance with the NAESB Contract, the Company could enter into transaction confirmations on a periodic basis for the sale of RNG generated by the RNG Fuels business and NextEra could elect to utilize the Company to market such RNG to generate RINs for NextEra. In March, June and September 2025, the Company and NextEra entered into such transaction confirmations.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concluded that production and dispensing services represent separate performance obligations. Control over K-1 RINs transfers at the time of gas generation or upon delivery of the RINs. Revenue is recognized at the time control is transferred. The consideration associated with dispensing services is recognized into revenue by the Company when it satisfies its performance obligation by pairing the paperwork associated with the dispensing.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Company recognized revenues of $4,982 and $15,585, respectively, under the NAESB contract, which were recorded as part of Revenues - RNG Fuel.</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Service agreements with related parties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17, 2025, Fortistar, through its subsidiary Wasatch RNG LLC (“Wasatch RNG”), acquired all of the limited liability company interests outstanding in Alpro SD, LLC (“Alpro” and such acquired interest, the “Alpro Interest”). Alpro owns a 50% limited liability company interest in Wasatch Resource Recovery, LLC (the “Project” or “Wasatch” and such ownership interest, the “Wasatch Interest”) and a 50% tenancy-in-common interest in certain real estate and operating assets used by Wasatch (the “Project Interest”). The Project captures and converts biogas generated from food waste to produce pipeline quality RNG. The Project generates revenue from long-term contracted gas sales, tipping fees, and digestate (fertilizer) sales.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Fortistar Services 2 LLC and OPAL Fuels LLC entered into an amendment to its existing Administrative Services Agreement, pursuant to which OPAL Fuels will provide certain services to Wasatch RNG in exchange for certain agreed upon fees and expense reimbursements. These services include oversight of the plan to improve the operations and productivity of the Project. Either party may, at its sole election and on ninety (90) days advance written notice, terminate Company's provision of services to Wasatch, at which time the Management Fee and the Wasatch Remediation Fee shall also terminate.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Wasatch RNG and OPAL Fuels entered into an Option Agreement, pursuant to which Wasatch RNG granted an option to OPAL Fuels to purchase the Alpro Interest. The exercise period of the option commenced upon closing of the acquisition and will terminate on the third anniversary of the closing of the acquisition, or ninety (90) days following a change of control of OPAL Fuels. The exercise price of the option would be determined such that Wasatch RNG would earn an internal rate of return on its invested capital of 10% percent per year if the option is exercised in the first year, 15% per year if exercised in the second year, and 20% per year if exercised in the third year.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Wasatch RNG is determined to be a VIE due to their having insufficient equity investment at risk to finance their activities without additional subordinated financial support, and due to the fact that the holder of equity at risk in Wasatch RNG lacks the right to fully receive the expected residual returns. However, we are not the primary beneficiary of this VIE because we do not have the power to direct the activities of the VIE that most significantly impact the VIE’s economic performance. Accordingly, we do not consolidate the results of operations, financial condition and cash flows of Wasatch RNG in our condensed consolidated financial statements.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2025, Scott Contino, CFO of Fortistar, served as Interim CFO of the Company. Pursuant to the Interim Services Agreement, the Company paid Fortistar an agreed hourly rate, such that the monthly fee did not exceed $50, on a cumulative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57860"/>
                <wp:effectExtent l="0" t="0" r="0" b="0"/>
                <wp:wrapNone/>
                <wp:docPr id="28" name="Frame2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revenues recorded from related parties:</w:t>
      </w:r>
    </w:p>
    <w:tbl>
      <w:tblPr>
        <w:tblW w:w="10205" w:type="dxa"/>
        <w:jc w:val="center"/>
        <w:tblInd w:w="0" w:type="dxa"/>
        <w:tblLayout w:type="fixed"/>
        <w:tblCellMar>
          <w:top w:w="28" w:type="dxa"/>
          <w:left w:w="28" w:type="dxa"/>
          <w:bottom w:w="28" w:type="dxa"/>
          <w:right w:w="28" w:type="dxa"/>
        </w:tblCellMar>
      </w:tblPr>
      <w:tblGrid>
        <w:gridCol w:w="733"/>
        <w:gridCol w:w="644"/>
        <w:gridCol w:w="647"/>
        <w:gridCol w:w="234"/>
        <w:gridCol w:w="802"/>
        <w:gridCol w:w="121"/>
        <w:gridCol w:w="312"/>
        <w:gridCol w:w="1072"/>
        <w:gridCol w:w="161"/>
        <w:gridCol w:w="317"/>
        <w:gridCol w:w="901"/>
        <w:gridCol w:w="155"/>
        <w:gridCol w:w="229"/>
        <w:gridCol w:w="784"/>
        <w:gridCol w:w="118"/>
        <w:gridCol w:w="312"/>
        <w:gridCol w:w="1072"/>
        <w:gridCol w:w="161"/>
        <w:gridCol w:w="309"/>
        <w:gridCol w:w="893"/>
        <w:gridCol w:w="228"/>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4106"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3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4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Attributes </w:t>
            </w:r>
            <w:r>
              <w:rPr>
                <w:rFonts w:ascii="Times New Roman;serif" w:hAnsi="Times New Roman;serif"/>
                <w:b w:val="false"/>
                <w:color w:val="000000"/>
                <w:sz w:val="13"/>
              </w:rPr>
              <w:t>(1)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swaps </w:t>
            </w:r>
            <w:r>
              <w:rPr>
                <w:rFonts w:ascii="Times New Roman;serif" w:hAnsi="Times New Roman;serif"/>
                <w:b w:val="false"/>
                <w:color w:val="000000"/>
                <w:sz w:val="13"/>
              </w:rPr>
              <w:t xml:space="preserve">(2)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Environmental processing</w:t>
            </w:r>
            <w:r>
              <w:rPr>
                <w:color w:val="000000"/>
              </w:rPr>
              <w:t xml:space="preserve"> </w:t>
            </w:r>
            <w:r>
              <w:rPr>
                <w:rFonts w:ascii="Times New Roman;serif" w:hAnsi="Times New Roman;serif"/>
                <w:b w:val="false"/>
                <w:color w:val="000000"/>
                <w:sz w:val="13"/>
              </w:rPr>
              <w:t>(3)</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Service agreements </w:t>
            </w:r>
            <w:r>
              <w:rPr>
                <w:rFonts w:ascii="Times New Roman;serif" w:hAnsi="Times New Roman;serif"/>
                <w:b w:val="false"/>
                <w:color w:val="000000"/>
                <w:sz w:val="13"/>
              </w:rPr>
              <w:t>(4)</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35"/>
        <w:gridCol w:w="645"/>
        <w:gridCol w:w="648"/>
        <w:gridCol w:w="234"/>
        <w:gridCol w:w="803"/>
        <w:gridCol w:w="121"/>
        <w:gridCol w:w="313"/>
        <w:gridCol w:w="1074"/>
        <w:gridCol w:w="161"/>
        <w:gridCol w:w="317"/>
        <w:gridCol w:w="902"/>
        <w:gridCol w:w="155"/>
        <w:gridCol w:w="226"/>
        <w:gridCol w:w="776"/>
        <w:gridCol w:w="116"/>
        <w:gridCol w:w="313"/>
        <w:gridCol w:w="1074"/>
        <w:gridCol w:w="161"/>
        <w:gridCol w:w="308"/>
        <w:gridCol w:w="895"/>
        <w:gridCol w:w="228"/>
      </w:tblGrid>
      <w:tr>
        <w:trPr/>
        <w:tc>
          <w:tcPr>
            <w:tcW w:w="73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c>
          <w:tcPr>
            <w:tcW w:w="409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5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3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1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5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4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Attributes </w:t>
            </w:r>
            <w:r>
              <w:rPr>
                <w:rFonts w:ascii="Times New Roman;serif" w:hAnsi="Times New Roman;serif"/>
                <w:b w:val="false"/>
                <w:color w:val="000000"/>
                <w:sz w:val="13"/>
              </w:rPr>
              <w:t>(1)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Commodity swaps </w:t>
            </w:r>
            <w:r>
              <w:rPr>
                <w:rFonts w:ascii="Times New Roman;serif" w:hAnsi="Times New Roman;serif"/>
                <w:b w:val="false"/>
                <w:color w:val="000000"/>
                <w:sz w:val="13"/>
              </w:rPr>
              <w:t xml:space="preserve">(2)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Environmental processing</w:t>
            </w:r>
            <w:r>
              <w:rPr>
                <w:color w:val="000000"/>
              </w:rPr>
              <w:t xml:space="preserve"> </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Represents RIN and LCFS sales to NextEra.</w:t>
      </w:r>
    </w:p>
    <w:p>
      <w:pPr>
        <w:pStyle w:val="TextBody"/>
        <w:bidi w:val="0"/>
        <w:spacing w:lineRule="auto" w:line="288" w:before="0" w:after="2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Represents revenue earned under ISDA and REC sales agreements with NextEra.</w:t>
      </w:r>
    </w:p>
    <w:p>
      <w:pPr>
        <w:pStyle w:val="TextBody"/>
        <w:bidi w:val="0"/>
        <w:spacing w:lineRule="auto" w:line="288" w:before="0" w:after="20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Represents environmental processing fees earned under agreements with equity method investments, related to the generation and marketing of RINs and LCFS.</w:t>
      </w:r>
    </w:p>
    <w:p>
      <w:pPr>
        <w:pStyle w:val="TextBody"/>
        <w:bidi w:val="0"/>
        <w:spacing w:lineRule="auto" w:line="288" w:before="0" w:after="20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Represents management fees earned under an agreement with Fortistar.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various fees recorded under the service agreements with related parties which are included in "Selling, general, and administrative" expenses:</w:t>
      </w:r>
    </w:p>
    <w:tbl>
      <w:tblPr>
        <w:tblW w:w="8978" w:type="dxa"/>
        <w:jc w:val="center"/>
        <w:tblInd w:w="0" w:type="dxa"/>
        <w:tblLayout w:type="fixed"/>
        <w:tblCellMar>
          <w:top w:w="28" w:type="dxa"/>
          <w:left w:w="28" w:type="dxa"/>
          <w:bottom w:w="28" w:type="dxa"/>
          <w:right w:w="28" w:type="dxa"/>
        </w:tblCellMar>
      </w:tblPr>
      <w:tblGrid>
        <w:gridCol w:w="1044"/>
        <w:gridCol w:w="917"/>
        <w:gridCol w:w="919"/>
        <w:gridCol w:w="351"/>
        <w:gridCol w:w="1026"/>
        <w:gridCol w:w="181"/>
        <w:gridCol w:w="351"/>
        <w:gridCol w:w="1026"/>
        <w:gridCol w:w="181"/>
        <w:gridCol w:w="328"/>
        <w:gridCol w:w="959"/>
        <w:gridCol w:w="169"/>
        <w:gridCol w:w="328"/>
        <w:gridCol w:w="959"/>
        <w:gridCol w:w="239"/>
      </w:tblGrid>
      <w:tr>
        <w:trPr/>
        <w:tc>
          <w:tcPr>
            <w:tcW w:w="104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Staffing and management services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 fixed compensation</w:t>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 services</w:t>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various balances for related parties included in our condensed consolidated balance sheets as of September 30, 2025 and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57860"/>
                <wp:effectExtent l="0" t="0" r="0" b="0"/>
                <wp:wrapNone/>
                <wp:docPr id="29" name="Frame2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9734" w:type="dxa"/>
        <w:jc w:val="center"/>
        <w:tblInd w:w="0" w:type="dxa"/>
        <w:tblLayout w:type="fixed"/>
        <w:tblCellMar>
          <w:top w:w="28" w:type="dxa"/>
          <w:left w:w="28" w:type="dxa"/>
          <w:bottom w:w="28" w:type="dxa"/>
          <w:right w:w="28" w:type="dxa"/>
        </w:tblCellMar>
      </w:tblPr>
      <w:tblGrid>
        <w:gridCol w:w="1570"/>
        <w:gridCol w:w="1384"/>
        <w:gridCol w:w="1395"/>
        <w:gridCol w:w="954"/>
        <w:gridCol w:w="954"/>
        <w:gridCol w:w="957"/>
        <w:gridCol w:w="255"/>
        <w:gridCol w:w="873"/>
        <w:gridCol w:w="132"/>
        <w:gridCol w:w="245"/>
        <w:gridCol w:w="837"/>
        <w:gridCol w:w="178"/>
      </w:tblGrid>
      <w:tr>
        <w:trPr/>
        <w:tc>
          <w:tcPr>
            <w:tcW w:w="157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Location in Balance Sheet</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AR - NextEra</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related party</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from equity method investment entities</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related party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receivables - related party</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21,691 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to equity method investment entities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related party</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NextEra</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related party</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Fortistar and Costar </w:t>
            </w:r>
            <w:r>
              <w:rPr>
                <w:rFonts w:ascii="Times New Roman;serif" w:hAnsi="Times New Roman;serif"/>
                <w:b w:val="false"/>
                <w:color w:val="000000"/>
                <w:sz w:val="13"/>
              </w:rPr>
              <w:t>(1)</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related party</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 related party</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8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staffing, management and IT services.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Class D Common Stock Conversion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April 23, 2025, our ultimate controlling shareholder, Fortistar, through its subsidiary OPAL Holdco LLC, exchanged 50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had no effect on the economic interest in the Company held by Fortistar.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7. Reportable Segments and Geographic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organized into three operating segments based on the characteristics of its renewable power generation, dispensing portfolio, production and sale of renewable gas, and nature of other products and services.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reportable segments disclosure is aligned with the information and internal reporting provided to our CODM. Our Co-CEOs, Adam Comora and Jonathan Maurer, jointly fulfill the role of the CODM. The CODM evaluates performance based on segment net income (loss). For all of the segments, the CODM uses segment net income (loss) in the annual budgeting and monthly forecasting process. The CODM considers budget-to-current forecast and prior forecast-to-current forecast variances for segment net income (loss) on a monthly basis for evaluating performance of each segment and making decisions about allocating capital and other resources to each segment.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three operating segments are RNG Fuel, Fuel Station Services and Renewable Power. The Company has determined that each of the three operating segments meets the characteristics of a reportable segment under U.S. GAAP.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Corporate entity is not determined to be an operating segment but is discretely disclosed for purposes of reconciliation of the Company’s consolidated financial statements, and though not denoted as an operating segment, significant expenses are noted within the segment. </w:t>
      </w:r>
    </w:p>
    <w:p>
      <w:pPr>
        <w:pStyle w:val="TextBody"/>
        <w:bidi w:val="0"/>
        <w:spacing w:lineRule="auto" w:line="288" w:before="0" w:after="20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financial data used to calculate each reportable segment’s net income (loss) and includes reconciliations to Opal’s consolidated revenue and consolidated net income (loss) for the three and nine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57860"/>
                <wp:effectExtent l="0" t="0" r="0" b="0"/>
                <wp:wrapNone/>
                <wp:docPr id="30" name="Frame3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58"/>
        <w:gridCol w:w="851"/>
        <w:gridCol w:w="857"/>
        <w:gridCol w:w="211"/>
        <w:gridCol w:w="721"/>
        <w:gridCol w:w="109"/>
        <w:gridCol w:w="272"/>
        <w:gridCol w:w="1066"/>
        <w:gridCol w:w="140"/>
        <w:gridCol w:w="263"/>
        <w:gridCol w:w="899"/>
        <w:gridCol w:w="136"/>
        <w:gridCol w:w="232"/>
        <w:gridCol w:w="913"/>
        <w:gridCol w:w="120"/>
        <w:gridCol w:w="288"/>
        <w:gridCol w:w="554"/>
        <w:gridCol w:w="149"/>
        <w:gridCol w:w="223"/>
        <w:gridCol w:w="874"/>
        <w:gridCol w:w="169"/>
      </w:tblGrid>
      <w:tr>
        <w:trPr/>
        <w:tc>
          <w:tcPr>
            <w:tcW w:w="115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Nine Months Ended September 30, 2025</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8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149,426 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249,220 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249,220 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149,426 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249,220 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other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118,683 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215,067 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19,330 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startup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(46,707)</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20,229 </w:t>
            </w:r>
          </w:p>
        </w:tc>
        <w:tc>
          <w:tcPr>
            <w:tcW w:w="1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81"/>
        <w:gridCol w:w="880"/>
        <w:gridCol w:w="885"/>
        <w:gridCol w:w="211"/>
        <w:gridCol w:w="721"/>
        <w:gridCol w:w="109"/>
        <w:gridCol w:w="292"/>
        <w:gridCol w:w="999"/>
        <w:gridCol w:w="150"/>
        <w:gridCol w:w="293"/>
        <w:gridCol w:w="856"/>
        <w:gridCol w:w="152"/>
        <w:gridCol w:w="246"/>
        <w:gridCol w:w="844"/>
        <w:gridCol w:w="127"/>
        <w:gridCol w:w="288"/>
        <w:gridCol w:w="554"/>
        <w:gridCol w:w="149"/>
        <w:gridCol w:w="245"/>
        <w:gridCol w:w="837"/>
        <w:gridCol w:w="186"/>
      </w:tblGrid>
      <w:tr>
        <w:trPr/>
        <w:tc>
          <w:tcPr>
            <w:tcW w:w="118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Three Months Ended September 30, 2025</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(5,533)</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8,714 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83,357 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other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40,230 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69,779 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startup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268"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(loss)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(14,192)</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11,386 </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57860"/>
                <wp:effectExtent l="0" t="0" r="0" b="0"/>
                <wp:wrapNone/>
                <wp:docPr id="31" name="Frame3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significant expense categories and amounts align with the segment-level information that is regularly provided to the chief operating decision maker. Intersegment expenses are included within the amounts shown.</w:t>
      </w:r>
    </w:p>
    <w:p>
      <w:pPr>
        <w:pStyle w:val="TextBody"/>
        <w:bidi w:val="0"/>
        <w:spacing w:lineRule="auto" w:line="288" w:before="0" w:after="2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Other segment items for each reportable segment includes: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Fuel Station Services - gain on RNG dispensing, and gain on asset disposal</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Corporate - information technology expense, legal and professional advisor fees, and other overhead expenses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Geographic Information: The Company's assets and revenue generating activities are domiciled in the United States.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certain other financial data for the reportable segments as of September 30, 2025:</w:t>
      </w:r>
    </w:p>
    <w:tbl>
      <w:tblPr>
        <w:tblW w:w="10205" w:type="dxa"/>
        <w:jc w:val="center"/>
        <w:tblInd w:w="0" w:type="dxa"/>
        <w:tblLayout w:type="fixed"/>
        <w:tblCellMar>
          <w:top w:w="28" w:type="dxa"/>
          <w:left w:w="28" w:type="dxa"/>
          <w:bottom w:w="28" w:type="dxa"/>
          <w:right w:w="28" w:type="dxa"/>
        </w:tblCellMar>
      </w:tblPr>
      <w:tblGrid>
        <w:gridCol w:w="781"/>
        <w:gridCol w:w="688"/>
        <w:gridCol w:w="691"/>
        <w:gridCol w:w="211"/>
        <w:gridCol w:w="826"/>
        <w:gridCol w:w="109"/>
        <w:gridCol w:w="519"/>
        <w:gridCol w:w="965"/>
        <w:gridCol w:w="262"/>
        <w:gridCol w:w="441"/>
        <w:gridCol w:w="851"/>
        <w:gridCol w:w="230"/>
        <w:gridCol w:w="252"/>
        <w:gridCol w:w="990"/>
        <w:gridCol w:w="130"/>
        <w:gridCol w:w="288"/>
        <w:gridCol w:w="554"/>
        <w:gridCol w:w="149"/>
        <w:gridCol w:w="223"/>
        <w:gridCol w:w="874"/>
        <w:gridCol w:w="171"/>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7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3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Investment in other entities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227,545 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227,545 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184,555 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30,658 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876,135 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40,614 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916,749 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the Company made the following cash payments for capital expenditures: </w:t>
      </w:r>
    </w:p>
    <w:tbl>
      <w:tblPr>
        <w:tblW w:w="10205" w:type="dxa"/>
        <w:jc w:val="center"/>
        <w:tblInd w:w="0" w:type="dxa"/>
        <w:tblLayout w:type="fixed"/>
        <w:tblCellMar>
          <w:top w:w="28" w:type="dxa"/>
          <w:left w:w="28" w:type="dxa"/>
          <w:bottom w:w="28" w:type="dxa"/>
          <w:right w:w="28" w:type="dxa"/>
        </w:tblCellMar>
      </w:tblPr>
      <w:tblGrid>
        <w:gridCol w:w="1071"/>
        <w:gridCol w:w="940"/>
        <w:gridCol w:w="946"/>
        <w:gridCol w:w="211"/>
        <w:gridCol w:w="721"/>
        <w:gridCol w:w="109"/>
        <w:gridCol w:w="299"/>
        <w:gridCol w:w="1023"/>
        <w:gridCol w:w="154"/>
        <w:gridCol w:w="355"/>
        <w:gridCol w:w="785"/>
        <w:gridCol w:w="184"/>
        <w:gridCol w:w="249"/>
        <w:gridCol w:w="854"/>
        <w:gridCol w:w="128"/>
        <w:gridCol w:w="288"/>
        <w:gridCol w:w="554"/>
        <w:gridCol w:w="149"/>
        <w:gridCol w:w="228"/>
        <w:gridCol w:w="781"/>
        <w:gridCol w:w="176"/>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purchases of property, plant and equipment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60,890 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60,890 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financial data used to calculate each reportable segment’s net income (loss) and includes reconciliations to Opal’s consolidated revenue and consolidated net income (loss) for the three and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57860"/>
                <wp:effectExtent l="0" t="0" r="0" b="0"/>
                <wp:wrapNone/>
                <wp:docPr id="32" name="Frame3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57"/>
        <w:gridCol w:w="851"/>
        <w:gridCol w:w="857"/>
        <w:gridCol w:w="211"/>
        <w:gridCol w:w="721"/>
        <w:gridCol w:w="109"/>
        <w:gridCol w:w="272"/>
        <w:gridCol w:w="1066"/>
        <w:gridCol w:w="140"/>
        <w:gridCol w:w="263"/>
        <w:gridCol w:w="899"/>
        <w:gridCol w:w="136"/>
        <w:gridCol w:w="232"/>
        <w:gridCol w:w="913"/>
        <w:gridCol w:w="120"/>
        <w:gridCol w:w="288"/>
        <w:gridCol w:w="554"/>
        <w:gridCol w:w="149"/>
        <w:gridCol w:w="223"/>
        <w:gridCol w:w="874"/>
        <w:gridCol w:w="170"/>
      </w:tblGrid>
      <w:tr>
        <w:trPr/>
        <w:tc>
          <w:tcPr>
            <w:tcW w:w="115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Nine months ended September 30, 2024</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4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121,794 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219,949 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219,949 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(15,447)</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121,794 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35,119 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219,949 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219,949 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other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94,882 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181,485 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(11,828)</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13,976 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startup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7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23,053 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19,692 </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57860"/>
                <wp:effectExtent l="0" t="0" r="0" b="0"/>
                <wp:wrapNone/>
                <wp:docPr id="33" name="Frame3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79"/>
        <w:gridCol w:w="878"/>
        <w:gridCol w:w="883"/>
        <w:gridCol w:w="211"/>
        <w:gridCol w:w="721"/>
        <w:gridCol w:w="109"/>
        <w:gridCol w:w="292"/>
        <w:gridCol w:w="998"/>
        <w:gridCol w:w="150"/>
        <w:gridCol w:w="265"/>
        <w:gridCol w:w="908"/>
        <w:gridCol w:w="137"/>
        <w:gridCol w:w="246"/>
        <w:gridCol w:w="843"/>
        <w:gridCol w:w="127"/>
        <w:gridCol w:w="288"/>
        <w:gridCol w:w="554"/>
        <w:gridCol w:w="149"/>
        <w:gridCol w:w="245"/>
        <w:gridCol w:w="837"/>
        <w:gridCol w:w="185"/>
      </w:tblGrid>
      <w:tr>
        <w:trPr/>
        <w:tc>
          <w:tcPr>
            <w:tcW w:w="117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Three Months Ended September 30, 2024</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3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2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 of intersegment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(4,649)</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45,395 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12,788 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84,047 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i/>
                <w:color w:val="000000"/>
                <w:sz w:val="20"/>
              </w:rPr>
              <w:t>Less:</w:t>
            </w:r>
            <w:r>
              <w:rPr>
                <w:color w:val="000000"/>
              </w:rPr>
              <w:t xml:space="preserve"> </w:t>
            </w:r>
            <w:r>
              <w:rPr>
                <w:rFonts w:ascii="Times New Roman;serif" w:hAnsi="Times New Roman;serif"/>
                <w:b w:val="false"/>
                <w:i/>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other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62,083 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financing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5,026 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Project development and startup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8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amortization, and accretion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income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profit or loss (segment income / (loss))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17,107 </w:t>
            </w:r>
          </w:p>
        </w:tc>
        <w:tc>
          <w:tcPr>
            <w:tcW w:w="1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significant expense categories and amounts align with the segment-level information that is regularly provided to the chief operating decision maker. Intersegment expenses are included within the amounts shown.</w:t>
      </w:r>
    </w:p>
    <w:p>
      <w:pPr>
        <w:pStyle w:val="TextBody"/>
        <w:bidi w:val="0"/>
        <w:spacing w:lineRule="auto" w:line="288" w:before="0" w:after="2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Other segment items for each reportable segment includes: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Fuel Station Services - gain on recognition of RINs</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Corporate - gain on mark-to-market for OPAL and Sponsor Earnout Awards, loss on extinguishment of debt, insurance other overhead expenses</w:t>
      </w:r>
    </w:p>
    <w:p>
      <w:pPr>
        <w:pStyle w:val="TextBody"/>
        <w:bidi w:val="0"/>
        <w:spacing w:lineRule="auto" w:line="288" w:before="0" w:after="200"/>
        <w:ind w:left="0" w:right="0" w:firstLine="480"/>
        <w:jc w:val="both"/>
        <w:rPr>
          <w:rFonts w:ascii="Times New Roman;serif" w:hAnsi="Times New Roman;serif"/>
          <w:b w:val="false"/>
          <w:color w:val="000000"/>
          <w:sz w:val="20"/>
        </w:rPr>
      </w:pPr>
      <w:r>
        <w:rPr>
          <w:rFonts w:ascii="Times New Roman;serif" w:hAnsi="Times New Roman;serif"/>
          <w:b w:val="false"/>
          <w:color w:val="000000"/>
          <w:sz w:val="20"/>
        </w:rPr>
        <w:t>Geographic Information: The Company's assets and revenue generating activities are domiciled in the United States.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certain other financial data for the reportable segments as of December 31, 2024:</w:t>
      </w:r>
    </w:p>
    <w:tbl>
      <w:tblPr>
        <w:tblW w:w="10205" w:type="dxa"/>
        <w:jc w:val="center"/>
        <w:tblInd w:w="0" w:type="dxa"/>
        <w:tblLayout w:type="fixed"/>
        <w:tblCellMar>
          <w:top w:w="28" w:type="dxa"/>
          <w:left w:w="28" w:type="dxa"/>
          <w:bottom w:w="28" w:type="dxa"/>
          <w:right w:w="28" w:type="dxa"/>
        </w:tblCellMar>
      </w:tblPr>
      <w:tblGrid>
        <w:gridCol w:w="774"/>
        <w:gridCol w:w="681"/>
        <w:gridCol w:w="684"/>
        <w:gridCol w:w="211"/>
        <w:gridCol w:w="826"/>
        <w:gridCol w:w="109"/>
        <w:gridCol w:w="517"/>
        <w:gridCol w:w="956"/>
        <w:gridCol w:w="259"/>
        <w:gridCol w:w="439"/>
        <w:gridCol w:w="846"/>
        <w:gridCol w:w="229"/>
        <w:gridCol w:w="251"/>
        <w:gridCol w:w="987"/>
        <w:gridCol w:w="130"/>
        <w:gridCol w:w="211"/>
        <w:gridCol w:w="721"/>
        <w:gridCol w:w="109"/>
        <w:gridCol w:w="223"/>
        <w:gridCol w:w="874"/>
        <w:gridCol w:w="168"/>
      </w:tblGrid>
      <w:tr>
        <w:trPr/>
        <w:tc>
          <w:tcPr>
            <w:tcW w:w="77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1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segment disclosures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Investment in other entities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223,594 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223,594 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1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179,304 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845,748 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2024, the Company made the following cash payments for capital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57860"/>
                <wp:effectExtent l="0" t="0" r="0" b="0"/>
                <wp:wrapNone/>
                <wp:docPr id="34" name="Frame3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71"/>
        <w:gridCol w:w="940"/>
        <w:gridCol w:w="946"/>
        <w:gridCol w:w="211"/>
        <w:gridCol w:w="721"/>
        <w:gridCol w:w="109"/>
        <w:gridCol w:w="299"/>
        <w:gridCol w:w="1023"/>
        <w:gridCol w:w="154"/>
        <w:gridCol w:w="384"/>
        <w:gridCol w:w="740"/>
        <w:gridCol w:w="201"/>
        <w:gridCol w:w="249"/>
        <w:gridCol w:w="854"/>
        <w:gridCol w:w="128"/>
        <w:gridCol w:w="288"/>
        <w:gridCol w:w="554"/>
        <w:gridCol w:w="149"/>
        <w:gridCol w:w="228"/>
        <w:gridCol w:w="781"/>
        <w:gridCol w:w="175"/>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RNG Fuel</w:t>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Fuel Station Services</w:t>
            </w:r>
          </w:p>
        </w:tc>
        <w:tc>
          <w:tcPr>
            <w:tcW w:w="1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Renewable Power</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Segments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00"/>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purchases of property, plant and equipment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72,805 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72,805 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outline the revenue from our major customer, along with respective percentages of revenue by each segment. </w:t>
      </w:r>
    </w:p>
    <w:tbl>
      <w:tblPr>
        <w:tblW w:w="8784" w:type="dxa"/>
        <w:jc w:val="center"/>
        <w:tblInd w:w="0" w:type="dxa"/>
        <w:tblLayout w:type="fixed"/>
        <w:tblCellMar>
          <w:top w:w="28" w:type="dxa"/>
          <w:left w:w="28" w:type="dxa"/>
          <w:bottom w:w="28" w:type="dxa"/>
          <w:right w:w="28" w:type="dxa"/>
        </w:tblCellMar>
      </w:tblPr>
      <w:tblGrid>
        <w:gridCol w:w="662"/>
        <w:gridCol w:w="582"/>
        <w:gridCol w:w="585"/>
        <w:gridCol w:w="211"/>
        <w:gridCol w:w="721"/>
        <w:gridCol w:w="109"/>
        <w:gridCol w:w="537"/>
        <w:gridCol w:w="537"/>
        <w:gridCol w:w="1340"/>
        <w:gridCol w:w="211"/>
        <w:gridCol w:w="721"/>
        <w:gridCol w:w="109"/>
        <w:gridCol w:w="500"/>
        <w:gridCol w:w="500"/>
        <w:gridCol w:w="14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00"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A</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RNG Fuel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Fuel Station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Power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87,188 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824" w:type="dxa"/>
        <w:jc w:val="center"/>
        <w:tblInd w:w="0" w:type="dxa"/>
        <w:tblLayout w:type="fixed"/>
        <w:tblCellMar>
          <w:top w:w="28" w:type="dxa"/>
          <w:left w:w="28" w:type="dxa"/>
          <w:bottom w:w="28" w:type="dxa"/>
          <w:right w:w="28" w:type="dxa"/>
        </w:tblCellMar>
      </w:tblPr>
      <w:tblGrid>
        <w:gridCol w:w="662"/>
        <w:gridCol w:w="582"/>
        <w:gridCol w:w="585"/>
        <w:gridCol w:w="215"/>
        <w:gridCol w:w="735"/>
        <w:gridCol w:w="111"/>
        <w:gridCol w:w="537"/>
        <w:gridCol w:w="537"/>
        <w:gridCol w:w="1340"/>
        <w:gridCol w:w="215"/>
        <w:gridCol w:w="735"/>
        <w:gridCol w:w="111"/>
        <w:gridCol w:w="500"/>
        <w:gridCol w:w="500"/>
        <w:gridCol w:w="1459"/>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20"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A</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RNG Fuel</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17,825 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Fuel Station Services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Renewable Power</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29,045 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35,213 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Customer B was below 10% of the consolidated revenues in three and nine months ended September 30, 2025:</w:t>
      </w:r>
    </w:p>
    <w:tbl>
      <w:tblPr>
        <w:tblW w:w="9102" w:type="dxa"/>
        <w:jc w:val="center"/>
        <w:tblInd w:w="0" w:type="dxa"/>
        <w:tblLayout w:type="fixed"/>
        <w:tblCellMar>
          <w:top w:w="28" w:type="dxa"/>
          <w:left w:w="28" w:type="dxa"/>
          <w:bottom w:w="28" w:type="dxa"/>
          <w:right w:w="28" w:type="dxa"/>
        </w:tblCellMar>
      </w:tblPr>
      <w:tblGrid>
        <w:gridCol w:w="662"/>
        <w:gridCol w:w="582"/>
        <w:gridCol w:w="585"/>
        <w:gridCol w:w="415"/>
        <w:gridCol w:w="415"/>
        <w:gridCol w:w="415"/>
        <w:gridCol w:w="535"/>
        <w:gridCol w:w="535"/>
        <w:gridCol w:w="1344"/>
        <w:gridCol w:w="385"/>
        <w:gridCol w:w="385"/>
        <w:gridCol w:w="385"/>
        <w:gridCol w:w="501"/>
        <w:gridCol w:w="501"/>
        <w:gridCol w:w="1457"/>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6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614"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Customer B</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Percentage of total revenue</w:t>
            </w:r>
          </w:p>
        </w:tc>
      </w:tr>
      <w:tr>
        <w:trPr/>
        <w:tc>
          <w:tcPr>
            <w:tcW w:w="182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Fuel Station Services</w:t>
            </w:r>
          </w:p>
        </w:tc>
        <w:tc>
          <w:tcPr>
            <w:tcW w:w="8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11,503 </w:t>
            </w:r>
          </w:p>
        </w:tc>
        <w:tc>
          <w:tcPr>
            <w:tcW w:w="4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31,880 </w:t>
            </w:r>
          </w:p>
        </w:tc>
        <w:tc>
          <w:tcPr>
            <w:tcW w:w="3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8. Redeemable non-controlling interests, Redeemable preferred non-controlling interests and Stockholders' Equity (Deficit)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Share conversion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April 23, 2025, our ultimate controlling shareholder, Fortistar, through its subsidiary OPAL Holdco LLC, exchanged 50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had no effect on the economic interest in the Company held by Fortistar.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are (i) 30,631,960 shares of Class A common stock issued and 28,996,177 outstanding, (ii) 121,500,000 shares of Class B common stock issued and outstanding (shares of Class B common stock do not have any economic value except voting rights as described below), (iii) no shares of Class C common stock issued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57860"/>
                <wp:effectExtent l="0" t="0" r="0" b="0"/>
                <wp:wrapNone/>
                <wp:docPr id="35" name="Frame3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outstanding and (iv) 22,899,037 shares of Class D common stock (shares of Class D common stock do not have any economic value except voting rights as described below).</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November 17, 2023, the Company entered into an At Market Issuance Sales Agreement (the “Sales Agreement”) with B. Riley Securities, Inc., Cantor Fitzgerald &amp; Co. and Stifel, Nicolaus &amp; Company, Incorporated (each, an “Agent,” and collectively, the “Agents”) pursuant to which the Company may issue and sell shares of its Class A common stock having an aggregate offering price of up to $75 million from time to time through the Agents.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will pay each Agent, upon the sale by such Agent of Class A common stock pursuant to the Sales Agreement, an amount equal to up to 3.0% of the gross proceeds of each such sale of Class A common stock. The Company has also provided the Agents with customary indemnification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issued 17,104 shares of Class A common stock under the ATM Program during the nine months ended September 30, 2025 at a price of $3.52 and received net proceeds of $58.</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issued 36,353 shares of Class A common stock under the ATM Program during the nine months ended September 30, 2024 at prices ranging between $4.34 and $5.68 and received net proceeds of $170.</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Redeemable preferred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redeemable preferred non-controlling interests which represent Series A and Series A-1 preferred units outstanding at OPAL Fuels LLC (a consolidated subsidiary of the Company) from December 31, 2024 to September 30, 2025:</w:t>
      </w:r>
    </w:p>
    <w:tbl>
      <w:tblPr>
        <w:tblW w:w="10205" w:type="dxa"/>
        <w:jc w:val="center"/>
        <w:tblInd w:w="0" w:type="dxa"/>
        <w:tblLayout w:type="fixed"/>
        <w:tblCellMar>
          <w:top w:w="28" w:type="dxa"/>
          <w:left w:w="28" w:type="dxa"/>
          <w:bottom w:w="28" w:type="dxa"/>
          <w:right w:w="28" w:type="dxa"/>
        </w:tblCellMar>
      </w:tblPr>
      <w:tblGrid>
        <w:gridCol w:w="1535"/>
        <w:gridCol w:w="1241"/>
        <w:gridCol w:w="1244"/>
        <w:gridCol w:w="413"/>
        <w:gridCol w:w="413"/>
        <w:gridCol w:w="176"/>
        <w:gridCol w:w="290"/>
        <w:gridCol w:w="993"/>
        <w:gridCol w:w="150"/>
        <w:gridCol w:w="488"/>
        <w:gridCol w:w="488"/>
        <w:gridCol w:w="176"/>
        <w:gridCol w:w="258"/>
        <w:gridCol w:w="1012"/>
        <w:gridCol w:w="133"/>
        <w:gridCol w:w="211"/>
        <w:gridCol w:w="826"/>
        <w:gridCol w:w="158"/>
      </w:tblGrid>
      <w:tr>
        <w:trPr/>
        <w:tc>
          <w:tcPr>
            <w:tcW w:w="153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Series A-1 preferred units</w:t>
            </w:r>
          </w:p>
        </w:tc>
        <w:tc>
          <w:tcPr>
            <w:tcW w:w="255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Series A preferred units</w:t>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Units</w:t>
            </w:r>
          </w:p>
        </w:tc>
        <w:tc>
          <w:tcPr>
            <w:tcW w:w="1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dividends attributable to Redeemable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dividends attributable to Class A common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preferred dividends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September 30,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Redeemable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At each balance sheet date, the Redeemable non-controlling interests are adjusted up to their redemption value if necessary, with an offset in stockholders' deficit. As of September 30, 2025, the Company recorded $342,528 as the redemption value based on a five-day VWAP of $2.37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Net Income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calculation of basic and diluted net income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57860"/>
                <wp:effectExtent l="0" t="0" r="0" b="0"/>
                <wp:wrapNone/>
                <wp:docPr id="36" name="Frame3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12"/>
        <w:gridCol w:w="1415"/>
        <w:gridCol w:w="1419"/>
        <w:gridCol w:w="351"/>
        <w:gridCol w:w="938"/>
        <w:gridCol w:w="159"/>
        <w:gridCol w:w="351"/>
        <w:gridCol w:w="938"/>
        <w:gridCol w:w="159"/>
        <w:gridCol w:w="335"/>
        <w:gridCol w:w="909"/>
        <w:gridCol w:w="154"/>
        <w:gridCol w:w="335"/>
        <w:gridCol w:w="909"/>
        <w:gridCol w:w="221"/>
      </w:tblGrid>
      <w:tr>
        <w:trPr/>
        <w:tc>
          <w:tcPr>
            <w:tcW w:w="161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8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13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Class A common stockholders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Class A common stock - basic</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28,279,527 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27,709,203 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28,090,014 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27,585,620 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and restricted stock units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of Class A common stock - diluted</w:t>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29,592,822 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27,743,417 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29,013,705 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27,644,164 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Class A common stock</w:t>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basic income per share for the three and nine months ended September 30, 2025 does not include 1,635,783 shares in treasury and 716,650 shares that are issued and outstanding but are contingent on achieving earnout targets. </w:t>
      </w:r>
    </w:p>
    <w:p>
      <w:pPr>
        <w:pStyle w:val="TextBody"/>
        <w:bidi w:val="0"/>
        <w:spacing w:lineRule="auto" w:line="288" w:before="0" w:after="20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forms of antidilutive potential common shares:</w:t>
      </w:r>
    </w:p>
    <w:tbl>
      <w:tblPr>
        <w:tblW w:w="9131" w:type="dxa"/>
        <w:jc w:val="center"/>
        <w:tblInd w:w="0" w:type="dxa"/>
        <w:tblLayout w:type="fixed"/>
        <w:tblCellMar>
          <w:top w:w="28" w:type="dxa"/>
          <w:left w:w="28" w:type="dxa"/>
          <w:bottom w:w="28" w:type="dxa"/>
          <w:right w:w="28" w:type="dxa"/>
        </w:tblCellMar>
      </w:tblPr>
      <w:tblGrid>
        <w:gridCol w:w="797"/>
        <w:gridCol w:w="701"/>
        <w:gridCol w:w="706"/>
        <w:gridCol w:w="617"/>
        <w:gridCol w:w="569"/>
        <w:gridCol w:w="508"/>
        <w:gridCol w:w="617"/>
        <w:gridCol w:w="569"/>
        <w:gridCol w:w="520"/>
        <w:gridCol w:w="676"/>
        <w:gridCol w:w="510"/>
        <w:gridCol w:w="472"/>
        <w:gridCol w:w="676"/>
        <w:gridCol w:w="510"/>
        <w:gridCol w:w="683"/>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52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6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483,502 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507,121 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483,502 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507,121 </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PSUs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1,954,966 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2,918,668 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1,954,966 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2,918,668 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1,068,958 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1,558,615 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1,068,958 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1,564,331 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OPAL Fuels Class B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144,399,037 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144,399,037 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144,399,037 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144,399,037 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September 30, 2025, the Company recorded $14,567 and $36,290 income tax benefit, respectively, as a result of the sale to a third-party purchaser of certain transferable Investment Tax Credits that had been generated by the Company from its investments in the RNG segment. For the three and nine months ended September 30, 2024, the Company recorded $8,906 income tax benefit. The effective tax rate for the three and nine months ended September 30, 2025 and 2024 was 0%. The difference between the Company’s effective tax rate and the U.S. statutory tax rate of 21% was primarily due to a full valuation allowance recorded on the Company’s net U.S. deferred tax assets. The Company evaluates the realizability of the deferred tax assets on a quarterly basis and establishes a valuation allowance when it is more likely than not that all or a portion of a deferred tax asset may not be realized.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U.S. The OBBBA does not have a material effect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 xml:space="preserve">11. Stock-based compensation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stock-based compensation expense for the above stock awards under the 2022 Plan as well as Parent Equity Awards is included in the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57860"/>
                <wp:effectExtent l="0" t="0" r="0" b="0"/>
                <wp:wrapNone/>
                <wp:docPr id="37" name="Frame3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7915" w:type="dxa"/>
        <w:jc w:val="center"/>
        <w:tblInd w:w="0" w:type="dxa"/>
        <w:tblLayout w:type="fixed"/>
        <w:tblCellMar>
          <w:top w:w="28" w:type="dxa"/>
          <w:left w:w="28" w:type="dxa"/>
          <w:bottom w:w="28" w:type="dxa"/>
          <w:right w:w="28" w:type="dxa"/>
        </w:tblCellMar>
      </w:tblPr>
      <w:tblGrid>
        <w:gridCol w:w="679"/>
        <w:gridCol w:w="596"/>
        <w:gridCol w:w="600"/>
        <w:gridCol w:w="375"/>
        <w:gridCol w:w="828"/>
        <w:gridCol w:w="193"/>
        <w:gridCol w:w="375"/>
        <w:gridCol w:w="1094"/>
        <w:gridCol w:w="193"/>
        <w:gridCol w:w="328"/>
        <w:gridCol w:w="959"/>
        <w:gridCol w:w="169"/>
        <w:gridCol w:w="328"/>
        <w:gridCol w:w="959"/>
        <w:gridCol w:w="239"/>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982"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20"/>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Plan</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Parent Equity Awards</w:t>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 xml:space="preserve">12. Commitments and Contingencies </w:t>
      </w: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Letters of Credit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was required to maintain standby letters of credit totaling $15,485 and $15,120, respectively, to support obligations of certain Company's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Lease commitments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table below provides the total amount of lease payments on an undiscounted basis on our lease contracts as of September 30, 2025:</w:t>
      </w:r>
    </w:p>
    <w:tbl>
      <w:tblPr>
        <w:tblW w:w="9062" w:type="dxa"/>
        <w:jc w:val="center"/>
        <w:tblInd w:w="0" w:type="dxa"/>
        <w:tblLayout w:type="fixed"/>
        <w:tblCellMar>
          <w:top w:w="28" w:type="dxa"/>
          <w:left w:w="28" w:type="dxa"/>
          <w:bottom w:w="28" w:type="dxa"/>
          <w:right w:w="28" w:type="dxa"/>
        </w:tblCellMar>
      </w:tblPr>
      <w:tblGrid>
        <w:gridCol w:w="1254"/>
        <w:gridCol w:w="1101"/>
        <w:gridCol w:w="1109"/>
        <w:gridCol w:w="257"/>
        <w:gridCol w:w="569"/>
        <w:gridCol w:w="133"/>
        <w:gridCol w:w="310"/>
        <w:gridCol w:w="685"/>
        <w:gridCol w:w="160"/>
        <w:gridCol w:w="700"/>
        <w:gridCol w:w="1547"/>
        <w:gridCol w:w="362"/>
        <w:gridCol w:w="224"/>
        <w:gridCol w:w="497"/>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Site leases</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Office leases</w:t>
            </w:r>
          </w:p>
        </w:tc>
        <w:tc>
          <w:tcPr>
            <w:tcW w:w="2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Vehicle and Equipment leases</w:t>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4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ending December 31, 2025</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$24,053</w:t>
            </w:r>
          </w:p>
        </w:tc>
        <w:tc>
          <w:tcPr>
            <w:tcW w:w="11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26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w:t>
            </w:r>
          </w:p>
        </w:tc>
        <w:tc>
          <w:tcPr>
            <w:tcW w:w="8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$27,555</w:t>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Guaranty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September 13, 2024, OPAL Paragon, an equity method investment of the Company, entered into a tax credit purchase agreement with Apollo Management Holdings, L.P., ("Buyer"), pursuant to which OPAL Paragon sold $11,096 of investment tax credits to the Buyer for net proceeds of $8,906. If the tax credits are disallowed or recaptured by the government from the Buyer, OPAL Paragon will be required to return the purchase price and pay any taxes, interests or penalties incurred.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above transaction, all of the obligations of OPAL Paragon under such tax credit purchase agreement are guaranteed by the Company.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28, 2025, OPAL Paragon entered into a tax credit purchase agreement with the Buyer, pursuant to which OPAL Paragon sold $9,801 of investment tax credits to the Buyer for net proceeds of $8,037. If the tax credits are disallowed or recaptured from the Buyer, OPAL Paragon will be required to return the purchase price and pay any taxes, interests or penalties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605" cy="14605"/>
                <wp:effectExtent l="0" t="0" r="0" b="0"/>
                <wp:wrapNone/>
                <wp:docPr id="38" name="Frame3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above transaction, all of the obligations of OPAL Paragon under such tax credit purchase agreement are guaranteed by the Company.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June 20, 2025, OPAL Fuels LLC entered into tax credit purchase agreements with the Buyer and EagleBank, pursuant to which OPAL Fuels LLC sold $16,740 of investment tax credits for net proceeds of $13,686. If the tax credits are disallowed or recaptured from the Buyer, OPAL Fuels LLC will be required to return the purchase price and pay any taxes, interests or penalties incurred.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above transaction, all of the obligations of OPAL Fuels LLC under such tax credit purchase agreements are guaranteed by the Company.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September 12, 2025, OPAL Fuels LLC entered into tax credit purchase agreements with the Buyer and Athene Annuity and Life Company, pursuant to which OPAL Fuels LLC sold $17,369 of investment tax credits for net proceeds of $14,567. If the tax credits are disallowed or recaptured from the Buyer, OPAL Fuels LLC will be required to return the purchase price and pay any taxes, interests or penalties incurred.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above transaction, all of the obligations of OPAL Fuels LLC under such tax credit purchase agreements are guaranteed by the Company.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Set forth below is information related to the Company’s material pending legal proceedings as of the date of this report, other than ordinary routine litigation incidental to the business. There have been no material changes to such legal proceedings from the previous quarter.</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Central Valley Project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with CEI for the design and construction of a second facility, also in California’s Central Valley. CEI’s performance under both of the EPC Contracts is fully bonded by licensed sureties.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CEI submitted a series of change order requests seeking to increase the EPC Contract Price by approximately $14 million,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AAA Case No. 01-24-0000-0775. The Superior Court Action has been stayed, pending the conclusion of the arbitration. In the meantime, the AAA has empaneled three experienced arbitrators and has set the hearing date for the matter, currently schedule in May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EPC Agreement requires that CEI, continue working during the course of the litigation and related arbitration proceedings; however, CEI effectively stopped working. Between May and August 2024, MD issued a series of Notices of Default and Demands to Cure to CEI. CEI failed to cure, and on July 30, 2024, MD terminated CEI for default. MD notified CEI’s performance bond surety, Atlantic Specialty Insurance Company of the termination and demanded that it perform under the bond. Atlantic has denied the claim.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57860"/>
                <wp:effectExtent l="0" t="0" r="0" b="0"/>
                <wp:wrapNone/>
                <wp:docPr id="39" name="Frame3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performance bond. The surety has denied the claim.</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a result of CEI’s default and Atlantic’s denial of the claims, MD and VS have amended their claims in the AAA arbitration to include breach of contract claims against CEI and breach of performance bond and payment bond claims against Atlantic (who was formally joined into the arbitration on November 20, 2024) in the AAA Arbitration with CEI.</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CEI has since recorded mechanic’s liens against each of the projects for $4,900 (MD) and $2,000 (VS), and filed actions with the Stanislaus and San Joaquin County Superior Courts, respectively, to enforce their liens. MD and VS have since recorded bonds releasing the properties from the liens and it is expected that these claims will be stayed and consolidated with the pending arbitration proceeding.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above-referenced action and arbitration, several of CEI’s subcontractors have recorded mechanic’s liens against the MD and VS projects for $3,141, which the Company is obligated to defend and indemnify the dairy owners from and against. Several liens were untimely and have been released.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is unable at this time to assess the likely outcome of the litigation and related arbitration, the timing of its resolution, or its ultimate impact, if any, on the Central Valley projects or the Company's business, financial condition or results of operations.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Former Development Partner/Construction Manager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defendants have recently filed an answer and certain cross claims, to which the Company has demurred. Discovery in the case is now underway.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480"/>
        <w:jc w:val="both"/>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October 6, 2025, the Company's Atlantic RNG facility commenced commercial operations. This project represents approximately 0.3 million MMBtu for Opal's 50% ownership share of annual design capacity.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October 2025, the Company began construction of the CMS Concord RNG facility in North Carolina. This project represents approximately 0.7 million MMBtu for Opal's 70% ownership share of annual design capacity.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There have been no other subsequent events, that occurred during such period that would require disclosure in this Form 10-Q or would be required to be recognized in the consolidated financial statements as of and for the three 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57860"/>
                <wp:effectExtent l="0" t="0" r="0" b="0"/>
                <wp:wrapNone/>
                <wp:docPr id="40" name="Frame4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unaudited condensed consolidated financial statements as of September 30, 2025 and for the three and nine months ended September 30, 2025 and 2024, and the audited consolidated financial statements and notes thereto included in the Company's Annual Report on Form 10-K for the fiscal year ended December 31, 2024, as filed with the SEC on March 17, 2025. In addition to historical information, this discussion and analysis includes certain forward-looking statements which reflect our current expectations. The Company's actual results may materially differ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 vertically integrated leader in the capture and conversion of biogas into low carbon intensity Renewable Power and RNG.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Biogas is generated by microbes as they break down organic matter in the absence of oxygen, and is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owned and operated 26 projects, 11 of which are RNG projects and 15 of which are Renewable Power Projects. As of that date, our RNG projects in operation had a design capacity of 8.8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or in development, with six of our current Renewable Power Projects being considered candidates for conversion to RNG projects in the foreseeable future.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On October 6, 2025, the Company's Atlantic RNG facility commenced commercial operations. This project represents approximately 0.3 million MMBtu for Opal's 50% ownership share of annual design capacity.</w:t>
      </w:r>
    </w:p>
    <w:p>
      <w:pPr>
        <w:pStyle w:val="TextBody"/>
        <w:bidi w:val="0"/>
        <w:spacing w:lineRule="auto" w:line="268" w:before="200" w:after="283"/>
        <w:jc w:val="both"/>
        <w:rPr>
          <w:rFonts w:ascii="Times New Roman;serif" w:hAnsi="Times New Roman;serif"/>
          <w:b w:val="false"/>
          <w:color w:val="000000"/>
          <w:sz w:val="20"/>
        </w:rPr>
      </w:pPr>
      <w:r>
        <w:rPr>
          <w:rFonts w:ascii="Times New Roman;serif" w:hAnsi="Times New Roman;serif"/>
          <w:b w:val="false"/>
          <w:color w:val="000000"/>
          <w:sz w:val="20"/>
        </w:rPr>
        <w:t>In October 2025, the Company began construction of the CMS Concord RNG facility in North Carolina. This project represents approximately 0.7 million MMBtu for Opal's 70% ownership share of annual design capacity.</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assumptions that affect the reported amounts of assets and liabilities, revenues, costs and expenses and related disclosure of contingent assets and liabilities at the date of our financial statements. Actual results may differ from these estimates under different assumptions and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57860"/>
                <wp:effectExtent l="0" t="0" r="0" b="0"/>
                <wp:wrapNone/>
                <wp:docPr id="41" name="Frame4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pPr>
      <w:r>
        <w:rPr>
          <w:rFonts w:ascii="Times New Roman;serif" w:hAnsi="Times New Roman;serif"/>
          <w:b w:val="false"/>
          <w:color w:val="000000"/>
          <w:sz w:val="20"/>
        </w:rPr>
        <w:t xml:space="preserve">Critical accounting policies are those that reflect significant judgments of uncertainties and potentially result in materially different results under different assumptions and conditions. For a detailed description of all our accounting policies, see Note 1.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to our condensed consolidated financial statements included herein and the section titled “Critical Accounting Policies and Estimates” contained in Part II, Item 7 of our Annual Report on Form 10-K for the year ended December 31, 2024. There have been no material changes to our critical accounting policies since our Annual Report on Form 10-K for the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Key Factors and Trends Influencing our Results of Operations</w:t>
      </w:r>
    </w:p>
    <w:p>
      <w:pPr>
        <w:pStyle w:val="TextBody"/>
        <w:bidi w:val="0"/>
        <w:spacing w:lineRule="auto" w:line="288" w:before="0" w:after="200"/>
        <w:jc w:val="both"/>
        <w:rPr/>
      </w:pPr>
      <w:r>
        <w:rPr>
          <w:rFonts w:ascii="Times New Roman;serif" w:hAnsi="Times New Roman;serif"/>
          <w:b w:val="false"/>
          <w:color w:val="000000"/>
          <w:sz w:val="20"/>
        </w:rPr>
        <w:t>The principal factors affecting our results of operations and financial condition are the markets for RNG, Renewable Power, and associated Environmental Attributes, access to suitable biogas production resources, the regulatory environment of our industry, and the seasonality of demand and pricing for our products. Additional factors and trends affecting our business are discussed in "</w:t>
      </w:r>
      <w:r>
        <w:rPr>
          <w:rFonts w:ascii="Times New Roman;serif" w:hAnsi="Times New Roman;serif"/>
          <w:b w:val="false"/>
          <w:i/>
          <w:color w:val="000000"/>
          <w:sz w:val="20"/>
        </w:rPr>
        <w:t>Risk Factors</w:t>
      </w:r>
      <w:r>
        <w:rPr>
          <w:rFonts w:ascii="Times New Roman;serif" w:hAnsi="Times New Roman;serif"/>
          <w:b w:val="false"/>
          <w:color w:val="000000"/>
          <w:sz w:val="20"/>
        </w:rPr>
        <w:t>" elsewhere in this report.</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Market Demand for RNG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sets proposed RVOs for D3 RINs in accordance with the mandates established by the Energy Independence and Security Act of 2007. In June 2023, the EPA set RVOs for 2023 through 2025 via a new Set rule. This 3 year RVO is expiring at the end of this year. In June 2025, the EPA announced a proposed "Set 2 Rule" to establish RVOs for 2026 and 2027, with rule finalization expected in late 2025 or early 2026. Until the rules and RVOs are finalized, there may be uncertainty as to RIN pricing for the associated period. On the state level, the economics of RNG are enhanced by low-carbon fuel initiatives, particularly well-established programs in California, Washington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Transportation, including heavy-duty trucking, generates approximately 30% of overall carbon dioxide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also exposed to the commodity prices of natural gas and diesel, which serve as alternative fuel for RNG and therefore impact the demand for RNG.</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Renewable Power Markets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also generate revenues from sales of Renewable Power generated by our biogas-to-Renewable Power projects, and associated RECs. RECs exist because of legal and governmental regulatory requirements in Europe and the United States, respectively, and a change in law or in governmental policies concerning Renewable Power, LFG, or RECs could affect the market for, and the pricing of, such power and credits.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and associated RECs, together with the revenue opportunities and conversion costs associated with converting our LFG sites to RNG production, could have a significant impact on our future profitability.</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Regulatory landscape</w:t>
      </w:r>
    </w:p>
    <w:p>
      <w:pPr>
        <w:pStyle w:val="TextBody"/>
        <w:bidi w:val="0"/>
        <w:spacing w:lineRule="auto" w:line="288" w:before="0" w:after="200"/>
        <w:jc w:val="both"/>
        <w:rPr/>
      </w:pPr>
      <w:r>
        <w:rPr>
          <w:rFonts w:ascii="Times New Roman;serif" w:hAnsi="Times New Roman;serif"/>
          <w:b w:val="false"/>
          <w:color w:val="000000"/>
          <w:sz w:val="20"/>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on the demand for our products. For more information, see the risk factors in our Annual Report on Form 10-K for the year ended December 31, 2024, including the risk factor titled </w:t>
      </w:r>
      <w:r>
        <w:rPr>
          <w:rFonts w:ascii="Times New Roman;serif" w:hAnsi="Times New Roman;serif"/>
          <w:b w:val="false"/>
          <w:i/>
          <w:color w:val="000000"/>
          <w:sz w:val="20"/>
        </w:rPr>
        <w:t xml:space="preserve">"The financial performance of our business depends upon tax and other government incentives for the generation of RNG and Renewable Power, any of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57860"/>
                <wp:effectExtent l="0" t="0" r="0" b="0"/>
                <wp:wrapNone/>
                <wp:docPr id="42" name="Frame4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pPr>
      <w:r>
        <w:rPr>
          <w:rFonts w:ascii="Times New Roman;serif" w:hAnsi="Times New Roman;serif"/>
          <w:b w:val="false"/>
          <w:i/>
          <w:color w:val="000000"/>
          <w:sz w:val="20"/>
        </w:rPr>
        <w:t>change at any time and such changes may negatively impact our growth strategy."</w:t>
      </w:r>
      <w:r>
        <w:rPr>
          <w:color w:val="000000"/>
        </w:rPr>
        <w:t xml:space="preserve"> </w:t>
      </w:r>
      <w:r>
        <w:rPr>
          <w:rFonts w:ascii="Times New Roman;serif" w:hAnsi="Times New Roman;serif"/>
          <w:b w:val="false"/>
          <w:color w:val="000000"/>
          <w:sz w:val="20"/>
        </w:rPr>
        <w:t>Government regulations have become increasingly stringent and complying with changes in regulations may result in significant additional operating expenses.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Seasonality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condensed consolidated statements of operations under the following captions:</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 xml:space="preserve">RNG Fuel. </w:t>
      </w:r>
      <w:r>
        <w:rPr>
          <w:rFonts w:ascii="Times New Roman;serif" w:hAnsi="Times New Roman;serif"/>
          <w:b w:val="false"/>
          <w:color w:val="000000"/>
          <w:sz w:val="20"/>
        </w:rPr>
        <w:t>The RNG Fuel segment includes RNG supply as well as the associated generation and sale of commodity natural gas and environmental credits, and consists of:</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RNG Production Facilities – the design, development, construction, maintenance and operation of facilities that convert raw biogas into pipeline quality natural gas; and</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 xml:space="preserve">Our interests in both operating and construction projects. </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 xml:space="preserve">Fuel Station Services. </w:t>
      </w:r>
      <w:r>
        <w:rPr>
          <w:rFonts w:ascii="Times New Roman;serif" w:hAnsi="Times New Roman;serif"/>
          <w:b w:val="false"/>
          <w:color w:val="000000"/>
          <w:sz w:val="20"/>
        </w:rPr>
        <w:t>Through our Fuel Station Services segment</w:t>
      </w:r>
      <w:r>
        <w:rPr>
          <w:rFonts w:ascii="Times New Roman;serif" w:hAnsi="Times New Roman;serif"/>
          <w:b/>
          <w:color w:val="000000"/>
          <w:sz w:val="20"/>
        </w:rPr>
        <w:t xml:space="preserve">, </w:t>
      </w:r>
      <w:r>
        <w:rPr>
          <w:rFonts w:ascii="Times New Roman;serif" w:hAnsi="Times New Roman;serif"/>
          <w:b w:val="false"/>
          <w:color w:val="000000"/>
          <w:sz w:val="20"/>
        </w:rPr>
        <w:t>we provide construction and maintenance services to third-party owners of vehicle Fueling Stations and perform fuel dispensing activities including generation and minting of environmental credits. This segment includes:</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 xml:space="preserve">Manufacturing division that builds Compact Fueling Systems and Defueling systems; </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Design/Build contracts where we serve as general contractor for construction of Fueling Stations, typically structured as Guarantee Maximum Price or fixed priced contracts for customers, generally lasting less than one year;</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Service and maintenance contracts for RNG/CNG Fueling Stations; and</w:t>
      </w:r>
    </w:p>
    <w:p>
      <w:pPr>
        <w:pStyle w:val="TextBody"/>
        <w:bidi w:val="0"/>
        <w:spacing w:lineRule="auto" w:line="288" w:before="0" w:after="200"/>
        <w:ind w:left="0" w:right="0" w:hanging="540"/>
        <w:jc w:val="both"/>
        <w:rPr/>
      </w:pPr>
      <w:r>
        <w:rPr>
          <w:color w:val="000000"/>
        </w:rPr>
        <w:t>◦</w:t>
      </w:r>
      <w:r>
        <w:rPr>
          <w:rFonts w:ascii="Times New Roman;serif" w:hAnsi="Times New Roman;serif"/>
          <w:b w:val="false"/>
          <w:color w:val="000000"/>
          <w:sz w:val="20"/>
        </w:rPr>
        <w:t xml:space="preserve">RNG and CNG Fuel Dispensing Stations - This includes both the dispensing (or sale) of RNG, CNG, and environmental credit generation and monetization. We operate Fueling Stations that dispense both CNG and RNG fuel for vehicles. </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 xml:space="preserve">Renewable Power. </w:t>
      </w:r>
      <w:r>
        <w:rPr>
          <w:rFonts w:ascii="Times New Roman;serif" w:hAnsi="Times New Roman;serif"/>
          <w:b w:val="false"/>
          <w:color w:val="000000"/>
          <w:sz w:val="20"/>
        </w:rPr>
        <w:t>The Renewable Power segment generates renewable power and associated Environmental Attributes such as RECs through combustion of biogas from landfills which is then sold to public utilities throughout the United States.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costs of sales associated with each revenue category are as follows:</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 xml:space="preserve">RNG Fuel. </w:t>
      </w:r>
      <w:r>
        <w:rPr>
          <w:rFonts w:ascii="Times New Roman;serif" w:hAnsi="Times New Roman;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Fuel Station Services.</w:t>
      </w:r>
      <w:r>
        <w:rPr>
          <w:color w:val="000000"/>
        </w:rPr>
        <w:t xml:space="preserve"> </w:t>
      </w:r>
      <w:r>
        <w:rPr>
          <w:rFonts w:ascii="Times New Roman;serif" w:hAnsi="Times New Roman;serif"/>
          <w:b w:val="false"/>
          <w:color w:val="000000"/>
          <w:sz w:val="20"/>
        </w:rPr>
        <w:t>Includes equipment supplier costs; service provider costs; and salaries and other indirect expenses.</w:t>
      </w:r>
    </w:p>
    <w:p>
      <w:pPr>
        <w:pStyle w:val="TextBody"/>
        <w:bidi w:val="0"/>
        <w:spacing w:lineRule="auto" w:line="288" w:before="0" w:after="200"/>
        <w:ind w:left="0" w:right="0" w:hanging="540"/>
        <w:jc w:val="both"/>
        <w:rPr/>
      </w:pPr>
      <w:r>
        <w:rPr>
          <w:color w:val="000000"/>
        </w:rPr>
        <w:t>•</w:t>
      </w:r>
      <w:r>
        <w:rPr>
          <w:rFonts w:ascii="Times New Roman;serif" w:hAnsi="Times New Roman;serif"/>
          <w:b/>
          <w:color w:val="000000"/>
          <w:sz w:val="20"/>
        </w:rPr>
        <w:t xml:space="preserve">Renewable Power. </w:t>
      </w:r>
      <w:r>
        <w:rPr>
          <w:rFonts w:ascii="Times New Roman;serif" w:hAnsi="Times New Roman;serif"/>
          <w:b w:val="false"/>
          <w:color w:val="000000"/>
          <w:sz w:val="20"/>
        </w:rPr>
        <w:t>Includes royalty payments; land usage costs; service provider costs; salaries and other indirect expenses related to the production process; utilities; and depreciation of production facilities.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Project development and start up costs includes certain development costs such as legal fees, consulting fees for joint venture structuring, royalties to the landfill owner, fines, settlements, site lease expenses and certification costs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57860"/>
                <wp:effectExtent l="0" t="0" r="0" b="0"/>
                <wp:wrapNone/>
                <wp:docPr id="43" name="Frame4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RNG projects under construction. Additionally, the Company also incurs certain expenses on new RNG projects during the first two years that such projects are operational, such as virtual pipeline costs (incurred until a physical interconnect pipeline is built) and ramp up costs incurred during the certification period.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consists of costs involving corporate overhead functions, including the cost of services provided to us by an affiliate, and marketing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Concentration of customers and associated credit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consolidated accounts receivable, net by customers that equal or exceed 10% of the consolidated accounts receivable, net as of September 30, 2025 and December 31, 2024. No other single customer accounted for 10% or greater of our consolidated accounts receivables in these periods:</w:t>
      </w:r>
    </w:p>
    <w:tbl>
      <w:tblPr>
        <w:tblW w:w="4829" w:type="dxa"/>
        <w:jc w:val="center"/>
        <w:tblInd w:w="0" w:type="dxa"/>
        <w:tblLayout w:type="fixed"/>
        <w:tblCellMar>
          <w:top w:w="28" w:type="dxa"/>
          <w:left w:w="28" w:type="dxa"/>
          <w:bottom w:w="28" w:type="dxa"/>
          <w:right w:w="28" w:type="dxa"/>
        </w:tblCellMar>
      </w:tblPr>
      <w:tblGrid>
        <w:gridCol w:w="467"/>
        <w:gridCol w:w="411"/>
        <w:gridCol w:w="412"/>
        <w:gridCol w:w="394"/>
        <w:gridCol w:w="394"/>
        <w:gridCol w:w="982"/>
        <w:gridCol w:w="360"/>
        <w:gridCol w:w="360"/>
        <w:gridCol w:w="1049"/>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Relates to sales of Environmental Attributes under Purchase and Sale agreements and Renewable Power sale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percentage of consolidated revenues from customers that equal 10% or greater of the consolidated revenues in the period. No other single customer accounted for more than 10% of consolidated revenues in these periods:</w:t>
      </w:r>
    </w:p>
    <w:tbl>
      <w:tblPr>
        <w:tblW w:w="5997" w:type="dxa"/>
        <w:jc w:val="center"/>
        <w:tblInd w:w="0" w:type="dxa"/>
        <w:tblLayout w:type="fixed"/>
        <w:tblCellMar>
          <w:top w:w="28" w:type="dxa"/>
          <w:left w:w="28" w:type="dxa"/>
          <w:bottom w:w="28" w:type="dxa"/>
          <w:right w:w="28" w:type="dxa"/>
        </w:tblCellMar>
      </w:tblPr>
      <w:tblGrid>
        <w:gridCol w:w="391"/>
        <w:gridCol w:w="344"/>
        <w:gridCol w:w="345"/>
        <w:gridCol w:w="347"/>
        <w:gridCol w:w="347"/>
        <w:gridCol w:w="862"/>
        <w:gridCol w:w="347"/>
        <w:gridCol w:w="347"/>
        <w:gridCol w:w="868"/>
        <w:gridCol w:w="190"/>
        <w:gridCol w:w="190"/>
        <w:gridCol w:w="476"/>
        <w:gridCol w:w="190"/>
        <w:gridCol w:w="190"/>
        <w:gridCol w:w="56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179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*Less than 10%</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Results of Operations for the Three and Nine Months Ended September 30, 2025 and 2024</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Operational data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operational data achieved for the three and nine months ended September 30, 2025 and 2024:</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Landfill RNG Facility Capacity and Utilization Summary</w:t>
      </w:r>
    </w:p>
    <w:tbl>
      <w:tblPr>
        <w:tblW w:w="10205" w:type="dxa"/>
        <w:jc w:val="center"/>
        <w:tblInd w:w="0" w:type="dxa"/>
        <w:tblLayout w:type="fixed"/>
        <w:tblCellMar>
          <w:top w:w="28" w:type="dxa"/>
          <w:left w:w="28" w:type="dxa"/>
          <w:bottom w:w="28" w:type="dxa"/>
          <w:right w:w="28" w:type="dxa"/>
        </w:tblCellMar>
      </w:tblPr>
      <w:tblGrid>
        <w:gridCol w:w="1484"/>
        <w:gridCol w:w="1302"/>
        <w:gridCol w:w="1307"/>
        <w:gridCol w:w="345"/>
        <w:gridCol w:w="343"/>
        <w:gridCol w:w="853"/>
        <w:gridCol w:w="345"/>
        <w:gridCol w:w="343"/>
        <w:gridCol w:w="859"/>
        <w:gridCol w:w="319"/>
        <w:gridCol w:w="318"/>
        <w:gridCol w:w="797"/>
        <w:gridCol w:w="319"/>
        <w:gridCol w:w="318"/>
        <w:gridCol w:w="953"/>
      </w:tblGrid>
      <w:tr>
        <w:trPr/>
        <w:tc>
          <w:tcPr>
            <w:tcW w:w="14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0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14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Landfill RNG Facility Capacity and Utilization</w:t>
            </w:r>
          </w:p>
        </w:tc>
        <w:tc>
          <w:tcPr>
            <w:tcW w:w="1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Design Capacity (Million MMBtus) </w:t>
            </w:r>
            <w:r>
              <w:rPr>
                <w:rFonts w:ascii="Times New Roman;serif" w:hAnsi="Times New Roman;serif"/>
                <w:b w:val="false"/>
                <w:color w:val="000000"/>
                <w:sz w:val="13"/>
              </w:rPr>
              <w:t>(1)</w:t>
            </w:r>
          </w:p>
        </w:tc>
        <w:tc>
          <w:tcPr>
            <w:tcW w:w="1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Volume of Inlet Gas (Million MMBtus) </w:t>
            </w:r>
            <w:r>
              <w:rPr>
                <w:rFonts w:ascii="Times New Roman;serif" w:hAnsi="Times New Roman;serif"/>
                <w:b w:val="false"/>
                <w:color w:val="000000"/>
                <w:sz w:val="13"/>
              </w:rPr>
              <w:t>(2)</w:t>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Inlet Design Capacity Utilization (%) </w:t>
            </w:r>
            <w:r>
              <w:rPr>
                <w:rFonts w:ascii="Times New Roman;serif" w:hAnsi="Times New Roman;serif"/>
                <w:b w:val="false"/>
                <w:color w:val="000000"/>
                <w:sz w:val="13"/>
              </w:rPr>
              <w:t>(2)</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RNG Fuel volume produced (Million MMBtus)</w:t>
            </w:r>
            <w:r>
              <w:rPr>
                <w:rFonts w:ascii="Times New Roman;serif" w:hAnsi="Times New Roman;serif"/>
                <w:b w:val="false"/>
                <w:color w:val="000000"/>
                <w:sz w:val="13"/>
              </w:rPr>
              <w:t>(3)</w:t>
            </w:r>
          </w:p>
        </w:tc>
        <w:tc>
          <w:tcPr>
            <w:tcW w:w="1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40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Utilization of Inlet Gas (%) </w:t>
            </w:r>
            <w:r>
              <w:rPr>
                <w:rFonts w:ascii="Times New Roman;serif" w:hAnsi="Times New Roman;serif"/>
                <w:b w:val="false"/>
                <w:color w:val="000000"/>
                <w:sz w:val="13"/>
              </w:rPr>
              <w:t>(4)</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57860"/>
                <wp:effectExtent l="0" t="0" r="0" b="0"/>
                <wp:wrapNone/>
                <wp:docPr id="44" name="Frame4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pStyle w:val="TextBody"/>
        <w:bidi w:val="0"/>
        <w:spacing w:lineRule="auto" w:line="288" w:before="0" w:after="2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 Excludes Sunoma and Biotown.</w:t>
      </w:r>
    </w:p>
    <w:p>
      <w:pPr>
        <w:pStyle w:val="TextBody"/>
        <w:bidi w:val="0"/>
        <w:spacing w:lineRule="auto" w:line="288" w:before="0" w:after="20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Excludes Sunoma and Biotown</w:t>
      </w:r>
    </w:p>
    <w:p>
      <w:pPr>
        <w:pStyle w:val="TextBody"/>
        <w:bidi w:val="0"/>
        <w:spacing w:lineRule="auto" w:line="288" w:before="0" w:after="20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 Excludes Sunoma and Biotown.</w:t>
      </w:r>
    </w:p>
    <w:tbl>
      <w:tblPr>
        <w:tblW w:w="10205" w:type="dxa"/>
        <w:jc w:val="center"/>
        <w:tblInd w:w="0" w:type="dxa"/>
        <w:tblLayout w:type="fixed"/>
        <w:tblCellMar>
          <w:top w:w="28" w:type="dxa"/>
          <w:left w:w="28" w:type="dxa"/>
          <w:bottom w:w="28" w:type="dxa"/>
          <w:right w:w="28" w:type="dxa"/>
        </w:tblCellMar>
      </w:tblPr>
      <w:tblGrid>
        <w:gridCol w:w="1536"/>
        <w:gridCol w:w="1352"/>
        <w:gridCol w:w="1354"/>
        <w:gridCol w:w="347"/>
        <w:gridCol w:w="340"/>
        <w:gridCol w:w="816"/>
        <w:gridCol w:w="347"/>
        <w:gridCol w:w="340"/>
        <w:gridCol w:w="822"/>
        <w:gridCol w:w="321"/>
        <w:gridCol w:w="318"/>
        <w:gridCol w:w="763"/>
        <w:gridCol w:w="321"/>
        <w:gridCol w:w="318"/>
        <w:gridCol w:w="910"/>
      </w:tblGrid>
      <w:tr>
        <w:trPr/>
        <w:tc>
          <w:tcPr>
            <w:tcW w:w="153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95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14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 Power</w:t>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Nameplate Capacity (MW per hour)</w:t>
            </w:r>
            <w:r>
              <w:rPr>
                <w:rFonts w:ascii="Times New Roman;serif" w:hAnsi="Times New Roman;serif"/>
                <w:b w:val="false"/>
                <w:color w:val="000000"/>
                <w:sz w:val="13"/>
              </w:rPr>
              <w:t>(1)</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Nameplate Capacity for the period (Millions MWh)</w:t>
            </w:r>
            <w:r>
              <w:rPr>
                <w:color w:val="000000"/>
              </w:rPr>
              <w:t xml:space="preserve"> </w:t>
            </w:r>
            <w:r>
              <w:rPr>
                <w:rFonts w:ascii="Times New Roman;serif" w:hAnsi="Times New Roman;serif"/>
                <w:b w:val="false"/>
                <w:color w:val="000000"/>
                <w:sz w:val="13"/>
              </w:rPr>
              <w:t>(1)</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8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7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9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Renewable Power produced (Millions MWh)</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Nameplate Capacity Utilization (%) </w:t>
            </w:r>
            <w:r>
              <w:rPr>
                <w:rFonts w:ascii="Times New Roman;serif" w:hAnsi="Times New Roman;serif"/>
                <w:b w:val="false"/>
                <w:color w:val="000000"/>
                <w:sz w:val="13"/>
              </w:rPr>
              <w:t>(2)</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Nameplate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 </w:t>
      </w:r>
    </w:p>
    <w:p>
      <w:pPr>
        <w:pStyle w:val="TextBody"/>
        <w:bidi w:val="0"/>
        <w:spacing w:lineRule="auto" w:line="288" w:before="0" w:after="2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 xml:space="preserve">Nameplate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 </w:t>
      </w:r>
    </w:p>
    <w:tbl>
      <w:tblPr>
        <w:tblW w:w="10137" w:type="dxa"/>
        <w:jc w:val="center"/>
        <w:tblInd w:w="0" w:type="dxa"/>
        <w:tblLayout w:type="fixed"/>
        <w:tblCellMar>
          <w:top w:w="28" w:type="dxa"/>
          <w:left w:w="28" w:type="dxa"/>
          <w:bottom w:w="28" w:type="dxa"/>
          <w:right w:w="28" w:type="dxa"/>
        </w:tblCellMar>
      </w:tblPr>
      <w:tblGrid>
        <w:gridCol w:w="1440"/>
        <w:gridCol w:w="1265"/>
        <w:gridCol w:w="1269"/>
        <w:gridCol w:w="518"/>
        <w:gridCol w:w="518"/>
        <w:gridCol w:w="518"/>
        <w:gridCol w:w="518"/>
        <w:gridCol w:w="518"/>
        <w:gridCol w:w="530"/>
        <w:gridCol w:w="472"/>
        <w:gridCol w:w="472"/>
        <w:gridCol w:w="472"/>
        <w:gridCol w:w="472"/>
        <w:gridCol w:w="472"/>
        <w:gridCol w:w="683"/>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12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0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14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RNG Fuel volume produced (Million MMBtus)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RNG Fuel volume sold (Million GGEs)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volume delivered (Million GGEs)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RNG projects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Below is a table setting forth the RNG projects in operation and construction in our portfolio as of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57860"/>
                <wp:effectExtent l="0" t="0" r="0" b="0"/>
                <wp:wrapNone/>
                <wp:docPr id="45" name="Frame4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09"/>
        <w:gridCol w:w="627"/>
        <w:gridCol w:w="631"/>
        <w:gridCol w:w="1216"/>
        <w:gridCol w:w="1059"/>
        <w:gridCol w:w="1062"/>
        <w:gridCol w:w="391"/>
        <w:gridCol w:w="391"/>
        <w:gridCol w:w="393"/>
        <w:gridCol w:w="340"/>
        <w:gridCol w:w="340"/>
        <w:gridCol w:w="341"/>
        <w:gridCol w:w="761"/>
        <w:gridCol w:w="761"/>
        <w:gridCol w:w="1083"/>
      </w:tblGrid>
      <w:tr>
        <w:trPr/>
        <w:tc>
          <w:tcPr>
            <w:tcW w:w="8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OPAL's Share of Design Capacity (MMBtus per year) </w:t>
            </w:r>
            <w:r>
              <w:rPr>
                <w:rFonts w:ascii="Times New Roman;serif" w:hAnsi="Times New Roman;serif"/>
                <w:b/>
                <w:color w:val="000000"/>
                <w:sz w:val="13"/>
              </w:rPr>
              <w:t>(1)</w:t>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Source of Biogas</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Expected Commercial Operation Date </w:t>
            </w:r>
            <w:r>
              <w:rPr>
                <w:rFonts w:ascii="Times New Roman;serif" w:hAnsi="Times New Roman;serif"/>
                <w:b/>
                <w:color w:val="000000"/>
                <w:sz w:val="13"/>
              </w:rPr>
              <w:t>(4)</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RNG Projects in Operation:</w:t>
            </w:r>
          </w:p>
        </w:tc>
        <w:tc>
          <w:tcPr>
            <w:tcW w:w="3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Greentree</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1,061,712 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Imperial</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1,061,712 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Emerald </w:t>
            </w:r>
            <w:r>
              <w:rPr>
                <w:rFonts w:ascii="Times New Roman;serif" w:hAnsi="Times New Roman;serif"/>
                <w:b w:val="false"/>
                <w:color w:val="000000"/>
                <w:sz w:val="13"/>
              </w:rPr>
              <w:t xml:space="preserve">(2) </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1,327,140 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Sapphire </w:t>
            </w:r>
            <w:r>
              <w:rPr>
                <w:rFonts w:ascii="Times New Roman;serif" w:hAnsi="Times New Roman;serif"/>
                <w:b w:val="false"/>
                <w:color w:val="000000"/>
                <w:sz w:val="13"/>
              </w:rPr>
              <w:t>(2)</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796,284 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River</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663,570 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Noble Road </w:t>
            </w:r>
            <w:r>
              <w:rPr>
                <w:rFonts w:ascii="Times New Roman;serif" w:hAnsi="Times New Roman;serif"/>
                <w:b w:val="false"/>
                <w:color w:val="000000"/>
                <w:sz w:val="13"/>
              </w:rPr>
              <w:t>(2)</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464,499 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Pine Bend </w:t>
            </w:r>
            <w:r>
              <w:rPr>
                <w:rFonts w:ascii="Times New Roman;serif" w:hAnsi="Times New Roman;serif"/>
                <w:b w:val="false"/>
                <w:color w:val="000000"/>
                <w:sz w:val="13"/>
              </w:rPr>
              <w:t>(2)</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424,685 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Biotown </w:t>
            </w:r>
            <w:r>
              <w:rPr>
                <w:rFonts w:ascii="Times New Roman;serif" w:hAnsi="Times New Roman;serif"/>
                <w:b w:val="false"/>
                <w:color w:val="000000"/>
                <w:sz w:val="13"/>
              </w:rPr>
              <w:t>(2)</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Sunoma </w:t>
            </w:r>
            <w:r>
              <w:rPr>
                <w:rFonts w:ascii="Times New Roman;serif" w:hAnsi="Times New Roman;serif"/>
                <w:b w:val="false"/>
                <w:color w:val="000000"/>
                <w:sz w:val="13"/>
              </w:rPr>
              <w:t>(3)</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176,297 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Prince William</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1,725,282 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Polk County</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1,060,000 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8,804,931 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RNG Projects in Construction:</w:t>
            </w:r>
          </w:p>
        </w:tc>
        <w:tc>
          <w:tcPr>
            <w:tcW w:w="3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Hilltop</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255,500 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Vander Schaaf</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255,500 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Dairy</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Burlington</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459,900 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Atlantic </w:t>
            </w:r>
            <w:r>
              <w:rPr>
                <w:rFonts w:ascii="Times New Roman;serif" w:hAnsi="Times New Roman;serif"/>
                <w:b w:val="false"/>
                <w:color w:val="000000"/>
                <w:sz w:val="13"/>
              </w:rPr>
              <w:t>(2)</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331,785 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Cottonwood</w:t>
            </w:r>
          </w:p>
        </w:tc>
        <w:tc>
          <w:tcPr>
            <w:tcW w:w="2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664,884 </w:t>
            </w:r>
          </w:p>
        </w:tc>
        <w:tc>
          <w:tcPr>
            <w:tcW w:w="10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Kirby Canyon</w:t>
            </w:r>
          </w:p>
        </w:tc>
        <w:tc>
          <w:tcPr>
            <w:tcW w:w="2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663,570 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LFG</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2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2,631,139 </w:t>
            </w:r>
          </w:p>
        </w:tc>
        <w:tc>
          <w:tcPr>
            <w:tcW w:w="10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pStyle w:val="TextBody"/>
        <w:bidi w:val="0"/>
        <w:spacing w:lineRule="auto" w:line="288" w:before="0" w:after="2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We record our ownership interests in these projects as equity method investments in our condensed consolidated financial statements.</w:t>
      </w:r>
    </w:p>
    <w:p>
      <w:pPr>
        <w:pStyle w:val="TextBody"/>
        <w:bidi w:val="0"/>
        <w:spacing w:lineRule="auto" w:line="288" w:before="0" w:after="20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This project has provisions that will adjust or “flip” the percentage of distributions to be made to us over time, typically triggered by achievement of hurdle rates that are calculated as internal rates of return on capital invested in the project.</w:t>
      </w:r>
    </w:p>
    <w:p>
      <w:pPr>
        <w:pStyle w:val="TextBody"/>
        <w:bidi w:val="0"/>
        <w:spacing w:lineRule="auto" w:line="288" w:before="0" w:after="200"/>
        <w:jc w:val="both"/>
        <w:rPr/>
      </w:pPr>
      <w:r>
        <w:rPr>
          <w:rFonts w:ascii="Times New Roman;serif" w:hAnsi="Times New Roman;serif"/>
          <w:b w:val="false"/>
          <w:color w:val="000000"/>
          <w:sz w:val="13"/>
        </w:rPr>
        <w:t xml:space="preserve">(4) </w:t>
      </w:r>
      <w:r>
        <w:rPr>
          <w:rFonts w:ascii="Times New Roman;serif" w:hAnsi="Times New Roman;serif"/>
          <w:b w:val="false"/>
          <w:color w:val="000000"/>
          <w:sz w:val="20"/>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pStyle w:val="TextBody"/>
        <w:bidi w:val="0"/>
        <w:spacing w:lineRule="auto" w:line="288" w:before="0" w:after="200"/>
        <w:jc w:val="both"/>
        <w:rPr/>
      </w:pPr>
      <w:r>
        <w:rPr>
          <w:rFonts w:ascii="Times New Roman;serif" w:hAnsi="Times New Roman;serif"/>
          <w:b w:val="false"/>
          <w:color w:val="000000"/>
          <w:sz w:val="13"/>
        </w:rPr>
        <w:t xml:space="preserve">(5) </w:t>
      </w:r>
      <w:r>
        <w:rPr>
          <w:rFonts w:ascii="Times New Roman;serif" w:hAnsi="Times New Roman;serif"/>
          <w:b w:val="false"/>
          <w:color w:val="000000"/>
          <w:sz w:val="20"/>
        </w:rPr>
        <w:t>Please see Part II, Item 1: Legal Proceedings and Note 12 - Commitments and Contingencies to the condensed consolidated financial statements.</w:t>
      </w:r>
    </w:p>
    <w:p>
      <w:pPr>
        <w:pStyle w:val="TextBody"/>
        <w:bidi w:val="0"/>
        <w:spacing w:lineRule="auto" w:line="288" w:before="0" w:after="200"/>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The construction of the Cottonwood, Burlington, and Kirby Canyon projects began in the second, third, and fourth quarters of 2024, respectively.</w:t>
      </w:r>
    </w:p>
    <w:p>
      <w:pPr>
        <w:pStyle w:val="TextBody"/>
        <w:bidi w:val="0"/>
        <w:spacing w:lineRule="auto" w:line="288" w:before="0" w:after="200"/>
        <w:jc w:val="both"/>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COD date is October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57860"/>
                <wp:effectExtent l="0" t="0" r="0" b="0"/>
                <wp:wrapNone/>
                <wp:docPr id="46" name="Frame4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both"/>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Renewable Power Projects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Below is a table setting forth the Renewable Power projects in operation in our portfolio:</w:t>
      </w:r>
    </w:p>
    <w:tbl>
      <w:tblPr>
        <w:tblW w:w="10205" w:type="dxa"/>
        <w:jc w:val="center"/>
        <w:tblInd w:w="0" w:type="dxa"/>
        <w:tblLayout w:type="fixed"/>
        <w:tblCellMar>
          <w:top w:w="28" w:type="dxa"/>
          <w:left w:w="28" w:type="dxa"/>
          <w:bottom w:w="28" w:type="dxa"/>
          <w:right w:w="28" w:type="dxa"/>
        </w:tblCellMar>
      </w:tblPr>
      <w:tblGrid>
        <w:gridCol w:w="1302"/>
        <w:gridCol w:w="1140"/>
        <w:gridCol w:w="1143"/>
        <w:gridCol w:w="1096"/>
        <w:gridCol w:w="1096"/>
        <w:gridCol w:w="1099"/>
        <w:gridCol w:w="971"/>
        <w:gridCol w:w="971"/>
        <w:gridCol w:w="1387"/>
      </w:tblGrid>
      <w:tr>
        <w:trPr/>
        <w:tc>
          <w:tcPr>
            <w:tcW w:w="130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Nameplate Capacity (MW per Hour) </w:t>
            </w:r>
            <w:r>
              <w:rPr>
                <w:rFonts w:ascii="Times New Roman;serif" w:hAnsi="Times New Roman;serif"/>
                <w:b/>
                <w:color w:val="000000"/>
                <w:sz w:val="13"/>
              </w:rPr>
              <w:t>(1)</w:t>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Current RNG Conversion Candidate </w:t>
            </w:r>
            <w:r>
              <w:rPr>
                <w:rFonts w:ascii="Times New Roman;serif" w:hAnsi="Times New Roman;serif"/>
                <w:b/>
                <w:color w:val="000000"/>
                <w:sz w:val="13"/>
              </w:rPr>
              <w:t>(2)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 Power Projects in Operation:</w:t>
            </w:r>
          </w:p>
        </w:tc>
        <w:tc>
          <w:tcPr>
            <w:tcW w:w="3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Sycamore</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Lopez</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Miramar Energy</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Marcos</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 Cruz</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 Miramar</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 Covina</w:t>
            </w:r>
          </w:p>
        </w:tc>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 Charlotte</w:t>
            </w:r>
          </w:p>
        </w:tc>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Taunton</w:t>
            </w:r>
          </w:p>
        </w:tc>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Arbor Hills </w:t>
            </w:r>
            <w:r>
              <w:rPr>
                <w:rFonts w:ascii="Times New Roman;serif" w:hAnsi="Times New Roman;serif"/>
                <w:b w:val="false"/>
                <w:color w:val="000000"/>
                <w:sz w:val="13"/>
              </w:rPr>
              <w:t>(3)</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C&amp;C</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Albany</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Concord and CMS</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Pioneer</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Richmond (previously "Old Dominion")</w:t>
            </w:r>
          </w:p>
        </w:tc>
        <w:tc>
          <w:tcPr>
            <w:tcW w:w="2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 Power projects in construction:</w:t>
            </w:r>
          </w:p>
        </w:tc>
        <w:tc>
          <w:tcPr>
            <w:tcW w:w="3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Fall River </w:t>
            </w:r>
            <w:r>
              <w:rPr>
                <w:rFonts w:ascii="Times New Roman;serif" w:hAnsi="Times New Roman;serif"/>
                <w:b w:val="false"/>
                <w:color w:val="000000"/>
                <w:sz w:val="13"/>
              </w:rPr>
              <w:t>(4)</w:t>
            </w:r>
          </w:p>
        </w:tc>
        <w:tc>
          <w:tcPr>
            <w:tcW w:w="2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 </w:t>
      </w:r>
    </w:p>
    <w:p>
      <w:pPr>
        <w:pStyle w:val="TextBody"/>
        <w:bidi w:val="0"/>
        <w:spacing w:lineRule="auto" w:line="288" w:before="0" w:after="200"/>
        <w:jc w:val="both"/>
        <w:rPr/>
      </w:pPr>
      <w:r>
        <w:rPr>
          <w:rFonts w:ascii="Times New Roman;serif" w:hAnsi="Times New Roman;serif"/>
          <w:b w:val="false"/>
          <w:color w:val="000000"/>
          <w:sz w:val="13"/>
        </w:rPr>
        <w:t xml:space="preserve">(2) </w:t>
      </w:r>
      <w:r>
        <w:rPr>
          <w:rFonts w:ascii="Times New Roman;serif" w:hAnsi="Times New Roman;serif"/>
          <w:b w:val="false"/>
          <w:color w:val="000000"/>
          <w:sz w:val="20"/>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pStyle w:val="TextBody"/>
        <w:bidi w:val="0"/>
        <w:spacing w:lineRule="auto" w:line="288" w:before="0" w:after="20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Although the RNG conversion is completed, it is currently contemplated that the Arbor Hills Renewable Power plant will continue limited operations on a stand-by, emergency basis through March of 2031.</w:t>
      </w:r>
    </w:p>
    <w:p>
      <w:pPr>
        <w:pStyle w:val="TextBody"/>
        <w:bidi w:val="0"/>
        <w:spacing w:lineRule="auto" w:line="288" w:before="0" w:after="200"/>
        <w:jc w:val="both"/>
        <w:rPr/>
      </w:pPr>
      <w:r>
        <w:rPr>
          <w:rFonts w:ascii="Times New Roman;serif" w:hAnsi="Times New Roman;serif"/>
          <w:b w:val="false"/>
          <w:color w:val="000000"/>
          <w:sz w:val="13"/>
          <w:shd w:fill="FFFFFF" w:val="clear"/>
        </w:rPr>
        <w:t>(4)</w:t>
      </w:r>
      <w:r>
        <w:rPr>
          <w:color w:val="000000"/>
        </w:rPr>
        <w:t xml:space="preserve"> </w:t>
      </w:r>
      <w:r>
        <w:rPr>
          <w:rFonts w:ascii="Times New Roman;serif" w:hAnsi="Times New Roman;serif"/>
          <w:b w:val="false"/>
          <w:color w:val="000000"/>
          <w:sz w:val="20"/>
        </w:rPr>
        <w:t>Construction of the Fall River project has been delayed due to permitting issues.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Comparison of the Three and Nine Months Ended September 30, 2025 and 2024</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period-over-period change for each line item in the Company's statement of operations for the three and nine months ended September 30, 2025 and 2024.</w:t>
      </w:r>
    </w:p>
    <w:p>
      <w:pPr>
        <w:pStyle w:val="TextBody"/>
        <w:bidi w:val="0"/>
        <w:spacing w:before="0" w:after="2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57860"/>
                <wp:effectExtent l="0" t="0" r="0" b="0"/>
                <wp:wrapNone/>
                <wp:docPr id="47" name="Frame4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85"/>
        <w:gridCol w:w="650"/>
        <w:gridCol w:w="652"/>
        <w:gridCol w:w="225"/>
        <w:gridCol w:w="742"/>
        <w:gridCol w:w="125"/>
        <w:gridCol w:w="225"/>
        <w:gridCol w:w="742"/>
        <w:gridCol w:w="125"/>
        <w:gridCol w:w="196"/>
        <w:gridCol w:w="588"/>
        <w:gridCol w:w="109"/>
        <w:gridCol w:w="226"/>
        <w:gridCol w:w="226"/>
        <w:gridCol w:w="382"/>
        <w:gridCol w:w="222"/>
        <w:gridCol w:w="734"/>
        <w:gridCol w:w="123"/>
        <w:gridCol w:w="222"/>
        <w:gridCol w:w="734"/>
        <w:gridCol w:w="123"/>
        <w:gridCol w:w="196"/>
        <w:gridCol w:w="646"/>
        <w:gridCol w:w="109"/>
        <w:gridCol w:w="224"/>
        <w:gridCol w:w="228"/>
        <w:gridCol w:w="446"/>
      </w:tblGrid>
      <w:tr>
        <w:trPr/>
        <w:tc>
          <w:tcPr>
            <w:tcW w:w="98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8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w:t>
              <w:br/>
              <w:t>Change</w:t>
            </w:r>
          </w:p>
        </w:tc>
        <w:tc>
          <w:tcPr>
            <w:tcW w:w="83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w:t>
              <w:br/>
              <w:t>Change</w:t>
            </w:r>
          </w:p>
        </w:tc>
        <w:tc>
          <w:tcPr>
            <w:tcW w:w="215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br/>
              <w:t> Change</w:t>
            </w:r>
          </w:p>
        </w:tc>
        <w:tc>
          <w:tcPr>
            <w:tcW w:w="89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 </w:t>
              <w:br/>
              <w:t>Change</w:t>
            </w:r>
          </w:p>
        </w:tc>
      </w:tr>
      <w:tr>
        <w:trPr/>
        <w:tc>
          <w:tcPr>
            <w:tcW w:w="228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(in thousands)</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893" w:type="dxa"/>
            <w:gridSpan w:val="3"/>
            <w:vMerge w:val="continue"/>
            <w:tcBorders/>
            <w:tcMar>
              <w:top w:w="0" w:type="dxa"/>
              <w:left w:w="0" w:type="dxa"/>
              <w:bottom w:w="0" w:type="dxa"/>
              <w:right w:w="0" w:type="dxa"/>
            </w:tcMar>
            <w:vAlign w:val="center"/>
          </w:tcPr>
          <w:p>
            <w:pPr>
              <w:pStyle w:val="Normal"/>
              <w:bidi w:val="0"/>
              <w:jc w:val="left"/>
              <w:rPr/>
            </w:pPr>
            <w:r>
              <w:rPr/>
            </w:r>
          </w:p>
        </w:tc>
        <w:tc>
          <w:tcPr>
            <w:tcW w:w="834" w:type="dxa"/>
            <w:gridSpan w:val="3"/>
            <w:vMerge w:val="continue"/>
            <w:tcBorders/>
            <w:tcMar>
              <w:top w:w="0" w:type="dxa"/>
              <w:left w:w="0" w:type="dxa"/>
              <w:bottom w:w="0" w:type="dxa"/>
              <w:right w:w="0" w:type="dxa"/>
            </w:tcMar>
            <w:vAlign w:val="center"/>
          </w:tcPr>
          <w:p>
            <w:pPr>
              <w:pStyle w:val="Normal"/>
              <w:bidi w:val="0"/>
              <w:jc w:val="left"/>
              <w:rPr/>
            </w:pPr>
            <w:r>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2024</w:t>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8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RNG Fuel</w:t>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75,650 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63,036 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4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Fuel Station Services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45,395 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149,426 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121,794 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4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Renewable Power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4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83,357 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84,047 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249,220 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219,949 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 RNG Fuel</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9,985 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35,341 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4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 Fuel Station Services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40,230 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118,683 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94,882 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4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 Renewable Power</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5,917 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19,578 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25,931 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4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Project development and startup costs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4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47,803 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4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amortization, and accretion</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4,697 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16,772 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4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from equity method investments </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(11,828)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44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79,769 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71,738 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248,401 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198,381 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3,588 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12,309 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21,568 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financing expense,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(6,898)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(5,026)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(19,330)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(13,976)</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44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instruments, net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44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46"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(6,769)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(4,108)</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(16,880)</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(10,782)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income tax benefit</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(3,181)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8,201 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(16,061)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10,786 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(26,847)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14,567 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8,906 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36,290 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8,906 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11,386 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20,229 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19,692 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redeemable non-controlling interests</w:t>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7,226 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11,998 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10,034 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9,618 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non-redeemable non-controlling interests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Dividends on redeemable preferred non-controlling interests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7,851 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Net income attributable to Class A common stockholders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2,362 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57860"/>
                <wp:effectExtent l="0" t="0" r="0" b="0"/>
                <wp:wrapNone/>
                <wp:docPr id="48" name="Frame48"/>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Revenues</w:t>
      </w:r>
    </w:p>
    <w:tbl>
      <w:tblPr>
        <w:tblW w:w="10170" w:type="dxa"/>
        <w:jc w:val="center"/>
        <w:tblInd w:w="0" w:type="dxa"/>
        <w:tblLayout w:type="fixed"/>
        <w:tblCellMar>
          <w:top w:w="28" w:type="dxa"/>
          <w:left w:w="28" w:type="dxa"/>
          <w:bottom w:w="28" w:type="dxa"/>
          <w:right w:w="28" w:type="dxa"/>
        </w:tblCellMar>
      </w:tblPr>
      <w:tblGrid>
        <w:gridCol w:w="1331"/>
        <w:gridCol w:w="1171"/>
        <w:gridCol w:w="1173"/>
        <w:gridCol w:w="218"/>
        <w:gridCol w:w="745"/>
        <w:gridCol w:w="112"/>
        <w:gridCol w:w="218"/>
        <w:gridCol w:w="745"/>
        <w:gridCol w:w="112"/>
        <w:gridCol w:w="218"/>
        <w:gridCol w:w="637"/>
        <w:gridCol w:w="112"/>
        <w:gridCol w:w="211"/>
        <w:gridCol w:w="826"/>
        <w:gridCol w:w="109"/>
        <w:gridCol w:w="211"/>
        <w:gridCol w:w="826"/>
        <w:gridCol w:w="109"/>
        <w:gridCol w:w="211"/>
        <w:gridCol w:w="72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311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37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36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2024</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RNG Fuel</w:t>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 gas sales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Attributes </w:t>
            </w:r>
            <w:r>
              <w:rPr>
                <w:rFonts w:ascii="Times New Roman;serif" w:hAnsi="Times New Roman;serif"/>
                <w:b w:val="false"/>
                <w:color w:val="000000"/>
                <w:sz w:val="13"/>
              </w:rPr>
              <w:t>(1)</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RNG Fuel</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Fuel Station Services</w:t>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OPAL owned stations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RNG marketing </w:t>
            </w:r>
            <w:r>
              <w:rPr>
                <w:rFonts w:ascii="Times New Roman;serif" w:hAnsi="Times New Roman;serif"/>
                <w:b w:val="false"/>
                <w:color w:val="000000"/>
                <w:sz w:val="13"/>
              </w:rPr>
              <w:t>(2)</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station service and maintenance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Fuel Station Services</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Renewable Power</w:t>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Electricity sales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Environmental Attributes </w:t>
            </w:r>
            <w:r>
              <w:rPr>
                <w:rFonts w:ascii="Times New Roman;serif" w:hAnsi="Times New Roman;serif"/>
                <w:b w:val="false"/>
                <w:color w:val="000000"/>
                <w:sz w:val="13"/>
              </w:rPr>
              <w:t>(3)</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Renewable Power</w:t>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Revenues from Environmental Attributes in the RNG Fuel segment relate to revenues earned from sales of RINs and LCFSs. </w:t>
      </w:r>
    </w:p>
    <w:p>
      <w:pPr>
        <w:pStyle w:val="TextBody"/>
        <w:bidi w:val="0"/>
        <w:spacing w:lineRule="auto" w:line="288" w:before="0" w:after="20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Revenues from RNG marketing in the Fuel Station Services segment relate to revenues earned from sales of RINs and LCFSs, as well as revenue from Environmental Attribute generation and monetization services.</w:t>
      </w:r>
    </w:p>
    <w:p>
      <w:pPr>
        <w:pStyle w:val="TextBody"/>
        <w:bidi w:val="0"/>
        <w:spacing w:lineRule="auto" w:line="288" w:before="0" w:after="200"/>
        <w:jc w:val="both"/>
        <w:rPr/>
      </w:pPr>
      <w:r>
        <w:rPr>
          <w:rFonts w:ascii="Times New Roman;serif" w:hAnsi="Times New Roman;serif"/>
          <w:b w:val="false"/>
          <w:color w:val="000000"/>
          <w:sz w:val="13"/>
        </w:rPr>
        <w:t xml:space="preserve">(3) </w:t>
      </w:r>
      <w:r>
        <w:rPr>
          <w:rFonts w:ascii="Times New Roman;serif" w:hAnsi="Times New Roman;serif"/>
          <w:b w:val="false"/>
          <w:color w:val="000000"/>
          <w:sz w:val="20"/>
        </w:rPr>
        <w:t>Revenues from Environmental Attributes in the Renewable Power segment include revenues earned from sales of ISCC Carbon Credits and RECs.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RNG Fuel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RNG Fuel decreased by $2.9 million or 11% for the three months ended September 30, 2025 compared to the three months ended September 30, 2024. This decrease was primarily related to a $2.3 million increase in brown gas sales due to an increase in price and natural gas swap gain and a $5.3 million decrease in the sale of environmental attributes. The decrease in environmental attributes was primarily related to a $4.3 million increase in green gas sales, a $4.3 million increase from new facilities (Prince William and Polk), a $6.2 million decrease in RIN volume, and a $7.7 million decrease due to RIN price reduction.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RNG Fuel increased by $12.6 million, or 20%, for the nine months ended September 30, 2025 compared to the nine months ended September 30, 2024. This increase was primarily related to a $6.5 million increase in brown gas sales due to increase in price and volume and a $5.9 million increase in the sale of environmental attributes. The increase in environmental attributes was primarily related to a $4.3 million increase in green gas sales, a $14.2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57860"/>
                <wp:effectExtent l="0" t="0" r="0" b="0"/>
                <wp:wrapNone/>
                <wp:docPr id="49" name="Frame4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increase from the new facilities (Prince William and Polk), a $4.1 million increase in RIN volume, and a $17.0 million decrease due to RIN price reduction.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Fuel Station Services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Fuel Station Services increased by $6.3 million or 14%, for the three months ended September 30, 2025 compared to the three months ended September 30, 2024. This is primarily related to an increase in GGE volume from OPAL-owned and third-party stations and project construction timing.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Fuel Station Services increased by $27.6 million, or 23%, for the nine months ended September 30, 2025 compared to the nine months ended September 30, 2024. This is primarily related to a $8.3 million increase in revenues from RIN and LCFS minting services from the new facilities (Prince William and Polk), a $20.7 million increase in RIN volume, a $5.7 million increase in GGE volume, a $2.7 million increase due to services driven by higher GGE volume and rate, a $1.5 million increase due to project construction timing, a $0.7 million increase in brown gas sales, and a $12.5 million decrease due to RIN price reduction.</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Renewable Power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Renewable Power decreased by $4.1 million, or 32%, for the three months ended September 30, 2025 compared to the three months ended September 30, 2024. This is primarily related to a $4.0 million decrease from the termination of an ISCC Carbon Credit contract in the fourth quarter of 2024, related to the Pioneer, Old Dominion, and West Covina facilities.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Revenue from Renewable Power decreased by $11.0 million, or 31%, for the nine months ended September 30, 2025, compared to the nine months ended September 30, 2024. This is primarily related to an $11.4 million decrease from the termination of an ISCC Carbon Credit contract in the fourth quarter of 2024, related to the Pioneer, Old Dominion, and West Covina facilities.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RNG Fuel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 of sales from RNG Fuel increased by $1.8 million, or 18%, for the three months ended September 30, 2025 compared to the three months ended September 30, 2024. This increase is primarily related to a $2.2 million increase from Polk, which commenced operations in the fourth quarter of 2024, and an $0.5 million decrease from Prince William due to decrease in production volumes.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 of sales from RNG Fuel increased by $8.7 million, or 33%, for the nine months ended September 30, 2025 compared to the nine months ended September 30, 2024. This increase is primarily related to $5.6 million increase from Polk, which commenced operations in the fourth quarter of 2024, $4.3 million increase from Prince William, which commenced operations in the second quarter of 2024, $1.6 million decrease from GreenTree.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Fuel Station Services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Cost of sales from Fuel Station Services increased by $6.6 million, or 20%, for the three months ended September 30, 2025 compared to the three months ended September 30, 2024. This is primarily related to a $2.5 million increase in dispensing fees, a $1.7 million increase in FPA tolling expense, a $2.2 million increase in construction costs, and an $0.4 million increase in services and other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from Fuel Station Services increased by $23.8 million, or 25%, for the nine months ended September 30, 2025 compared to the nine months ended September 30, 2024. This is primarily related to a $14.0 million increase in dispensing fees, a $7.2 million increase in FPA tolling expense, and a $2.9 million increase in construction costs.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Renewable Power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from Renewable Power decreased by $1.9 million, or 24%, for the three months ended September 30, 2025 compared to the three months ended September 30, 2024. This is primarily related to an $0.9 million decrease in royalties related to the corresponding decrease in ISCC Carbon Credit revenues and a $1.0 million decrease primarily driven by the timing of major maintenance and other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57860"/>
                <wp:effectExtent l="0" t="0" r="0" b="0"/>
                <wp:wrapNone/>
                <wp:docPr id="50" name="Frame50"/>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from Renewable Power decreased by $6.4 million, or 24% for the nine months ended September 30, 2025 compared to the nine months ended September 30, 2024. This is primarily related to a $3.1 million decrease in royalties related to corresponding decrease in ISCC Carbon Credit revenues, and a $3.3 decrease primarily driven by the timing of major maintenance and other expenses.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Project development and start up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Project development and startup costs decreased by $4.3 million, or 63%, for the three months ended September 30, 2025 compared to the three months ended September 30, 2024. This is primarily related to virtual pipeline costs related to Prince William and Polk facilities.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Project development and startup costs increased by $1.6 million, or 15%, for the nine months ended September 30, 2025 compared to the nine months ended September 30, 2024. This is primarily related to virtual pipeline costs related to Prince William and Polk facilities.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by a total of $1.7 million, or 13%, for the three months ended September 30, 2025 compared to the three months ended September 30, 2024. This is primarily related to increases in professional fees, compensation costs, and advocacy expenses offset by stock compensation.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by a total of $8.3 million, or 21%, for the nine months ended September 30, 2025 compared to the nine months ended September 30, 2024. This is primarily related to an increase in professional fees, compensation costs, stock compensation, and general corporate expenses.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Depreciation, amortization, and accretion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increased by a total of $0.9 million, or 19%, for the three months ended September 30, 2025 compared to the three months ended September 30, 2024. This is primarily related to depreciation expense on Polk, which became operational in the fourth quarter of 2024.</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Depreciation, amortization, and accretion increased by a total of $4.1 million, or 32%, for the nine months ended September 30, 2025 compared to the nine months ended September 30, 2024. This is primarily related to depreciation expense on Prince William and Polk, which became operational in the second and fourth quarter of 2024, respectively, as well as additional depreciation expense on fuel station services.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Income from equity method investments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equity method investments decreased by $3.2 million, or 83%, for the three months ended September 30, 2025 compared to the three months ended September 30, 2024. This is primarily related to a decrease in the realized price of RINs sold on operating facilities.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equity method investments decreased by $10.0 million, or 84% for the nine months ended September 30, 2025 compared to the nine months ended September 30, 2024. This is primarily related to a decrease in the realized price of RINs sold on operating facilities.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and financing expense, net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and financing expenses, net increased by $1.9 million, or 37%, for the three months ended September 30, 2025 compared to the three months ended September 30, 2024. This is primarily related to an increase in the drawn balance of the OPAL Term Loan.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and financing expenses, net increased by $5.4 million, or 38%, for the nine months ended September 30, 2025 compared to the nine months ended September 30, 2024. This is primarily related to an increase in the drawn balance of the OPAL Term Loan.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derivative instruments, net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derivatives decreased by $0.3 million or 100% for the three months ended September 30, 2025 compared to the three months ended September 30, 2024, due to no gain associated with the mark-to-market adjustments to the earnout liabilities in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57860"/>
                <wp:effectExtent l="0" t="0" r="0" b="0"/>
                <wp:wrapNone/>
                <wp:docPr id="51" name="Frame51"/>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derivatives decreased by $1.2 million or 81% for the nine months ended September 30, 2025 compared to the nine months ended September 30, 2024 due to a lower gain associated with the mark-to-market adjustments to the earnout liabilities in the current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income decreased by $0.5 million or 80% the three months ended September 30, 2025 compared to the three months ended September 30, 2024 primarily related to a decrease in other income from environmental attributes and insurance gain.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income increased by $0.4 million, or 25%, for the nine months ended September 30, 2025 compared to the nine months ended September 30, 2024 primarily related to an increase in gain on note receivable.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Income tax benefit increased by $5.7 million or 64% for three months ended September 30, 2025 compared to the three months ended September 30, 2024. This is primarily related to receipt of net proceeds from sale of Investment Tax Credits ("ITCs") for Polk.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Income tax benefit increased by $27.4 million or 307% for the nine months ended September 30, 2025 compared to the nine months ended September 30, 2024. This is primarily related to receipt of net proceeds from sale of ITCs for Prince William, Sapphire and Polk.</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Net income attributable to redeemable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interests decreased by $4.8 million, or 40%, for the three months ended September 30, 2025 compared to the three months ended September 30, 2024. The net income for the three months ended September 30, 2025 and 2024 reflects the portion of earnings belonging to OPAL Fuels equity holders. The decrease is primarily attributable to lower net income in the current period compared to the same prior-year period.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interests for the nine months ended September 30, 2025 increased by $0.4 million, or 4%, compared to the nine months ended September 30, 2024. The increase is primarily attributable to higher net income in the current period compared to the same prior-year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Net income attributable to non-redeemable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non-redeemable non-controlling interests remained flat for the three months ended September 30, 2025 compared to the three months ended September 30, 2024.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non-redeemable non-controlling interests remained flat for the nine months ended September 30, 2025, compared to nine months ended September 30, 2024.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Dividends on redeemable preferred non-controlling interests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Dividends on redeemable preferred non-controlling interests remained flat for the three and nine months ended September 30, 2025 compared to the three and nine months ended September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As of September 30, 2025, our liquidity was $183.8 million, consisting of $138.4 million of unused capacity under our $450.0 million senior secured credit facility, $15.5 million of unused capacity under the associated revolver, and $29.9 million of cash and cash equivalents.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our available cash together with our other assets, expected cash flows from operations,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57860"/>
                <wp:effectExtent l="0" t="0" r="0" b="0"/>
                <wp:wrapNone/>
                <wp:docPr id="52" name="Frame5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operations, we have arrangements for office space for our corporate headquarters under the Administrative Services Agreement as well as operating leases for office space, warehouse space, and our vehicle fleet.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intend to make payments under our various debt instruments when due and pursue opportunities for earlier repayment and/or refinancing if and when these opportunities arise.</w:t>
      </w:r>
    </w:p>
    <w:p>
      <w:pPr>
        <w:pStyle w:val="TextBody"/>
        <w:bidi w:val="0"/>
        <w:spacing w:lineRule="auto" w:line="288" w:before="0" w:after="200"/>
        <w:jc w:val="left"/>
        <w:rPr/>
      </w:pPr>
      <w:r>
        <w:rPr>
          <w:rFonts w:ascii="Times New Roman;serif" w:hAnsi="Times New Roman;serif"/>
          <w:b w:val="false"/>
          <w:color w:val="000000"/>
          <w:sz w:val="20"/>
        </w:rPr>
        <w:t xml:space="preserve">See Note 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to our condensed consolidated financial statements.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OPAL Term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3, 2025, OPAL Fuels Intermediate HoldCo LLC, as the borrower (the “Borrower”), certain subsidiaries of the Borrower, as guarantors (the “Guarantors”), the lenders and issuers of letters of credit party thereto and Bank of America, N.A. as the administrative agent (the “Administrative Agent”) entered into that certain Amendment No. 1 to Credit and Guarantee Agreement (the “Credit Agreement Amendment”), with respect to that certain Credit and Guarantee Agreement (the “Credit Agreement”) dated September 1, 2023, by and among the Borrower, the Administrative Agent, the financial institutions from time to time parties thereto as lenders and as issuers of letters of credit, and the other agents and persons from time to time party thereto (as amended, restated, amended and restated, supplemented or otherwise modified and in effect from time to time).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Credit Agreement Amendment makes certain changes to the applicability of certain financial covenants and modifies other covenants to clarify the use of loan proceeds. Additionally, the Credit Agreement Amendment permits the organizational restructuring of the Guarantors in a manner designed to facilitate the sale of federal investment tax credits and the ability to raise additional future capital.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Credit Agreement Amendment also eases the conditions precedent to making new Projects eligible for borrowing under the Credit Agreement, extends the availability period for delay draw term loans under the Credit Agreement through March 5, 2026, and extends the commencement of repayment of such term loans until March 31, 2026.</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Credit Agreement Amendment, the Borrower paid the Administrative Agent, for the account of each lender, a one-time nonrefundable fee of $1.25 million.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outstanding loan balance (current and non-current) excluding deferred financing costs was $331.6 million and $286.6 million,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 As of September 30, 2025, the Company is in compliance with the financial covenants under the OPAL Term Loan.</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Sunoma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27, 2020, Sunoma, an indirect wholly-owned subsidiary of the Company entered into a debt agreement (the "Sunoma Loan Agreement") with Live Oak Banking Company for an aggregate principal amount of $20 million. Sunoma paid $0.6 million in financing fees. The amounts outstanding under the Sunoma Loan are secured by the assets of Sunoma. On July 19, 2022, Sunoma completed the conversion of the construction loan into a permanent loan and increased the commitment from $20.0 to $23.0 million. The maturity date is July 19, 2033. The outstanding loans under the Sunoma Loan Agreement bear interest at an annual fixed rates of 7.8%, and 8.2% per annum during the term.</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As of September 30, 2025, Sunoma is in compliance with the financial covenants under the Sunoma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57860"/>
                <wp:effectExtent l="0" t="0" r="0" b="0"/>
                <wp:wrapNone/>
                <wp:docPr id="53" name="Frame53"/>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outstanding loan balance (current and non-current) excluding deferred financing costs was $19.5 million and $20.8 million,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significant assets of Sunoma, as well as those of other consolidated variable VIEs, are parenthesized in the condensed consolidated balance sheets as of September 30, 2025 and December 31, 2024.</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Redeemable Series A Preferred Units of OPAL Fuels LLC</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November 2021, NextEra subscribed for an aggregate of $100,000,000 of Series A preferred units issued by OPAL Fuels LLC, a consolidated subsidiary of OPAL Fuels, Inc. The Series A preferred units have limited rights to prevent OPAL Fuels LLC from taking certain actions including (i) major issuances of new debt or equity (ii) executing transactions with affiliates which are not at arm-length basis (iii) major disposition of assets and (iv) major acquisition of assets outside of OPAL Fuels LLC’s primary business. The Series A preferred units are entitled to receive dividends at the rate of 8% per annum. Dividends begin accruing for each unit from the date of issuance and are payable each quarter end regardless of whether they are declared. The dividends are mandatory and cumulative. The Company was allowed to elect to issue additional Series A preferred units (paid-in-kind) in lieu of cash for the first eight dividend payment dates. As of September 30, 2025 and December 31, 2024, there was no accrued preferred dividend payable.</w:t>
      </w:r>
    </w:p>
    <w:p>
      <w:pPr>
        <w:pStyle w:val="TextBody"/>
        <w:bidi w:val="0"/>
        <w:spacing w:lineRule="auto" w:line="288" w:before="0" w:after="200"/>
        <w:ind w:left="0" w:right="0" w:firstLine="180"/>
        <w:jc w:val="both"/>
        <w:rPr>
          <w:rFonts w:ascii="Times New Roman;serif" w:hAnsi="Times New Roman;serif"/>
          <w:b w:val="false"/>
          <w:color w:val="000000"/>
          <w:sz w:val="20"/>
        </w:rPr>
      </w:pPr>
      <w:r>
        <w:rPr>
          <w:rFonts w:ascii="Times New Roman;serif" w:hAnsi="Times New Roman;serif"/>
          <w:b w:val="false"/>
          <w:color w:val="000000"/>
          <w:sz w:val="20"/>
        </w:rPr>
        <w:t>At any time after issuance, OPAL Fuels LLC may redeem the Series A preferred units for a price equal to original issue price of $100 per unit plus any accrued and unpaid dividends. Upon written notice from NextEra at any time after November 29, 2025, we would be required to redeem the Series A preferred units. In the event the Company does not redeem the Series A preferred units when requested, NextEra will have the following rights and remedies: (1) NextEra’s affiliate may extend the RNG Marketing Agreement by 12 months; or (2) the dividend rate would increase depending on the length of time the Series A preferred units remain unredeemed to up to 20% per annum, and if more than $25,000,000 preferred equity is outstanding for more than six months after November 29, 2025, NextEra may appoint a director to OPAL Fuel Inc.’s Board of Directors; or (3) NextEra may convert the Series A preferred equity into common equity of the OPAL Fuels LLC at a conversion price at a 20% to 30% discount to their value (the discount is 20% during the first 12 months after November 29, 2025, 25% for the next 12 months thereafter and 30% thereafter).</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cash flows for the nine months ended September 30, 2025 and 2024:</w:t>
      </w:r>
    </w:p>
    <w:tbl>
      <w:tblPr>
        <w:tblW w:w="8653" w:type="dxa"/>
        <w:jc w:val="center"/>
        <w:tblInd w:w="0" w:type="dxa"/>
        <w:tblLayout w:type="fixed"/>
        <w:tblCellMar>
          <w:top w:w="28" w:type="dxa"/>
          <w:left w:w="28" w:type="dxa"/>
          <w:bottom w:w="28" w:type="dxa"/>
          <w:right w:w="28" w:type="dxa"/>
        </w:tblCellMar>
      </w:tblPr>
      <w:tblGrid>
        <w:gridCol w:w="2031"/>
        <w:gridCol w:w="1788"/>
        <w:gridCol w:w="1791"/>
        <w:gridCol w:w="291"/>
        <w:gridCol w:w="997"/>
        <w:gridCol w:w="150"/>
        <w:gridCol w:w="291"/>
        <w:gridCol w:w="1101"/>
        <w:gridCol w:w="213"/>
      </w:tblGrid>
      <w:tr>
        <w:trPr/>
        <w:tc>
          <w:tcPr>
            <w:tcW w:w="2031"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6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w:t>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color w:val="000000"/>
              </w:rPr>
            </w:pPr>
            <w:r>
              <w:rPr>
                <w:color w:val="000000"/>
              </w:rPr>
              <w:t> </w:t>
            </w:r>
            <w:r>
              <w:rPr>
                <w:rFonts w:ascii="Times New Roman;serif" w:hAnsi="Times New Roman;serif"/>
                <w:b/>
                <w:color w:val="000000"/>
                <w:sz w:val="20"/>
              </w:rPr>
              <w:t>2024</w:t>
            </w:r>
          </w:p>
        </w:tc>
      </w:tr>
      <w:tr>
        <w:trPr/>
        <w:tc>
          <w:tcPr>
            <w:tcW w:w="5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31,917 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(69,933)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(86,546)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31,581 </w:t>
            </w:r>
          </w:p>
        </w:tc>
        <w:tc>
          <w:tcPr>
            <w:tcW w:w="21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restricted cash, and cash equivalents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5,055 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(23,048)</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Net Cash Provided by Operating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for the nine months ended September 30, 2025 was $40.0 million, an increase of $8.1 million compared to $31.9 million for the nine months ended September 30, 2024.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increase was primarily attributable to higher net income driven by increased revenues, lower income from equity method investments, and higher non-cash items. These were partially offset by unfavorable changes in working capital and a decrease in distributions from equity method investments.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Cash Used in Investing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nine months ended September 30, 2025 was $69.9 million, a decrease of $16.6 million compared to the $86.5 million used in investing activities for the nine months ended September 30, 2024.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was primarily driven by a decrease in payments made for the construction of various RNG generation and dispensing facilities in 2025 compared to 2024, an increase in distributions received from equity method investments, and a decrease in payments made for the purchase of short-term investments and an increase cash from notes receivable, partially offset by higher contributions made to equity method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57860"/>
                <wp:effectExtent l="0" t="0" r="0" b="0"/>
                <wp:wrapNone/>
                <wp:docPr id="54" name="Frame54"/>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Net Cash Provided by Financing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for the nine months ended September 30, 2025 was $35.0 million, an increase of $3.4 million compared to the net cash used in financing activities of $31.6 million for the nine months ended September 30, 2024.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This was primarily driven by an increase in proceeds from long-term loans, a decrease in dividend payments on redeemable preferred non-controlling interests, and an increase related to the acquisition of a controlling interest. These were partially offset by long-term loan repayments and higher financing costs paid to third parties.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Capital expenditures and other cash commitments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pStyle w:val="TextBody"/>
        <w:bidi w:val="0"/>
        <w:spacing w:lineRule="auto" w:line="288" w:before="0" w:after="200"/>
        <w:jc w:val="both"/>
        <w:rPr/>
      </w:pPr>
      <w:r>
        <w:rPr>
          <w:rFonts w:ascii="Times New Roman;serif" w:hAnsi="Times New Roman;serif"/>
          <w:b w:val="false"/>
          <w:color w:val="000000"/>
          <w:sz w:val="20"/>
        </w:rPr>
        <w:t>As of September 30, 2025, we anticipate spending of approximately $144.3 million in capital expenditures for the next 12 months for RNG projects, fuel stations and our share of contributions in our equity method investment projects. This includes projects which have not been fully committed.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serif" w:hAnsi="Times New Roman;serif"/>
          <w:b/>
          <w:color w:val="000000"/>
          <w:sz w:val="20"/>
        </w:rPr>
        <w:t>.</w:t>
      </w:r>
      <w:r>
        <w:rPr>
          <w:color w:val="000000"/>
        </w:rPr>
        <w:t xml:space="preserve"> </w:t>
      </w:r>
    </w:p>
    <w:p>
      <w:pPr>
        <w:pStyle w:val="TextBody"/>
        <w:bidi w:val="0"/>
        <w:spacing w:lineRule="auto" w:line="288" w:before="0" w:after="200"/>
        <w:jc w:val="both"/>
        <w:rPr/>
      </w:pPr>
      <w:r>
        <w:rPr>
          <w:rFonts w:ascii="Times New Roman;serif" w:hAnsi="Times New Roman;serif"/>
          <w:b w:val="false"/>
          <w:color w:val="000000"/>
          <w:sz w:val="20"/>
        </w:rPr>
        <w:t xml:space="preserve">In addition to the above, we also have lease commitments on our vehicle fleets and office leases and quarterly amortization payment obligations under various debt facilities. Please see Note 3. </w:t>
      </w:r>
      <w:r>
        <w:rPr>
          <w:rFonts w:ascii="Times New Roman;serif" w:hAnsi="Times New Roman;serif"/>
          <w:b w:val="false"/>
          <w:i/>
          <w:color w:val="000000"/>
          <w:sz w:val="20"/>
        </w:rPr>
        <w:t>Borrowings</w:t>
      </w:r>
      <w:r>
        <w:rPr>
          <w:color w:val="000000"/>
        </w:rPr>
        <w:t xml:space="preserve"> </w:t>
      </w:r>
      <w:r>
        <w:rPr>
          <w:rFonts w:ascii="Times New Roman;serif" w:hAnsi="Times New Roman;serif"/>
          <w:b w:val="false"/>
          <w:color w:val="000000"/>
          <w:sz w:val="20"/>
        </w:rPr>
        <w:t xml:space="preserve">and Note 12.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to our condensed consolidated financial statements for additional information.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plan to fund these expenditures primarily through cash on hand, cash generated from operations and availability under existing debt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not required to provide the information required by this Item because it is a “smaller reporting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Co-Chief Executive Officers and our Chief Financial Officer (our co-principal executive officers and principal financial officer, respectively), evaluated, as of the end of the period covered by this Quarterly Report on Form 10-Q, the effectiveness of our disclosure controls and procedures as defined in Rules 13a-15(e) or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Based on that evaluation of our disclosure controls and procedures as required by Rules 13a-15(b) or 15d-15(b) under the Exchange Act, as of September 30, 2025, our Co-Chief Executive Officers and Chief Financial Officer concluded that, as of such date, our disclosure controls and procedures were effective for the period covered by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57860"/>
                <wp:effectExtent l="0" t="0" r="0" b="0"/>
                <wp:wrapNone/>
                <wp:docPr id="55" name="Frame55"/>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Controls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(as defined in Rules 13a-15(f) or 15d-15(f) under the Exchange Act) was identified in the evaluation required by Rule 13a-15(d) or 15d-15(d) under the Exchange Act during the quarter ended September 30, 2025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57860"/>
                <wp:effectExtent l="0" t="0" r="0" b="0"/>
                <wp:wrapNone/>
                <wp:docPr id="56" name="Frame56"/>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jc w:val="both"/>
        <w:rPr/>
      </w:pPr>
      <w:r>
        <w:rPr>
          <w:rFonts w:ascii="Times New Roman;serif" w:hAnsi="Times New Roman;serif"/>
          <w:b w:val="false"/>
          <w:color w:val="000000"/>
          <w:sz w:val="20"/>
        </w:rPr>
        <w:t xml:space="preserve">From time to time, we are involved in various legal proceedings, lawsuits and claims incidental to the conduct of our business, some of which may be material. Our businesses are also subject to extensive regulation, which may result in regulatory proceedings against us. </w:t>
      </w:r>
      <w:r>
        <w:rPr>
          <w:rFonts w:ascii="Times New Roman;serif" w:hAnsi="Times New Roman;serif"/>
          <w:b w:val="false"/>
          <w:color w:val="000000"/>
          <w:sz w:val="20"/>
          <w:shd w:fill="FFFFFF" w:val="clear"/>
        </w:rPr>
        <w:t>We do not believe that the outcome of any of our current legal proceedings will have a material adverse impact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Except as described below, there have been no material changes from the “Risk Factors” previously disclosed in our Annual Report on Form 10-K for the year ended December 31, 2024, filed with the SEC on March 17, 2025, as supplemented by our Quarterly Reports on Form 10-Q. The risks described in such reports are not the only risks we face. Additional risks and uncertainties not currently known to us or that we currently deem to be immaterial also may materially adversely affect our business, financial condition or future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57860"/>
                <wp:effectExtent l="0" t="0" r="0" b="0"/>
                <wp:wrapNone/>
                <wp:docPr id="57" name="Frame57"/>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both"/>
        <w:rPr>
          <w:rFonts w:ascii="Times New Roman;serif" w:hAnsi="Times New Roman;serif"/>
          <w:b/>
          <w:i/>
          <w:color w:val="000000"/>
          <w:sz w:val="20"/>
          <w:u w:val="single"/>
        </w:rPr>
      </w:pPr>
      <w:r>
        <w:rPr>
          <w:rFonts w:ascii="Times New Roman;serif" w:hAnsi="Times New Roman;serif"/>
          <w:b/>
          <w:i/>
          <w:color w:val="000000"/>
          <w:sz w:val="20"/>
          <w:u w:val="single"/>
        </w:rPr>
        <w:t>Rule 10b5-1 Trading Plans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September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0"/>
        <w:gridCol w:w="359"/>
        <w:gridCol w:w="361"/>
        <w:gridCol w:w="109"/>
        <w:gridCol w:w="109"/>
        <w:gridCol w:w="109"/>
        <w:gridCol w:w="2613"/>
        <w:gridCol w:w="2527"/>
        <w:gridCol w:w="3608"/>
      </w:tblGrid>
      <w:tr>
        <w:trPr/>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 xml:space="preserve">Restated Certificate of Incorporation of OPAL Fuels Inc. (incorporated by reference to Exhibit 3.1 to the Current Report on Form 8-K/A filed by the Company on August 10, 2022). </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Bylaws of OPAL Fuels Inc. (incorporated by reference to Exhibit 3.2 to the Current Report on Form 8-K filed by the Company on July 27, 2022)</w:t>
              </w:r>
            </w:hyperlink>
            <w:r>
              <w:rPr>
                <w:rFonts w:ascii="Times New Roman;serif" w:hAnsi="Times New Roman;serif"/>
                <w:b w:val="false"/>
                <w:color w:val="000000"/>
                <w:sz w:val="20"/>
              </w:rPr>
              <w: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1.htm">
              <w:r>
                <w:rPr>
                  <w:rStyle w:val="InternetLink"/>
                  <w:rFonts w:ascii="Times New Roman;serif" w:hAnsi="Times New Roman;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2.htm">
              <w:r>
                <w:rPr>
                  <w:rStyle w:val="InternetLink"/>
                  <w:rFonts w:ascii="Times New Roman;serif" w:hAnsi="Times New Roman;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3.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1.htm">
              <w:r>
                <w:rPr>
                  <w:rStyle w:val="InternetLink"/>
                  <w:rFonts w:ascii="Times New Roman;serif" w:hAnsi="Times New Roman;serif"/>
                  <w:b w:val="false"/>
                  <w:color w:val="0000FF"/>
                  <w:sz w:val="20"/>
                  <w:u w:val="single"/>
                </w:rPr>
                <w:t>Certification of Co-Principal Executive Officer Pursuant to 18 U.S.C. Section 1350, as Adopted Pursuant to Section 906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2.htm">
              <w:r>
                <w:rPr>
                  <w:rStyle w:val="InternetLink"/>
                  <w:rFonts w:ascii="Times New Roman;serif" w:hAnsi="Times New Roman;serif"/>
                  <w:b w:val="false"/>
                  <w:color w:val="0000FF"/>
                  <w:sz w:val="20"/>
                  <w:u w:val="single"/>
                </w:rPr>
                <w:t>Certification of Co-Principal Executive Officer Pursuant to 18 U.S.C. Section 1350, as Adopted Pursuant to Section 906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3.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Inline XBRL Taxonomy Extension Schema Document </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or the Exchange Act.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bl>
      <w:tblPr>
        <w:tblW w:w="3116" w:type="dxa"/>
        <w:jc w:val="right"/>
        <w:tblInd w:w="0" w:type="dxa"/>
        <w:tblLayout w:type="fixed"/>
        <w:tblCellMar>
          <w:top w:w="28" w:type="dxa"/>
          <w:left w:w="28" w:type="dxa"/>
          <w:bottom w:w="28" w:type="dxa"/>
          <w:right w:w="28" w:type="dxa"/>
        </w:tblCellMar>
      </w:tblPr>
      <w:tblGrid>
        <w:gridCol w:w="271"/>
        <w:gridCol w:w="238"/>
        <w:gridCol w:w="238"/>
        <w:gridCol w:w="694"/>
        <w:gridCol w:w="694"/>
        <w:gridCol w:w="98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311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tbl>
      <w:tblPr>
        <w:tblW w:w="3117" w:type="dxa"/>
        <w:jc w:val="right"/>
        <w:tblInd w:w="0" w:type="dxa"/>
        <w:tblLayout w:type="fixed"/>
        <w:tblCellMar>
          <w:top w:w="28" w:type="dxa"/>
          <w:left w:w="28" w:type="dxa"/>
          <w:bottom w:w="28" w:type="dxa"/>
          <w:right w:w="28" w:type="dxa"/>
        </w:tblCellMar>
      </w:tblPr>
      <w:tblGrid>
        <w:gridCol w:w="271"/>
        <w:gridCol w:w="238"/>
        <w:gridCol w:w="238"/>
        <w:gridCol w:w="695"/>
        <w:gridCol w:w="695"/>
        <w:gridCol w:w="98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11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bl>
    <w:tbl>
      <w:tblPr>
        <w:tblW w:w="2757" w:type="dxa"/>
        <w:jc w:val="right"/>
        <w:tblInd w:w="0" w:type="dxa"/>
        <w:tblLayout w:type="fixed"/>
        <w:tblCellMar>
          <w:top w:w="28" w:type="dxa"/>
          <w:left w:w="28" w:type="dxa"/>
          <w:bottom w:w="28" w:type="dxa"/>
          <w:right w:w="28" w:type="dxa"/>
        </w:tblCellMar>
      </w:tblPr>
      <w:tblGrid>
        <w:gridCol w:w="271"/>
        <w:gridCol w:w="238"/>
        <w:gridCol w:w="238"/>
        <w:gridCol w:w="589"/>
        <w:gridCol w:w="589"/>
        <w:gridCol w:w="83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75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Kazi Hasan</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240" w:after="283"/>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57860"/>
                <wp:effectExtent l="0" t="0" r="0" b="0"/>
                <wp:wrapNone/>
                <wp:docPr id="59" name="Frame59"/>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 RULES 13a-14(a) AND 15d-14(a)</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Adam Comora,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58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134"/>
        <w:gridCol w:w="134"/>
        <w:gridCol w:w="136"/>
        <w:gridCol w:w="109"/>
        <w:gridCol w:w="109"/>
        <w:gridCol w:w="109"/>
        <w:gridCol w:w="812"/>
        <w:gridCol w:w="812"/>
        <w:gridCol w:w="115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Adam Comora</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 RULES 13a-14(a) AND 15d-14(a)</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Jonathan Maurer,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58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134"/>
        <w:gridCol w:w="134"/>
        <w:gridCol w:w="136"/>
        <w:gridCol w:w="109"/>
        <w:gridCol w:w="109"/>
        <w:gridCol w:w="109"/>
        <w:gridCol w:w="810"/>
        <w:gridCol w:w="810"/>
        <w:gridCol w:w="115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Co-Chief Executive Officer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31.3</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 RULES 13a-14(a) AND 15d-14(a)</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 Kazi Hasan,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22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134"/>
        <w:gridCol w:w="134"/>
        <w:gridCol w:w="136"/>
        <w:gridCol w:w="109"/>
        <w:gridCol w:w="109"/>
        <w:gridCol w:w="109"/>
        <w:gridCol w:w="707"/>
        <w:gridCol w:w="707"/>
        <w:gridCol w:w="10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32.1</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erif" w:hAnsi="Times New Roman;serif"/>
          <w:b w:val="false"/>
          <w:color w:val="000000"/>
          <w:sz w:val="20"/>
          <w:shd w:fill="FFFFFF" w:val="clear"/>
        </w:rPr>
        <w:t>In connection with the Quarterly Report of OPAL Fuels Inc.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on Form 10-Q for the quarter ended September 30, 2025, as filed with the Securities and Exchange Commission on the date hereof (the “</w:t>
      </w:r>
      <w:r>
        <w:rPr>
          <w:rFonts w:ascii="Times New Roman;serif" w:hAnsi="Times New Roman;serif"/>
          <w:b w:val="false"/>
          <w:color w:val="000000"/>
          <w:sz w:val="20"/>
          <w:u w:val="single"/>
          <w:shd w:fill="FFFFFF" w:val="clear"/>
        </w:rPr>
        <w:t>Report</w:t>
      </w:r>
      <w:r>
        <w:rPr>
          <w:color w:val="000000"/>
          <w:shd w:fill="FFFFFF" w:val="clear"/>
        </w:rPr>
        <w:t>”</w:t>
      </w:r>
      <w:r>
        <w:rPr>
          <w:rFonts w:ascii="Times New Roman;serif" w:hAnsi="Times New Roman;serif"/>
          <w:b w:val="false"/>
          <w:color w:val="000000"/>
          <w:sz w:val="20"/>
          <w:shd w:fill="FFFFFF" w:val="clear"/>
        </w:rPr>
        <w:t>), I, Adam Comora,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598"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109"/>
        <w:gridCol w:w="109"/>
        <w:gridCol w:w="109"/>
        <w:gridCol w:w="109"/>
        <w:gridCol w:w="109"/>
        <w:gridCol w:w="109"/>
        <w:gridCol w:w="838"/>
        <w:gridCol w:w="838"/>
        <w:gridCol w:w="118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Adam Comora</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Name: Adam Comora</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37565"/>
                <wp:effectExtent l="0" t="0" r="0" b="0"/>
                <wp:wrapNone/>
                <wp:docPr id="66" name="Frame6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37565"/>
                <wp:effectExtent l="0" t="0" r="0" b="0"/>
                <wp:wrapNone/>
                <wp:docPr id="67" name="Frame67"/>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32.2</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erif" w:hAnsi="Times New Roman;serif"/>
          <w:b w:val="false"/>
          <w:color w:val="000000"/>
          <w:sz w:val="20"/>
          <w:shd w:fill="FFFFFF" w:val="clear"/>
        </w:rPr>
        <w:t>In connection with the Quarterly Report of OPAL Fuels Inc.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on Form 10-Q for the quarter ended September 30, 2025, as filed with the Securities and Exchange Commission on the date hereof (the “</w:t>
      </w:r>
      <w:r>
        <w:rPr>
          <w:rFonts w:ascii="Times New Roman;serif" w:hAnsi="Times New Roman;serif"/>
          <w:b w:val="false"/>
          <w:color w:val="000000"/>
          <w:sz w:val="20"/>
          <w:u w:val="single"/>
          <w:shd w:fill="FFFFFF" w:val="clear"/>
        </w:rPr>
        <w:t>Report</w:t>
      </w:r>
      <w:r>
        <w:rPr>
          <w:color w:val="000000"/>
          <w:shd w:fill="FFFFFF" w:val="clear"/>
        </w:rPr>
        <w:t>”</w:t>
      </w:r>
      <w:r>
        <w:rPr>
          <w:rFonts w:ascii="Times New Roman;serif" w:hAnsi="Times New Roman;serif"/>
          <w:b w:val="false"/>
          <w:color w:val="000000"/>
          <w:sz w:val="20"/>
          <w:shd w:fill="FFFFFF" w:val="clear"/>
        </w:rPr>
        <w:t>), I, Jonathan Maurer,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599"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109"/>
        <w:gridCol w:w="109"/>
        <w:gridCol w:w="109"/>
        <w:gridCol w:w="109"/>
        <w:gridCol w:w="109"/>
        <w:gridCol w:w="109"/>
        <w:gridCol w:w="836"/>
        <w:gridCol w:w="836"/>
        <w:gridCol w:w="119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Maurer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Name: Jonathan Maurer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Title: Co-Chief Executive Officer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(Co-Principal Executive Officer)</w:t>
            </w:r>
          </w:p>
        </w:tc>
      </w:tr>
    </w:tbl>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37565"/>
                <wp:effectExtent l="0" t="0" r="0" b="0"/>
                <wp:wrapNone/>
                <wp:docPr id="68" name="Frame68"/>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37565"/>
                <wp:effectExtent l="0" t="0" r="0" b="0"/>
                <wp:wrapNone/>
                <wp:docPr id="69" name="Frame69"/>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32.3</w:t>
      </w:r>
    </w:p>
    <w:p>
      <w:pPr>
        <w:pStyle w:val="TextBody"/>
        <w:bidi w:val="0"/>
        <w:spacing w:lineRule="auto" w:line="240"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18 U.S.C. SECTION 1350, AS ADOPTED PURSUANT TO</w:t>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erif" w:hAnsi="Times New Roman;serif"/>
          <w:b w:val="false"/>
          <w:color w:val="000000"/>
          <w:sz w:val="20"/>
          <w:shd w:fill="FFFFFF" w:val="clear"/>
        </w:rPr>
        <w:t>In connection with the Quarterly Report of OPAL Fuels Inc. (the “</w:t>
      </w:r>
      <w:r>
        <w:rPr>
          <w:rFonts w:ascii="Times New Roman;serif" w:hAnsi="Times New Roman;serif"/>
          <w:b w:val="false"/>
          <w:color w:val="000000"/>
          <w:sz w:val="20"/>
          <w:u w:val="single"/>
          <w:shd w:fill="FFFFFF" w:val="clear"/>
        </w:rPr>
        <w:t>Company</w:t>
      </w:r>
      <w:r>
        <w:rPr>
          <w:color w:val="000000"/>
          <w:shd w:fill="FFFFFF" w:val="clear"/>
        </w:rPr>
        <w:t>”</w:t>
      </w:r>
      <w:r>
        <w:rPr>
          <w:rFonts w:ascii="Times New Roman;serif" w:hAnsi="Times New Roman;serif"/>
          <w:b w:val="false"/>
          <w:color w:val="000000"/>
          <w:sz w:val="20"/>
          <w:shd w:fill="FFFFFF" w:val="clear"/>
        </w:rPr>
        <w:t>) on Form 10-Q for the quarter ended September 30, 2025, as filed with the Securities and Exchange Commission on the date hereof (the “</w:t>
      </w:r>
      <w:r>
        <w:rPr>
          <w:rFonts w:ascii="Times New Roman;serif" w:hAnsi="Times New Roman;serif"/>
          <w:b w:val="false"/>
          <w:color w:val="000000"/>
          <w:sz w:val="20"/>
          <w:u w:val="single"/>
          <w:shd w:fill="FFFFFF" w:val="clear"/>
        </w:rPr>
        <w:t>Report</w:t>
      </w:r>
      <w:r>
        <w:rPr>
          <w:color w:val="000000"/>
          <w:shd w:fill="FFFFFF" w:val="clear"/>
        </w:rPr>
        <w:t>”</w:t>
      </w:r>
      <w:r>
        <w:rPr>
          <w:rFonts w:ascii="Times New Roman;serif" w:hAnsi="Times New Roman;serif"/>
          <w:b w:val="false"/>
          <w:color w:val="000000"/>
          <w:sz w:val="20"/>
          <w:shd w:fill="FFFFFF" w:val="clear"/>
        </w:rPr>
        <w:t>), I, Kazi Hasan, Chief Financial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239"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109"/>
        <w:gridCol w:w="109"/>
        <w:gridCol w:w="109"/>
        <w:gridCol w:w="109"/>
        <w:gridCol w:w="109"/>
        <w:gridCol w:w="109"/>
        <w:gridCol w:w="733"/>
        <w:gridCol w:w="733"/>
        <w:gridCol w:w="103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7,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 Kazi Hasan</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Name: Kazi Hasan</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37565"/>
                <wp:effectExtent l="0" t="0" r="0" b="0"/>
                <wp:wrapNone/>
                <wp:docPr id="70" name="Frame70"/>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279/000121390022046338/ea164030ex3-1_opal.htm" TargetMode="External"/><Relationship Id="rId3" Type="http://schemas.openxmlformats.org/officeDocument/2006/relationships/hyperlink" Target="https://www.sec.gov/Archives/edgar/data/1842279/000121390022042020/ea163248ex3-2_opal.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26837</Words>
  <Characters>148712</Characters>
  <CharactersWithSpaces>174151</CharactersWithSpaces>
  <Paragraphs>4805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