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August 9, 2023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2023, OPAL Fuels Inc. (the ”Company”) issued a press release regarding its financial results for the three and six months ended June 30, 2023. A copy of the press release is furnished as Exhibit 99.1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supplement the Company’s unaudited condensed consolidated financial statements presented in accordance with accounting principles generally accepted in the United States of America (“GAAP”) in Exhibit 99.1, the Company uses a non-GAAP financial measures such as adjusted net loss (“Adjusted net loss”), basic and diluted adjusted net loss per share (“Basic and Diluted Adjusted net loss per share”) and adjusted EBITDA (“Adjusted EBITDA”). Adjusted net loss and Basic and Diluted Adjusted net loss per share adjust net income and basic and diluted earnings per share for gain on deconsolidation of variable interest entities, amortization of basis difference on our equity method investments. Adjusted EBITDA adjusts our net income for net loss attributable to non-redeemable non-controlling interests, transaction costs and one-time non-recurring charges, non-cash charges, gain on deconsolidation of VIEs, amortization of basis differences in equity method investments, major maintenance for Renewable Power, unrealized loss (gain) for derivative instruments, environmental credits associated with renewable biogas that has been produced and is in storage pending completion of certification of the relevant Environmental Attribute pathway(s) and Environmental Credits at quarter end market prices attributable to renewable biogas produced in the period but not yet sold or delivered. Management believes these non-GAAP measures provide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Reconciliations of the non-GAAP financial measures to its most directly comparable GAAP financial measures can be found in the exhibit.</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7000"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524"/>
        <w:gridCol w:w="1524"/>
        <w:gridCol w:w="2156"/>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q22023earningsrel.htm">
              <w:r>
                <w:rPr>
                  <w:rStyle w:val="InternetLink"/>
                  <w:rFonts w:ascii="Times New Roman;sans-serif" w:hAnsi="Times New Roman;sans-serif"/>
                  <w:b w:val="false"/>
                  <w:color w:val="0000FF"/>
                  <w:sz w:val="20"/>
                  <w:u w:val="single"/>
                </w:rPr>
                <w:t>Press release, issued by OPAL Fuels Inc., dated August 9, 2023</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9, 2023</w:t>
      </w:r>
    </w:p>
    <w:tbl>
      <w:tblPr>
        <w:tblW w:w="2867" w:type="dxa"/>
        <w:jc w:val="right"/>
        <w:tblInd w:w="0" w:type="dxa"/>
        <w:tblLayout w:type="fixed"/>
        <w:tblCellMar>
          <w:top w:w="28" w:type="dxa"/>
          <w:left w:w="28" w:type="dxa"/>
          <w:bottom w:w="28" w:type="dxa"/>
          <w:right w:w="28" w:type="dxa"/>
        </w:tblCellMar>
      </w:tblPr>
      <w:tblGrid>
        <w:gridCol w:w="312"/>
        <w:gridCol w:w="273"/>
        <w:gridCol w:w="273"/>
        <w:gridCol w:w="584"/>
        <w:gridCol w:w="584"/>
        <w:gridCol w:w="841"/>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6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52600" cy="4667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369" w:before="0" w:after="0"/>
        <w:jc w:val="left"/>
        <w:rPr>
          <w:rFonts w:ascii="Times New Roman;sans-serif" w:hAnsi="Times New Roman;sans-serif"/>
          <w:b/>
          <w:color w:val="000000"/>
          <w:sz w:val="22"/>
        </w:rPr>
      </w:pPr>
      <w:r>
        <w:rPr>
          <w:rFonts w:ascii="Times New Roman;sans-serif" w:hAnsi="Times New Roman;sans-serif"/>
          <w:b/>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Reports Second Quarter 2023 Results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WHITE PLAINS, N.Y. – (August 9, 2023) – </w:t>
      </w:r>
      <w:r>
        <w:rPr>
          <w:rFonts w:ascii="Times New Roman;sans-serif" w:hAnsi="Times New Roman;sans-serif"/>
          <w:b w:val="false"/>
          <w:color w:val="0000FF"/>
          <w:sz w:val="24"/>
          <w:u w:val="single"/>
        </w:rPr>
        <w:t xml:space="preserve">OPAL Fuels Inc. </w:t>
      </w:r>
      <w:r>
        <w:rPr>
          <w:rFonts w:ascii="Times New Roman;sans-serif" w:hAnsi="Times New Roman;sans-serif"/>
          <w:b w:val="false"/>
          <w:color w:val="000000"/>
          <w:sz w:val="24"/>
        </w:rPr>
        <w:t>(“OPAL Fuels” or the “Company”) (Nasdaq: OPAL), a leading vertically integrated producer and distributor of renewable natural gas (RNG) and renewable electricity, today announced financial and operating results for the three and six months ended June 30, 2023.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We continue to execute on our strategic and operational goals,” said Co-CEO Adam Comora. “In our RNG Fuel segment, production was in-line with our forecasted volumes. We continue to progress on our growth plans - completing construction, and now finalizing the commissioning of, our Emerald project, beginning construction of our newest RNG facility in Polk County, Florida and advancing our development pipeline.”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Comora continued, “Of note in the second quarter, the EPA released the final Set Rule of the Renewable Fuel Standard, strongly supporting cellulosic biofuels and validating our vertically integrated business model which delivers renewable natural gas as a transportation fuel. This support resulted in higher compliance targets of D3 RINs that must be purchased by obligated parties and extended the targets through 2025. These three-year targets give the industry a strong investment signal by providing market visibility of D3 RIN demand that should lead to less volatile pricing as well as the ability to sell production forward for multiple years.”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There is continued policy alignment for the development, production, and distribution of renewable natural gas that is produced by collecting and processing harmful methane gas and using it to displace fossil fuels. The EPA’s finalized Set Rule, last year’s Inflation Reduction Act and the potential for an eRIN pathway provide continued tailwinds for the industry and especially for OPAL Fuels,” said Co-CEO Jonathan Maurer.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Our second quarter results benefited from higher RIN prices and improved Adjusted EBITDA margins in our Fuel Station Services segment. As a result, we believe we are well positioned heading into the second half of 2023.” said Maurer.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Financial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Revenues for the three and six months ended June 30, 2023, were $55.0 million and $98.0 million, up 3% and down 4%, in the first half of the year compared to the same periods last year. As disclosed in previous reporting, revenue was affected by our decision to defer environmental credit sales until after the EPA’s Set Rule was finalized. We anticipate greater revenue recognition during the second half of the year based on improved RIN prices as we begin to monetize these deferred volumes of RINs.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Net income for the three and six months ended June 30, 2023, was $114.1 million and $106.7 million compared to net loss of $0.3 million and $4.8 million in the same period last year. Excluding the one-time gain on deconsolidation of Emerald and Sapphire, our Adjusted Net loss</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for the three and six months ended June 30, 2023 was $7.8 million and $15.1 million, respectively.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Basic net income per share attributable to Class A common shareholders for the three and six months ended June 30, 2023, was $0.66 and $0.60, respectively. Excluding the one-time gain on the deconsolidation of our Emerald and Sapphire projects, Adjusted basic and diluted net loss</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attributable to Class A common shareholders was $0.06 and $0.12 per share, respectively.</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Adjusted EBITDA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for the three and six months ended June 30, 2023, was $21.4 million and $30.1 million, up 92% and 97% compared to the same periods last year.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At June 30, 2023, we had 11.0 million RINs and 0.2 million LCFS credits unsold and pending certification valued at $34.4 million compared to 8.1 million RINs and 0.1 million LCFS credits valued at $17.7 million on March 31, 2023. The increase this quarter of $16.4 million is included in Adjusted EBITDA for the three months ended June 30, 2023.</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 xml:space="preserve">We expect our full year 2023 Adjusted EBITDA guidance to be within our prior $85.0 to $95.0 million range assuming current RIN pricing levels. We anticipate that production will be at or modestly below the low end of prior guidance given the delays at Emerald and Prince William.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Consistent with previous disclosures, to better align current period costs of RNG production with the value of unsold environmental credits and environmental attributes associated with RNG pending certification, we include in Adjusted EBITDA our RNG pending certification and unsold credit inventory for the current period marked at quarter-end index prices. </w:t>
      </w:r>
    </w:p>
    <w:p>
      <w:pPr>
        <w:pStyle w:val="TextBody"/>
        <w:bidi w:val="0"/>
        <w:spacing w:lineRule="auto" w:line="240" w:before="0" w:after="0"/>
        <w:jc w:val="both"/>
        <w:rPr/>
      </w:pPr>
      <w:r>
        <w:rPr>
          <w:rFonts w:ascii="Times New Roman;sans-serif" w:hAnsi="Times New Roman;sans-serif"/>
          <w:b w:val="false"/>
          <w:color w:val="FFFFFF"/>
          <w:sz w:val="16"/>
          <w:shd w:fill="FFFFFF" w:val="clear"/>
        </w:rPr>
        <w:t>1</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These are non-GAAP measures. A reconciliation of non-GAAP financial measures to comparable GAAP measures has been provided in the financial tables included in this press release. An explanation of these measures and how they are calculated are also included below under the heading “Non-GAAP Financial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Operational Highlights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RNG produced was 0.6 million and 1.2 million MMBtu, for the three and six months ended June 30, 2023, an increase of 20% and 34% compared to the prior-year periods.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RNG sold as transportation fuel was 11.0 million and 19.3 million GGEs, respectively, for the three and six months ended June 30, 2023, an increase of 53% and 45% compared to the prior-year periods.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Fuel Station Services segment sold, dispensed, and serviced an aggregate of 35.5 million and 67.9 million GGEs of transportation fuel for the three and six months ended June 30, 2023, an increase of 32% and 29% compared to the prior-year periods, respectively.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Construction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Polk County landfill RNG project, owned 100% by OPAL Fuels, started construction in June 2023 and we anticipate commercial operations beginning in the fourth quarter of 2024. This project represents approximately 1.1 million MMBtu of annual nameplate capacity.</w:t>
      </w:r>
      <w:r>
        <w:rPr>
          <w:rFonts w:ascii="Times New Roman;sans-serif" w:hAnsi="Times New Roman;sans-serif"/>
          <w:b w:val="false"/>
          <w:color w:val="000000"/>
          <w:sz w:val="13"/>
        </w:rPr>
        <w:t>2,</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The Emerald RNG project completed construction and will be added to our in-operation portfolio in the third quarter as commissioning is completed. This project represents approximately 1.3 million MMBtu of OPAL Fuels' 50% ownership share of annual nameplate capacity.</w:t>
      </w:r>
      <w:r>
        <w:rPr>
          <w:rFonts w:ascii="Times New Roman;sans-serif" w:hAnsi="Times New Roman;sans-serif"/>
          <w:b w:val="false"/>
          <w:color w:val="000000"/>
          <w:sz w:val="13"/>
        </w:rPr>
        <w:t>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The Prince William RNG project is expected to commence commercial operations in the first quarter of 2024. This project represents approximately 1.7 million MMBtu of annual nameplate capacity which is owned 100% by OPAL Fuels.</w:t>
      </w:r>
      <w:r>
        <w:rPr>
          <w:rFonts w:ascii="Times New Roman;sans-serif" w:hAnsi="Times New Roman;sans-serif"/>
          <w:b w:val="false"/>
          <w:color w:val="000000"/>
          <w:sz w:val="16"/>
        </w:rPr>
        <w:t>3</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Sapphire RNG project is expected to commence commercial operations in the first half of 2024. This project represents approximately 800,000 MMBtu for OPAL Fuels’ 50% ownership share of annual nameplate capacity.</w:t>
      </w:r>
      <w:r>
        <w:rPr>
          <w:rFonts w:ascii="Times New Roman;sans-serif" w:hAnsi="Times New Roman;sans-serif"/>
          <w:b w:val="false"/>
          <w:color w:val="000000"/>
          <w:sz w:val="16"/>
        </w:rPr>
        <w:t>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have moved our Northeast landfill RNG conversion project back to our Advanced Development Pipeline.</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4"/>
        </w:rPr>
        <w:t>It is being considered as a landfill gas to electric project. This project represents approximately 0.3 million MMBtu of annual nameplate capacity.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OPAL Fuels’ updated share of annual nameplate capacity for our six projects in construction is approximately 5.4 million MMBtu.</w: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____________________________</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Nameplate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Represents OPAL Fuels' proportional share with respect to RNG projects owned with joint venture partners.</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The Company's Advanced Development Pipeline ("ADP") comprises projects that have been qualified and are reasonably expected to be in construction within the next twelve to eighteen months. The MMBtu associated with these projects is presented as anticipated nameplate capacity. Anticipated nameplate capacity is the Company’s currently anticipated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Development Update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remain on track to place at least 2.0 million MMBtu of RNG projects (representing OPAL Fuels’ proportional ownership) into construction in 2023.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Advanced Development Pipeline comprises of 8.1 million MMBtu of feedstock biogas per year, adjusted for Polk moving to our In-Construction portfolio and our Northeast landfill project moving to our Advanced Development Pipeline.</w:t>
      </w:r>
    </w:p>
    <w:p>
      <w:pPr>
        <w:pStyle w:val="TextBody"/>
        <w:bidi w:val="0"/>
        <w:spacing w:lineRule="auto" w:line="268" w:before="0" w:after="0"/>
        <w:ind w:left="0" w:right="0" w:hanging="360"/>
        <w:jc w:val="both"/>
        <w:rPr>
          <w:rFonts w:ascii="Times New Roman;sans-serif" w:hAnsi="Times New Roman;sans-serif"/>
          <w:b w:val="false"/>
          <w:color w:val="FFFFFF"/>
          <w:sz w:val="24"/>
        </w:rPr>
      </w:pPr>
      <w:r>
        <w:rPr>
          <w:rFonts w:ascii="Times New Roman;sans-serif" w:hAnsi="Times New Roman;sans-serif"/>
          <w:b w:val="false"/>
          <w:color w:val="FFFFFF"/>
          <w:sz w:val="24"/>
        </w:rPr>
        <w:t>____________</w: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RIN and LCFS Inventory Summary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Environmental Attributes for this table include unsold credits and associated credits for gas produced pending certification. The unaudited table below shows the impact to Adjusted EBITDA net of royalties, dispensing fees, and other associated costs assuming the unsold credits and environmental attributes associated with gas produced pending certification had been sold during the respective periods. The ultimate value realized will depend on the price at the time of sale which may be lower or higher than the quarter end price.</w:t>
      </w:r>
    </w:p>
    <w:p>
      <w:pPr>
        <w:pStyle w:val="TextBody"/>
        <w:bidi w:val="0"/>
        <w:spacing w:before="0" w:after="0"/>
        <w:jc w:val="left"/>
        <w:rPr/>
      </w:pPr>
      <w:r>
        <w:rPr/>
      </w:r>
    </w:p>
    <w:p>
      <w:pPr>
        <w:pStyle w:val="TextBody"/>
        <w:bidi w:val="0"/>
        <w:spacing w:before="0" w:after="0"/>
        <w:jc w:val="both"/>
        <w:rPr/>
      </w:pPr>
      <w:r>
        <w:rPr/>
      </w:r>
    </w:p>
    <w:tbl>
      <w:tblPr>
        <w:tblW w:w="8141"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of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Attributes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LCFSs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LCFSs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 produced during the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sold during the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at the end of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Value (RINs and LCFSs)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before="0" w:after="0"/>
        <w:jc w:val="both"/>
        <w:rPr/>
      </w:pPr>
      <w:r>
        <w:rPr/>
      </w:r>
    </w:p>
    <w:tbl>
      <w:tblPr>
        <w:tblW w:w="9822" w:type="dxa"/>
        <w:jc w:val="left"/>
        <w:tblInd w:w="0" w:type="dxa"/>
        <w:tblLayout w:type="fixed"/>
        <w:tblCellMar>
          <w:top w:w="28" w:type="dxa"/>
          <w:left w:w="28" w:type="dxa"/>
          <w:bottom w:w="28" w:type="dxa"/>
          <w:right w:w="28" w:type="dxa"/>
        </w:tblCellMar>
      </w:tblPr>
      <w:tblGrid>
        <w:gridCol w:w="1443"/>
        <w:gridCol w:w="1263"/>
        <w:gridCol w:w="1269"/>
        <w:gridCol w:w="109"/>
        <w:gridCol w:w="109"/>
        <w:gridCol w:w="109"/>
        <w:gridCol w:w="212"/>
        <w:gridCol w:w="833"/>
        <w:gridCol w:w="109"/>
        <w:gridCol w:w="109"/>
        <w:gridCol w:w="109"/>
        <w:gridCol w:w="109"/>
        <w:gridCol w:w="212"/>
        <w:gridCol w:w="727"/>
        <w:gridCol w:w="109"/>
        <w:gridCol w:w="109"/>
        <w:gridCol w:w="109"/>
        <w:gridCol w:w="109"/>
        <w:gridCol w:w="211"/>
        <w:gridCol w:w="826"/>
        <w:gridCol w:w="109"/>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thousands of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Revenues for the three and six months ended June 30, 2023, were $55.0 million and $98.0 million, respectively, up 3% compared to the prior year quarter and down 4% compared to the six months ended June 30, 2022. Revenues were impacted by the Company’s decision to defer RIN sales at lower market prices prior to the release of EPA's Set Rule and updated RVO.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Net income for the three and six months ended June 30, 2023, was $114.1 million and $106.7 million compared to net loss of $0.3 million and $4.8 million in the prior-year periods. Net income for the second quarter of 2023 was impacted by the one-time gain of $122.9 million recorded on the deconsolidation of the Emerald and Sapphire RNG projects.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Adjusted EBITDA for the three and six months ended June 30, 2023, was $21.4 million and $30.1 million compared to $11.2 million and $15.3 million in the prior-year periods. The primary driver for the increase in Adjusted EBITDA is the improved performance in RNG Fuels and Fuel Station Services segments, which was offset by lower Renewable Power segment performance and higher general and administrative costs in the Corporate segment.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RNG Pending Certification and Unsold Environmental Credits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 June 30, 2023, the Company had unsold environmental credits and had produced RNG that was pending certification which, together represent approximately 11.0 million RINs and 0.2 million LCFS credits. Using quarter end prices of $2.80/gallon for D3 RINs and $76.00 for LCFS, the combined value of these Environmental Attributes is approximately $34 million.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Under generally accepted accounting principles (“GAAP”), the timing of revenue recognition for stand-alone RIN and LCFS sales contracts is tied to the delivery of the RIN and LCFS credits to our counterparties and not the production of the RIN and LCFS. To better align timing of revenues to when costs are recognized for the production of RNG in a current period, we also illustrate the value of that RNG and environmental credits held in inventory and pending certification as an adjustment to EBITDA in that period. For the second quarter of 2023, based on market prices as of June 30, 2023</w:t>
      </w:r>
      <w:r>
        <w:rPr>
          <w:rFonts w:ascii="Times New Roman;sans-serif" w:hAnsi="Times New Roman;sans-serif"/>
          <w:b w:val="false"/>
          <w:color w:val="000000"/>
          <w:sz w:val="16"/>
        </w:rPr>
        <w:t>5</w:t>
      </w:r>
      <w:r>
        <w:rPr>
          <w:rFonts w:ascii="Times New Roman;sans-serif" w:hAnsi="Times New Roman;sans-serif"/>
          <w:b w:val="false"/>
          <w:color w:val="000000"/>
          <w:sz w:val="24"/>
        </w:rPr>
        <w:t xml:space="preserve">, Adjusted EBITDA includes an aggregate of $16.4 million that is anticipated to be generated from sales of RNG pending certification and unsold environmental credits.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Segment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RNG Fuel</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Revenue from RNG Fuel was $16.4 million, for the three months ended June 30, 2023, flat compared to the three months ended June 30, 2022.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Revenue from RNG Fuel was $28.6 million, a decrease of $2.9 million, or 9%, for the six months ended June 30, 2023, compared to the six months ended June 30, 2022. The decrease is primarily due to lower sales volume as the Company elected to defer sales of credits in the period along with lower pricing attained for environmental credits actually sold. Additionally, there was a decrease in brown gas revenues due to lower market pricing.</w:t>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Fuel Station Services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Revenue from Fuel Station Services was $30.0 million an increase of $3.2 million, or 12%, for the second quarter of 2023 compared to the three months ended June 30, 2022. This is primarily due to increase in construction revenues, RINs, LCFS and brown gas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Revenue from Fuel Station Services was $50.8 million, a decrease of $0.8 million, or 2%, for the six months ended June 30, 2023, compared to the six months ended June 30, 2022. This decrease was primarily attributable to the timing of work completed on fuel station construction projects and the effect of OPAL Fuels’ decision to hold back environmental credit sales. At June 30, 2023, the Company had a backlog of third-party construction contracts with related revenue of $43.1 million, which is anticipated to be recognized over the next 12 months as construction is completed.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6"/>
        </w:rPr>
        <w:t>5</w:t>
      </w:r>
      <w:r>
        <w:rPr>
          <w:color w:val="000000"/>
        </w:rPr>
        <w:t xml:space="preserve"> </w:t>
      </w:r>
      <w:r>
        <w:rPr>
          <w:rFonts w:ascii="Times New Roman;sans-serif" w:hAnsi="Times New Roman;sans-serif"/>
          <w:b w:val="false"/>
          <w:color w:val="000000"/>
          <w:sz w:val="20"/>
        </w:rPr>
        <w:t>Using quarter end pricing of $2.80/gallon for D3 RINs and $76.0 per LCFS credits.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Renewable Power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Revenue from Renewable Power was $8.7 million, $1.4 million lower for the three months ended June 30, 2023, compared to the second quarter 2022. This was primarily due to the end of life shutdown of one of our Renewable Power facilities in September 2022.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Revenue from Renewable Power was $18.6 million, $0.6 million lower for the six months ended June 30, 2023, compared to the prior year period. This was primarily due to the end of life shutdown of one of our Renewable Power facilities in September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Liquidity</w:t>
      </w:r>
    </w:p>
    <w:p>
      <w:pPr>
        <w:pStyle w:val="TextBody"/>
        <w:bidi w:val="0"/>
        <w:spacing w:before="0" w:after="0"/>
        <w:jc w:val="left"/>
        <w:rPr/>
      </w:pPr>
      <w:r>
        <w:rPr/>
      </w:r>
    </w:p>
    <w:p>
      <w:pPr>
        <w:pStyle w:val="TextBody"/>
        <w:bidi w:val="0"/>
        <w:spacing w:lineRule="auto" w:line="280" w:before="0" w:after="0"/>
        <w:jc w:val="both"/>
        <w:rPr/>
      </w:pPr>
      <w:r>
        <w:rPr>
          <w:rFonts w:ascii="Times New Roman;sans-serif" w:hAnsi="Times New Roman;sans-serif"/>
          <w:b w:val="false"/>
          <w:color w:val="000000"/>
          <w:sz w:val="24"/>
        </w:rPr>
        <w:t>As of June 30, 2023, liquidity was $44.1 million, consisting of Cash and cash equivalents of $27.1 million including Restricted cash of $5.5 million and $17.0 million in short-term investments maturing within 90 days. This compares to $181 million at March 31, 2023, consisting of $39.8 million of Cash and cash equivalents, including restricted cash of $6.6 million, $37 million in short-term investments, and availability of $105 million under a senior secured term loan facility. The primary driver of this reduction is attributed to the assignment of the term loan facility to Paragon as part of the deconsolidation</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4"/>
        </w:rPr>
        <w:t xml:space="preserve">of the Emerald and Sapphire projects. This also reflects a reduction of $11.9 million of cash that is now excluded from consolidated Cash and cash equivalents as a result of the deconsolidation. </w:t>
      </w:r>
    </w:p>
    <w:p>
      <w:pPr>
        <w:pStyle w:val="TextBody"/>
        <w:bidi w:val="0"/>
        <w:spacing w:before="0" w:after="0"/>
        <w:jc w:val="left"/>
        <w:rPr/>
      </w:pPr>
      <w:r>
        <w:rPr/>
      </w:r>
    </w:p>
    <w:p>
      <w:pPr>
        <w:pStyle w:val="TextBody"/>
        <w:bidi w:val="0"/>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Note, both the cash that was deconsolidated and the available funds under the facility remain available for these projects. Paragon was assigned the existing senior credit facility related to these projects with a two-year delayed term and maximum principal amount of $85.0 million and a debt reserve facility up to $10.0 million. There was no debt outstanding at the date of the assignment. </w:t>
      </w:r>
    </w:p>
    <w:p>
      <w:pPr>
        <w:pStyle w:val="TextBody"/>
        <w:bidi w:val="0"/>
        <w:spacing w:before="0" w:after="0"/>
        <w:jc w:val="left"/>
        <w:rPr/>
      </w:pPr>
      <w:r>
        <w:rPr/>
      </w:r>
    </w:p>
    <w:p>
      <w:pPr>
        <w:pStyle w:val="TextBody"/>
        <w:bidi w:val="0"/>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believe that our liquidity, anticipated cash flows from operations, including the value of our unsold environmental credits, the value of environmental attributes associated with RNG pending certification, and our access to expected sources of capital will be sufficient to meet our existing funding needs. We continue to pursue additional funding for our Advanced Development Pipeline and streamlining our capital structure to include financing higher up in the capital structure and less financing on an individual project basis.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w:t>
      </w:r>
    </w:p>
    <w:p>
      <w:pPr>
        <w:pStyle w:val="TextBody"/>
        <w:bidi w:val="0"/>
        <w:spacing w:lineRule="auto" w:line="268" w:before="0" w:after="0"/>
        <w:jc w:val="both"/>
        <w:rPr/>
      </w:pP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 xml:space="preserve">In June, we disclosed the formation of Paragon RNG LLC, a company owned 50/50 between OPAL Fuels and GFL Environmental, which resulted in the deconsolidation of our Emerald and Sapphire RNG projects.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Capital Expenditures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six months ended June 30, 2023, OPAL Fuels invested $72.0 million across RNG projects in construction and OPAL Fuels owned fueling stations in construction as compared to $54.5 million as of the comparable period in 2022.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Earnings Call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webcast to review OPAL Fuels’ Second Quarter 2023 results is being held tomorrow, August 10, 2023 at 11:00AM Eastern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Materials to be discussed in the webcast will be available before the call on the Company's website.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Participants may access the call at </w:t>
      </w:r>
      <w:r>
        <w:rPr>
          <w:rFonts w:ascii="Times New Roman;sans-serif" w:hAnsi="Times New Roman;sans-serif"/>
          <w:b w:val="false"/>
          <w:color w:val="0E32E1"/>
          <w:sz w:val="24"/>
        </w:rPr>
        <w:t>https://edge.media-server.com/mmc/p/n7t8g8zs</w:t>
      </w:r>
      <w:r>
        <w:rPr>
          <w:rFonts w:ascii="Times New Roman;sans-serif" w:hAnsi="Times New Roman;sans-serif"/>
          <w:b w:val="false"/>
          <w:color w:val="000000"/>
          <w:sz w:val="24"/>
        </w:rPr>
        <w:t xml:space="preserve">. Investors can also listen to a webcast of the presentation on the company’s Investor Relations website at </w:t>
      </w:r>
      <w:r>
        <w:rPr>
          <w:rFonts w:ascii="Times New Roman;sans-serif" w:hAnsi="Times New Roman;sans-serif"/>
          <w:b w:val="false"/>
          <w:color w:val="0E32E1"/>
          <w:sz w:val="24"/>
        </w:rPr>
        <w:t>https://investors.opalfuels.com/news-events/events-presentations.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Glossary of terms</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Environmental Attributes” </w:t>
      </w:r>
      <w:r>
        <w:rPr>
          <w:rFonts w:ascii="Times New Roman;sans-serif" w:hAnsi="Times New Roman;sans-serif"/>
          <w:b w:val="false"/>
          <w:color w:val="000000"/>
          <w:sz w:val="24"/>
        </w:rPr>
        <w:t>refer to federal, state, and local government incentives in the United States, provided in the form of 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GGE” </w:t>
      </w:r>
      <w:r>
        <w:rPr>
          <w:rFonts w:ascii="Times New Roman;sans-serif" w:hAnsi="Times New Roman;sans-serif"/>
          <w:b w:val="false"/>
          <w:color w:val="000000"/>
          <w:sz w:val="24"/>
        </w:rPr>
        <w:t xml:space="preserve">refers to Gasoline gallon equivalent. The conversion ratio is 1MMBtu of natural gas equal to 7.74 GGE.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LFG” </w:t>
      </w:r>
      <w:r>
        <w:rPr>
          <w:rFonts w:ascii="Times New Roman;sans-serif" w:hAnsi="Times New Roman;sans-serif"/>
          <w:b w:val="false"/>
          <w:color w:val="000000"/>
          <w:sz w:val="24"/>
        </w:rPr>
        <w:t>refers to landfill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MMBtu” </w:t>
      </w:r>
      <w:r>
        <w:rPr>
          <w:rFonts w:ascii="Times New Roman;sans-serif" w:hAnsi="Times New Roman;sans-serif"/>
          <w:b w:val="false"/>
          <w:color w:val="000000"/>
          <w:sz w:val="24"/>
        </w:rPr>
        <w:t xml:space="preserve">refers to British thermal units.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Renewable Power” </w:t>
      </w:r>
      <w:r>
        <w:rPr>
          <w:rFonts w:ascii="Times New Roman;sans-serif" w:hAnsi="Times New Roman;sans-serif"/>
          <w:b w:val="false"/>
          <w:color w:val="000000"/>
          <w:sz w:val="24"/>
        </w:rPr>
        <w:t>refers to electricity generated from renewable sources.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RNG” </w:t>
      </w:r>
      <w:r>
        <w:rPr>
          <w:rFonts w:ascii="Times New Roman;sans-serif" w:hAnsi="Times New Roman;sans-serif"/>
          <w:b w:val="false"/>
          <w:color w:val="000000"/>
          <w:sz w:val="24"/>
        </w:rPr>
        <w:t>refers to renewable natural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D3” </w:t>
      </w:r>
      <w:r>
        <w:rPr>
          <w:rFonts w:ascii="Times New Roman;sans-serif" w:hAnsi="Times New Roman;sans-serif"/>
          <w:b w:val="false"/>
          <w:color w:val="000000"/>
          <w:sz w:val="24"/>
        </w:rPr>
        <w:t>refers to cellulosic biofuel with a 60% GHG reduction requirement.</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RIN” </w:t>
      </w:r>
      <w:r>
        <w:rPr>
          <w:rFonts w:ascii="Times New Roman;sans-serif" w:hAnsi="Times New Roman;sans-serif"/>
          <w:b w:val="false"/>
          <w:color w:val="000000"/>
          <w:sz w:val="24"/>
        </w:rPr>
        <w:t>refers to Renewal Identification Numbers.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EPA” </w:t>
      </w:r>
      <w:r>
        <w:rPr>
          <w:rFonts w:ascii="Times New Roman;sans-serif" w:hAnsi="Times New Roman;sans-serif"/>
          <w:b w:val="false"/>
          <w:color w:val="000000"/>
          <w:sz w:val="24"/>
        </w:rPr>
        <w:t>refers to Environmental Protection Agency.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bidi w:val="0"/>
        <w:spacing w:lineRule="auto" w:line="288" w:before="0" w:after="0"/>
        <w:jc w:val="both"/>
        <w:rPr/>
      </w:pPr>
      <w:r>
        <w:rPr>
          <w:rFonts w:ascii="Times New Roman;sans-serif" w:hAnsi="Times New Roman;sans-serif"/>
          <w:b w:val="false"/>
          <w:color w:val="0563C1"/>
          <w:sz w:val="24"/>
        </w:rPr>
        <w:t>OPAL Fuels</w:t>
      </w:r>
      <w:r>
        <w:rPr>
          <w:color w:val="000000"/>
        </w:rPr>
        <w:t xml:space="preserve"> </w:t>
      </w:r>
      <w:r>
        <w:rPr>
          <w:rFonts w:ascii="Times New Roman;sans-serif" w:hAnsi="Times New Roman;sans-serif"/>
          <w:b w:val="false"/>
          <w:color w:val="0563C1"/>
          <w:sz w:val="24"/>
        </w:rPr>
        <w:t>Inc. (Nasdaq: OPAL)</w:t>
      </w:r>
      <w:r>
        <w:rPr>
          <w:color w:val="000000"/>
        </w:rPr>
        <w:t xml:space="preserve"> </w:t>
      </w:r>
      <w:r>
        <w:rPr>
          <w:rFonts w:ascii="Times New Roman;sans-serif" w:hAnsi="Times New Roman;sans-serif"/>
          <w:b w:val="false"/>
          <w:color w:val="000000"/>
          <w:sz w:val="24"/>
        </w:rPr>
        <w:t xml:space="preserve">is a leading vertically integrated producer and distributor of </w:t>
      </w:r>
      <w:r>
        <w:rPr>
          <w:rFonts w:ascii="Times New Roman;sans-serif" w:hAnsi="Times New Roman;sans-serif"/>
          <w:b w:val="false"/>
          <w:color w:val="212121"/>
          <w:sz w:val="24"/>
        </w:rPr>
        <w:t xml:space="preserve">renewable electricity and renewable natural gas (RNG), a proven low-carbon energy source that is rapidly decarbonizing multiple sectors including the transportation and utility industries. OPAL Fuels delivers complete renewable solutions to customers and production partners. With a portfolio of 24 operating renewable fuel and renewable power projects, OPAL Fuels is positioned to advance the clean energy transition in support of renewable fuel for transportation, for utilities, for powering EV charging infrastructure, and by offering hydrogen fuel solutions. To learn more about OPAL Fuels and how it is leading the effort to capture North America’s harmful methane emissions and decarbonize the economy, please visit </w:t>
      </w:r>
      <w:r>
        <w:rPr>
          <w:rFonts w:ascii="Times New Roman;sans-serif" w:hAnsi="Times New Roman;sans-serif"/>
          <w:b w:val="false"/>
          <w:color w:val="0078D4"/>
          <w:sz w:val="24"/>
        </w:rPr>
        <w:t>www.opalfuels.com.</w:t>
      </w:r>
    </w:p>
    <w:p>
      <w:pPr>
        <w:pStyle w:val="TextBody"/>
        <w:bidi w:val="0"/>
        <w:spacing w:before="0" w:after="0"/>
        <w:jc w:val="both"/>
        <w:rPr/>
      </w:pPr>
      <w:r>
        <w:rPr/>
      </w:r>
    </w:p>
    <w:p>
      <w:pPr>
        <w:pStyle w:val="TextBody"/>
        <w:bidi w:val="0"/>
        <w:spacing w:lineRule="auto" w:line="240"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29, 2023,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Disclaimer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&amp; Corporate Development</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bidi w:val="0"/>
        <w:spacing w:lineRule="auto" w:line="369"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investors@opalfuels.com</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Media </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Jason Stewart </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Senior Director Public Relations &amp; Marketing</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914-421-5336 </w:t>
      </w:r>
    </w:p>
    <w:p>
      <w:pPr>
        <w:pStyle w:val="TextBody"/>
        <w:bidi w:val="0"/>
        <w:spacing w:lineRule="auto" w:line="312" w:before="0" w:after="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jstewart@opalfuels.com</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ICR, Inc. </w:t>
      </w:r>
    </w:p>
    <w:p>
      <w:pPr>
        <w:pStyle w:val="TextBody"/>
        <w:bidi w:val="0"/>
        <w:spacing w:lineRule="auto" w:line="312" w:before="0" w:after="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OPALFuelsPR@icrinc.com</w:t>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18"/>
        <w:gridCol w:w="2433"/>
        <w:gridCol w:w="2431"/>
        <w:gridCol w:w="196"/>
        <w:gridCol w:w="736"/>
        <w:gridCol w:w="109"/>
        <w:gridCol w:w="109"/>
        <w:gridCol w:w="109"/>
        <w:gridCol w:w="109"/>
        <w:gridCol w:w="208"/>
        <w:gridCol w:w="781"/>
        <w:gridCol w:w="166"/>
      </w:tblGrid>
      <w:tr>
        <w:trPr/>
        <w:tc>
          <w:tcPr>
            <w:tcW w:w="281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$906 and $12,506 at June 30, 2023 and December 31, 2022, respectively, related to consolidated VIEs)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$846 and $966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$228 and $6,971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 (includes $29 and $0 at June 30,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$186 and $415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$27,043 and $73,140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$2,790 and $2,923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$384 and $4,896 at June 30,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$1,108 and $433 at June 30, 2023 and December 31, 2022, respectively, related to consolidated VIEs)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35"/>
        <w:gridCol w:w="2403"/>
        <w:gridCol w:w="2412"/>
        <w:gridCol w:w="196"/>
        <w:gridCol w:w="736"/>
        <w:gridCol w:w="109"/>
        <w:gridCol w:w="109"/>
        <w:gridCol w:w="109"/>
        <w:gridCol w:w="109"/>
        <w:gridCol w:w="196"/>
        <w:gridCol w:w="736"/>
        <w:gridCol w:w="155"/>
      </w:tblGrid>
      <w:tr>
        <w:trPr/>
        <w:tc>
          <w:tcPr>
            <w:tcW w:w="2935"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$0 and $7,821 at June 30,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$272 and $646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$1,169 and $380 at June 30,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$20,948 and $21,712 at June 30,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June 30, 2023; 29,330,115 and 29,477,766 shares, issued and outstanding at June 30,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June 30, 2023; None issued and outstanding as of June 30,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June 30, 2023; None issued and outstanding as of June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June 30, 2023; 144,399,037 and 144,399,037 shares issued and outstanding at June 30,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0 shares at June 30,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 except per unit data)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920"/>
        <w:gridCol w:w="1424"/>
        <w:gridCol w:w="1434"/>
        <w:gridCol w:w="109"/>
        <w:gridCol w:w="109"/>
        <w:gridCol w:w="109"/>
        <w:gridCol w:w="223"/>
        <w:gridCol w:w="738"/>
        <w:gridCol w:w="111"/>
        <w:gridCol w:w="111"/>
        <w:gridCol w:w="111"/>
        <w:gridCol w:w="111"/>
        <w:gridCol w:w="200"/>
        <w:gridCol w:w="660"/>
        <w:gridCol w:w="111"/>
        <w:gridCol w:w="109"/>
        <w:gridCol w:w="109"/>
        <w:gridCol w:w="109"/>
        <w:gridCol w:w="223"/>
        <w:gridCol w:w="738"/>
        <w:gridCol w:w="109"/>
        <w:gridCol w:w="109"/>
        <w:gridCol w:w="109"/>
        <w:gridCol w:w="109"/>
        <w:gridCol w:w="196"/>
        <w:gridCol w:w="646"/>
        <w:gridCol w:w="158"/>
      </w:tblGrid>
      <w:tr>
        <w:trPr/>
        <w:tc>
          <w:tcPr>
            <w:tcW w:w="19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77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$9,412 and $12,765 for the three months ended June 30, 2023 and 2022, respectively; $14,127 and $20,845 for the six months ended June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$2,440 and $4,027 for the three months ended June 30, 2023 and 2022, respectively; $3,933 and $8,843 for the six months ended June 30,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$1,747 and $1,243 for the three months ended June 30, 2023 and 2022, respectively; $3,274 and $2,269, for the six months ended June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(Loss) 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26,977,682 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27,248,639 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8466" w:type="dxa"/>
        <w:jc w:val="center"/>
        <w:tblInd w:w="0" w:type="dxa"/>
        <w:tblLayout w:type="fixed"/>
        <w:tblCellMar>
          <w:top w:w="28" w:type="dxa"/>
          <w:left w:w="28" w:type="dxa"/>
          <w:bottom w:w="28" w:type="dxa"/>
          <w:right w:w="28" w:type="dxa"/>
        </w:tblCellMar>
      </w:tblPr>
      <w:tblGrid>
        <w:gridCol w:w="2031"/>
        <w:gridCol w:w="1788"/>
        <w:gridCol w:w="1791"/>
        <w:gridCol w:w="109"/>
        <w:gridCol w:w="109"/>
        <w:gridCol w:w="109"/>
        <w:gridCol w:w="211"/>
        <w:gridCol w:w="796"/>
        <w:gridCol w:w="109"/>
        <w:gridCol w:w="109"/>
        <w:gridCol w:w="109"/>
        <w:gridCol w:w="109"/>
        <w:gridCol w:w="211"/>
        <w:gridCol w:w="721"/>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Non-GAAP Financial Measures (Unaudited)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Adjusted net loss and Basic and Diluted adjusted net income (loss) per share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Adjusted net income and Basic and diluted adjusted net loss per share, respectively, represent Net income as adjusted to exclude one-time non-cash gain on deconsolidation of variable interest entities ("VIEs") and amortization of basis differences in equity method investments. The Company believes that the gain on deconsolidation of VIEs is not representative of our normal business operations and we believe that Adjusted net income and Adjusted net loss per share are more useful to the analysts and investors in comparing the results of operations and operational trends between periods. Our Adjusted net income (loss) and Adjusted net income (loss) per share should not be considered alternative to net income (loss), operating income (loss), cash flows provided (used in) operating activities or any other measure of financial performance or liquidity presented in accordance with U.S. GAAP. Our Adjusted net income (loss) and Adjusted net income (loss) per share may not be comparable to similarly titled measures of other companies.</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table presents the reconciliation of our Net income to Adjusted net income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74"/>
        <w:gridCol w:w="1386"/>
        <w:gridCol w:w="1371"/>
        <w:gridCol w:w="109"/>
        <w:gridCol w:w="109"/>
        <w:gridCol w:w="109"/>
        <w:gridCol w:w="237"/>
        <w:gridCol w:w="911"/>
        <w:gridCol w:w="119"/>
        <w:gridCol w:w="119"/>
        <w:gridCol w:w="119"/>
        <w:gridCol w:w="119"/>
        <w:gridCol w:w="231"/>
        <w:gridCol w:w="581"/>
        <w:gridCol w:w="119"/>
        <w:gridCol w:w="109"/>
        <w:gridCol w:w="109"/>
        <w:gridCol w:w="109"/>
        <w:gridCol w:w="219"/>
        <w:gridCol w:w="862"/>
        <w:gridCol w:w="109"/>
        <w:gridCol w:w="109"/>
        <w:gridCol w:w="109"/>
        <w:gridCol w:w="109"/>
        <w:gridCol w:w="211"/>
        <w:gridCol w:w="678"/>
        <w:gridCol w:w="159"/>
      </w:tblGrid>
      <w:tr>
        <w:trPr/>
        <w:tc>
          <w:tcPr>
            <w:tcW w:w="16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basis difference in equity method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26,977,682 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Adjusted EBITDA</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supplement the Company’s unaudited condensed consolidated financial statements presented in accordance with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gain on deconsolidation of VIEs, amortization of basis differences in equity method investments, major maintenance for Renewable Power, unrealized loss (gain) for derivative instruments, environmental credits associated with renewable biogas that has been produced and is in storage pending completion of certification of the relevant Environmental Attribute pathway(s) and Environmental Credits at quarter end market prices attributable to renewable biogas produced in the period but not yet sold or delivered.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tables presents the reconciliation of our Net income (loss) to Adjusted EBITDA:</w:t>
      </w:r>
    </w:p>
    <w:p>
      <w:pPr>
        <w:pStyle w:val="TextBody"/>
        <w:bidi w:val="0"/>
        <w:spacing w:before="0" w:after="0"/>
        <w:jc w:val="left"/>
        <w:rPr/>
      </w:pPr>
      <w:r>
        <w:rPr/>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GAAP Net income to Adjusted EBITDA </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2023 and 2022</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before="0" w:after="0"/>
        <w:jc w:val="center"/>
        <w:rPr/>
      </w:pPr>
      <w:r>
        <w:rPr/>
      </w:r>
    </w:p>
    <w:p>
      <w:pPr>
        <w:pStyle w:val="TextBody"/>
        <w:bidi w:val="0"/>
        <w:spacing w:before="0" w:after="0"/>
        <w:jc w:val="center"/>
        <w:rPr/>
      </w:pPr>
      <w:r>
        <w:rPr/>
      </w:r>
    </w:p>
    <w:tbl>
      <w:tblPr>
        <w:tblW w:w="15206" w:type="dxa"/>
        <w:jc w:val="center"/>
        <w:tblInd w:w="0" w:type="dxa"/>
        <w:tblLayout w:type="fixed"/>
        <w:tblCellMar>
          <w:top w:w="28" w:type="dxa"/>
          <w:left w:w="28" w:type="dxa"/>
          <w:bottom w:w="28" w:type="dxa"/>
          <w:right w:w="28" w:type="dxa"/>
        </w:tblCellMar>
      </w:tblPr>
      <w:tblGrid>
        <w:gridCol w:w="930"/>
        <w:gridCol w:w="280"/>
        <w:gridCol w:w="231"/>
        <w:gridCol w:w="109"/>
        <w:gridCol w:w="109"/>
        <w:gridCol w:w="109"/>
        <w:gridCol w:w="211"/>
        <w:gridCol w:w="721"/>
        <w:gridCol w:w="109"/>
        <w:gridCol w:w="109"/>
        <w:gridCol w:w="109"/>
        <w:gridCol w:w="109"/>
        <w:gridCol w:w="211"/>
        <w:gridCol w:w="616"/>
        <w:gridCol w:w="109"/>
        <w:gridCol w:w="109"/>
        <w:gridCol w:w="109"/>
        <w:gridCol w:w="109"/>
        <w:gridCol w:w="213"/>
        <w:gridCol w:w="622"/>
        <w:gridCol w:w="11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1"/>
        <w:gridCol w:w="736"/>
        <w:gridCol w:w="109"/>
        <w:gridCol w:w="109"/>
        <w:gridCol w:w="109"/>
        <w:gridCol w:w="109"/>
        <w:gridCol w:w="211"/>
        <w:gridCol w:w="82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on debt extinguishment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Pending Certification and Unsold Environmental Credits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4801" w:type="dxa"/>
        <w:jc w:val="center"/>
        <w:tblInd w:w="0" w:type="dxa"/>
        <w:tblLayout w:type="fixed"/>
        <w:tblCellMar>
          <w:top w:w="28" w:type="dxa"/>
          <w:left w:w="28" w:type="dxa"/>
          <w:bottom w:w="28" w:type="dxa"/>
          <w:right w:w="28" w:type="dxa"/>
        </w:tblCellMar>
      </w:tblPr>
      <w:tblGrid>
        <w:gridCol w:w="915"/>
        <w:gridCol w:w="280"/>
        <w:gridCol w:w="231"/>
        <w:gridCol w:w="109"/>
        <w:gridCol w:w="109"/>
        <w:gridCol w:w="109"/>
        <w:gridCol w:w="211"/>
        <w:gridCol w:w="721"/>
        <w:gridCol w:w="109"/>
        <w:gridCol w:w="109"/>
        <w:gridCol w:w="109"/>
        <w:gridCol w:w="109"/>
        <w:gridCol w:w="211"/>
        <w:gridCol w:w="631"/>
        <w:gridCol w:w="109"/>
        <w:gridCol w:w="109"/>
        <w:gridCol w:w="109"/>
        <w:gridCol w:w="109"/>
        <w:gridCol w:w="213"/>
        <w:gridCol w:w="622"/>
        <w:gridCol w:w="111"/>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31"/>
        <w:gridCol w:w="109"/>
        <w:gridCol w:w="109"/>
        <w:gridCol w:w="109"/>
        <w:gridCol w:w="109"/>
        <w:gridCol w:w="211"/>
        <w:gridCol w:w="736"/>
        <w:gridCol w:w="109"/>
        <w:gridCol w:w="109"/>
        <w:gridCol w:w="109"/>
        <w:gridCol w:w="109"/>
        <w:gridCol w:w="211"/>
        <w:gridCol w:w="72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income (loss) by segment is included in our quarterly report on Form 10 Q. Net loss for RNG Fuel includes our portion of net loss on our equity method investments.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Loss on debt extinguishment relates to assignment of our senior secured credit facility to Paragon. There was no debt outstanding on the date of assignment.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Includes depreciation, amortization and accretion on equity method investments.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Unrealized loss on derivative instruments includes change in fair value of interest rate swaps, commodity swaps, earnout liabilities and put option on a forward purchase agreement.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6"/>
        </w:rPr>
        <w:t xml:space="preserve">(5) </w:t>
      </w:r>
      <w:r>
        <w:rPr>
          <w:rFonts w:ascii="Times New Roman;sans-serif" w:hAnsi="Times New Roman;sans-serif"/>
          <w:b w:val="false"/>
          <w:color w:val="000000"/>
          <w:sz w:val="20"/>
        </w:rPr>
        <w:t xml:space="preserve">Non-cash charges include stock-based compensation expense, certain expenses included in selling, general and administrative expenses relating to employee benefit accruals, inventory write down charges included in cost of sales - RNG fuel and loss on disposal of assets.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6"/>
        </w:rPr>
        <w:t xml:space="preserve">(6) </w:t>
      </w:r>
      <w:r>
        <w:rPr>
          <w:rFonts w:ascii="Times New Roman;sans-serif" w:hAnsi="Times New Roman;sans-serif"/>
          <w:b w:val="false"/>
          <w:color w:val="000000"/>
          <w:sz w:val="20"/>
        </w:rPr>
        <w:t>One-time non-recurring charges include certain expenses related to development expenses on our RNG facilities such as lease expenses and virtual pipe line costs, incurred during construction phase that could not be capitalized per GAAP and fees paid in connection with warrant exchange for the three and six months ended June 30, 2023. One-time non-recurring charges includes one time transaction costs relating to the Business Combination for the three and six months ended June 30, 2022.</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16"/>
        </w:rPr>
        <w:t>(7)</w:t>
      </w:r>
      <w:r>
        <w:rPr>
          <w:color w:val="000000"/>
        </w:rPr>
        <w:t xml:space="preserve"> </w:t>
      </w:r>
      <w:r>
        <w:rPr>
          <w:rFonts w:ascii="Times New Roman;sans-serif" w:hAnsi="Times New Roman;sans-serif"/>
          <w:b w:val="false"/>
          <w:color w:val="000000"/>
          <w:sz w:val="20"/>
        </w:rPr>
        <w:t>Represents RNG pending certification and unsold environmental credits for the three and six months ended June 30, 2023. Adjusted EBITDA for the three and six months ended June 30, 2022, did not include such adjustments.</w:t>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7576</Words>
  <Characters>42448</Characters>
  <CharactersWithSpaces>49585</CharactersWithSpaces>
  <Paragraphs>1155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