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13,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20" w:type="dxa"/>
            <w:vAlign w:val="bottom"/>
          </w:tcPr>
          <w:p>
            <w:pPr>
              <w:spacing w:after="0"/>
              <w:rPr>
                <w:sz w:val="21"/>
                <w:szCs w:val="21"/>
                <w:color w:val="auto"/>
              </w:rPr>
            </w:pP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Trading Symbol(s)</w:t>
            </w:r>
          </w:p>
        </w:tc>
        <w:tc>
          <w:tcPr>
            <w:tcW w:w="46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Class A common stock, par value $.0001 per share</w:t>
            </w:r>
          </w:p>
        </w:tc>
        <w:tc>
          <w:tcPr>
            <w:tcW w:w="2320" w:type="dxa"/>
            <w:vAlign w:val="bottom"/>
          </w:tcPr>
          <w:p>
            <w:pPr>
              <w:ind w:left="980"/>
              <w:spacing w:after="0"/>
              <w:rPr>
                <w:sz w:val="20"/>
                <w:szCs w:val="20"/>
                <w:color w:val="auto"/>
              </w:rPr>
            </w:pPr>
            <w:r>
              <w:rPr>
                <w:rFonts w:ascii="Arial" w:cs="Arial" w:eastAsia="Arial" w:hAnsi="Arial"/>
                <w:sz w:val="18"/>
                <w:szCs w:val="18"/>
                <w:color w:val="auto"/>
              </w:rPr>
              <w:t>OPAL</w:t>
            </w:r>
          </w:p>
        </w:tc>
        <w:tc>
          <w:tcPr>
            <w:tcW w:w="4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Landfill gas purchase and sale agreement</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13, 2023, a wholly-owned subsidiary of OPAL Fuels Inc. (referred to herein as the “</w:t>
      </w:r>
      <w:r>
        <w:rPr>
          <w:rFonts w:ascii="Arial" w:cs="Arial" w:eastAsia="Arial" w:hAnsi="Arial"/>
          <w:sz w:val="17"/>
          <w:szCs w:val="17"/>
          <w:b w:val="1"/>
          <w:bCs w:val="1"/>
          <w:color w:val="auto"/>
        </w:rPr>
        <w:t>Company</w:t>
      </w:r>
      <w:r>
        <w:rPr>
          <w:rFonts w:ascii="Arial" w:cs="Arial" w:eastAsia="Arial" w:hAnsi="Arial"/>
          <w:sz w:val="17"/>
          <w:szCs w:val="17"/>
          <w:color w:val="auto"/>
        </w:rPr>
        <w:t>”) entered into a Landfill Gas Purchase and Sale Agreement and a Lease Agreement (collectively, the “</w:t>
      </w:r>
      <w:r>
        <w:rPr>
          <w:rFonts w:ascii="Arial" w:cs="Arial" w:eastAsia="Arial" w:hAnsi="Arial"/>
          <w:sz w:val="17"/>
          <w:szCs w:val="17"/>
          <w:b w:val="1"/>
          <w:bCs w:val="1"/>
          <w:color w:val="auto"/>
        </w:rPr>
        <w:t>Agreements</w:t>
      </w:r>
      <w:r>
        <w:rPr>
          <w:rFonts w:ascii="Arial" w:cs="Arial" w:eastAsia="Arial" w:hAnsi="Arial"/>
          <w:sz w:val="17"/>
          <w:szCs w:val="17"/>
          <w:color w:val="auto"/>
        </w:rPr>
        <w:t>”) with Waste Management of Illinois, Inc. ("</w:t>
      </w:r>
      <w:r>
        <w:rPr>
          <w:rFonts w:ascii="Arial" w:cs="Arial" w:eastAsia="Arial" w:hAnsi="Arial"/>
          <w:sz w:val="17"/>
          <w:szCs w:val="17"/>
          <w:b w:val="1"/>
          <w:bCs w:val="1"/>
          <w:color w:val="auto"/>
        </w:rPr>
        <w:t>WM</w:t>
      </w:r>
      <w:r>
        <w:rPr>
          <w:rFonts w:ascii="Arial" w:cs="Arial" w:eastAsia="Arial" w:hAnsi="Arial"/>
          <w:sz w:val="17"/>
          <w:szCs w:val="17"/>
          <w:color w:val="auto"/>
        </w:rPr>
        <w:t>"), an indirect wholly owned subsidiary of Waste Management, Inc. The Agreements, which are effective as of March 13, 2023, provide the Company with the right to purchase landfill gas (“</w:t>
      </w:r>
      <w:r>
        <w:rPr>
          <w:rFonts w:ascii="Arial" w:cs="Arial" w:eastAsia="Arial" w:hAnsi="Arial"/>
          <w:sz w:val="17"/>
          <w:szCs w:val="17"/>
          <w:b w:val="1"/>
          <w:bCs w:val="1"/>
          <w:color w:val="auto"/>
        </w:rPr>
        <w:t>LFG</w:t>
      </w:r>
      <w:r>
        <w:rPr>
          <w:rFonts w:ascii="Arial" w:cs="Arial" w:eastAsia="Arial" w:hAnsi="Arial"/>
          <w:sz w:val="17"/>
          <w:szCs w:val="17"/>
          <w:color w:val="auto"/>
        </w:rPr>
        <w:t>”) from WM’s Cottonwood Hills Landfill located in Marissa, Illinois, and to build and operate a facility (the “</w:t>
      </w:r>
      <w:r>
        <w:rPr>
          <w:rFonts w:ascii="Arial" w:cs="Arial" w:eastAsia="Arial" w:hAnsi="Arial"/>
          <w:sz w:val="17"/>
          <w:szCs w:val="17"/>
          <w:b w:val="1"/>
          <w:bCs w:val="1"/>
          <w:color w:val="auto"/>
        </w:rPr>
        <w:t>Facility</w:t>
      </w:r>
      <w:r>
        <w:rPr>
          <w:rFonts w:ascii="Arial" w:cs="Arial" w:eastAsia="Arial" w:hAnsi="Arial"/>
          <w:sz w:val="17"/>
          <w:szCs w:val="17"/>
          <w:color w:val="auto"/>
        </w:rPr>
        <w:t>”) on a parcel located on the landfill footprint to process the LFG into renewable natural gas (“</w:t>
      </w:r>
      <w:r>
        <w:rPr>
          <w:rFonts w:ascii="Arial" w:cs="Arial" w:eastAsia="Arial" w:hAnsi="Arial"/>
          <w:sz w:val="17"/>
          <w:szCs w:val="17"/>
          <w:b w:val="1"/>
          <w:bCs w:val="1"/>
          <w:color w:val="auto"/>
        </w:rPr>
        <w:t>RNG</w:t>
      </w:r>
      <w:r>
        <w:rPr>
          <w:rFonts w:ascii="Arial" w:cs="Arial" w:eastAsia="Arial" w:hAnsi="Arial"/>
          <w:sz w:val="17"/>
          <w:szCs w:val="17"/>
          <w:color w:val="auto"/>
        </w:rPr>
        <w:t>”). Per the terms and conditions of the Agreements, WM will receive a lease payment and certain royalties from the sale of RNG produced by the Facility, including with respect to any sales of environmental credits or other attributes associated with the RNG. The terms of the Agreements are 25 years from the date the Facility commences operations.</w:t>
      </w: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representations, warranties and covenants contained in the Agreements were made solely for the benefit of the parties to the Agreements and may be subject to limitations agreed upon by the contracting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Annual Report on Form 10-K for the year ended December 31, 2022, filed on March 29, 2023, as such factors may be updated from time to time in the Company’s periodic filings with the SEC, which are accessible on the SEC’s website at www.sec.gov.</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892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93"/>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892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w:t>
            </w:r>
          </w:p>
        </w:tc>
      </w:tr>
      <w:tr>
        <w:trPr>
          <w:trHeight w:val="133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April 19,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2023-04-19T15:17:07Z</dcterms:created>
  <dcterms:modified xsi:type="dcterms:W3CDTF">2023-04-19T15:17:07Z</dcterms:modified>
</cp:coreProperties>
</file>