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8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-234950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5278755</wp:posOffset>
            </wp:positionH>
            <wp:positionV relativeFrom="paragraph">
              <wp:posOffset>-629285</wp:posOffset>
            </wp:positionV>
            <wp:extent cx="58420" cy="6426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2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3995420</wp:posOffset>
            </wp:positionH>
            <wp:positionV relativeFrom="paragraph">
              <wp:posOffset>-629285</wp:posOffset>
            </wp:positionV>
            <wp:extent cx="58420" cy="6426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2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23495</wp:posOffset>
            </wp:positionV>
            <wp:extent cx="7045960" cy="45415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541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Unger David C</w:t>
        </w:r>
      </w:hyperlink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130, PURITAN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OPAL Fuels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OPAL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10/04/2022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5" w:right="620" w:firstLine="5"/>
        <w:spacing w:after="0" w:line="259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9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73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Executive Vice President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5" w:space="720"/>
            <w:col w:w="3355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5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YONKERS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10710</w:t>
            </w: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2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10/04/2022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 w:right="160" w:firstLine="3"/>
        <w:spacing w:after="0" w:line="257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was granted restricted stock units ("RSUs"), which represent a contingent right to receive one share of Common Stock for each RSU. The RSUs vest 100% on October 3, 2023 provided that the Reporting Person remains in continuous service on the vesting date.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John Coghlin as Attorney-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10/04/2022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4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in-Fact</w:t>
            </w:r>
          </w:p>
        </w:tc>
        <w:tc>
          <w:tcPr>
            <w:tcW w:w="1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4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6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932698" TargetMode="External"/><Relationship Id="rId13" Type="http://schemas.openxmlformats.org/officeDocument/2006/relationships/hyperlink" Target="http://www.sec.gov/cgi-bin/browse-edgar?action=getcompany&amp;CIK=000184227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2022-10-04T18:07:05Z</dcterms:created>
  <dcterms:modified xsi:type="dcterms:W3CDTF">2022-10-04T18:07:05Z</dcterms:modified>
</cp:coreProperties>
</file>