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6660"/>
        <w:spacing w:after="0"/>
        <w:rPr>
          <w:sz w:val="20"/>
          <w:szCs w:val="20"/>
          <w:color w:val="auto"/>
        </w:rPr>
      </w:pPr>
      <w:r>
        <w:rPr>
          <w:rFonts w:ascii="Times New Roman" w:cs="Times New Roman" w:eastAsia="Times New Roman" w:hAnsi="Times New Roman"/>
          <w:sz w:val="17"/>
          <w:szCs w:val="17"/>
          <w:color w:val="auto"/>
        </w:rPr>
        <w:t>Sheppard, Mullin, Richter &amp; Hampton LLP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1971675" cy="2654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971675" cy="265430"/>
                    </a:xfrm>
                    <a:prstGeom prst="rect">
                      <a:avLst/>
                    </a:prstGeom>
                    <a:noFill/>
                  </pic:spPr>
                </pic:pic>
              </a:graphicData>
            </a:graphic>
          </wp:anchor>
        </w:drawing>
      </w:r>
    </w:p>
    <w:p>
      <w:pPr>
        <w:spacing w:after="0" w:line="19" w:lineRule="exact"/>
        <w:rPr>
          <w:sz w:val="24"/>
          <w:szCs w:val="24"/>
          <w:color w:val="auto"/>
        </w:rPr>
      </w:pPr>
    </w:p>
    <w:p>
      <w:pPr>
        <w:ind w:left="6660"/>
        <w:spacing w:after="0"/>
        <w:rPr>
          <w:sz w:val="20"/>
          <w:szCs w:val="20"/>
          <w:color w:val="auto"/>
        </w:rPr>
      </w:pPr>
      <w:r>
        <w:rPr>
          <w:rFonts w:ascii="Times New Roman" w:cs="Times New Roman" w:eastAsia="Times New Roman" w:hAnsi="Times New Roman"/>
          <w:sz w:val="18"/>
          <w:szCs w:val="18"/>
          <w:color w:val="auto"/>
        </w:rPr>
        <w:t>30 Rockefeller Plaza</w:t>
      </w:r>
    </w:p>
    <w:p>
      <w:pPr>
        <w:spacing w:after="0" w:line="9" w:lineRule="exact"/>
        <w:rPr>
          <w:sz w:val="24"/>
          <w:szCs w:val="24"/>
          <w:color w:val="auto"/>
        </w:rPr>
      </w:pPr>
    </w:p>
    <w:p>
      <w:pPr>
        <w:ind w:left="6660"/>
        <w:spacing w:after="0"/>
        <w:rPr>
          <w:sz w:val="20"/>
          <w:szCs w:val="20"/>
          <w:color w:val="auto"/>
        </w:rPr>
      </w:pPr>
      <w:r>
        <w:rPr>
          <w:rFonts w:ascii="Times New Roman" w:cs="Times New Roman" w:eastAsia="Times New Roman" w:hAnsi="Times New Roman"/>
          <w:sz w:val="18"/>
          <w:szCs w:val="18"/>
          <w:color w:val="auto"/>
        </w:rPr>
        <w:t>New York, New York 10112-0015</w:t>
      </w:r>
    </w:p>
    <w:p>
      <w:pPr>
        <w:spacing w:after="0" w:line="9" w:lineRule="exact"/>
        <w:rPr>
          <w:sz w:val="24"/>
          <w:szCs w:val="24"/>
          <w:color w:val="auto"/>
        </w:rPr>
      </w:pPr>
    </w:p>
    <w:p>
      <w:pPr>
        <w:ind w:left="6660"/>
        <w:spacing w:after="0"/>
        <w:rPr>
          <w:sz w:val="20"/>
          <w:szCs w:val="20"/>
          <w:color w:val="auto"/>
        </w:rPr>
      </w:pPr>
      <w:r>
        <w:rPr>
          <w:rFonts w:ascii="Times New Roman" w:cs="Times New Roman" w:eastAsia="Times New Roman" w:hAnsi="Times New Roman"/>
          <w:sz w:val="18"/>
          <w:szCs w:val="18"/>
          <w:color w:val="auto"/>
        </w:rPr>
        <w:t>212.653.8700 main</w:t>
      </w:r>
    </w:p>
    <w:p>
      <w:pPr>
        <w:spacing w:after="0" w:line="9" w:lineRule="exact"/>
        <w:rPr>
          <w:sz w:val="24"/>
          <w:szCs w:val="24"/>
          <w:color w:val="auto"/>
        </w:rPr>
      </w:pPr>
    </w:p>
    <w:p>
      <w:pPr>
        <w:ind w:left="6660"/>
        <w:spacing w:after="0"/>
        <w:rPr>
          <w:sz w:val="20"/>
          <w:szCs w:val="20"/>
          <w:color w:val="auto"/>
        </w:rPr>
      </w:pPr>
      <w:r>
        <w:rPr>
          <w:rFonts w:ascii="Times New Roman" w:cs="Times New Roman" w:eastAsia="Times New Roman" w:hAnsi="Times New Roman"/>
          <w:sz w:val="18"/>
          <w:szCs w:val="18"/>
          <w:color w:val="auto"/>
        </w:rPr>
        <w:t>212.653.8701 fax</w:t>
      </w:r>
    </w:p>
    <w:p>
      <w:pPr>
        <w:spacing w:after="0" w:line="9" w:lineRule="exact"/>
        <w:rPr>
          <w:sz w:val="24"/>
          <w:szCs w:val="24"/>
          <w:color w:val="auto"/>
        </w:rPr>
      </w:pPr>
    </w:p>
    <w:p>
      <w:pPr>
        <w:ind w:left="6660"/>
        <w:spacing w:after="0"/>
        <w:rPr>
          <w:sz w:val="20"/>
          <w:szCs w:val="20"/>
          <w:color w:val="auto"/>
        </w:rPr>
      </w:pPr>
      <w:r>
        <w:rPr>
          <w:rFonts w:ascii="Times New Roman" w:cs="Times New Roman" w:eastAsia="Times New Roman" w:hAnsi="Times New Roman"/>
          <w:sz w:val="18"/>
          <w:szCs w:val="18"/>
          <w:color w:val="auto"/>
        </w:rPr>
        <w:t>www.sheppardmullin.com</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October 14, 2022</w:t>
      </w:r>
    </w:p>
    <w:p>
      <w:pPr>
        <w:spacing w:after="0" w:line="225" w:lineRule="exact"/>
        <w:rPr>
          <w:sz w:val="24"/>
          <w:szCs w:val="24"/>
          <w:color w:val="auto"/>
        </w:rPr>
      </w:pPr>
    </w:p>
    <w:p>
      <w:pPr>
        <w:jc w:val="both"/>
        <w:spacing w:after="0"/>
        <w:tabs>
          <w:tab w:leader="none" w:pos="960" w:val="left"/>
        </w:tabs>
        <w:rPr>
          <w:sz w:val="20"/>
          <w:szCs w:val="20"/>
          <w:color w:val="auto"/>
        </w:rPr>
      </w:pPr>
      <w:r>
        <w:rPr>
          <w:rFonts w:ascii="Times New Roman" w:cs="Times New Roman" w:eastAsia="Times New Roman" w:hAnsi="Times New Roman"/>
          <w:sz w:val="18"/>
          <w:szCs w:val="18"/>
          <w:color w:val="auto"/>
        </w:rPr>
        <w:t>Attention:</w:t>
        <w:tab/>
        <w:t>Kevin Dougherty</w:t>
      </w:r>
    </w:p>
    <w:p>
      <w:pPr>
        <w:spacing w:after="0" w:line="27" w:lineRule="exact"/>
        <w:rPr>
          <w:sz w:val="24"/>
          <w:szCs w:val="24"/>
          <w:color w:val="auto"/>
        </w:rPr>
      </w:pPr>
    </w:p>
    <w:p>
      <w:pPr>
        <w:jc w:val="right"/>
        <w:ind w:right="9060"/>
        <w:spacing w:after="0"/>
        <w:rPr>
          <w:sz w:val="20"/>
          <w:szCs w:val="20"/>
          <w:color w:val="auto"/>
        </w:rPr>
      </w:pPr>
      <w:r>
        <w:rPr>
          <w:rFonts w:ascii="Times New Roman" w:cs="Times New Roman" w:eastAsia="Times New Roman" w:hAnsi="Times New Roman"/>
          <w:sz w:val="18"/>
          <w:szCs w:val="18"/>
          <w:color w:val="auto"/>
        </w:rPr>
        <w:t>Laura Nicholson</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United States Securities and Exchange Commission</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Office of Energy &amp; Transportation</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100 F Street, NE</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Washington, D.C. 20549</w:t>
      </w:r>
    </w:p>
    <w:p>
      <w:pPr>
        <w:sectPr>
          <w:pgSz w:w="11900" w:h="16838" w:orient="portrait"/>
          <w:cols w:equalWidth="0" w:num="1">
            <w:col w:w="11240"/>
          </w:cols>
          <w:pgMar w:left="320" w:top="229" w:right="339" w:bottom="1440" w:gutter="0" w:footer="0" w:header="0"/>
        </w:sectPr>
      </w:pPr>
    </w:p>
    <w:p>
      <w:pPr>
        <w:spacing w:after="0" w:line="20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w:t>
      </w:r>
    </w:p>
    <w:p>
      <w:pPr>
        <w:spacing w:after="0" w:line="20" w:lineRule="exact"/>
        <w:rPr>
          <w:sz w:val="24"/>
          <w:szCs w:val="24"/>
          <w:color w:val="auto"/>
        </w:rPr>
      </w:pPr>
      <w:r>
        <w:rPr>
          <w:sz w:val="24"/>
          <w:szCs w:val="24"/>
          <w:color w:val="auto"/>
        </w:rPr>
        <w:br w:type="column"/>
      </w:r>
    </w:p>
    <w:p>
      <w:pPr>
        <w:spacing w:after="0" w:line="18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OPAL Fuels Inc.</w:t>
      </w:r>
    </w:p>
    <w:p>
      <w:pPr>
        <w:spacing w:after="0" w:line="31"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Amendment No. 1 to Registration Statement on Form S-1</w:t>
      </w:r>
    </w:p>
    <w:p>
      <w:pPr>
        <w:spacing w:after="0" w:line="2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Filed September 20, 2022</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File No. 333-266757</w:t>
      </w:r>
    </w:p>
    <w:p>
      <w:pPr>
        <w:spacing w:after="0" w:line="200" w:lineRule="exact"/>
        <w:rPr>
          <w:sz w:val="24"/>
          <w:szCs w:val="24"/>
          <w:color w:val="auto"/>
        </w:rPr>
      </w:pPr>
    </w:p>
    <w:p>
      <w:pPr>
        <w:sectPr>
          <w:pgSz w:w="11900" w:h="16838" w:orient="portrait"/>
          <w:cols w:equalWidth="0" w:num="2">
            <w:col w:w="280" w:space="380"/>
            <w:col w:w="10580"/>
          </w:cols>
          <w:pgMar w:left="320" w:top="229" w:right="339" w:bottom="1440" w:gutter="0" w:footer="0" w:header="0"/>
          <w:type w:val="continuous"/>
        </w:sectPr>
      </w:pPr>
    </w:p>
    <w:p>
      <w:pPr>
        <w:spacing w:after="0" w:line="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1" w:lineRule="exact"/>
        <w:rPr>
          <w:sz w:val="24"/>
          <w:szCs w:val="24"/>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This letter sets forth the responses of OPAL Fuels Inc., a Delaware corporation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to the comments received from the Staff (the “</w:t>
      </w:r>
      <w:r>
        <w:rPr>
          <w:rFonts w:ascii="Times New Roman" w:cs="Times New Roman" w:eastAsia="Times New Roman" w:hAnsi="Times New Roman"/>
          <w:sz w:val="18"/>
          <w:szCs w:val="18"/>
          <w:b w:val="1"/>
          <w:bCs w:val="1"/>
          <w:color w:val="auto"/>
        </w:rPr>
        <w:t>Staff</w:t>
      </w:r>
      <w:r>
        <w:rPr>
          <w:rFonts w:ascii="Times New Roman" w:cs="Times New Roman" w:eastAsia="Times New Roman" w:hAnsi="Times New Roman"/>
          <w:sz w:val="18"/>
          <w:szCs w:val="18"/>
          <w:color w:val="auto"/>
        </w:rPr>
        <w:t>”) of the U.S. Securities and Exchange Commission (the “</w:t>
      </w:r>
      <w:r>
        <w:rPr>
          <w:rFonts w:ascii="Times New Roman" w:cs="Times New Roman" w:eastAsia="Times New Roman" w:hAnsi="Times New Roman"/>
          <w:sz w:val="18"/>
          <w:szCs w:val="18"/>
          <w:b w:val="1"/>
          <w:bCs w:val="1"/>
          <w:color w:val="auto"/>
        </w:rPr>
        <w:t>Commission</w:t>
      </w:r>
      <w:r>
        <w:rPr>
          <w:rFonts w:ascii="Times New Roman" w:cs="Times New Roman" w:eastAsia="Times New Roman" w:hAnsi="Times New Roman"/>
          <w:sz w:val="18"/>
          <w:szCs w:val="18"/>
          <w:color w:val="auto"/>
        </w:rPr>
        <w:t>”) concerning its Amendment No. 1 to Registration Statement on Form S-1 (CIK No. 0001842279) submitted to the Commission on September 20, 2022.</w:t>
      </w:r>
    </w:p>
    <w:p>
      <w:pPr>
        <w:spacing w:after="0" w:line="175"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References in the text of the responses herein to captions and page numbers refer to the Company’s Amendment No. 2 to Registration Statement on Form S-1 (the “</w:t>
      </w:r>
      <w:r>
        <w:rPr>
          <w:rFonts w:ascii="Times New Roman" w:cs="Times New Roman" w:eastAsia="Times New Roman" w:hAnsi="Times New Roman"/>
          <w:sz w:val="18"/>
          <w:szCs w:val="18"/>
          <w:b w:val="1"/>
          <w:bCs w:val="1"/>
          <w:color w:val="auto"/>
        </w:rPr>
        <w:t>Registration Statement</w:t>
      </w:r>
      <w:r>
        <w:rPr>
          <w:rFonts w:ascii="Times New Roman" w:cs="Times New Roman" w:eastAsia="Times New Roman" w:hAnsi="Times New Roman"/>
          <w:sz w:val="18"/>
          <w:szCs w:val="18"/>
          <w:color w:val="auto"/>
        </w:rPr>
        <w:t>”), which is being filed herewith.</w:t>
      </w:r>
    </w:p>
    <w:p>
      <w:pPr>
        <w:spacing w:after="0" w:line="16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Amendment No. 1 to Registration Statement on Form S-1 submitted September 20, 2022</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Cover Page</w:t>
      </w:r>
    </w:p>
    <w:p>
      <w:pPr>
        <w:spacing w:after="0" w:line="221" w:lineRule="exact"/>
        <w:rPr>
          <w:sz w:val="24"/>
          <w:szCs w:val="24"/>
          <w:color w:val="auto"/>
        </w:rPr>
      </w:pPr>
    </w:p>
    <w:p>
      <w:pPr>
        <w:ind w:right="20" w:firstLine="8"/>
        <w:spacing w:after="0" w:line="286" w:lineRule="auto"/>
        <w:tabs>
          <w:tab w:leader="none" w:pos="196" w:val="left"/>
        </w:tabs>
        <w:numPr>
          <w:ilvl w:val="0"/>
          <w:numId w:val="1"/>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We note your reference to the Founder Shares on your prospectus cover page. Please provide a definition of such term on your prospectus cover page.</w:t>
      </w:r>
    </w:p>
    <w:p>
      <w:pPr>
        <w:spacing w:after="0" w:line="159" w:lineRule="exact"/>
        <w:rPr>
          <w:sz w:val="24"/>
          <w:szCs w:val="24"/>
          <w:color w:val="auto"/>
        </w:rPr>
      </w:pPr>
    </w:p>
    <w:p>
      <w:pPr>
        <w:ind w:left="640"/>
        <w:spacing w:after="0"/>
        <w:rPr>
          <w:sz w:val="20"/>
          <w:szCs w:val="20"/>
          <w:color w:val="auto"/>
        </w:rPr>
      </w:pPr>
      <w:r>
        <w:rPr>
          <w:rFonts w:ascii="Times New Roman" w:cs="Times New Roman" w:eastAsia="Times New Roman" w:hAnsi="Times New Roman"/>
          <w:sz w:val="18"/>
          <w:szCs w:val="18"/>
          <w:u w:val="single" w:color="auto"/>
          <w:color w:val="auto"/>
        </w:rPr>
        <w:t>RESPONSE</w:t>
      </w:r>
      <w:r>
        <w:rPr>
          <w:rFonts w:ascii="Times New Roman" w:cs="Times New Roman" w:eastAsia="Times New Roman" w:hAnsi="Times New Roman"/>
          <w:sz w:val="18"/>
          <w:szCs w:val="18"/>
          <w:color w:val="auto"/>
        </w:rPr>
        <w:t>:</w:t>
      </w:r>
    </w:p>
    <w:p>
      <w:pPr>
        <w:spacing w:after="0" w:line="225" w:lineRule="exact"/>
        <w:rPr>
          <w:sz w:val="24"/>
          <w:szCs w:val="24"/>
          <w:color w:val="auto"/>
        </w:rPr>
      </w:pPr>
    </w:p>
    <w:p>
      <w:pPr>
        <w:ind w:left="640"/>
        <w:spacing w:after="0"/>
        <w:rPr>
          <w:sz w:val="20"/>
          <w:szCs w:val="20"/>
          <w:color w:val="auto"/>
        </w:rPr>
      </w:pPr>
      <w:r>
        <w:rPr>
          <w:rFonts w:ascii="Times New Roman" w:cs="Times New Roman" w:eastAsia="Times New Roman" w:hAnsi="Times New Roman"/>
          <w:sz w:val="18"/>
          <w:szCs w:val="18"/>
          <w:color w:val="auto"/>
        </w:rPr>
        <w:t>The Company acknowledges the Staff’s comment and has revised the prospectus cover page accordingly.</w:t>
      </w:r>
    </w:p>
    <w:p>
      <w:pPr>
        <w:spacing w:after="0" w:line="33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u w:val="single" w:color="auto"/>
          <w:color w:val="auto"/>
        </w:rPr>
        <w:t>Risk Factors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Future sales of a substantial number of shares of our Class A common stock…, page 35</w:t>
      </w:r>
    </w:p>
    <w:p>
      <w:pPr>
        <w:spacing w:after="0" w:line="221" w:lineRule="exact"/>
        <w:rPr>
          <w:sz w:val="20"/>
          <w:szCs w:val="20"/>
          <w:color w:val="auto"/>
        </w:rPr>
      </w:pPr>
    </w:p>
    <w:p>
      <w:pPr>
        <w:jc w:val="both"/>
        <w:ind w:firstLine="8"/>
        <w:spacing w:after="0" w:line="268" w:lineRule="auto"/>
        <w:tabs>
          <w:tab w:leader="none" w:pos="198" w:val="left"/>
        </w:tabs>
        <w:numPr>
          <w:ilvl w:val="0"/>
          <w:numId w:val="2"/>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We note your response to prior comment 4 and re-issue such comment in part. With respect to the shares being registered for resale, please also disclose in this risk factor and on your prospectus cover page the percentage that these shares represent of the total number of shares currently outstanding (without giving effect to the exercise of outstanding warrants and the conversion of Class C common stock).</w:t>
      </w:r>
    </w:p>
    <w:p>
      <w:pPr>
        <w:spacing w:after="0" w:line="17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u w:val="single" w:color="auto"/>
          <w:color w:val="auto"/>
        </w:rPr>
        <w:t>RESPONSE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Company acknowledges the Staff’s comment and has revised the prospectus cover page and pages 35 and 59 of the prospectus accordingly.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General</w:t>
      </w:r>
    </w:p>
    <w:p>
      <w:pPr>
        <w:spacing w:after="0" w:line="221" w:lineRule="exact"/>
        <w:rPr>
          <w:sz w:val="20"/>
          <w:szCs w:val="20"/>
          <w:color w:val="auto"/>
        </w:rPr>
      </w:pPr>
    </w:p>
    <w:p>
      <w:pPr>
        <w:jc w:val="both"/>
        <w:ind w:firstLine="8"/>
        <w:spacing w:after="0" w:line="268" w:lineRule="auto"/>
        <w:tabs>
          <w:tab w:leader="none" w:pos="204" w:val="left"/>
        </w:tabs>
        <w:numPr>
          <w:ilvl w:val="0"/>
          <w:numId w:val="3"/>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Please revise to clarify the transactions that you are registering pursuant to this registration statement. For example, if you are registering the primary issuance of the shares underlying the public warrants, and the resale of the shares underlying the private placement warrants, please revise to make this clear on your prospectus cover page and throughout your filing.</w:t>
      </w:r>
    </w:p>
    <w:p>
      <w:pPr>
        <w:spacing w:after="0" w:line="17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u w:val="single" w:color="auto"/>
          <w:color w:val="auto"/>
        </w:rPr>
        <w:t>RESPONSE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Company acknowledges the Staff’s comment and has revised the prospectus cover page and the prospectus accordingly.</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2" w:name="page3"/>
    <w:bookmarkEnd w:id="2"/>
    <w:p>
      <w:pPr>
        <w:spacing w:after="0" w:line="282" w:lineRule="auto"/>
        <w:rPr>
          <w:sz w:val="20"/>
          <w:szCs w:val="20"/>
          <w:color w:val="auto"/>
        </w:rPr>
      </w:pPr>
      <w:r>
        <w:rPr>
          <w:rFonts w:ascii="Times New Roman" w:cs="Times New Roman" w:eastAsia="Times New Roman" w:hAnsi="Times New Roman"/>
          <w:sz w:val="18"/>
          <w:szCs w:val="18"/>
          <w:color w:val="auto"/>
        </w:rPr>
        <w:t>If any supplemental information is required by the Staff or if you have any questions regarding the foregoing, please contact Edward Welch of Sheppard, Mullin, Richter &amp; Hampton LLP at (212) 634-3085 with any questions or further comments regarding the responses to the Staff’s comments.</w:t>
      </w:r>
    </w:p>
    <w:p>
      <w:pPr>
        <w:spacing w:after="0" w:line="270"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3"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i w:val="1"/>
          <w:iCs w:val="1"/>
          <w:color w:val="auto"/>
        </w:rPr>
        <w:t>/s/ Edward M. Welch, Esq.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18415</wp:posOffset>
            </wp:positionV>
            <wp:extent cx="284607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Edward M. Welch, Esq.</w:t>
      </w:r>
    </w:p>
    <w:p>
      <w:pPr>
        <w:spacing w:after="0" w:line="2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Sheppard, Mullin, Richter &amp; Hampton LLP</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cc: John Coghlin, General Counsel</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1."/>
      <w:numFmt w:val="decimal"/>
      <w:start w:val="2"/>
    </w:lvl>
  </w:abstractNum>
  <w:abstractNum w:abstractNumId="2">
    <w:nsid w:val="19495CFF"/>
    <w:multiLevelType w:val="hybridMultilevel"/>
    <w:lvl w:ilvl="0">
      <w:lvlJc w:val="left"/>
      <w:lvlText w:val="%1."/>
      <w:numFmt w:val="decimal"/>
      <w:start w:val="3"/>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2022-12-09T23:18:00Z</dcterms:created>
  <dcterms:modified xsi:type="dcterms:W3CDTF">2022-12-09T23:18:00Z</dcterms:modified>
</cp:coreProperties>
</file>